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mf" ContentType="image/x-wm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AC3723" w14:textId="77777777" w:rsidR="0006436A" w:rsidRPr="002A7673" w:rsidRDefault="0006436A" w:rsidP="00DF2FDA">
      <w:pPr>
        <w:spacing w:line="480" w:lineRule="auto"/>
        <w:jc w:val="center"/>
        <w:rPr>
          <w:rFonts w:ascii="Times New Roman" w:hAnsi="Times New Roman" w:cs="Times New Roman"/>
          <w:b/>
          <w:bCs/>
          <w:sz w:val="28"/>
          <w:szCs w:val="28"/>
          <w:u w:val="single"/>
        </w:rPr>
      </w:pPr>
      <w:r w:rsidRPr="002A7673">
        <w:rPr>
          <w:rFonts w:ascii="Times New Roman" w:hAnsi="Times New Roman" w:cs="Times New Roman"/>
          <w:b/>
          <w:bCs/>
          <w:sz w:val="28"/>
          <w:szCs w:val="28"/>
          <w:u w:val="single"/>
        </w:rPr>
        <w:t>ACTA N° 35-2021</w:t>
      </w:r>
    </w:p>
    <w:p w14:paraId="0ACBE999" w14:textId="77777777" w:rsidR="0006436A" w:rsidRPr="002A7673" w:rsidRDefault="0006436A" w:rsidP="0006436A">
      <w:pPr>
        <w:spacing w:line="480" w:lineRule="auto"/>
        <w:ind w:firstLine="709"/>
        <w:rPr>
          <w:rFonts w:ascii="Times New Roman" w:hAnsi="Times New Roman" w:cs="Times New Roman"/>
          <w:sz w:val="28"/>
          <w:szCs w:val="28"/>
        </w:rPr>
      </w:pPr>
      <w:r w:rsidRPr="002A7673">
        <w:rPr>
          <w:rFonts w:ascii="Times New Roman" w:hAnsi="Times New Roman" w:cs="Times New Roman"/>
          <w:b/>
          <w:bCs/>
          <w:sz w:val="28"/>
          <w:szCs w:val="28"/>
          <w:u w:val="single"/>
        </w:rPr>
        <w:t>SESIÓN EXTRAORDINARIA DE CONSEJO SUPERIOR DEL PODER JUDICIAL</w:t>
      </w:r>
      <w:r w:rsidRPr="002A7673">
        <w:rPr>
          <w:rFonts w:ascii="Times New Roman" w:hAnsi="Times New Roman" w:cs="Times New Roman"/>
          <w:sz w:val="28"/>
          <w:szCs w:val="28"/>
        </w:rPr>
        <w:t>. - San José, a las nueve horas treinta minutos del treinta de abril de dos mil veintiuno.</w:t>
      </w:r>
    </w:p>
    <w:p w14:paraId="2FD0E427" w14:textId="2EB8FE03" w:rsidR="0006436A" w:rsidRPr="00EF57CF" w:rsidRDefault="0006436A" w:rsidP="00DF2FDA">
      <w:pPr>
        <w:spacing w:line="480" w:lineRule="auto"/>
        <w:ind w:firstLine="708"/>
        <w:jc w:val="both"/>
        <w:rPr>
          <w:rFonts w:ascii="Times New Roman" w:hAnsi="Times New Roman" w:cs="Times New Roman"/>
          <w:sz w:val="28"/>
          <w:szCs w:val="28"/>
          <w:lang w:val="es-MX"/>
        </w:rPr>
      </w:pPr>
      <w:r w:rsidRPr="002A7673">
        <w:rPr>
          <w:rFonts w:ascii="Times New Roman" w:hAnsi="Times New Roman" w:cs="Times New Roman"/>
          <w:sz w:val="28"/>
          <w:szCs w:val="28"/>
          <w:lang w:val="es-MX"/>
        </w:rPr>
        <w:t xml:space="preserve">En esta sesión extraordinaria de Presupuesto 2022 con asistencia del Magistrado Fernando Cruz Castro, Presidente, de la máster Dinorah Alvarez Acosta, el doctor Gary Amador Bonilla, la licenciada Sandra Pizarro Gutiérrez y el licenciado Gary Bonilla Garro, además los representantes de los grupos gremiales </w:t>
      </w:r>
      <w:proofErr w:type="gramStart"/>
      <w:r w:rsidRPr="002A7673">
        <w:rPr>
          <w:rFonts w:ascii="Times New Roman" w:hAnsi="Times New Roman" w:cs="Times New Roman"/>
          <w:sz w:val="28"/>
          <w:szCs w:val="28"/>
          <w:lang w:val="es-MX"/>
        </w:rPr>
        <w:t>Master</w:t>
      </w:r>
      <w:proofErr w:type="gramEnd"/>
      <w:r w:rsidRPr="002A7673">
        <w:rPr>
          <w:rFonts w:ascii="Times New Roman" w:hAnsi="Times New Roman" w:cs="Times New Roman"/>
          <w:sz w:val="28"/>
          <w:szCs w:val="28"/>
          <w:lang w:val="es-MX"/>
        </w:rPr>
        <w:t xml:space="preserve"> Hugo Hernández Alfaro. Asiste también la Directora Ejecutiva, máster Ana Eugenia Romero Jenkins, la Directora de Planificación, licenciada Nacira Valverde Bermúdez, el máster Erick Antonio Mora Leiva, Jefe del Proceso de Planeación y Evaluación y el licenciado Minor Alvarado Chaves, Jefe del Subproceso de Presupuesto y Portafolio de Proyectos, en calidad de asesores. </w:t>
      </w:r>
    </w:p>
    <w:p w14:paraId="7FF86DD9" w14:textId="2F1766D6" w:rsidR="00083CA4" w:rsidRPr="002A7673" w:rsidRDefault="00083CA4" w:rsidP="005F7139">
      <w:pPr>
        <w:keepNext/>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I</w:t>
      </w:r>
    </w:p>
    <w:p w14:paraId="28608945" w14:textId="77777777" w:rsidR="00083CA4" w:rsidRPr="002A7673" w:rsidRDefault="00083CA4" w:rsidP="005F7139">
      <w:pPr>
        <w:autoSpaceDE w:val="0"/>
        <w:autoSpaceDN w:val="0"/>
        <w:adjustRightInd w:val="0"/>
        <w:spacing w:after="0" w:line="480" w:lineRule="auto"/>
        <w:ind w:firstLine="708"/>
        <w:jc w:val="both"/>
        <w:rPr>
          <w:rFonts w:ascii="Times New Roman" w:eastAsia="Calibri" w:hAnsi="Times New Roman" w:cs="Times New Roman"/>
          <w:b/>
          <w:bCs/>
          <w:sz w:val="28"/>
          <w:szCs w:val="28"/>
        </w:rPr>
      </w:pPr>
      <w:r w:rsidRPr="002A7673">
        <w:rPr>
          <w:rFonts w:ascii="Times New Roman" w:eastAsia="Calibri" w:hAnsi="Times New Roman" w:cs="Times New Roman"/>
          <w:b/>
          <w:bCs/>
          <w:sz w:val="28"/>
          <w:szCs w:val="28"/>
        </w:rPr>
        <w:t xml:space="preserve">Documento N° </w:t>
      </w:r>
      <w:bookmarkStart w:id="0" w:name="_Hlk70696510"/>
      <w:r w:rsidRPr="002A7673">
        <w:rPr>
          <w:rFonts w:ascii="Times New Roman" w:eastAsia="Calibri" w:hAnsi="Times New Roman" w:cs="Times New Roman"/>
          <w:b/>
          <w:bCs/>
          <w:color w:val="00B050"/>
          <w:sz w:val="28"/>
          <w:szCs w:val="28"/>
        </w:rPr>
        <w:t>4387-2021</w:t>
      </w:r>
      <w:bookmarkEnd w:id="0"/>
    </w:p>
    <w:p w14:paraId="1A7EDE02" w14:textId="77777777" w:rsidR="00083CA4" w:rsidRPr="002A7673" w:rsidRDefault="00083CA4" w:rsidP="005F7139">
      <w:pPr>
        <w:spacing w:after="0" w:line="480" w:lineRule="auto"/>
        <w:ind w:firstLine="709"/>
        <w:jc w:val="both"/>
        <w:rPr>
          <w:rFonts w:ascii="Times New Roman" w:eastAsia="Calibri" w:hAnsi="Times New Roman" w:cs="Times New Roman"/>
          <w:sz w:val="28"/>
          <w:szCs w:val="28"/>
        </w:rPr>
      </w:pPr>
      <w:r w:rsidRPr="002A7673">
        <w:rPr>
          <w:rFonts w:ascii="Times New Roman" w:eastAsia="Calibri" w:hAnsi="Times New Roman" w:cs="Times New Roman"/>
          <w:sz w:val="28"/>
          <w:szCs w:val="28"/>
        </w:rPr>
        <w:t xml:space="preserve">En reunión de trabajo del pasado 16 de abril, </w:t>
      </w:r>
      <w:bookmarkStart w:id="1" w:name="_Hlk64018900"/>
      <w:bookmarkStart w:id="2" w:name="_Hlk34804993"/>
      <w:bookmarkEnd w:id="1"/>
      <w:bookmarkEnd w:id="2"/>
      <w:r w:rsidRPr="002A7673">
        <w:rPr>
          <w:rFonts w:ascii="Times New Roman" w:eastAsia="Calibri" w:hAnsi="Times New Roman" w:cs="Times New Roman"/>
          <w:sz w:val="28"/>
          <w:szCs w:val="28"/>
        </w:rPr>
        <w:t xml:space="preserve">la Licenciada Nacira Valverde Bermúdez presentó la estimación de requerimientos para el 2022 en las </w:t>
      </w:r>
      <w:r w:rsidRPr="002A7673">
        <w:rPr>
          <w:rFonts w:ascii="Times New Roman" w:eastAsia="Calibri" w:hAnsi="Times New Roman" w:cs="Times New Roman"/>
          <w:b/>
          <w:bCs/>
          <w:sz w:val="28"/>
          <w:szCs w:val="28"/>
        </w:rPr>
        <w:t xml:space="preserve">subpartidas </w:t>
      </w:r>
      <w:r w:rsidRPr="002A7673">
        <w:rPr>
          <w:rFonts w:ascii="Times New Roman" w:eastAsia="Calibri" w:hAnsi="Times New Roman" w:cs="Times New Roman"/>
          <w:b/>
          <w:bCs/>
          <w:sz w:val="28"/>
          <w:szCs w:val="28"/>
        </w:rPr>
        <w:lastRenderedPageBreak/>
        <w:t>10805 Mantenimiento y Reparación de Equipos de Transporte y 20101 Combustibles y Lubricantes</w:t>
      </w:r>
      <w:r w:rsidR="005F7139" w:rsidRPr="002A7673">
        <w:rPr>
          <w:rFonts w:ascii="Times New Roman" w:eastAsia="Calibri" w:hAnsi="Times New Roman" w:cs="Times New Roman"/>
          <w:sz w:val="28"/>
          <w:szCs w:val="28"/>
        </w:rPr>
        <w:t>, que dice:</w:t>
      </w:r>
    </w:p>
    <w:p w14:paraId="1017ABB6" w14:textId="77777777" w:rsidR="00083CA4" w:rsidRPr="002A7673" w:rsidRDefault="00083CA4" w:rsidP="005F7139">
      <w:pPr>
        <w:spacing w:after="0" w:line="240" w:lineRule="auto"/>
        <w:jc w:val="center"/>
        <w:rPr>
          <w:rFonts w:ascii="Times New Roman" w:eastAsia="Calibri" w:hAnsi="Times New Roman" w:cs="Times New Roman"/>
          <w:b/>
          <w:sz w:val="28"/>
          <w:szCs w:val="24"/>
        </w:rPr>
      </w:pPr>
    </w:p>
    <w:p w14:paraId="7723310E" w14:textId="77777777" w:rsidR="00083CA4" w:rsidRPr="002A7673" w:rsidRDefault="005F7139" w:rsidP="005F7139">
      <w:pPr>
        <w:numPr>
          <w:ilvl w:val="0"/>
          <w:numId w:val="7"/>
        </w:numPr>
        <w:spacing w:after="0" w:line="240" w:lineRule="auto"/>
        <w:ind w:left="851" w:right="851" w:firstLine="709"/>
        <w:contextualSpacing/>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sz w:val="26"/>
          <w:szCs w:val="26"/>
          <w:lang w:val="es-ES" w:eastAsia="es-ES"/>
        </w:rPr>
        <w:t>“</w:t>
      </w:r>
      <w:r w:rsidR="00083CA4" w:rsidRPr="002A7673">
        <w:rPr>
          <w:rFonts w:ascii="Times New Roman" w:eastAsia="Times New Roman" w:hAnsi="Times New Roman" w:cs="Times New Roman"/>
          <w:b/>
          <w:sz w:val="26"/>
          <w:szCs w:val="26"/>
          <w:lang w:val="es-ES" w:eastAsia="es-ES"/>
        </w:rPr>
        <w:t xml:space="preserve">Comportamiento Histórico de la Subpartida </w:t>
      </w:r>
    </w:p>
    <w:p w14:paraId="1C1DD6AB" w14:textId="77777777" w:rsidR="005F7139" w:rsidRPr="002A7673" w:rsidRDefault="005F7139" w:rsidP="005F7139">
      <w:pPr>
        <w:spacing w:after="0" w:line="240" w:lineRule="auto"/>
        <w:ind w:left="851" w:right="851" w:firstLine="709"/>
        <w:contextualSpacing/>
        <w:rPr>
          <w:rFonts w:ascii="Times New Roman" w:eastAsia="Times New Roman" w:hAnsi="Times New Roman" w:cs="Times New Roman"/>
          <w:sz w:val="26"/>
          <w:szCs w:val="26"/>
          <w:lang w:val="es-ES" w:eastAsia="es-ES"/>
        </w:rPr>
      </w:pPr>
    </w:p>
    <w:p w14:paraId="3FC121A2"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 Contempla el gasto por mantenimiento y reparaciones preventivas y habituales de toda clase de equipo de transporte tales como, vehículos, grúas, motocicletas, bicicletas, </w:t>
      </w:r>
      <w:proofErr w:type="spellStart"/>
      <w:r w:rsidRPr="002A7673">
        <w:rPr>
          <w:rFonts w:ascii="Times New Roman" w:eastAsia="Calibri" w:hAnsi="Times New Roman" w:cs="Times New Roman"/>
          <w:sz w:val="26"/>
          <w:szCs w:val="26"/>
        </w:rPr>
        <w:t>Cuadraciclo</w:t>
      </w:r>
      <w:proofErr w:type="spellEnd"/>
      <w:r w:rsidRPr="002A7673">
        <w:rPr>
          <w:rFonts w:ascii="Times New Roman" w:eastAsia="Calibri" w:hAnsi="Times New Roman" w:cs="Times New Roman"/>
          <w:sz w:val="26"/>
          <w:szCs w:val="26"/>
        </w:rPr>
        <w:t xml:space="preserve"> y cualquier otro equipo de naturaleza similar. </w:t>
      </w:r>
    </w:p>
    <w:p w14:paraId="6F341093" w14:textId="77777777" w:rsidR="005F7139" w:rsidRPr="002A7673" w:rsidRDefault="005F7139" w:rsidP="005F7139">
      <w:pPr>
        <w:spacing w:after="0" w:line="240" w:lineRule="auto"/>
        <w:ind w:left="851" w:right="851" w:firstLine="709"/>
        <w:jc w:val="both"/>
        <w:rPr>
          <w:rFonts w:ascii="Times New Roman" w:eastAsia="Calibri" w:hAnsi="Times New Roman" w:cs="Times New Roman"/>
          <w:sz w:val="24"/>
          <w:szCs w:val="24"/>
        </w:rPr>
      </w:pPr>
    </w:p>
    <w:p w14:paraId="3B6CD79B"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 xml:space="preserve">Figura N° 1. </w:t>
      </w:r>
    </w:p>
    <w:p w14:paraId="5998270E"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 xml:space="preserve">Comparativo del presupuesto de las subpartidas 10805 </w:t>
      </w:r>
      <w:r w:rsidRPr="002A7673">
        <w:rPr>
          <w:rFonts w:ascii="Times New Roman" w:eastAsia="Calibri" w:hAnsi="Times New Roman" w:cs="Times New Roman"/>
          <w:b/>
          <w:i/>
          <w:sz w:val="26"/>
          <w:szCs w:val="26"/>
        </w:rPr>
        <w:t>Mantenimiento y Reparación de Equipo de Transporte</w:t>
      </w:r>
      <w:r w:rsidRPr="002A7673">
        <w:rPr>
          <w:rFonts w:ascii="Times New Roman" w:eastAsia="Calibri" w:hAnsi="Times New Roman" w:cs="Times New Roman"/>
          <w:b/>
          <w:sz w:val="26"/>
          <w:szCs w:val="26"/>
        </w:rPr>
        <w:t xml:space="preserve"> y 20101 </w:t>
      </w:r>
      <w:r w:rsidRPr="002A7673">
        <w:rPr>
          <w:rFonts w:ascii="Times New Roman" w:eastAsia="Calibri" w:hAnsi="Times New Roman" w:cs="Times New Roman"/>
          <w:b/>
          <w:i/>
          <w:sz w:val="26"/>
          <w:szCs w:val="26"/>
        </w:rPr>
        <w:t>Combustibles y Lubricantes</w:t>
      </w:r>
      <w:r w:rsidRPr="002A7673">
        <w:rPr>
          <w:rFonts w:ascii="Times New Roman" w:eastAsia="Calibri" w:hAnsi="Times New Roman" w:cs="Times New Roman"/>
          <w:b/>
          <w:sz w:val="26"/>
          <w:szCs w:val="26"/>
        </w:rPr>
        <w:t>, período 2020-2021</w:t>
      </w:r>
    </w:p>
    <w:p w14:paraId="3D1F2472" w14:textId="77777777" w:rsidR="00083CA4" w:rsidRPr="002A7673" w:rsidRDefault="00083CA4" w:rsidP="005F7139">
      <w:pPr>
        <w:spacing w:after="0" w:line="240" w:lineRule="auto"/>
        <w:jc w:val="center"/>
        <w:rPr>
          <w:rFonts w:ascii="Times New Roman" w:eastAsia="Calibri" w:hAnsi="Times New Roman" w:cs="Times New Roman"/>
          <w:b/>
          <w:sz w:val="24"/>
        </w:rPr>
      </w:pPr>
    </w:p>
    <w:p w14:paraId="6EC5F384" w14:textId="77777777" w:rsidR="00083CA4" w:rsidRPr="002A7673" w:rsidRDefault="00083CA4" w:rsidP="005F7139">
      <w:pPr>
        <w:spacing w:after="0" w:line="240" w:lineRule="auto"/>
        <w:jc w:val="center"/>
        <w:rPr>
          <w:rFonts w:ascii="Times New Roman" w:eastAsia="Calibri" w:hAnsi="Times New Roman" w:cs="Times New Roman"/>
          <w:b/>
          <w:sz w:val="24"/>
        </w:rPr>
      </w:pPr>
      <w:r w:rsidRPr="002A7673">
        <w:rPr>
          <w:rFonts w:ascii="Times New Roman" w:eastAsia="Calibri" w:hAnsi="Times New Roman" w:cs="Times New Roman"/>
          <w:noProof/>
          <w:sz w:val="24"/>
          <w:szCs w:val="24"/>
          <w:lang w:eastAsia="es-CR"/>
        </w:rPr>
        <w:drawing>
          <wp:inline distT="0" distB="0" distL="0" distR="0" wp14:anchorId="496C2F7B" wp14:editId="56665155">
            <wp:extent cx="5612130" cy="129540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1295400"/>
                    </a:xfrm>
                    <a:prstGeom prst="rect">
                      <a:avLst/>
                    </a:prstGeom>
                    <a:noFill/>
                    <a:ln>
                      <a:noFill/>
                    </a:ln>
                  </pic:spPr>
                </pic:pic>
              </a:graphicData>
            </a:graphic>
          </wp:inline>
        </w:drawing>
      </w:r>
    </w:p>
    <w:p w14:paraId="3B1C0172" w14:textId="77777777" w:rsidR="00083CA4" w:rsidRPr="002A7673" w:rsidRDefault="00083CA4" w:rsidP="005F7139">
      <w:pPr>
        <w:spacing w:after="0" w:line="240" w:lineRule="auto"/>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 xml:space="preserve">  Fuente: SIGA PJ</w:t>
      </w:r>
    </w:p>
    <w:p w14:paraId="3C703ADF" w14:textId="77777777" w:rsidR="00083CA4" w:rsidRPr="002A7673" w:rsidRDefault="00083CA4" w:rsidP="005F7139">
      <w:pPr>
        <w:spacing w:after="0" w:line="360" w:lineRule="auto"/>
        <w:ind w:firstLine="360"/>
        <w:jc w:val="both"/>
        <w:rPr>
          <w:rFonts w:ascii="Times New Roman" w:eastAsia="Calibri" w:hAnsi="Times New Roman" w:cs="Times New Roman"/>
          <w:sz w:val="24"/>
          <w:szCs w:val="24"/>
        </w:rPr>
      </w:pPr>
    </w:p>
    <w:p w14:paraId="388F494A"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la tabla anterior se muestran los </w:t>
      </w:r>
      <w:proofErr w:type="gramStart"/>
      <w:r w:rsidRPr="002A7673">
        <w:rPr>
          <w:rFonts w:ascii="Times New Roman" w:eastAsia="Calibri" w:hAnsi="Times New Roman" w:cs="Times New Roman"/>
          <w:sz w:val="26"/>
          <w:szCs w:val="26"/>
        </w:rPr>
        <w:t>recursos  aprobados</w:t>
      </w:r>
      <w:proofErr w:type="gramEnd"/>
      <w:r w:rsidRPr="002A7673">
        <w:rPr>
          <w:rFonts w:ascii="Times New Roman" w:eastAsia="Calibri" w:hAnsi="Times New Roman" w:cs="Times New Roman"/>
          <w:sz w:val="26"/>
          <w:szCs w:val="26"/>
        </w:rPr>
        <w:t xml:space="preserve">  para las subpartidas 10805 y 20101, para el periodo 2018 al 2021 y el formulado para el 2022, cuya finalidad es atender el mantenimiento preventivo de la flotilla vehicular y el consumo de combustible a nivel institucional. </w:t>
      </w:r>
    </w:p>
    <w:p w14:paraId="6BFB7246"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285BD1D4"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658D8928"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sz w:val="26"/>
          <w:szCs w:val="26"/>
        </w:rPr>
        <w:t>A continuación, se analiza el comportamiento individual de cada una de las subpartidas indicadas anteriormente:</w:t>
      </w:r>
    </w:p>
    <w:p w14:paraId="01D3A6E4" w14:textId="77777777" w:rsidR="00083CA4" w:rsidRPr="002A7673" w:rsidRDefault="00083CA4" w:rsidP="005F7139">
      <w:pPr>
        <w:spacing w:after="0" w:line="240" w:lineRule="auto"/>
        <w:ind w:left="851" w:right="851" w:firstLine="709"/>
        <w:jc w:val="both"/>
        <w:rPr>
          <w:rFonts w:ascii="Times New Roman" w:eastAsia="Arial" w:hAnsi="Times New Roman" w:cs="Times New Roman"/>
          <w:spacing w:val="-3"/>
          <w:sz w:val="26"/>
          <w:szCs w:val="26"/>
        </w:rPr>
      </w:pPr>
    </w:p>
    <w:p w14:paraId="2FB626C3" w14:textId="77777777" w:rsidR="00083CA4" w:rsidRPr="002A7673" w:rsidRDefault="00083CA4" w:rsidP="005F7139">
      <w:pPr>
        <w:spacing w:after="0" w:line="240" w:lineRule="auto"/>
        <w:ind w:left="851" w:right="851" w:firstLine="709"/>
        <w:jc w:val="both"/>
        <w:rPr>
          <w:rFonts w:ascii="Times New Roman" w:eastAsia="Arial" w:hAnsi="Times New Roman" w:cs="Times New Roman"/>
          <w:spacing w:val="-3"/>
          <w:sz w:val="26"/>
          <w:szCs w:val="26"/>
        </w:rPr>
      </w:pPr>
    </w:p>
    <w:p w14:paraId="79F9C794" w14:textId="77777777" w:rsidR="00083CA4" w:rsidRPr="002A7673" w:rsidRDefault="00083CA4" w:rsidP="005F7139">
      <w:pPr>
        <w:keepNext/>
        <w:keepLines/>
        <w:numPr>
          <w:ilvl w:val="1"/>
          <w:numId w:val="7"/>
        </w:numPr>
        <w:shd w:val="clear" w:color="auto" w:fill="F2F2F2"/>
        <w:spacing w:after="0" w:line="240" w:lineRule="auto"/>
        <w:ind w:left="851" w:right="851" w:firstLine="709"/>
        <w:outlineLvl w:val="1"/>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b/>
          <w:bCs/>
          <w:i/>
          <w:iCs/>
          <w:color w:val="1F4E79"/>
          <w:sz w:val="26"/>
          <w:szCs w:val="26"/>
          <w:shd w:val="clear" w:color="auto" w:fill="F2F2F2"/>
          <w:lang w:val="es-ES" w:eastAsia="es-ES"/>
        </w:rPr>
        <w:t>Subpartida 1.08.05 Mantenimiento y Reparación de Equipo de Transporte</w:t>
      </w:r>
    </w:p>
    <w:p w14:paraId="7E6A6735" w14:textId="77777777" w:rsidR="00083CA4" w:rsidRPr="002A7673" w:rsidRDefault="00083CA4" w:rsidP="005F7139">
      <w:pPr>
        <w:spacing w:after="0" w:line="240" w:lineRule="auto"/>
        <w:ind w:left="851" w:right="851" w:firstLine="709"/>
        <w:rPr>
          <w:rFonts w:ascii="Times New Roman" w:eastAsia="Times New Roman" w:hAnsi="Times New Roman" w:cs="Times New Roman"/>
          <w:b/>
          <w:bCs/>
          <w:sz w:val="26"/>
          <w:szCs w:val="26"/>
        </w:rPr>
      </w:pPr>
    </w:p>
    <w:p w14:paraId="53065291"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4"/>
        </w:rPr>
      </w:pPr>
      <w:r w:rsidRPr="002A7673">
        <w:rPr>
          <w:rFonts w:ascii="Times New Roman" w:eastAsia="Calibri" w:hAnsi="Times New Roman" w:cs="Times New Roman"/>
          <w:bCs/>
          <w:sz w:val="26"/>
          <w:szCs w:val="26"/>
        </w:rPr>
        <w:t xml:space="preserve">En esta Subpartida se </w:t>
      </w:r>
      <w:proofErr w:type="gramStart"/>
      <w:r w:rsidRPr="002A7673">
        <w:rPr>
          <w:rFonts w:ascii="Times New Roman" w:eastAsia="Calibri" w:hAnsi="Times New Roman" w:cs="Times New Roman"/>
          <w:bCs/>
          <w:sz w:val="26"/>
          <w:szCs w:val="26"/>
        </w:rPr>
        <w:t>incluyen  los</w:t>
      </w:r>
      <w:proofErr w:type="gramEnd"/>
      <w:r w:rsidRPr="002A7673">
        <w:rPr>
          <w:rFonts w:ascii="Times New Roman" w:eastAsia="Calibri" w:hAnsi="Times New Roman" w:cs="Times New Roman"/>
          <w:bCs/>
          <w:sz w:val="26"/>
          <w:szCs w:val="26"/>
        </w:rPr>
        <w:t xml:space="preserve"> gastos por mantenimiento y reparaciones preventivas y habituales de toda clase de equipo de transporte, </w:t>
      </w:r>
      <w:r w:rsidRPr="002A7673">
        <w:rPr>
          <w:rFonts w:ascii="Times New Roman" w:eastAsia="Calibri" w:hAnsi="Times New Roman" w:cs="Times New Roman"/>
          <w:bCs/>
          <w:sz w:val="26"/>
          <w:szCs w:val="26"/>
        </w:rPr>
        <w:lastRenderedPageBreak/>
        <w:t xml:space="preserve">tracción y elevación, tales como automóviles, motocicletas, </w:t>
      </w:r>
      <w:proofErr w:type="spellStart"/>
      <w:r w:rsidRPr="002A7673">
        <w:rPr>
          <w:rFonts w:ascii="Times New Roman" w:eastAsia="Calibri" w:hAnsi="Times New Roman" w:cs="Times New Roman"/>
          <w:bCs/>
          <w:sz w:val="24"/>
        </w:rPr>
        <w:t>cuadraciclos</w:t>
      </w:r>
      <w:proofErr w:type="spellEnd"/>
      <w:r w:rsidRPr="002A7673">
        <w:rPr>
          <w:rFonts w:ascii="Times New Roman" w:eastAsia="Calibri" w:hAnsi="Times New Roman" w:cs="Times New Roman"/>
          <w:bCs/>
          <w:sz w:val="24"/>
        </w:rPr>
        <w:t xml:space="preserve">, bicicletas y cualquier otro equipo de naturaleza similar. </w:t>
      </w:r>
    </w:p>
    <w:p w14:paraId="349A5753" w14:textId="77777777" w:rsidR="00083CA4" w:rsidRPr="002A7673" w:rsidRDefault="00083CA4" w:rsidP="005F7139">
      <w:pPr>
        <w:spacing w:after="0" w:line="240" w:lineRule="auto"/>
        <w:rPr>
          <w:rFonts w:ascii="Times New Roman" w:eastAsia="Calibri" w:hAnsi="Times New Roman" w:cs="Times New Roman"/>
        </w:rPr>
      </w:pPr>
    </w:p>
    <w:p w14:paraId="2014CC0B"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Calibri" w:hAnsi="Times New Roman" w:cs="Times New Roman"/>
          <w:b/>
          <w:sz w:val="26"/>
          <w:szCs w:val="26"/>
        </w:rPr>
        <w:t xml:space="preserve">Figura N° </w:t>
      </w:r>
      <w:r w:rsidRPr="002A7673">
        <w:rPr>
          <w:rFonts w:ascii="Times New Roman" w:eastAsia="Times New Roman" w:hAnsi="Times New Roman" w:cs="Times New Roman"/>
          <w:b/>
          <w:bCs/>
          <w:sz w:val="26"/>
          <w:szCs w:val="26"/>
        </w:rPr>
        <w:t xml:space="preserve">2. </w:t>
      </w:r>
    </w:p>
    <w:p w14:paraId="58E48102"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 xml:space="preserve">Detalle del comportamiento histórico Subpartida 10805 Mantenimiento y Reparación de Equipos de Transporte </w:t>
      </w:r>
    </w:p>
    <w:p w14:paraId="513620B6"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2018 – 2022</w:t>
      </w:r>
    </w:p>
    <w:p w14:paraId="2491D10B"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090D4E31"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r w:rsidRPr="002A7673">
        <w:rPr>
          <w:rFonts w:ascii="Times New Roman" w:eastAsia="Calibri" w:hAnsi="Times New Roman" w:cs="Times New Roman"/>
          <w:noProof/>
          <w:lang w:eastAsia="es-CR"/>
        </w:rPr>
        <w:drawing>
          <wp:inline distT="0" distB="0" distL="0" distR="0" wp14:anchorId="2E4B06F1" wp14:editId="0F5615F5">
            <wp:extent cx="5612130" cy="850900"/>
            <wp:effectExtent l="0" t="0" r="762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850900"/>
                    </a:xfrm>
                    <a:prstGeom prst="rect">
                      <a:avLst/>
                    </a:prstGeom>
                    <a:noFill/>
                    <a:ln>
                      <a:noFill/>
                    </a:ln>
                  </pic:spPr>
                </pic:pic>
              </a:graphicData>
            </a:graphic>
          </wp:inline>
        </w:drawing>
      </w:r>
    </w:p>
    <w:p w14:paraId="5E7D744F" w14:textId="77777777" w:rsidR="00083CA4" w:rsidRPr="002A7673" w:rsidRDefault="00083CA4" w:rsidP="005F7139">
      <w:pPr>
        <w:spacing w:after="0" w:line="240" w:lineRule="auto"/>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Fuente: SIGA PJ</w:t>
      </w:r>
    </w:p>
    <w:p w14:paraId="0DE3D19F" w14:textId="77777777" w:rsidR="005F7139" w:rsidRPr="002A7673" w:rsidRDefault="005F7139" w:rsidP="005F7139">
      <w:pPr>
        <w:spacing w:after="0" w:line="360" w:lineRule="auto"/>
        <w:ind w:firstLine="360"/>
        <w:jc w:val="both"/>
        <w:rPr>
          <w:rFonts w:ascii="Times New Roman" w:eastAsia="Calibri" w:hAnsi="Times New Roman" w:cs="Times New Roman"/>
          <w:bCs/>
          <w:sz w:val="24"/>
        </w:rPr>
      </w:pPr>
    </w:p>
    <w:p w14:paraId="77ED68D8"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 xml:space="preserve">Es importante señalar que para el 2021 se habían formulado inicialmente ¢489.325.800 y debido a las solicitudes de recortes por parte del Ministerio de Hacienda se rebajaron ¢9.786.517. </w:t>
      </w:r>
    </w:p>
    <w:p w14:paraId="69DC2D7D" w14:textId="77777777" w:rsidR="00083CA4" w:rsidRPr="002A7673" w:rsidRDefault="00083CA4" w:rsidP="005F7139">
      <w:pPr>
        <w:spacing w:after="0" w:line="240" w:lineRule="auto"/>
        <w:ind w:left="851" w:right="851" w:firstLine="709"/>
        <w:rPr>
          <w:rFonts w:ascii="Times New Roman" w:eastAsia="Calibri" w:hAnsi="Times New Roman" w:cs="Times New Roman"/>
          <w:sz w:val="26"/>
          <w:szCs w:val="26"/>
        </w:rPr>
      </w:pPr>
    </w:p>
    <w:p w14:paraId="3EC9FA8A"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La formulación de recursos en esta subpartida busca brindar de manera oportuna el mantenimiento de la flotilla vehicular del Poder Judicial. </w:t>
      </w:r>
    </w:p>
    <w:p w14:paraId="659D49B6"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p>
    <w:p w14:paraId="5E21B331"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Para el 2022, en esta subpartida se formuló un monto muy similar al monto </w:t>
      </w:r>
      <w:proofErr w:type="gramStart"/>
      <w:r w:rsidRPr="002A7673">
        <w:rPr>
          <w:rFonts w:ascii="Times New Roman" w:eastAsia="Times New Roman" w:hAnsi="Times New Roman" w:cs="Times New Roman"/>
          <w:sz w:val="26"/>
          <w:szCs w:val="26"/>
          <w:lang w:val="es-ES" w:eastAsia="es-ES"/>
        </w:rPr>
        <w:t>aprobado  para</w:t>
      </w:r>
      <w:proofErr w:type="gramEnd"/>
      <w:r w:rsidRPr="002A7673">
        <w:rPr>
          <w:rFonts w:ascii="Times New Roman" w:eastAsia="Times New Roman" w:hAnsi="Times New Roman" w:cs="Times New Roman"/>
          <w:sz w:val="26"/>
          <w:szCs w:val="26"/>
          <w:lang w:val="es-ES" w:eastAsia="es-ES"/>
        </w:rPr>
        <w:t xml:space="preserve"> el 2021; aumenta 1.242.065, para un 0.26%. </w:t>
      </w:r>
    </w:p>
    <w:p w14:paraId="4DE4441A"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p>
    <w:p w14:paraId="49158976"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La subpartida a nivel de directrices de formulación no tiene una restricción específica de crecimiento, importante indicar que, esta subpartida en el proceso de revisión del Anteproyecto de Presupuesto 2021 por parte </w:t>
      </w:r>
      <w:proofErr w:type="gramStart"/>
      <w:r w:rsidRPr="002A7673">
        <w:rPr>
          <w:rFonts w:ascii="Times New Roman" w:eastAsia="Times New Roman" w:hAnsi="Times New Roman" w:cs="Times New Roman"/>
          <w:sz w:val="26"/>
          <w:szCs w:val="26"/>
          <w:lang w:val="es-ES" w:eastAsia="es-ES"/>
        </w:rPr>
        <w:t>del  Ministerio</w:t>
      </w:r>
      <w:proofErr w:type="gramEnd"/>
      <w:r w:rsidRPr="002A7673">
        <w:rPr>
          <w:rFonts w:ascii="Times New Roman" w:eastAsia="Times New Roman" w:hAnsi="Times New Roman" w:cs="Times New Roman"/>
          <w:sz w:val="26"/>
          <w:szCs w:val="26"/>
          <w:lang w:val="es-ES" w:eastAsia="es-ES"/>
        </w:rPr>
        <w:t xml:space="preserve"> de Hacienda se le hizo un rebajo de ¢84.072.350, ya que el monto original aprobado por Corte Plena fue de ¢563.611.633. </w:t>
      </w:r>
    </w:p>
    <w:p w14:paraId="5A4762E9"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p>
    <w:p w14:paraId="7FAA65D3"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A continuación, se muestra el gráfico correspondiente a los montos formulados y ejecutados dentro del periodos 2018-2020 y los recursos aprobados para el 2021 y formulado 2022.</w:t>
      </w:r>
    </w:p>
    <w:p w14:paraId="4711400B" w14:textId="77777777" w:rsidR="00083CA4" w:rsidRPr="002A7673" w:rsidRDefault="00083CA4" w:rsidP="005F7139">
      <w:pPr>
        <w:spacing w:after="0" w:line="240" w:lineRule="auto"/>
        <w:ind w:left="851" w:right="851" w:firstLine="709"/>
        <w:rPr>
          <w:rFonts w:ascii="Times New Roman" w:eastAsia="Times New Roman" w:hAnsi="Times New Roman" w:cs="Times New Roman"/>
          <w:sz w:val="26"/>
          <w:szCs w:val="26"/>
          <w:lang w:val="es-ES" w:eastAsia="es-ES"/>
        </w:rPr>
      </w:pPr>
    </w:p>
    <w:p w14:paraId="7BD2D184"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 xml:space="preserve">Figura N° 3. </w:t>
      </w:r>
    </w:p>
    <w:p w14:paraId="61BCA7E4"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p>
    <w:p w14:paraId="1D81C83F"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Subpartida 10805 Mantenimiento y Reparación de Equipos de Transporte</w:t>
      </w:r>
    </w:p>
    <w:p w14:paraId="16EBDA60"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Formulación y Ejecución Periodos 2018 - 2021</w:t>
      </w:r>
    </w:p>
    <w:p w14:paraId="71256545" w14:textId="77777777" w:rsidR="00083CA4" w:rsidRPr="002A7673" w:rsidRDefault="00083CA4" w:rsidP="005F7139">
      <w:pPr>
        <w:spacing w:after="0" w:line="240" w:lineRule="auto"/>
        <w:jc w:val="center"/>
        <w:rPr>
          <w:rFonts w:ascii="Times New Roman" w:eastAsia="Calibri" w:hAnsi="Times New Roman" w:cs="Times New Roman"/>
          <w:noProof/>
        </w:rPr>
      </w:pPr>
    </w:p>
    <w:p w14:paraId="42AB0473" w14:textId="77777777" w:rsidR="00083CA4" w:rsidRPr="002A7673" w:rsidRDefault="00083CA4" w:rsidP="005F7139">
      <w:pPr>
        <w:spacing w:after="0" w:line="240" w:lineRule="auto"/>
        <w:jc w:val="center"/>
        <w:rPr>
          <w:rFonts w:ascii="Times New Roman" w:eastAsia="Calibri" w:hAnsi="Times New Roman" w:cs="Times New Roman"/>
          <w:noProof/>
        </w:rPr>
      </w:pPr>
      <w:r w:rsidRPr="002A7673">
        <w:rPr>
          <w:rFonts w:ascii="Times New Roman" w:eastAsia="Calibri" w:hAnsi="Times New Roman" w:cs="Times New Roman"/>
          <w:noProof/>
          <w:lang w:eastAsia="es-CR"/>
        </w:rPr>
        <w:lastRenderedPageBreak/>
        <w:drawing>
          <wp:inline distT="0" distB="0" distL="0" distR="0" wp14:anchorId="749519A3" wp14:editId="170586EA">
            <wp:extent cx="4508340" cy="1302385"/>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15374" cy="1304417"/>
                    </a:xfrm>
                    <a:prstGeom prst="rect">
                      <a:avLst/>
                    </a:prstGeom>
                    <a:noFill/>
                    <a:ln>
                      <a:noFill/>
                    </a:ln>
                  </pic:spPr>
                </pic:pic>
              </a:graphicData>
            </a:graphic>
          </wp:inline>
        </w:drawing>
      </w:r>
    </w:p>
    <w:p w14:paraId="35D67756" w14:textId="77777777" w:rsidR="00083CA4" w:rsidRPr="002A7673" w:rsidRDefault="00083CA4" w:rsidP="005F7139">
      <w:pPr>
        <w:spacing w:after="0" w:line="240" w:lineRule="auto"/>
        <w:jc w:val="center"/>
        <w:rPr>
          <w:rFonts w:ascii="Times New Roman" w:eastAsia="Calibri" w:hAnsi="Times New Roman" w:cs="Times New Roman"/>
          <w:noProof/>
        </w:rPr>
      </w:pPr>
    </w:p>
    <w:p w14:paraId="7FACE39F" w14:textId="77777777" w:rsidR="00083CA4" w:rsidRPr="002A7673" w:rsidRDefault="00083CA4" w:rsidP="005F7139">
      <w:pPr>
        <w:spacing w:after="0" w:line="240" w:lineRule="auto"/>
        <w:jc w:val="center"/>
        <w:rPr>
          <w:rFonts w:ascii="Times New Roman" w:eastAsia="Calibri" w:hAnsi="Times New Roman" w:cs="Times New Roman"/>
          <w:noProof/>
        </w:rPr>
      </w:pPr>
    </w:p>
    <w:p w14:paraId="26A5529C" w14:textId="77777777" w:rsidR="00083CA4" w:rsidRPr="002A7673" w:rsidRDefault="00083CA4" w:rsidP="005F7139">
      <w:pPr>
        <w:spacing w:after="0" w:line="240" w:lineRule="auto"/>
        <w:jc w:val="center"/>
        <w:rPr>
          <w:rFonts w:ascii="Times New Roman" w:eastAsia="Calibri" w:hAnsi="Times New Roman" w:cs="Times New Roman"/>
          <w:noProof/>
        </w:rPr>
      </w:pPr>
    </w:p>
    <w:p w14:paraId="2F5EEA4A" w14:textId="77777777" w:rsidR="00083CA4" w:rsidRPr="002A7673" w:rsidRDefault="00083CA4" w:rsidP="005F7139">
      <w:pPr>
        <w:spacing w:after="0" w:line="240" w:lineRule="auto"/>
        <w:jc w:val="center"/>
        <w:rPr>
          <w:rFonts w:ascii="Times New Roman" w:eastAsia="Times New Roman" w:hAnsi="Times New Roman" w:cs="Times New Roman"/>
          <w:sz w:val="24"/>
          <w:szCs w:val="24"/>
          <w:lang w:eastAsia="es-CR"/>
        </w:rPr>
      </w:pPr>
      <w:r w:rsidRPr="002A7673">
        <w:rPr>
          <w:rFonts w:ascii="Times New Roman" w:eastAsia="Calibri" w:hAnsi="Times New Roman" w:cs="Times New Roman"/>
          <w:noProof/>
          <w:lang w:eastAsia="es-CR"/>
        </w:rPr>
        <w:drawing>
          <wp:inline distT="0" distB="0" distL="0" distR="0" wp14:anchorId="4A158CDC" wp14:editId="37C9A332">
            <wp:extent cx="5612130" cy="2743835"/>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pic:cNvPicPr/>
                  </pic:nvPicPr>
                  <pic:blipFill>
                    <a:blip r:embed="rId11">
                      <a:extLst>
                        <a:ext uri="{28A0092B-C50C-407E-A947-70E740481C1C}">
                          <a14:useLocalDpi xmlns:a14="http://schemas.microsoft.com/office/drawing/2010/main" val="0"/>
                        </a:ext>
                      </a:extLst>
                    </a:blip>
                    <a:stretch>
                      <a:fillRect/>
                    </a:stretch>
                  </pic:blipFill>
                  <pic:spPr>
                    <a:xfrm>
                      <a:off x="0" y="0"/>
                      <a:ext cx="5612130" cy="2743835"/>
                    </a:xfrm>
                    <a:prstGeom prst="rect">
                      <a:avLst/>
                    </a:prstGeom>
                  </pic:spPr>
                </pic:pic>
              </a:graphicData>
            </a:graphic>
          </wp:inline>
        </w:drawing>
      </w:r>
    </w:p>
    <w:p w14:paraId="674ED486" w14:textId="77777777" w:rsidR="00083CA4" w:rsidRPr="002A7673" w:rsidRDefault="00083CA4" w:rsidP="005F7139">
      <w:pPr>
        <w:spacing w:after="0" w:line="240" w:lineRule="auto"/>
        <w:jc w:val="both"/>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 xml:space="preserve">                      Fuente: SIGA PJ</w:t>
      </w:r>
    </w:p>
    <w:p w14:paraId="563C08FF" w14:textId="77777777" w:rsidR="00083CA4" w:rsidRPr="002A7673" w:rsidRDefault="00083CA4" w:rsidP="005F7139">
      <w:pPr>
        <w:spacing w:after="0" w:line="240" w:lineRule="auto"/>
        <w:jc w:val="both"/>
        <w:rPr>
          <w:rFonts w:ascii="Times New Roman" w:eastAsia="Calibri" w:hAnsi="Times New Roman" w:cs="Times New Roman"/>
          <w:bCs/>
          <w:sz w:val="16"/>
          <w:szCs w:val="16"/>
        </w:rPr>
      </w:pPr>
    </w:p>
    <w:p w14:paraId="58320330"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En el gráfico supra, se observa que la ejecución en los períodos del 2018 al 2020, se encuentra entre un 73 y 76%, cifra muy por debajo del 90%, porcentaje considerado como aceptable para el Ministerio de Hacienda, en cuanto a ejecución se refiere.   </w:t>
      </w:r>
    </w:p>
    <w:p w14:paraId="11B13F80" w14:textId="77777777" w:rsidR="005F7139" w:rsidRPr="002A7673" w:rsidRDefault="005F7139" w:rsidP="005F7139">
      <w:pPr>
        <w:spacing w:after="0" w:line="240" w:lineRule="auto"/>
        <w:ind w:left="851" w:right="851" w:firstLine="709"/>
        <w:jc w:val="both"/>
        <w:rPr>
          <w:rFonts w:ascii="Times New Roman" w:eastAsia="Times New Roman" w:hAnsi="Times New Roman" w:cs="Times New Roman"/>
          <w:sz w:val="26"/>
          <w:szCs w:val="26"/>
          <w:lang w:val="es-ES" w:eastAsia="es-ES"/>
        </w:rPr>
      </w:pPr>
    </w:p>
    <w:p w14:paraId="57DDDD07"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En consulta realizada a los Centros de Responsabilidad coinciden en </w:t>
      </w:r>
      <w:proofErr w:type="gramStart"/>
      <w:r w:rsidRPr="002A7673">
        <w:rPr>
          <w:rFonts w:ascii="Times New Roman" w:eastAsia="Times New Roman" w:hAnsi="Times New Roman" w:cs="Times New Roman"/>
          <w:sz w:val="26"/>
          <w:szCs w:val="26"/>
          <w:lang w:val="es-ES" w:eastAsia="es-ES"/>
        </w:rPr>
        <w:t>que  la</w:t>
      </w:r>
      <w:proofErr w:type="gramEnd"/>
      <w:r w:rsidRPr="002A7673">
        <w:rPr>
          <w:rFonts w:ascii="Times New Roman" w:eastAsia="Times New Roman" w:hAnsi="Times New Roman" w:cs="Times New Roman"/>
          <w:sz w:val="26"/>
          <w:szCs w:val="26"/>
          <w:lang w:val="es-ES" w:eastAsia="es-ES"/>
        </w:rPr>
        <w:t xml:space="preserve"> mayor parte de los recursos de esta subpartida se consumen en el mantenimiento de los vehículos por  kilometraje y por periodos. Para el 2020 se dio una subejecución de los recursos debido a la pandemia del </w:t>
      </w:r>
      <w:proofErr w:type="gramStart"/>
      <w:r w:rsidRPr="002A7673">
        <w:rPr>
          <w:rFonts w:ascii="Times New Roman" w:eastAsia="Times New Roman" w:hAnsi="Times New Roman" w:cs="Times New Roman"/>
          <w:sz w:val="26"/>
          <w:szCs w:val="26"/>
          <w:lang w:val="es-ES" w:eastAsia="es-ES"/>
        </w:rPr>
        <w:t>COVID  que</w:t>
      </w:r>
      <w:proofErr w:type="gramEnd"/>
      <w:r w:rsidRPr="002A7673">
        <w:rPr>
          <w:rFonts w:ascii="Times New Roman" w:eastAsia="Times New Roman" w:hAnsi="Times New Roman" w:cs="Times New Roman"/>
          <w:sz w:val="26"/>
          <w:szCs w:val="26"/>
          <w:lang w:val="es-ES" w:eastAsia="es-ES"/>
        </w:rPr>
        <w:t xml:space="preserve"> varió la modalidad de trabajo, provocado la cancelación de giras y reuniones programadas y, por ende, los mantenimientos de los vehículos por kilometraje. </w:t>
      </w:r>
    </w:p>
    <w:p w14:paraId="757532FA" w14:textId="77777777" w:rsidR="005F7139" w:rsidRPr="002A7673" w:rsidRDefault="005F7139" w:rsidP="005F7139">
      <w:pPr>
        <w:spacing w:after="0" w:line="240" w:lineRule="auto"/>
        <w:ind w:left="851" w:right="851" w:firstLine="709"/>
        <w:jc w:val="both"/>
        <w:rPr>
          <w:rFonts w:ascii="Times New Roman" w:eastAsia="Times New Roman" w:hAnsi="Times New Roman" w:cs="Times New Roman"/>
          <w:sz w:val="26"/>
          <w:szCs w:val="26"/>
          <w:lang w:val="es-ES" w:eastAsia="es-ES"/>
        </w:rPr>
      </w:pPr>
    </w:p>
    <w:p w14:paraId="2C318E11"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Es importante indicar que, hay vehículos a los cuales en un período normal de trabajo se les debe realizar hasta 3 mantenimientos al año, debido </w:t>
      </w:r>
      <w:r w:rsidRPr="002A7673">
        <w:rPr>
          <w:rFonts w:ascii="Times New Roman" w:eastAsia="Times New Roman" w:hAnsi="Times New Roman" w:cs="Times New Roman"/>
          <w:sz w:val="26"/>
          <w:szCs w:val="26"/>
          <w:lang w:val="es-ES" w:eastAsia="es-ES"/>
        </w:rPr>
        <w:lastRenderedPageBreak/>
        <w:t xml:space="preserve">a la cantidad de kilómetros que recorren; sin embargo, para este último año no fue necesario. </w:t>
      </w:r>
    </w:p>
    <w:p w14:paraId="0423F5BA"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729681FC" w14:textId="77777777" w:rsidR="00083CA4" w:rsidRPr="002A7673" w:rsidRDefault="00083CA4" w:rsidP="005F7139">
      <w:pPr>
        <w:keepNext/>
        <w:keepLines/>
        <w:numPr>
          <w:ilvl w:val="2"/>
          <w:numId w:val="7"/>
        </w:numPr>
        <w:spacing w:after="0" w:line="240" w:lineRule="auto"/>
        <w:ind w:left="851" w:right="851" w:firstLine="709"/>
        <w:jc w:val="both"/>
        <w:outlineLvl w:val="2"/>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t>Análisis de la ejecución presupuestaria de la subpartida</w:t>
      </w:r>
    </w:p>
    <w:p w14:paraId="1305A134"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5A05F6B8"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El siguiente cuadro muestra el comportamiento de la ejecución respecto a lo formulado para el período 2018-2020.</w:t>
      </w:r>
    </w:p>
    <w:p w14:paraId="31D6DED7" w14:textId="77777777" w:rsidR="005F7139" w:rsidRPr="002A7673" w:rsidRDefault="005F7139" w:rsidP="005F7139">
      <w:pPr>
        <w:spacing w:after="0" w:line="240" w:lineRule="auto"/>
        <w:ind w:left="851" w:right="851" w:firstLine="709"/>
        <w:jc w:val="both"/>
        <w:rPr>
          <w:rFonts w:ascii="Times New Roman" w:eastAsia="Calibri" w:hAnsi="Times New Roman" w:cs="Times New Roman"/>
          <w:sz w:val="26"/>
          <w:szCs w:val="26"/>
        </w:rPr>
      </w:pPr>
    </w:p>
    <w:p w14:paraId="1B2FAA76" w14:textId="77777777" w:rsidR="00083CA4" w:rsidRPr="002A7673" w:rsidRDefault="00083CA4" w:rsidP="005F7139">
      <w:pPr>
        <w:spacing w:after="0" w:line="36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Figura N° 4.</w:t>
      </w:r>
    </w:p>
    <w:p w14:paraId="0EAB27DE"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Subpartida 10805 Mantenimiento y Reparación de Equipos de Transporte</w:t>
      </w:r>
    </w:p>
    <w:p w14:paraId="57252F90"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Ejecución presupuestaria periodos 2018 -2020</w:t>
      </w:r>
    </w:p>
    <w:p w14:paraId="489E7ED4"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03746ADA"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tbl>
      <w:tblPr>
        <w:tblW w:w="7035" w:type="dxa"/>
        <w:jc w:val="center"/>
        <w:tblCellMar>
          <w:left w:w="70" w:type="dxa"/>
          <w:right w:w="70" w:type="dxa"/>
        </w:tblCellMar>
        <w:tblLook w:val="04A0" w:firstRow="1" w:lastRow="0" w:firstColumn="1" w:lastColumn="0" w:noHBand="0" w:noVBand="1"/>
      </w:tblPr>
      <w:tblGrid>
        <w:gridCol w:w="1557"/>
        <w:gridCol w:w="1973"/>
        <w:gridCol w:w="1999"/>
        <w:gridCol w:w="1506"/>
      </w:tblGrid>
      <w:tr w:rsidR="00083CA4" w:rsidRPr="002A7673" w14:paraId="51FD1044" w14:textId="77777777" w:rsidTr="005F7139">
        <w:trPr>
          <w:trHeight w:val="627"/>
          <w:jc w:val="center"/>
        </w:trPr>
        <w:tc>
          <w:tcPr>
            <w:tcW w:w="1557"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2433ECE3"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 xml:space="preserve">Periodo </w:t>
            </w:r>
          </w:p>
        </w:tc>
        <w:tc>
          <w:tcPr>
            <w:tcW w:w="1973" w:type="dxa"/>
            <w:tcBorders>
              <w:top w:val="single" w:sz="8" w:space="0" w:color="auto"/>
              <w:left w:val="nil"/>
              <w:bottom w:val="single" w:sz="4" w:space="0" w:color="auto"/>
              <w:right w:val="single" w:sz="4" w:space="0" w:color="auto"/>
            </w:tcBorders>
            <w:shd w:val="clear" w:color="auto" w:fill="auto"/>
            <w:vAlign w:val="center"/>
            <w:hideMark/>
          </w:tcPr>
          <w:p w14:paraId="77138313"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Formulado</w:t>
            </w:r>
          </w:p>
        </w:tc>
        <w:tc>
          <w:tcPr>
            <w:tcW w:w="1999" w:type="dxa"/>
            <w:tcBorders>
              <w:top w:val="single" w:sz="8" w:space="0" w:color="auto"/>
              <w:left w:val="nil"/>
              <w:bottom w:val="single" w:sz="4" w:space="0" w:color="auto"/>
              <w:right w:val="single" w:sz="4" w:space="0" w:color="auto"/>
            </w:tcBorders>
            <w:shd w:val="clear" w:color="auto" w:fill="auto"/>
            <w:vAlign w:val="center"/>
            <w:hideMark/>
          </w:tcPr>
          <w:p w14:paraId="42985C19"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Ejecutado</w:t>
            </w:r>
          </w:p>
        </w:tc>
        <w:tc>
          <w:tcPr>
            <w:tcW w:w="1506" w:type="dxa"/>
            <w:tcBorders>
              <w:top w:val="single" w:sz="8" w:space="0" w:color="auto"/>
              <w:left w:val="nil"/>
              <w:bottom w:val="single" w:sz="4" w:space="0" w:color="auto"/>
              <w:right w:val="single" w:sz="8" w:space="0" w:color="auto"/>
            </w:tcBorders>
            <w:shd w:val="clear" w:color="auto" w:fill="auto"/>
            <w:vAlign w:val="center"/>
            <w:hideMark/>
          </w:tcPr>
          <w:p w14:paraId="6A121002"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 Ejecución</w:t>
            </w:r>
          </w:p>
        </w:tc>
      </w:tr>
      <w:tr w:rsidR="00083CA4" w:rsidRPr="002A7673" w14:paraId="72307126" w14:textId="77777777" w:rsidTr="005F7139">
        <w:trPr>
          <w:trHeight w:val="284"/>
          <w:jc w:val="center"/>
        </w:trPr>
        <w:tc>
          <w:tcPr>
            <w:tcW w:w="1557" w:type="dxa"/>
            <w:tcBorders>
              <w:top w:val="nil"/>
              <w:left w:val="single" w:sz="8" w:space="0" w:color="auto"/>
              <w:bottom w:val="single" w:sz="4" w:space="0" w:color="auto"/>
              <w:right w:val="single" w:sz="4" w:space="0" w:color="auto"/>
            </w:tcBorders>
            <w:shd w:val="clear" w:color="auto" w:fill="auto"/>
            <w:noWrap/>
            <w:vAlign w:val="bottom"/>
            <w:hideMark/>
          </w:tcPr>
          <w:p w14:paraId="7465DDFC"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2018</w:t>
            </w:r>
          </w:p>
        </w:tc>
        <w:tc>
          <w:tcPr>
            <w:tcW w:w="1973" w:type="dxa"/>
            <w:tcBorders>
              <w:top w:val="nil"/>
              <w:left w:val="nil"/>
              <w:bottom w:val="single" w:sz="4" w:space="0" w:color="auto"/>
              <w:right w:val="single" w:sz="4" w:space="0" w:color="auto"/>
            </w:tcBorders>
            <w:shd w:val="clear" w:color="auto" w:fill="auto"/>
            <w:noWrap/>
            <w:vAlign w:val="bottom"/>
            <w:hideMark/>
          </w:tcPr>
          <w:p w14:paraId="03021239"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597 205 961</w:t>
            </w:r>
          </w:p>
        </w:tc>
        <w:tc>
          <w:tcPr>
            <w:tcW w:w="1999" w:type="dxa"/>
            <w:tcBorders>
              <w:top w:val="nil"/>
              <w:left w:val="nil"/>
              <w:bottom w:val="single" w:sz="4" w:space="0" w:color="auto"/>
              <w:right w:val="single" w:sz="4" w:space="0" w:color="auto"/>
            </w:tcBorders>
            <w:shd w:val="clear" w:color="auto" w:fill="auto"/>
            <w:noWrap/>
            <w:vAlign w:val="bottom"/>
            <w:hideMark/>
          </w:tcPr>
          <w:p w14:paraId="0181C9FC"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438 218 611</w:t>
            </w:r>
          </w:p>
        </w:tc>
        <w:tc>
          <w:tcPr>
            <w:tcW w:w="1506" w:type="dxa"/>
            <w:tcBorders>
              <w:top w:val="nil"/>
              <w:left w:val="nil"/>
              <w:bottom w:val="single" w:sz="4" w:space="0" w:color="auto"/>
              <w:right w:val="single" w:sz="8" w:space="0" w:color="auto"/>
            </w:tcBorders>
            <w:shd w:val="clear" w:color="auto" w:fill="auto"/>
            <w:vAlign w:val="center"/>
            <w:hideMark/>
          </w:tcPr>
          <w:p w14:paraId="6B2E81A4"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73,38%</w:t>
            </w:r>
          </w:p>
        </w:tc>
      </w:tr>
      <w:tr w:rsidR="00083CA4" w:rsidRPr="002A7673" w14:paraId="2EFE703F" w14:textId="77777777" w:rsidTr="005F7139">
        <w:trPr>
          <w:trHeight w:val="284"/>
          <w:jc w:val="center"/>
        </w:trPr>
        <w:tc>
          <w:tcPr>
            <w:tcW w:w="1557" w:type="dxa"/>
            <w:tcBorders>
              <w:top w:val="nil"/>
              <w:left w:val="single" w:sz="8" w:space="0" w:color="auto"/>
              <w:bottom w:val="single" w:sz="4" w:space="0" w:color="auto"/>
              <w:right w:val="single" w:sz="4" w:space="0" w:color="auto"/>
            </w:tcBorders>
            <w:shd w:val="clear" w:color="auto" w:fill="auto"/>
            <w:noWrap/>
            <w:vAlign w:val="bottom"/>
            <w:hideMark/>
          </w:tcPr>
          <w:p w14:paraId="4771A049"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2019</w:t>
            </w:r>
          </w:p>
        </w:tc>
        <w:tc>
          <w:tcPr>
            <w:tcW w:w="1973" w:type="dxa"/>
            <w:tcBorders>
              <w:top w:val="nil"/>
              <w:left w:val="nil"/>
              <w:bottom w:val="single" w:sz="4" w:space="0" w:color="auto"/>
              <w:right w:val="single" w:sz="4" w:space="0" w:color="auto"/>
            </w:tcBorders>
            <w:shd w:val="clear" w:color="auto" w:fill="auto"/>
            <w:noWrap/>
            <w:vAlign w:val="bottom"/>
            <w:hideMark/>
          </w:tcPr>
          <w:p w14:paraId="6D1EF67F"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561 687 602</w:t>
            </w:r>
          </w:p>
        </w:tc>
        <w:tc>
          <w:tcPr>
            <w:tcW w:w="1999" w:type="dxa"/>
            <w:tcBorders>
              <w:top w:val="nil"/>
              <w:left w:val="nil"/>
              <w:bottom w:val="single" w:sz="4" w:space="0" w:color="auto"/>
              <w:right w:val="single" w:sz="4" w:space="0" w:color="auto"/>
            </w:tcBorders>
            <w:shd w:val="clear" w:color="auto" w:fill="auto"/>
            <w:noWrap/>
            <w:vAlign w:val="bottom"/>
            <w:hideMark/>
          </w:tcPr>
          <w:p w14:paraId="57E34824"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412 278 016</w:t>
            </w:r>
          </w:p>
        </w:tc>
        <w:tc>
          <w:tcPr>
            <w:tcW w:w="1506" w:type="dxa"/>
            <w:tcBorders>
              <w:top w:val="nil"/>
              <w:left w:val="nil"/>
              <w:bottom w:val="single" w:sz="4" w:space="0" w:color="auto"/>
              <w:right w:val="single" w:sz="8" w:space="0" w:color="auto"/>
            </w:tcBorders>
            <w:shd w:val="clear" w:color="auto" w:fill="auto"/>
            <w:noWrap/>
            <w:vAlign w:val="bottom"/>
            <w:hideMark/>
          </w:tcPr>
          <w:p w14:paraId="45537D65"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73,40%</w:t>
            </w:r>
          </w:p>
        </w:tc>
      </w:tr>
      <w:tr w:rsidR="00083CA4" w:rsidRPr="002A7673" w14:paraId="2CFF3389" w14:textId="77777777" w:rsidTr="005F7139">
        <w:trPr>
          <w:trHeight w:val="284"/>
          <w:jc w:val="center"/>
        </w:trPr>
        <w:tc>
          <w:tcPr>
            <w:tcW w:w="1557" w:type="dxa"/>
            <w:tcBorders>
              <w:top w:val="nil"/>
              <w:left w:val="single" w:sz="8" w:space="0" w:color="auto"/>
              <w:bottom w:val="single" w:sz="4" w:space="0" w:color="auto"/>
              <w:right w:val="single" w:sz="4" w:space="0" w:color="auto"/>
            </w:tcBorders>
            <w:shd w:val="clear" w:color="auto" w:fill="auto"/>
            <w:noWrap/>
            <w:vAlign w:val="bottom"/>
            <w:hideMark/>
          </w:tcPr>
          <w:p w14:paraId="7224F195"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2020</w:t>
            </w:r>
          </w:p>
        </w:tc>
        <w:tc>
          <w:tcPr>
            <w:tcW w:w="1973" w:type="dxa"/>
            <w:tcBorders>
              <w:top w:val="nil"/>
              <w:left w:val="nil"/>
              <w:bottom w:val="single" w:sz="4" w:space="0" w:color="auto"/>
              <w:right w:val="single" w:sz="4" w:space="0" w:color="auto"/>
            </w:tcBorders>
            <w:shd w:val="clear" w:color="auto" w:fill="auto"/>
            <w:noWrap/>
            <w:vAlign w:val="bottom"/>
            <w:hideMark/>
          </w:tcPr>
          <w:p w14:paraId="0E54D306"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563 611 633</w:t>
            </w:r>
          </w:p>
        </w:tc>
        <w:tc>
          <w:tcPr>
            <w:tcW w:w="1999" w:type="dxa"/>
            <w:tcBorders>
              <w:top w:val="nil"/>
              <w:left w:val="nil"/>
              <w:bottom w:val="single" w:sz="4" w:space="0" w:color="auto"/>
              <w:right w:val="single" w:sz="4" w:space="0" w:color="auto"/>
            </w:tcBorders>
            <w:shd w:val="clear" w:color="auto" w:fill="auto"/>
            <w:noWrap/>
            <w:vAlign w:val="bottom"/>
            <w:hideMark/>
          </w:tcPr>
          <w:p w14:paraId="67304440"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429 527 578</w:t>
            </w:r>
          </w:p>
        </w:tc>
        <w:tc>
          <w:tcPr>
            <w:tcW w:w="1506" w:type="dxa"/>
            <w:tcBorders>
              <w:top w:val="nil"/>
              <w:left w:val="nil"/>
              <w:bottom w:val="single" w:sz="4" w:space="0" w:color="auto"/>
              <w:right w:val="single" w:sz="8" w:space="0" w:color="auto"/>
            </w:tcBorders>
            <w:shd w:val="clear" w:color="auto" w:fill="auto"/>
            <w:noWrap/>
            <w:vAlign w:val="bottom"/>
            <w:hideMark/>
          </w:tcPr>
          <w:p w14:paraId="41B7387F"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76.21%</w:t>
            </w:r>
          </w:p>
        </w:tc>
      </w:tr>
      <w:tr w:rsidR="00083CA4" w:rsidRPr="002A7673" w14:paraId="03C9BF81" w14:textId="77777777" w:rsidTr="005F7139">
        <w:trPr>
          <w:trHeight w:val="411"/>
          <w:jc w:val="center"/>
        </w:trPr>
        <w:tc>
          <w:tcPr>
            <w:tcW w:w="1557" w:type="dxa"/>
            <w:tcBorders>
              <w:top w:val="nil"/>
              <w:left w:val="single" w:sz="8" w:space="0" w:color="auto"/>
              <w:bottom w:val="single" w:sz="8" w:space="0" w:color="auto"/>
              <w:right w:val="single" w:sz="4" w:space="0" w:color="auto"/>
            </w:tcBorders>
            <w:shd w:val="clear" w:color="auto" w:fill="auto"/>
            <w:noWrap/>
            <w:vAlign w:val="bottom"/>
            <w:hideMark/>
          </w:tcPr>
          <w:p w14:paraId="5568C89D" w14:textId="77777777" w:rsidR="00083CA4" w:rsidRPr="002A7673" w:rsidRDefault="00083CA4" w:rsidP="005F7139">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 xml:space="preserve">Total: </w:t>
            </w:r>
          </w:p>
        </w:tc>
        <w:tc>
          <w:tcPr>
            <w:tcW w:w="1973" w:type="dxa"/>
            <w:tcBorders>
              <w:top w:val="nil"/>
              <w:left w:val="nil"/>
              <w:bottom w:val="single" w:sz="8" w:space="0" w:color="auto"/>
              <w:right w:val="single" w:sz="4" w:space="0" w:color="auto"/>
            </w:tcBorders>
            <w:shd w:val="clear" w:color="auto" w:fill="auto"/>
            <w:noWrap/>
            <w:vAlign w:val="bottom"/>
            <w:hideMark/>
          </w:tcPr>
          <w:p w14:paraId="2FE51191" w14:textId="77777777" w:rsidR="00083CA4" w:rsidRPr="002A7673" w:rsidRDefault="00083CA4" w:rsidP="005F7139">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1 722 505 196</w:t>
            </w:r>
          </w:p>
        </w:tc>
        <w:tc>
          <w:tcPr>
            <w:tcW w:w="1999" w:type="dxa"/>
            <w:tcBorders>
              <w:top w:val="nil"/>
              <w:left w:val="nil"/>
              <w:bottom w:val="single" w:sz="8" w:space="0" w:color="auto"/>
              <w:right w:val="single" w:sz="4" w:space="0" w:color="auto"/>
            </w:tcBorders>
            <w:shd w:val="clear" w:color="auto" w:fill="auto"/>
            <w:noWrap/>
            <w:vAlign w:val="bottom"/>
            <w:hideMark/>
          </w:tcPr>
          <w:p w14:paraId="01DFBC0D" w14:textId="77777777" w:rsidR="00083CA4" w:rsidRPr="002A7673" w:rsidRDefault="00083CA4" w:rsidP="005F7139">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1 280 024 205</w:t>
            </w:r>
          </w:p>
        </w:tc>
        <w:tc>
          <w:tcPr>
            <w:tcW w:w="1506" w:type="dxa"/>
            <w:tcBorders>
              <w:top w:val="nil"/>
              <w:left w:val="nil"/>
              <w:bottom w:val="single" w:sz="4" w:space="0" w:color="auto"/>
              <w:right w:val="single" w:sz="8" w:space="0" w:color="auto"/>
            </w:tcBorders>
            <w:shd w:val="clear" w:color="auto" w:fill="auto"/>
            <w:noWrap/>
            <w:vAlign w:val="bottom"/>
            <w:hideMark/>
          </w:tcPr>
          <w:p w14:paraId="7F3DE010" w14:textId="77777777" w:rsidR="00083CA4" w:rsidRPr="002A7673" w:rsidRDefault="00083CA4" w:rsidP="005F7139">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47.71%</w:t>
            </w:r>
          </w:p>
        </w:tc>
      </w:tr>
    </w:tbl>
    <w:p w14:paraId="6DC45B74"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20F555B2" w14:textId="77777777" w:rsidR="00083CA4" w:rsidRPr="002A7673" w:rsidRDefault="00083CA4" w:rsidP="005F7139">
      <w:pPr>
        <w:spacing w:after="0" w:line="240" w:lineRule="auto"/>
        <w:rPr>
          <w:rFonts w:ascii="Times New Roman" w:eastAsia="Times New Roman" w:hAnsi="Times New Roman" w:cs="Times New Roman"/>
          <w:b/>
          <w:bCs/>
          <w:sz w:val="24"/>
          <w:szCs w:val="24"/>
        </w:rPr>
      </w:pPr>
      <w:r w:rsidRPr="002A7673">
        <w:rPr>
          <w:rFonts w:ascii="Times New Roman" w:eastAsia="Calibri" w:hAnsi="Times New Roman" w:cs="Times New Roman"/>
          <w:bCs/>
          <w:sz w:val="16"/>
          <w:szCs w:val="16"/>
        </w:rPr>
        <w:t xml:space="preserve">                      Fuente: SIGA PJ</w:t>
      </w:r>
    </w:p>
    <w:p w14:paraId="7EE55E82"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p>
    <w:p w14:paraId="4067A10E" w14:textId="77777777" w:rsidR="00083CA4" w:rsidRPr="002A7673" w:rsidRDefault="00083CA4" w:rsidP="005F7139">
      <w:pPr>
        <w:keepNext/>
        <w:keepLines/>
        <w:numPr>
          <w:ilvl w:val="2"/>
          <w:numId w:val="7"/>
        </w:numPr>
        <w:spacing w:after="0" w:line="240" w:lineRule="auto"/>
        <w:ind w:left="851" w:right="851" w:firstLine="709"/>
        <w:outlineLvl w:val="2"/>
        <w:rPr>
          <w:rFonts w:ascii="Times New Roman" w:eastAsia="Times New Roman" w:hAnsi="Times New Roman" w:cs="Times New Roman"/>
          <w:bCs/>
          <w:sz w:val="26"/>
          <w:szCs w:val="26"/>
          <w:lang w:val="es-ES" w:eastAsia="es-ES"/>
        </w:rPr>
      </w:pPr>
      <w:r w:rsidRPr="002A7673">
        <w:rPr>
          <w:rFonts w:ascii="Times New Roman" w:eastAsia="Times New Roman" w:hAnsi="Times New Roman" w:cs="Times New Roman"/>
          <w:b/>
          <w:bCs/>
          <w:sz w:val="26"/>
          <w:szCs w:val="26"/>
          <w:lang w:val="es-ES" w:eastAsia="es-ES"/>
        </w:rPr>
        <w:t>Variación por programa 2020-2021</w:t>
      </w:r>
    </w:p>
    <w:p w14:paraId="629A6B6D"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p>
    <w:p w14:paraId="59183087"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el siguiente cuadro, se puede apreciar la distribución por </w:t>
      </w:r>
      <w:proofErr w:type="gramStart"/>
      <w:r w:rsidRPr="002A7673">
        <w:rPr>
          <w:rFonts w:ascii="Times New Roman" w:eastAsia="Calibri" w:hAnsi="Times New Roman" w:cs="Times New Roman"/>
          <w:sz w:val="26"/>
          <w:szCs w:val="26"/>
        </w:rPr>
        <w:t>programa  de</w:t>
      </w:r>
      <w:proofErr w:type="gramEnd"/>
      <w:r w:rsidRPr="002A7673">
        <w:rPr>
          <w:rFonts w:ascii="Times New Roman" w:eastAsia="Calibri" w:hAnsi="Times New Roman" w:cs="Times New Roman"/>
          <w:sz w:val="26"/>
          <w:szCs w:val="26"/>
        </w:rPr>
        <w:t xml:space="preserve"> los montos formulados y la  variación porcentual para cada uno de los programas presupuestarios. </w:t>
      </w:r>
    </w:p>
    <w:p w14:paraId="100A9585" w14:textId="77777777" w:rsidR="005F7139" w:rsidRPr="002A7673" w:rsidRDefault="005F7139" w:rsidP="005F7139">
      <w:pPr>
        <w:spacing w:after="0" w:line="240" w:lineRule="auto"/>
        <w:ind w:left="851" w:right="851" w:firstLine="709"/>
        <w:jc w:val="both"/>
        <w:rPr>
          <w:rFonts w:ascii="Times New Roman" w:eastAsia="Calibri" w:hAnsi="Times New Roman" w:cs="Times New Roman"/>
          <w:sz w:val="26"/>
          <w:szCs w:val="26"/>
        </w:rPr>
      </w:pPr>
    </w:p>
    <w:p w14:paraId="0116C711" w14:textId="77777777" w:rsidR="00083CA4" w:rsidRPr="002A7673" w:rsidRDefault="00083CA4" w:rsidP="005F7139">
      <w:pPr>
        <w:spacing w:after="0" w:line="240" w:lineRule="auto"/>
        <w:ind w:firstLine="708"/>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Figura N° 5.</w:t>
      </w:r>
    </w:p>
    <w:p w14:paraId="61DF900B"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Formulación Presupuestaria por Programa 2020–2021</w:t>
      </w:r>
    </w:p>
    <w:p w14:paraId="58A5F107"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Subpartida 10805 Mantenimiento y Reparación de Equipos de Transporte</w:t>
      </w:r>
    </w:p>
    <w:p w14:paraId="711C8896"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6EB0C3AC"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tbl>
      <w:tblPr>
        <w:tblW w:w="9855" w:type="dxa"/>
        <w:jc w:val="center"/>
        <w:tblCellMar>
          <w:left w:w="70" w:type="dxa"/>
          <w:right w:w="70" w:type="dxa"/>
        </w:tblCellMar>
        <w:tblLook w:val="04A0" w:firstRow="1" w:lastRow="0" w:firstColumn="1" w:lastColumn="0" w:noHBand="0" w:noVBand="1"/>
      </w:tblPr>
      <w:tblGrid>
        <w:gridCol w:w="4492"/>
        <w:gridCol w:w="1372"/>
        <w:gridCol w:w="1372"/>
        <w:gridCol w:w="1372"/>
        <w:gridCol w:w="1247"/>
      </w:tblGrid>
      <w:tr w:rsidR="00083CA4" w:rsidRPr="002A7673" w14:paraId="153F05D5" w14:textId="77777777" w:rsidTr="005F7139">
        <w:trPr>
          <w:trHeight w:val="243"/>
          <w:jc w:val="center"/>
        </w:trPr>
        <w:tc>
          <w:tcPr>
            <w:tcW w:w="4492" w:type="dxa"/>
            <w:tcBorders>
              <w:top w:val="single" w:sz="8" w:space="0" w:color="1F4E78"/>
              <w:left w:val="nil"/>
              <w:bottom w:val="single" w:sz="8" w:space="0" w:color="1F4E78"/>
              <w:right w:val="nil"/>
            </w:tcBorders>
            <w:shd w:val="clear" w:color="000000" w:fill="F2F2F2"/>
            <w:noWrap/>
            <w:vAlign w:val="center"/>
            <w:hideMark/>
          </w:tcPr>
          <w:p w14:paraId="0E4F8DF5"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Programa</w:t>
            </w:r>
          </w:p>
        </w:tc>
        <w:tc>
          <w:tcPr>
            <w:tcW w:w="1372" w:type="dxa"/>
            <w:tcBorders>
              <w:top w:val="single" w:sz="8" w:space="0" w:color="1F4E78"/>
              <w:left w:val="nil"/>
              <w:bottom w:val="single" w:sz="8" w:space="0" w:color="1F4E78"/>
              <w:right w:val="nil"/>
            </w:tcBorders>
            <w:shd w:val="clear" w:color="000000" w:fill="F2F2F2"/>
            <w:noWrap/>
            <w:vAlign w:val="center"/>
            <w:hideMark/>
          </w:tcPr>
          <w:p w14:paraId="1D0595D8"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2021</w:t>
            </w:r>
          </w:p>
        </w:tc>
        <w:tc>
          <w:tcPr>
            <w:tcW w:w="1372" w:type="dxa"/>
            <w:tcBorders>
              <w:top w:val="single" w:sz="8" w:space="0" w:color="1F4E78"/>
              <w:left w:val="nil"/>
              <w:bottom w:val="single" w:sz="8" w:space="0" w:color="1F4E78"/>
              <w:right w:val="nil"/>
            </w:tcBorders>
            <w:shd w:val="clear" w:color="000000" w:fill="F2F2F2"/>
            <w:noWrap/>
            <w:vAlign w:val="center"/>
            <w:hideMark/>
          </w:tcPr>
          <w:p w14:paraId="7A524EE4"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2022</w:t>
            </w:r>
          </w:p>
        </w:tc>
        <w:tc>
          <w:tcPr>
            <w:tcW w:w="1372" w:type="dxa"/>
            <w:tcBorders>
              <w:top w:val="single" w:sz="8" w:space="0" w:color="1F4E78"/>
              <w:left w:val="nil"/>
              <w:bottom w:val="single" w:sz="8" w:space="0" w:color="1F4E78"/>
              <w:right w:val="nil"/>
            </w:tcBorders>
            <w:shd w:val="clear" w:color="000000" w:fill="F2F2F2"/>
            <w:noWrap/>
            <w:vAlign w:val="center"/>
            <w:hideMark/>
          </w:tcPr>
          <w:p w14:paraId="42A96F59"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Diferencia</w:t>
            </w:r>
          </w:p>
        </w:tc>
        <w:tc>
          <w:tcPr>
            <w:tcW w:w="1247" w:type="dxa"/>
            <w:tcBorders>
              <w:top w:val="single" w:sz="8" w:space="0" w:color="1F4E78"/>
              <w:left w:val="nil"/>
              <w:bottom w:val="single" w:sz="8" w:space="0" w:color="1F4E78"/>
              <w:right w:val="nil"/>
            </w:tcBorders>
            <w:shd w:val="clear" w:color="000000" w:fill="F2F2F2"/>
            <w:noWrap/>
            <w:vAlign w:val="center"/>
            <w:hideMark/>
          </w:tcPr>
          <w:p w14:paraId="7921802C"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 Variación</w:t>
            </w:r>
          </w:p>
        </w:tc>
      </w:tr>
      <w:tr w:rsidR="00083CA4" w:rsidRPr="002A7673" w14:paraId="198404E8" w14:textId="77777777" w:rsidTr="005F7139">
        <w:trPr>
          <w:trHeight w:val="235"/>
          <w:jc w:val="center"/>
        </w:trPr>
        <w:tc>
          <w:tcPr>
            <w:tcW w:w="4492" w:type="dxa"/>
            <w:tcBorders>
              <w:top w:val="nil"/>
              <w:left w:val="nil"/>
              <w:bottom w:val="nil"/>
              <w:right w:val="nil"/>
            </w:tcBorders>
            <w:shd w:val="clear" w:color="auto" w:fill="auto"/>
            <w:noWrap/>
            <w:vAlign w:val="center"/>
            <w:hideMark/>
          </w:tcPr>
          <w:p w14:paraId="2DCF7AF2"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Dirección, Administración y Otros Órganos de Apoyo</w:t>
            </w:r>
          </w:p>
        </w:tc>
        <w:tc>
          <w:tcPr>
            <w:tcW w:w="1372" w:type="dxa"/>
            <w:tcBorders>
              <w:top w:val="nil"/>
              <w:left w:val="nil"/>
              <w:bottom w:val="nil"/>
              <w:right w:val="nil"/>
            </w:tcBorders>
            <w:shd w:val="clear" w:color="auto" w:fill="auto"/>
            <w:noWrap/>
            <w:vAlign w:val="bottom"/>
            <w:hideMark/>
          </w:tcPr>
          <w:p w14:paraId="0BAC6318"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148 023 002 </w:t>
            </w:r>
          </w:p>
        </w:tc>
        <w:tc>
          <w:tcPr>
            <w:tcW w:w="1372" w:type="dxa"/>
            <w:tcBorders>
              <w:top w:val="nil"/>
              <w:left w:val="nil"/>
              <w:bottom w:val="nil"/>
              <w:right w:val="nil"/>
            </w:tcBorders>
            <w:shd w:val="clear" w:color="auto" w:fill="auto"/>
            <w:noWrap/>
            <w:vAlign w:val="bottom"/>
            <w:hideMark/>
          </w:tcPr>
          <w:p w14:paraId="6F6246A3"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139 427 262 </w:t>
            </w:r>
          </w:p>
        </w:tc>
        <w:tc>
          <w:tcPr>
            <w:tcW w:w="1372" w:type="dxa"/>
            <w:tcBorders>
              <w:top w:val="nil"/>
              <w:left w:val="nil"/>
              <w:bottom w:val="nil"/>
              <w:right w:val="nil"/>
            </w:tcBorders>
            <w:shd w:val="clear" w:color="auto" w:fill="auto"/>
            <w:noWrap/>
            <w:vAlign w:val="bottom"/>
            <w:hideMark/>
          </w:tcPr>
          <w:p w14:paraId="283CE0E4"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8 595 740 </w:t>
            </w:r>
          </w:p>
        </w:tc>
        <w:tc>
          <w:tcPr>
            <w:tcW w:w="1247" w:type="dxa"/>
            <w:tcBorders>
              <w:top w:val="nil"/>
              <w:left w:val="nil"/>
              <w:bottom w:val="nil"/>
              <w:right w:val="nil"/>
            </w:tcBorders>
            <w:shd w:val="clear" w:color="000000" w:fill="FFFFFF"/>
            <w:noWrap/>
            <w:vAlign w:val="center"/>
            <w:hideMark/>
          </w:tcPr>
          <w:p w14:paraId="428C401A"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-6%</w:t>
            </w:r>
          </w:p>
        </w:tc>
      </w:tr>
      <w:tr w:rsidR="00083CA4" w:rsidRPr="002A7673" w14:paraId="452391F5" w14:textId="77777777" w:rsidTr="005F7139">
        <w:trPr>
          <w:trHeight w:val="235"/>
          <w:jc w:val="center"/>
        </w:trPr>
        <w:tc>
          <w:tcPr>
            <w:tcW w:w="4492" w:type="dxa"/>
            <w:tcBorders>
              <w:top w:val="nil"/>
              <w:left w:val="nil"/>
              <w:bottom w:val="nil"/>
              <w:right w:val="nil"/>
            </w:tcBorders>
            <w:shd w:val="clear" w:color="auto" w:fill="auto"/>
            <w:noWrap/>
            <w:vAlign w:val="center"/>
            <w:hideMark/>
          </w:tcPr>
          <w:p w14:paraId="78BCFB7D"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Servicio Jurisdiccional</w:t>
            </w:r>
          </w:p>
        </w:tc>
        <w:tc>
          <w:tcPr>
            <w:tcW w:w="1372" w:type="dxa"/>
            <w:tcBorders>
              <w:top w:val="nil"/>
              <w:left w:val="nil"/>
              <w:bottom w:val="nil"/>
              <w:right w:val="nil"/>
            </w:tcBorders>
            <w:shd w:val="clear" w:color="auto" w:fill="auto"/>
            <w:noWrap/>
            <w:vAlign w:val="bottom"/>
            <w:hideMark/>
          </w:tcPr>
          <w:p w14:paraId="0508E7FE"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31 861 442 </w:t>
            </w:r>
          </w:p>
        </w:tc>
        <w:tc>
          <w:tcPr>
            <w:tcW w:w="1372" w:type="dxa"/>
            <w:tcBorders>
              <w:top w:val="nil"/>
              <w:left w:val="nil"/>
              <w:bottom w:val="nil"/>
              <w:right w:val="nil"/>
            </w:tcBorders>
            <w:shd w:val="clear" w:color="auto" w:fill="auto"/>
            <w:noWrap/>
            <w:vAlign w:val="bottom"/>
            <w:hideMark/>
          </w:tcPr>
          <w:p w14:paraId="41B8BF3C"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30 408 188 </w:t>
            </w:r>
          </w:p>
        </w:tc>
        <w:tc>
          <w:tcPr>
            <w:tcW w:w="1372" w:type="dxa"/>
            <w:tcBorders>
              <w:top w:val="nil"/>
              <w:left w:val="nil"/>
              <w:bottom w:val="nil"/>
              <w:right w:val="nil"/>
            </w:tcBorders>
            <w:shd w:val="clear" w:color="auto" w:fill="auto"/>
            <w:noWrap/>
            <w:vAlign w:val="bottom"/>
            <w:hideMark/>
          </w:tcPr>
          <w:p w14:paraId="678D30F8"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1 453 254 </w:t>
            </w:r>
          </w:p>
        </w:tc>
        <w:tc>
          <w:tcPr>
            <w:tcW w:w="1247" w:type="dxa"/>
            <w:tcBorders>
              <w:top w:val="nil"/>
              <w:left w:val="nil"/>
              <w:bottom w:val="nil"/>
              <w:right w:val="nil"/>
            </w:tcBorders>
            <w:shd w:val="clear" w:color="000000" w:fill="FFFFFF"/>
            <w:noWrap/>
            <w:vAlign w:val="center"/>
            <w:hideMark/>
          </w:tcPr>
          <w:p w14:paraId="2E9C8192"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w:t>
            </w:r>
          </w:p>
        </w:tc>
      </w:tr>
      <w:tr w:rsidR="00083CA4" w:rsidRPr="002A7673" w14:paraId="2F69DF46" w14:textId="77777777" w:rsidTr="005F7139">
        <w:trPr>
          <w:trHeight w:val="235"/>
          <w:jc w:val="center"/>
        </w:trPr>
        <w:tc>
          <w:tcPr>
            <w:tcW w:w="4492" w:type="dxa"/>
            <w:tcBorders>
              <w:top w:val="nil"/>
              <w:left w:val="nil"/>
              <w:bottom w:val="nil"/>
              <w:right w:val="nil"/>
            </w:tcBorders>
            <w:shd w:val="clear" w:color="auto" w:fill="auto"/>
            <w:noWrap/>
            <w:vAlign w:val="center"/>
            <w:hideMark/>
          </w:tcPr>
          <w:p w14:paraId="00A34EA2"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Organismo de Investigación Judicial</w:t>
            </w:r>
          </w:p>
        </w:tc>
        <w:tc>
          <w:tcPr>
            <w:tcW w:w="1372" w:type="dxa"/>
            <w:tcBorders>
              <w:top w:val="nil"/>
              <w:left w:val="nil"/>
              <w:bottom w:val="nil"/>
              <w:right w:val="nil"/>
            </w:tcBorders>
            <w:shd w:val="clear" w:color="auto" w:fill="auto"/>
            <w:noWrap/>
            <w:vAlign w:val="bottom"/>
            <w:hideMark/>
          </w:tcPr>
          <w:p w14:paraId="140C3C2D"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255 401 285 </w:t>
            </w:r>
          </w:p>
        </w:tc>
        <w:tc>
          <w:tcPr>
            <w:tcW w:w="1372" w:type="dxa"/>
            <w:tcBorders>
              <w:top w:val="nil"/>
              <w:left w:val="nil"/>
              <w:bottom w:val="nil"/>
              <w:right w:val="nil"/>
            </w:tcBorders>
            <w:shd w:val="clear" w:color="auto" w:fill="auto"/>
            <w:noWrap/>
            <w:vAlign w:val="bottom"/>
            <w:hideMark/>
          </w:tcPr>
          <w:p w14:paraId="346D3AFA"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262 323 844 </w:t>
            </w:r>
          </w:p>
        </w:tc>
        <w:tc>
          <w:tcPr>
            <w:tcW w:w="1372" w:type="dxa"/>
            <w:tcBorders>
              <w:top w:val="nil"/>
              <w:left w:val="nil"/>
              <w:bottom w:val="nil"/>
              <w:right w:val="nil"/>
            </w:tcBorders>
            <w:shd w:val="clear" w:color="auto" w:fill="auto"/>
            <w:noWrap/>
            <w:vAlign w:val="bottom"/>
            <w:hideMark/>
          </w:tcPr>
          <w:p w14:paraId="5D7C69BD"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6 922 559 </w:t>
            </w:r>
          </w:p>
        </w:tc>
        <w:tc>
          <w:tcPr>
            <w:tcW w:w="1247" w:type="dxa"/>
            <w:tcBorders>
              <w:top w:val="nil"/>
              <w:left w:val="nil"/>
              <w:bottom w:val="nil"/>
              <w:right w:val="nil"/>
            </w:tcBorders>
            <w:shd w:val="clear" w:color="000000" w:fill="FFFFFF"/>
            <w:noWrap/>
            <w:vAlign w:val="center"/>
            <w:hideMark/>
          </w:tcPr>
          <w:p w14:paraId="08F162D9"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3%</w:t>
            </w:r>
          </w:p>
        </w:tc>
      </w:tr>
      <w:tr w:rsidR="00083CA4" w:rsidRPr="002A7673" w14:paraId="2C199CAF" w14:textId="77777777" w:rsidTr="005F7139">
        <w:trPr>
          <w:trHeight w:val="235"/>
          <w:jc w:val="center"/>
        </w:trPr>
        <w:tc>
          <w:tcPr>
            <w:tcW w:w="4492" w:type="dxa"/>
            <w:tcBorders>
              <w:top w:val="nil"/>
              <w:left w:val="nil"/>
              <w:bottom w:val="nil"/>
              <w:right w:val="nil"/>
            </w:tcBorders>
            <w:shd w:val="clear" w:color="auto" w:fill="auto"/>
            <w:noWrap/>
            <w:vAlign w:val="center"/>
            <w:hideMark/>
          </w:tcPr>
          <w:p w14:paraId="0BA73C00"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Ministerio Público</w:t>
            </w:r>
          </w:p>
        </w:tc>
        <w:tc>
          <w:tcPr>
            <w:tcW w:w="1372" w:type="dxa"/>
            <w:tcBorders>
              <w:top w:val="nil"/>
              <w:left w:val="nil"/>
              <w:bottom w:val="nil"/>
              <w:right w:val="nil"/>
            </w:tcBorders>
            <w:shd w:val="clear" w:color="auto" w:fill="auto"/>
            <w:noWrap/>
            <w:vAlign w:val="bottom"/>
            <w:hideMark/>
          </w:tcPr>
          <w:p w14:paraId="29B58EFD"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19 284 134 </w:t>
            </w:r>
          </w:p>
        </w:tc>
        <w:tc>
          <w:tcPr>
            <w:tcW w:w="1372" w:type="dxa"/>
            <w:tcBorders>
              <w:top w:val="nil"/>
              <w:left w:val="nil"/>
              <w:bottom w:val="nil"/>
              <w:right w:val="nil"/>
            </w:tcBorders>
            <w:shd w:val="clear" w:color="auto" w:fill="auto"/>
            <w:noWrap/>
            <w:vAlign w:val="bottom"/>
            <w:hideMark/>
          </w:tcPr>
          <w:p w14:paraId="353B4239"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19 602 254 </w:t>
            </w:r>
          </w:p>
        </w:tc>
        <w:tc>
          <w:tcPr>
            <w:tcW w:w="1372" w:type="dxa"/>
            <w:tcBorders>
              <w:top w:val="nil"/>
              <w:left w:val="nil"/>
              <w:bottom w:val="nil"/>
              <w:right w:val="nil"/>
            </w:tcBorders>
            <w:shd w:val="clear" w:color="auto" w:fill="auto"/>
            <w:noWrap/>
            <w:vAlign w:val="bottom"/>
            <w:hideMark/>
          </w:tcPr>
          <w:p w14:paraId="3D685508"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318 120 </w:t>
            </w:r>
          </w:p>
        </w:tc>
        <w:tc>
          <w:tcPr>
            <w:tcW w:w="1247" w:type="dxa"/>
            <w:tcBorders>
              <w:top w:val="nil"/>
              <w:left w:val="nil"/>
              <w:bottom w:val="nil"/>
              <w:right w:val="nil"/>
            </w:tcBorders>
            <w:shd w:val="clear" w:color="000000" w:fill="FFFFFF"/>
            <w:noWrap/>
            <w:vAlign w:val="center"/>
            <w:hideMark/>
          </w:tcPr>
          <w:p w14:paraId="6692E2F4"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w:t>
            </w:r>
          </w:p>
        </w:tc>
      </w:tr>
      <w:tr w:rsidR="00083CA4" w:rsidRPr="002A7673" w14:paraId="590A5A25" w14:textId="77777777" w:rsidTr="005F7139">
        <w:trPr>
          <w:trHeight w:val="235"/>
          <w:jc w:val="center"/>
        </w:trPr>
        <w:tc>
          <w:tcPr>
            <w:tcW w:w="4492" w:type="dxa"/>
            <w:tcBorders>
              <w:top w:val="nil"/>
              <w:left w:val="nil"/>
              <w:bottom w:val="nil"/>
              <w:right w:val="nil"/>
            </w:tcBorders>
            <w:shd w:val="clear" w:color="auto" w:fill="auto"/>
            <w:vAlign w:val="center"/>
            <w:hideMark/>
          </w:tcPr>
          <w:p w14:paraId="6D9CAA95"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Defensa Pública</w:t>
            </w:r>
          </w:p>
        </w:tc>
        <w:tc>
          <w:tcPr>
            <w:tcW w:w="1372" w:type="dxa"/>
            <w:tcBorders>
              <w:top w:val="nil"/>
              <w:left w:val="nil"/>
              <w:bottom w:val="nil"/>
              <w:right w:val="nil"/>
            </w:tcBorders>
            <w:shd w:val="clear" w:color="auto" w:fill="auto"/>
            <w:noWrap/>
            <w:vAlign w:val="bottom"/>
            <w:hideMark/>
          </w:tcPr>
          <w:p w14:paraId="2E48FB22"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5 880 000 </w:t>
            </w:r>
          </w:p>
        </w:tc>
        <w:tc>
          <w:tcPr>
            <w:tcW w:w="1372" w:type="dxa"/>
            <w:tcBorders>
              <w:top w:val="nil"/>
              <w:left w:val="nil"/>
              <w:bottom w:val="nil"/>
              <w:right w:val="nil"/>
            </w:tcBorders>
            <w:shd w:val="clear" w:color="auto" w:fill="auto"/>
            <w:noWrap/>
            <w:vAlign w:val="bottom"/>
            <w:hideMark/>
          </w:tcPr>
          <w:p w14:paraId="40D71B7F"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5 644 800 </w:t>
            </w:r>
          </w:p>
        </w:tc>
        <w:tc>
          <w:tcPr>
            <w:tcW w:w="1372" w:type="dxa"/>
            <w:tcBorders>
              <w:top w:val="nil"/>
              <w:left w:val="nil"/>
              <w:bottom w:val="nil"/>
              <w:right w:val="nil"/>
            </w:tcBorders>
            <w:shd w:val="clear" w:color="auto" w:fill="auto"/>
            <w:noWrap/>
            <w:vAlign w:val="bottom"/>
            <w:hideMark/>
          </w:tcPr>
          <w:p w14:paraId="1746B04E"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235 200 </w:t>
            </w:r>
          </w:p>
        </w:tc>
        <w:tc>
          <w:tcPr>
            <w:tcW w:w="1247" w:type="dxa"/>
            <w:tcBorders>
              <w:top w:val="nil"/>
              <w:left w:val="nil"/>
              <w:bottom w:val="nil"/>
              <w:right w:val="nil"/>
            </w:tcBorders>
            <w:shd w:val="clear" w:color="000000" w:fill="FFFFFF"/>
            <w:noWrap/>
            <w:vAlign w:val="center"/>
            <w:hideMark/>
          </w:tcPr>
          <w:p w14:paraId="0DE659A9"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w:t>
            </w:r>
          </w:p>
        </w:tc>
      </w:tr>
      <w:tr w:rsidR="00083CA4" w:rsidRPr="002A7673" w14:paraId="2F118DE1" w14:textId="77777777" w:rsidTr="005F7139">
        <w:trPr>
          <w:trHeight w:val="382"/>
          <w:jc w:val="center"/>
        </w:trPr>
        <w:tc>
          <w:tcPr>
            <w:tcW w:w="4492" w:type="dxa"/>
            <w:tcBorders>
              <w:top w:val="nil"/>
              <w:left w:val="nil"/>
              <w:bottom w:val="single" w:sz="8" w:space="0" w:color="1F4E78"/>
              <w:right w:val="nil"/>
            </w:tcBorders>
            <w:shd w:val="clear" w:color="auto" w:fill="auto"/>
            <w:vAlign w:val="center"/>
            <w:hideMark/>
          </w:tcPr>
          <w:p w14:paraId="7D312EA8"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Servicio de Atención y Protección de Víctimas y Testigos</w:t>
            </w:r>
          </w:p>
        </w:tc>
        <w:tc>
          <w:tcPr>
            <w:tcW w:w="1372" w:type="dxa"/>
            <w:tcBorders>
              <w:top w:val="nil"/>
              <w:left w:val="nil"/>
              <w:bottom w:val="nil"/>
              <w:right w:val="nil"/>
            </w:tcBorders>
            <w:shd w:val="clear" w:color="auto" w:fill="auto"/>
            <w:noWrap/>
            <w:vAlign w:val="center"/>
            <w:hideMark/>
          </w:tcPr>
          <w:p w14:paraId="62D7CE7A"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19 089 420 </w:t>
            </w:r>
          </w:p>
        </w:tc>
        <w:tc>
          <w:tcPr>
            <w:tcW w:w="1372" w:type="dxa"/>
            <w:tcBorders>
              <w:top w:val="nil"/>
              <w:left w:val="nil"/>
              <w:bottom w:val="nil"/>
              <w:right w:val="nil"/>
            </w:tcBorders>
            <w:shd w:val="clear" w:color="auto" w:fill="auto"/>
            <w:noWrap/>
            <w:vAlign w:val="center"/>
            <w:hideMark/>
          </w:tcPr>
          <w:p w14:paraId="0C190A72"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23 375 000 </w:t>
            </w:r>
          </w:p>
        </w:tc>
        <w:tc>
          <w:tcPr>
            <w:tcW w:w="1372" w:type="dxa"/>
            <w:tcBorders>
              <w:top w:val="nil"/>
              <w:left w:val="nil"/>
              <w:bottom w:val="nil"/>
              <w:right w:val="nil"/>
            </w:tcBorders>
            <w:shd w:val="clear" w:color="auto" w:fill="auto"/>
            <w:noWrap/>
            <w:vAlign w:val="bottom"/>
            <w:hideMark/>
          </w:tcPr>
          <w:p w14:paraId="37B26F03"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4 285 580 </w:t>
            </w:r>
          </w:p>
        </w:tc>
        <w:tc>
          <w:tcPr>
            <w:tcW w:w="1247" w:type="dxa"/>
            <w:tcBorders>
              <w:top w:val="nil"/>
              <w:left w:val="nil"/>
              <w:bottom w:val="nil"/>
              <w:right w:val="nil"/>
            </w:tcBorders>
            <w:shd w:val="clear" w:color="000000" w:fill="FFFFFF"/>
            <w:noWrap/>
            <w:vAlign w:val="center"/>
            <w:hideMark/>
          </w:tcPr>
          <w:p w14:paraId="53599763"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22%</w:t>
            </w:r>
          </w:p>
        </w:tc>
      </w:tr>
      <w:tr w:rsidR="00083CA4" w:rsidRPr="002A7673" w14:paraId="6EF02695" w14:textId="77777777" w:rsidTr="005F7139">
        <w:trPr>
          <w:trHeight w:val="235"/>
          <w:jc w:val="center"/>
        </w:trPr>
        <w:tc>
          <w:tcPr>
            <w:tcW w:w="4492" w:type="dxa"/>
            <w:tcBorders>
              <w:top w:val="nil"/>
              <w:left w:val="nil"/>
              <w:bottom w:val="nil"/>
              <w:right w:val="nil"/>
            </w:tcBorders>
            <w:shd w:val="clear" w:color="000000" w:fill="305496"/>
            <w:noWrap/>
            <w:vAlign w:val="center"/>
            <w:hideMark/>
          </w:tcPr>
          <w:p w14:paraId="4F7CAD34" w14:textId="77777777" w:rsidR="00083CA4" w:rsidRPr="002A7673" w:rsidRDefault="00083CA4" w:rsidP="005F7139">
            <w:pPr>
              <w:spacing w:after="0" w:line="240" w:lineRule="auto"/>
              <w:rPr>
                <w:rFonts w:ascii="Times New Roman" w:eastAsia="Times New Roman" w:hAnsi="Times New Roman" w:cs="Times New Roman"/>
                <w:color w:val="FFFFFF"/>
                <w:lang w:eastAsia="es-CR"/>
              </w:rPr>
            </w:pPr>
            <w:r w:rsidRPr="002A7673">
              <w:rPr>
                <w:rFonts w:ascii="Times New Roman" w:eastAsia="Times New Roman" w:hAnsi="Times New Roman" w:cs="Times New Roman"/>
                <w:color w:val="FFFFFF"/>
                <w:lang w:eastAsia="es-CR"/>
              </w:rPr>
              <w:lastRenderedPageBreak/>
              <w:t>Total</w:t>
            </w:r>
          </w:p>
        </w:tc>
        <w:tc>
          <w:tcPr>
            <w:tcW w:w="1372" w:type="dxa"/>
            <w:tcBorders>
              <w:top w:val="nil"/>
              <w:left w:val="nil"/>
              <w:bottom w:val="nil"/>
              <w:right w:val="nil"/>
            </w:tcBorders>
            <w:shd w:val="clear" w:color="000000" w:fill="305496"/>
            <w:noWrap/>
            <w:vAlign w:val="center"/>
            <w:hideMark/>
          </w:tcPr>
          <w:p w14:paraId="7D0D9421" w14:textId="77777777" w:rsidR="00083CA4" w:rsidRPr="002A7673" w:rsidRDefault="00083CA4" w:rsidP="005F7139">
            <w:pPr>
              <w:spacing w:after="0" w:line="240" w:lineRule="auto"/>
              <w:jc w:val="right"/>
              <w:rPr>
                <w:rFonts w:ascii="Times New Roman" w:eastAsia="Times New Roman" w:hAnsi="Times New Roman" w:cs="Times New Roman"/>
                <w:color w:val="FFFFFF"/>
                <w:sz w:val="18"/>
                <w:szCs w:val="18"/>
                <w:lang w:eastAsia="es-CR"/>
              </w:rPr>
            </w:pPr>
            <w:r w:rsidRPr="002A7673">
              <w:rPr>
                <w:rFonts w:ascii="Times New Roman" w:eastAsia="Times New Roman" w:hAnsi="Times New Roman" w:cs="Times New Roman"/>
                <w:color w:val="FFFFFF"/>
                <w:sz w:val="18"/>
                <w:szCs w:val="18"/>
                <w:lang w:eastAsia="es-CR"/>
              </w:rPr>
              <w:t xml:space="preserve">    479 539 283 </w:t>
            </w:r>
          </w:p>
        </w:tc>
        <w:tc>
          <w:tcPr>
            <w:tcW w:w="1372" w:type="dxa"/>
            <w:tcBorders>
              <w:top w:val="nil"/>
              <w:left w:val="nil"/>
              <w:bottom w:val="nil"/>
              <w:right w:val="nil"/>
            </w:tcBorders>
            <w:shd w:val="clear" w:color="000000" w:fill="305496"/>
            <w:noWrap/>
            <w:vAlign w:val="center"/>
            <w:hideMark/>
          </w:tcPr>
          <w:p w14:paraId="0CF8B9F1" w14:textId="77777777" w:rsidR="00083CA4" w:rsidRPr="002A7673" w:rsidRDefault="00083CA4" w:rsidP="005F7139">
            <w:pPr>
              <w:spacing w:after="0" w:line="240" w:lineRule="auto"/>
              <w:jc w:val="right"/>
              <w:rPr>
                <w:rFonts w:ascii="Times New Roman" w:eastAsia="Times New Roman" w:hAnsi="Times New Roman" w:cs="Times New Roman"/>
                <w:color w:val="FFFFFF"/>
                <w:sz w:val="18"/>
                <w:szCs w:val="18"/>
                <w:lang w:eastAsia="es-CR"/>
              </w:rPr>
            </w:pPr>
            <w:r w:rsidRPr="002A7673">
              <w:rPr>
                <w:rFonts w:ascii="Times New Roman" w:eastAsia="Times New Roman" w:hAnsi="Times New Roman" w:cs="Times New Roman"/>
                <w:color w:val="FFFFFF"/>
                <w:sz w:val="18"/>
                <w:szCs w:val="18"/>
                <w:lang w:eastAsia="es-CR"/>
              </w:rPr>
              <w:t xml:space="preserve">    480 781 348 </w:t>
            </w:r>
          </w:p>
        </w:tc>
        <w:tc>
          <w:tcPr>
            <w:tcW w:w="1372" w:type="dxa"/>
            <w:tcBorders>
              <w:top w:val="nil"/>
              <w:left w:val="nil"/>
              <w:bottom w:val="nil"/>
              <w:right w:val="nil"/>
            </w:tcBorders>
            <w:shd w:val="clear" w:color="000000" w:fill="305496"/>
            <w:noWrap/>
            <w:vAlign w:val="center"/>
            <w:hideMark/>
          </w:tcPr>
          <w:p w14:paraId="3D020115" w14:textId="77777777" w:rsidR="00083CA4" w:rsidRPr="002A7673" w:rsidRDefault="00083CA4" w:rsidP="005F7139">
            <w:pPr>
              <w:spacing w:after="0" w:line="240" w:lineRule="auto"/>
              <w:jc w:val="right"/>
              <w:rPr>
                <w:rFonts w:ascii="Times New Roman" w:eastAsia="Times New Roman" w:hAnsi="Times New Roman" w:cs="Times New Roman"/>
                <w:color w:val="FFFFFF"/>
                <w:sz w:val="18"/>
                <w:szCs w:val="18"/>
                <w:lang w:eastAsia="es-CR"/>
              </w:rPr>
            </w:pPr>
            <w:r w:rsidRPr="002A7673">
              <w:rPr>
                <w:rFonts w:ascii="Times New Roman" w:eastAsia="Times New Roman" w:hAnsi="Times New Roman" w:cs="Times New Roman"/>
                <w:color w:val="FFFFFF"/>
                <w:sz w:val="18"/>
                <w:szCs w:val="18"/>
                <w:lang w:eastAsia="es-CR"/>
              </w:rPr>
              <w:t xml:space="preserve">        1 242 065 </w:t>
            </w:r>
          </w:p>
        </w:tc>
        <w:tc>
          <w:tcPr>
            <w:tcW w:w="1247" w:type="dxa"/>
            <w:tcBorders>
              <w:top w:val="nil"/>
              <w:left w:val="nil"/>
              <w:bottom w:val="nil"/>
              <w:right w:val="nil"/>
            </w:tcBorders>
            <w:shd w:val="clear" w:color="000000" w:fill="305496"/>
            <w:noWrap/>
            <w:vAlign w:val="center"/>
            <w:hideMark/>
          </w:tcPr>
          <w:p w14:paraId="10F054C1" w14:textId="77777777" w:rsidR="00083CA4" w:rsidRPr="002A7673" w:rsidRDefault="00083CA4" w:rsidP="005F7139">
            <w:pPr>
              <w:spacing w:after="0" w:line="240" w:lineRule="auto"/>
              <w:jc w:val="center"/>
              <w:rPr>
                <w:rFonts w:ascii="Times New Roman" w:eastAsia="Times New Roman" w:hAnsi="Times New Roman" w:cs="Times New Roman"/>
                <w:color w:val="FFFFFF"/>
                <w:lang w:eastAsia="es-CR"/>
              </w:rPr>
            </w:pPr>
            <w:r w:rsidRPr="002A7673">
              <w:rPr>
                <w:rFonts w:ascii="Times New Roman" w:eastAsia="Times New Roman" w:hAnsi="Times New Roman" w:cs="Times New Roman"/>
                <w:color w:val="FFFFFF"/>
                <w:lang w:eastAsia="es-CR"/>
              </w:rPr>
              <w:t>0,3%</w:t>
            </w:r>
          </w:p>
        </w:tc>
      </w:tr>
    </w:tbl>
    <w:p w14:paraId="0E05245C" w14:textId="77777777" w:rsidR="00083CA4" w:rsidRPr="002A7673" w:rsidRDefault="00083CA4" w:rsidP="005F7139">
      <w:pPr>
        <w:spacing w:after="0" w:line="240" w:lineRule="auto"/>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Fuente: SIGA PJ</w:t>
      </w:r>
    </w:p>
    <w:p w14:paraId="76508535" w14:textId="77777777" w:rsidR="005F7139" w:rsidRPr="002A7673" w:rsidRDefault="005F7139" w:rsidP="005F7139">
      <w:pPr>
        <w:spacing w:after="0" w:line="240" w:lineRule="auto"/>
        <w:ind w:left="851" w:right="851" w:firstLine="709"/>
        <w:jc w:val="both"/>
        <w:rPr>
          <w:rFonts w:ascii="Times New Roman" w:eastAsia="Calibri" w:hAnsi="Times New Roman" w:cs="Times New Roman"/>
          <w:sz w:val="26"/>
          <w:szCs w:val="26"/>
        </w:rPr>
      </w:pPr>
    </w:p>
    <w:p w14:paraId="0A132D68"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la tabla anterior se observa que, los programas 926 “</w:t>
      </w:r>
      <w:r w:rsidRPr="002A7673">
        <w:rPr>
          <w:rFonts w:ascii="Times New Roman" w:eastAsia="Calibri" w:hAnsi="Times New Roman" w:cs="Times New Roman"/>
          <w:i/>
          <w:sz w:val="26"/>
          <w:szCs w:val="26"/>
        </w:rPr>
        <w:t>Dirección, Administración y Otros Órganos de Apoyo”</w:t>
      </w:r>
      <w:r w:rsidRPr="002A7673">
        <w:rPr>
          <w:rFonts w:ascii="Times New Roman" w:eastAsia="Calibri" w:hAnsi="Times New Roman" w:cs="Times New Roman"/>
          <w:sz w:val="26"/>
          <w:szCs w:val="26"/>
        </w:rPr>
        <w:t>, Programa 927 ”</w:t>
      </w:r>
      <w:r w:rsidRPr="002A7673">
        <w:rPr>
          <w:rFonts w:ascii="Times New Roman" w:eastAsia="Calibri" w:hAnsi="Times New Roman" w:cs="Times New Roman"/>
          <w:i/>
          <w:sz w:val="26"/>
          <w:szCs w:val="26"/>
        </w:rPr>
        <w:t>Servicio Jurisdiccional”</w:t>
      </w:r>
      <w:r w:rsidRPr="002A7673">
        <w:rPr>
          <w:rFonts w:ascii="Times New Roman" w:eastAsia="Calibri" w:hAnsi="Times New Roman" w:cs="Times New Roman"/>
          <w:sz w:val="26"/>
          <w:szCs w:val="26"/>
        </w:rPr>
        <w:t xml:space="preserve"> y Programa 930 “</w:t>
      </w:r>
      <w:r w:rsidRPr="002A7673">
        <w:rPr>
          <w:rFonts w:ascii="Times New Roman" w:eastAsia="Calibri" w:hAnsi="Times New Roman" w:cs="Times New Roman"/>
          <w:i/>
          <w:sz w:val="26"/>
          <w:szCs w:val="26"/>
        </w:rPr>
        <w:t>Defensa Pública”</w:t>
      </w:r>
      <w:r w:rsidRPr="002A7673">
        <w:rPr>
          <w:rFonts w:ascii="Times New Roman" w:eastAsia="Calibri" w:hAnsi="Times New Roman" w:cs="Times New Roman"/>
          <w:sz w:val="26"/>
          <w:szCs w:val="26"/>
        </w:rPr>
        <w:t>, disminuyeron en 6%, 5% y 4 %, en su orden,  en relación con los recursos solicitados para el 2021; mientras que el Programa 950 “</w:t>
      </w:r>
      <w:r w:rsidRPr="002A7673">
        <w:rPr>
          <w:rFonts w:ascii="Times New Roman" w:eastAsia="Calibri" w:hAnsi="Times New Roman" w:cs="Times New Roman"/>
          <w:i/>
          <w:sz w:val="26"/>
          <w:szCs w:val="26"/>
        </w:rPr>
        <w:t>Servicio de Atención y Protección de Víctimas y Testigos”</w:t>
      </w:r>
      <w:r w:rsidRPr="002A7673">
        <w:rPr>
          <w:rFonts w:ascii="Times New Roman" w:eastAsia="Calibri" w:hAnsi="Times New Roman" w:cs="Times New Roman"/>
          <w:sz w:val="26"/>
          <w:szCs w:val="26"/>
        </w:rPr>
        <w:t xml:space="preserve">, presentó un incremento del 22 % en relación con los recursos solicitados en el 2021, argumentando que los recursos que se han formulado en años anteriores no han sido suficientes para atender las necesidades del programa. </w:t>
      </w:r>
    </w:p>
    <w:p w14:paraId="1CC198AB"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4A0AA034"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consulta realizada a la licenciada Helen Ballestero, Administradora del Programa </w:t>
      </w:r>
      <w:proofErr w:type="gramStart"/>
      <w:r w:rsidRPr="002A7673">
        <w:rPr>
          <w:rFonts w:ascii="Times New Roman" w:eastAsia="Calibri" w:hAnsi="Times New Roman" w:cs="Times New Roman"/>
          <w:sz w:val="26"/>
          <w:szCs w:val="26"/>
        </w:rPr>
        <w:t>950  sobre</w:t>
      </w:r>
      <w:proofErr w:type="gramEnd"/>
      <w:r w:rsidRPr="002A7673">
        <w:rPr>
          <w:rFonts w:ascii="Times New Roman" w:eastAsia="Calibri" w:hAnsi="Times New Roman" w:cs="Times New Roman"/>
          <w:sz w:val="26"/>
          <w:szCs w:val="26"/>
        </w:rPr>
        <w:t xml:space="preserve"> él porque aumenta la formulación de recursos en esta subpartida para el 2022 en ¢4.285.580, manifestó que, siempre se realiza un gran esfuerzo para brindarle a los vehículos un mantenimiento adecuado, pero al existir un rezago en la sustitución de los vehículos 2020 y 2021 repercute directamente en los mantenimientos y reparaciones que debe brindar a la flotilla.</w:t>
      </w:r>
    </w:p>
    <w:p w14:paraId="14B0BAB1"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5AF6DCEF"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Agregó que en el caso del Programa 950 si bien se están incluyendo recursos para sustitución de 17 vehículos, se consultó respecto del aumento para mantenimiento y se indicó que en esta subpartida los recursos que se incluyen son para brindar los mantenimientos preventivos y habituales de los vehículos  y la mano de obra (Motos, </w:t>
      </w:r>
      <w:proofErr w:type="spellStart"/>
      <w:r w:rsidRPr="002A7673">
        <w:rPr>
          <w:rFonts w:ascii="Times New Roman" w:eastAsia="Calibri" w:hAnsi="Times New Roman" w:cs="Times New Roman"/>
          <w:sz w:val="26"/>
          <w:szCs w:val="26"/>
        </w:rPr>
        <w:t>Cuadraciclos</w:t>
      </w:r>
      <w:proofErr w:type="spellEnd"/>
      <w:r w:rsidRPr="002A7673">
        <w:rPr>
          <w:rFonts w:ascii="Times New Roman" w:eastAsia="Calibri" w:hAnsi="Times New Roman" w:cs="Times New Roman"/>
          <w:sz w:val="26"/>
          <w:szCs w:val="26"/>
        </w:rPr>
        <w:t xml:space="preserve">, Vehículos) que generalmente se brindan por rodaje o por periodo de tiempo, incluso los vehículos nuevos dependiendo del uso se les debe brindar el mantenimiento recomendado por la agencia (Cambio de Aceite, Filtros y otros). Anteriormente los vehículos se compraban con el mantenimiento incluido, sin embargo, hace unos años ya no cuentan con este beneficio y la institución tuvo que asumir este costo.  Dependiendo del vehículo la recomendación es brindar el primer mantenimiento a los 5000 kilómetros. La consecuencia de un mal mantenimiento desencadena en reparaciones, las cuales son mucho más costosas. Los mantenimientos entre más viejo sea un vehículo resulta más oneroso.   </w:t>
      </w:r>
    </w:p>
    <w:p w14:paraId="4B86A559"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07823016"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 continuación, se incluye detalle de los recursos aprobados y ejecutados para el </w:t>
      </w:r>
      <w:proofErr w:type="gramStart"/>
      <w:r w:rsidRPr="002A7673">
        <w:rPr>
          <w:rFonts w:ascii="Times New Roman" w:eastAsia="Calibri" w:hAnsi="Times New Roman" w:cs="Times New Roman"/>
          <w:sz w:val="26"/>
          <w:szCs w:val="26"/>
        </w:rPr>
        <w:t>período  2020</w:t>
      </w:r>
      <w:proofErr w:type="gramEnd"/>
      <w:r w:rsidRPr="002A7673">
        <w:rPr>
          <w:rFonts w:ascii="Times New Roman" w:eastAsia="Calibri" w:hAnsi="Times New Roman" w:cs="Times New Roman"/>
          <w:sz w:val="26"/>
          <w:szCs w:val="26"/>
        </w:rPr>
        <w:t>, por Programa Institucional:</w:t>
      </w:r>
    </w:p>
    <w:p w14:paraId="287B6CEC"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220E64AA" w14:textId="77777777" w:rsidR="00083CA4" w:rsidRPr="002A7673" w:rsidRDefault="00083CA4" w:rsidP="005F7139">
      <w:pPr>
        <w:spacing w:after="0" w:line="240" w:lineRule="auto"/>
        <w:ind w:left="851" w:right="851"/>
        <w:jc w:val="both"/>
        <w:rPr>
          <w:rFonts w:ascii="Times New Roman" w:eastAsia="Calibri" w:hAnsi="Times New Roman" w:cs="Times New Roman"/>
          <w:sz w:val="26"/>
          <w:szCs w:val="26"/>
        </w:rPr>
      </w:pPr>
      <w:r w:rsidRPr="002A7673">
        <w:rPr>
          <w:rFonts w:ascii="Times New Roman" w:eastAsia="Calibri" w:hAnsi="Times New Roman" w:cs="Times New Roman"/>
          <w:noProof/>
          <w:sz w:val="26"/>
          <w:szCs w:val="26"/>
          <w:lang w:eastAsia="es-CR"/>
        </w:rPr>
        <w:lastRenderedPageBreak/>
        <w:drawing>
          <wp:inline distT="0" distB="0" distL="0" distR="0" wp14:anchorId="4D8695BF" wp14:editId="3F2B9F65">
            <wp:extent cx="5113020" cy="14173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13020" cy="1417320"/>
                    </a:xfrm>
                    <a:prstGeom prst="rect">
                      <a:avLst/>
                    </a:prstGeom>
                    <a:noFill/>
                    <a:ln>
                      <a:noFill/>
                    </a:ln>
                  </pic:spPr>
                </pic:pic>
              </a:graphicData>
            </a:graphic>
          </wp:inline>
        </w:drawing>
      </w:r>
    </w:p>
    <w:p w14:paraId="1D3899D0"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1F71820D"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cuanto a la ejecución se observa que </w:t>
      </w:r>
      <w:proofErr w:type="gramStart"/>
      <w:r w:rsidRPr="002A7673">
        <w:rPr>
          <w:rFonts w:ascii="Times New Roman" w:eastAsia="Calibri" w:hAnsi="Times New Roman" w:cs="Times New Roman"/>
          <w:sz w:val="26"/>
          <w:szCs w:val="26"/>
        </w:rPr>
        <w:t>la  Defensa</w:t>
      </w:r>
      <w:proofErr w:type="gramEnd"/>
      <w:r w:rsidRPr="002A7673">
        <w:rPr>
          <w:rFonts w:ascii="Times New Roman" w:eastAsia="Calibri" w:hAnsi="Times New Roman" w:cs="Times New Roman"/>
          <w:sz w:val="26"/>
          <w:szCs w:val="26"/>
        </w:rPr>
        <w:t xml:space="preserve"> Pública (93.50%) es el programa que alcanzó el porcentaje más alto en cuanto a la ejecución, seguido del Organismo de Investigación Judicial (87.13%) y el Servicio de Atención y Protección de Víctimas y Testigos (83.35%). </w:t>
      </w:r>
    </w:p>
    <w:p w14:paraId="6096FD1E" w14:textId="77777777" w:rsidR="00083CA4" w:rsidRPr="002A7673" w:rsidRDefault="00083CA4" w:rsidP="005F7139">
      <w:pPr>
        <w:spacing w:after="0" w:line="240" w:lineRule="auto"/>
        <w:ind w:left="851" w:right="851" w:firstLine="709"/>
        <w:jc w:val="center"/>
        <w:rPr>
          <w:rFonts w:ascii="Times New Roman" w:eastAsia="Calibri" w:hAnsi="Times New Roman" w:cs="Times New Roman"/>
          <w:bCs/>
          <w:sz w:val="26"/>
          <w:szCs w:val="26"/>
        </w:rPr>
      </w:pPr>
    </w:p>
    <w:p w14:paraId="1B796448"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el siguiente gráfico, se muestra la distribución de la subpartida por programa presupuestario:</w:t>
      </w:r>
    </w:p>
    <w:p w14:paraId="1B08E5B7" w14:textId="77777777" w:rsidR="005F7139" w:rsidRPr="002A7673" w:rsidRDefault="005F7139" w:rsidP="005F7139">
      <w:pPr>
        <w:spacing w:after="0" w:line="240" w:lineRule="auto"/>
        <w:ind w:left="851" w:right="851" w:firstLine="709"/>
        <w:jc w:val="both"/>
        <w:rPr>
          <w:rFonts w:ascii="Times New Roman" w:eastAsia="Calibri" w:hAnsi="Times New Roman" w:cs="Times New Roman"/>
          <w:sz w:val="26"/>
          <w:szCs w:val="26"/>
        </w:rPr>
      </w:pPr>
    </w:p>
    <w:p w14:paraId="3F6162DD" w14:textId="77777777" w:rsidR="00083CA4" w:rsidRPr="002A7673" w:rsidRDefault="00083CA4" w:rsidP="005F7139">
      <w:pPr>
        <w:spacing w:after="0" w:line="240" w:lineRule="auto"/>
        <w:ind w:left="708"/>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 xml:space="preserve">Figura N° 6. </w:t>
      </w:r>
    </w:p>
    <w:p w14:paraId="161A99C5" w14:textId="77777777" w:rsidR="00083CA4" w:rsidRPr="002A7673" w:rsidRDefault="00083CA4" w:rsidP="005F7139">
      <w:pPr>
        <w:spacing w:after="0" w:line="240" w:lineRule="auto"/>
        <w:ind w:left="708"/>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Distribución del presupuesto solicitado para el 2022</w:t>
      </w:r>
    </w:p>
    <w:p w14:paraId="1589DA1C"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 xml:space="preserve">Subpartida 10805 Mantenimiento y Reparación de Equipo de Transporte </w:t>
      </w:r>
    </w:p>
    <w:p w14:paraId="648118D8" w14:textId="77777777" w:rsidR="005F7139" w:rsidRPr="002A7673" w:rsidRDefault="005F7139" w:rsidP="005F7139">
      <w:pPr>
        <w:spacing w:after="0" w:line="240" w:lineRule="auto"/>
        <w:jc w:val="center"/>
        <w:rPr>
          <w:rFonts w:ascii="Times New Roman" w:eastAsia="Calibri" w:hAnsi="Times New Roman" w:cs="Times New Roman"/>
          <w:b/>
          <w:sz w:val="26"/>
          <w:szCs w:val="26"/>
        </w:rPr>
      </w:pPr>
    </w:p>
    <w:tbl>
      <w:tblPr>
        <w:tblW w:w="9420" w:type="dxa"/>
        <w:tblCellMar>
          <w:left w:w="70" w:type="dxa"/>
          <w:right w:w="70" w:type="dxa"/>
        </w:tblCellMar>
        <w:tblLook w:val="04A0" w:firstRow="1" w:lastRow="0" w:firstColumn="1" w:lastColumn="0" w:noHBand="0" w:noVBand="1"/>
      </w:tblPr>
      <w:tblGrid>
        <w:gridCol w:w="4754"/>
        <w:gridCol w:w="2311"/>
        <w:gridCol w:w="2355"/>
      </w:tblGrid>
      <w:tr w:rsidR="00083CA4" w:rsidRPr="002A7673" w14:paraId="6009DD20" w14:textId="77777777" w:rsidTr="005F7139">
        <w:trPr>
          <w:trHeight w:val="260"/>
        </w:trPr>
        <w:tc>
          <w:tcPr>
            <w:tcW w:w="4754" w:type="dxa"/>
            <w:tcBorders>
              <w:top w:val="single" w:sz="8" w:space="0" w:color="1F4E78"/>
              <w:left w:val="nil"/>
              <w:bottom w:val="single" w:sz="8" w:space="0" w:color="1F4E78"/>
              <w:right w:val="nil"/>
            </w:tcBorders>
            <w:shd w:val="clear" w:color="000000" w:fill="F2F2F2"/>
            <w:noWrap/>
            <w:vAlign w:val="center"/>
            <w:hideMark/>
          </w:tcPr>
          <w:p w14:paraId="47A30AE8"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Programa</w:t>
            </w:r>
          </w:p>
        </w:tc>
        <w:tc>
          <w:tcPr>
            <w:tcW w:w="2311" w:type="dxa"/>
            <w:tcBorders>
              <w:top w:val="single" w:sz="8" w:space="0" w:color="1F4E78"/>
              <w:left w:val="nil"/>
              <w:bottom w:val="single" w:sz="8" w:space="0" w:color="1F4E78"/>
              <w:right w:val="nil"/>
            </w:tcBorders>
            <w:shd w:val="clear" w:color="000000" w:fill="F2F2F2"/>
            <w:noWrap/>
            <w:vAlign w:val="center"/>
            <w:hideMark/>
          </w:tcPr>
          <w:p w14:paraId="54E64A76"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2022</w:t>
            </w:r>
          </w:p>
        </w:tc>
        <w:tc>
          <w:tcPr>
            <w:tcW w:w="2355" w:type="dxa"/>
            <w:tcBorders>
              <w:top w:val="single" w:sz="8" w:space="0" w:color="1F4E78"/>
              <w:left w:val="nil"/>
              <w:bottom w:val="single" w:sz="8" w:space="0" w:color="1F4E78"/>
              <w:right w:val="nil"/>
            </w:tcBorders>
            <w:shd w:val="clear" w:color="000000" w:fill="F2F2F2"/>
            <w:noWrap/>
            <w:vAlign w:val="center"/>
            <w:hideMark/>
          </w:tcPr>
          <w:p w14:paraId="21C36517"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 Porcentaje</w:t>
            </w:r>
          </w:p>
        </w:tc>
      </w:tr>
      <w:tr w:rsidR="00083CA4" w:rsidRPr="002A7673" w14:paraId="67B5F075" w14:textId="77777777" w:rsidTr="005F7139">
        <w:trPr>
          <w:trHeight w:val="260"/>
        </w:trPr>
        <w:tc>
          <w:tcPr>
            <w:tcW w:w="4754" w:type="dxa"/>
            <w:tcBorders>
              <w:top w:val="nil"/>
              <w:left w:val="nil"/>
              <w:bottom w:val="nil"/>
              <w:right w:val="nil"/>
            </w:tcBorders>
            <w:shd w:val="clear" w:color="auto" w:fill="auto"/>
            <w:noWrap/>
            <w:vAlign w:val="center"/>
            <w:hideMark/>
          </w:tcPr>
          <w:p w14:paraId="7574F02F"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Dirección, Administración y Otros Órganos de Apoyo</w:t>
            </w:r>
          </w:p>
        </w:tc>
        <w:tc>
          <w:tcPr>
            <w:tcW w:w="2311" w:type="dxa"/>
            <w:tcBorders>
              <w:top w:val="nil"/>
              <w:left w:val="nil"/>
              <w:bottom w:val="nil"/>
              <w:right w:val="nil"/>
            </w:tcBorders>
            <w:shd w:val="clear" w:color="auto" w:fill="auto"/>
            <w:noWrap/>
            <w:vAlign w:val="bottom"/>
            <w:hideMark/>
          </w:tcPr>
          <w:p w14:paraId="222F39EE"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139 427 262 </w:t>
            </w:r>
          </w:p>
        </w:tc>
        <w:tc>
          <w:tcPr>
            <w:tcW w:w="2355" w:type="dxa"/>
            <w:tcBorders>
              <w:top w:val="nil"/>
              <w:left w:val="nil"/>
              <w:bottom w:val="nil"/>
              <w:right w:val="nil"/>
            </w:tcBorders>
            <w:shd w:val="clear" w:color="000000" w:fill="FFFFFF"/>
            <w:noWrap/>
            <w:vAlign w:val="center"/>
            <w:hideMark/>
          </w:tcPr>
          <w:p w14:paraId="08CE26DF"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29%</w:t>
            </w:r>
          </w:p>
        </w:tc>
      </w:tr>
      <w:tr w:rsidR="00083CA4" w:rsidRPr="002A7673" w14:paraId="636D424E" w14:textId="77777777" w:rsidTr="005F7139">
        <w:trPr>
          <w:trHeight w:val="260"/>
        </w:trPr>
        <w:tc>
          <w:tcPr>
            <w:tcW w:w="4754" w:type="dxa"/>
            <w:tcBorders>
              <w:top w:val="nil"/>
              <w:left w:val="nil"/>
              <w:bottom w:val="nil"/>
              <w:right w:val="nil"/>
            </w:tcBorders>
            <w:shd w:val="clear" w:color="auto" w:fill="auto"/>
            <w:noWrap/>
            <w:vAlign w:val="center"/>
            <w:hideMark/>
          </w:tcPr>
          <w:p w14:paraId="49D6A23A"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Servicio Jurisdiccional</w:t>
            </w:r>
          </w:p>
        </w:tc>
        <w:tc>
          <w:tcPr>
            <w:tcW w:w="2311" w:type="dxa"/>
            <w:tcBorders>
              <w:top w:val="nil"/>
              <w:left w:val="nil"/>
              <w:bottom w:val="nil"/>
              <w:right w:val="nil"/>
            </w:tcBorders>
            <w:shd w:val="clear" w:color="auto" w:fill="auto"/>
            <w:noWrap/>
            <w:vAlign w:val="bottom"/>
            <w:hideMark/>
          </w:tcPr>
          <w:p w14:paraId="4A1A7039"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30 408 188 </w:t>
            </w:r>
          </w:p>
        </w:tc>
        <w:tc>
          <w:tcPr>
            <w:tcW w:w="2355" w:type="dxa"/>
            <w:tcBorders>
              <w:top w:val="nil"/>
              <w:left w:val="nil"/>
              <w:bottom w:val="nil"/>
              <w:right w:val="nil"/>
            </w:tcBorders>
            <w:shd w:val="clear" w:color="000000" w:fill="FFFFFF"/>
            <w:noWrap/>
            <w:vAlign w:val="center"/>
            <w:hideMark/>
          </w:tcPr>
          <w:p w14:paraId="73501CC9"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6%</w:t>
            </w:r>
          </w:p>
        </w:tc>
      </w:tr>
      <w:tr w:rsidR="00083CA4" w:rsidRPr="002A7673" w14:paraId="0CB44A11" w14:textId="77777777" w:rsidTr="005F7139">
        <w:trPr>
          <w:trHeight w:val="252"/>
        </w:trPr>
        <w:tc>
          <w:tcPr>
            <w:tcW w:w="4754" w:type="dxa"/>
            <w:tcBorders>
              <w:top w:val="nil"/>
              <w:left w:val="nil"/>
              <w:bottom w:val="nil"/>
              <w:right w:val="nil"/>
            </w:tcBorders>
            <w:shd w:val="clear" w:color="auto" w:fill="auto"/>
            <w:noWrap/>
            <w:vAlign w:val="center"/>
            <w:hideMark/>
          </w:tcPr>
          <w:p w14:paraId="71958AC4"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Organismo de Investigación Judicial</w:t>
            </w:r>
          </w:p>
        </w:tc>
        <w:tc>
          <w:tcPr>
            <w:tcW w:w="2311" w:type="dxa"/>
            <w:tcBorders>
              <w:top w:val="nil"/>
              <w:left w:val="nil"/>
              <w:bottom w:val="nil"/>
              <w:right w:val="nil"/>
            </w:tcBorders>
            <w:shd w:val="clear" w:color="auto" w:fill="auto"/>
            <w:noWrap/>
            <w:vAlign w:val="bottom"/>
            <w:hideMark/>
          </w:tcPr>
          <w:p w14:paraId="10F978A4"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262 323 844 </w:t>
            </w:r>
          </w:p>
        </w:tc>
        <w:tc>
          <w:tcPr>
            <w:tcW w:w="2355" w:type="dxa"/>
            <w:tcBorders>
              <w:top w:val="nil"/>
              <w:left w:val="nil"/>
              <w:bottom w:val="nil"/>
              <w:right w:val="nil"/>
            </w:tcBorders>
            <w:shd w:val="clear" w:color="000000" w:fill="FFFFFF"/>
            <w:noWrap/>
            <w:vAlign w:val="center"/>
            <w:hideMark/>
          </w:tcPr>
          <w:p w14:paraId="4D95F3BC"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55%</w:t>
            </w:r>
          </w:p>
        </w:tc>
      </w:tr>
      <w:tr w:rsidR="00083CA4" w:rsidRPr="002A7673" w14:paraId="78ADDF37" w14:textId="77777777" w:rsidTr="005F7139">
        <w:trPr>
          <w:trHeight w:val="252"/>
        </w:trPr>
        <w:tc>
          <w:tcPr>
            <w:tcW w:w="4754" w:type="dxa"/>
            <w:tcBorders>
              <w:top w:val="nil"/>
              <w:left w:val="nil"/>
              <w:bottom w:val="nil"/>
              <w:right w:val="nil"/>
            </w:tcBorders>
            <w:shd w:val="clear" w:color="auto" w:fill="auto"/>
            <w:noWrap/>
            <w:vAlign w:val="center"/>
            <w:hideMark/>
          </w:tcPr>
          <w:p w14:paraId="7B8A2EB0"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Ministerio Público</w:t>
            </w:r>
          </w:p>
        </w:tc>
        <w:tc>
          <w:tcPr>
            <w:tcW w:w="2311" w:type="dxa"/>
            <w:tcBorders>
              <w:top w:val="nil"/>
              <w:left w:val="nil"/>
              <w:bottom w:val="nil"/>
              <w:right w:val="nil"/>
            </w:tcBorders>
            <w:shd w:val="clear" w:color="auto" w:fill="auto"/>
            <w:noWrap/>
            <w:vAlign w:val="bottom"/>
            <w:hideMark/>
          </w:tcPr>
          <w:p w14:paraId="7F2DFED5"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19 602 254 </w:t>
            </w:r>
          </w:p>
        </w:tc>
        <w:tc>
          <w:tcPr>
            <w:tcW w:w="2355" w:type="dxa"/>
            <w:tcBorders>
              <w:top w:val="nil"/>
              <w:left w:val="nil"/>
              <w:bottom w:val="nil"/>
              <w:right w:val="nil"/>
            </w:tcBorders>
            <w:shd w:val="clear" w:color="000000" w:fill="FFFFFF"/>
            <w:noWrap/>
            <w:vAlign w:val="center"/>
            <w:hideMark/>
          </w:tcPr>
          <w:p w14:paraId="22963CF9"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w:t>
            </w:r>
          </w:p>
        </w:tc>
      </w:tr>
      <w:tr w:rsidR="00083CA4" w:rsidRPr="002A7673" w14:paraId="16FCACE1" w14:textId="77777777" w:rsidTr="005F7139">
        <w:trPr>
          <w:trHeight w:val="252"/>
        </w:trPr>
        <w:tc>
          <w:tcPr>
            <w:tcW w:w="4754" w:type="dxa"/>
            <w:tcBorders>
              <w:top w:val="nil"/>
              <w:left w:val="nil"/>
              <w:bottom w:val="nil"/>
              <w:right w:val="nil"/>
            </w:tcBorders>
            <w:shd w:val="clear" w:color="auto" w:fill="auto"/>
            <w:vAlign w:val="center"/>
            <w:hideMark/>
          </w:tcPr>
          <w:p w14:paraId="41593B1D"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Defensa Pública</w:t>
            </w:r>
          </w:p>
        </w:tc>
        <w:tc>
          <w:tcPr>
            <w:tcW w:w="2311" w:type="dxa"/>
            <w:tcBorders>
              <w:top w:val="nil"/>
              <w:left w:val="nil"/>
              <w:bottom w:val="nil"/>
              <w:right w:val="nil"/>
            </w:tcBorders>
            <w:shd w:val="clear" w:color="auto" w:fill="auto"/>
            <w:noWrap/>
            <w:vAlign w:val="bottom"/>
            <w:hideMark/>
          </w:tcPr>
          <w:p w14:paraId="173DA460" w14:textId="77777777" w:rsidR="00083CA4" w:rsidRPr="002A7673" w:rsidRDefault="00083CA4" w:rsidP="005F7139">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5 644 800 </w:t>
            </w:r>
          </w:p>
        </w:tc>
        <w:tc>
          <w:tcPr>
            <w:tcW w:w="2355" w:type="dxa"/>
            <w:tcBorders>
              <w:top w:val="nil"/>
              <w:left w:val="nil"/>
              <w:bottom w:val="nil"/>
              <w:right w:val="nil"/>
            </w:tcBorders>
            <w:shd w:val="clear" w:color="000000" w:fill="FFFFFF"/>
            <w:noWrap/>
            <w:vAlign w:val="center"/>
            <w:hideMark/>
          </w:tcPr>
          <w:p w14:paraId="32D7AC60"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w:t>
            </w:r>
          </w:p>
        </w:tc>
      </w:tr>
      <w:tr w:rsidR="00083CA4" w:rsidRPr="002A7673" w14:paraId="1616B0AC" w14:textId="77777777" w:rsidTr="005F7139">
        <w:trPr>
          <w:trHeight w:val="408"/>
        </w:trPr>
        <w:tc>
          <w:tcPr>
            <w:tcW w:w="4754" w:type="dxa"/>
            <w:tcBorders>
              <w:top w:val="nil"/>
              <w:left w:val="nil"/>
              <w:bottom w:val="single" w:sz="8" w:space="0" w:color="1F4E78"/>
              <w:right w:val="nil"/>
            </w:tcBorders>
            <w:shd w:val="clear" w:color="auto" w:fill="auto"/>
            <w:vAlign w:val="center"/>
            <w:hideMark/>
          </w:tcPr>
          <w:p w14:paraId="7680EA95"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Servicio de Atención y Protección de Víctimas y Testigos</w:t>
            </w:r>
          </w:p>
        </w:tc>
        <w:tc>
          <w:tcPr>
            <w:tcW w:w="2311" w:type="dxa"/>
            <w:tcBorders>
              <w:top w:val="nil"/>
              <w:left w:val="nil"/>
              <w:bottom w:val="nil"/>
              <w:right w:val="nil"/>
            </w:tcBorders>
            <w:shd w:val="clear" w:color="auto" w:fill="auto"/>
            <w:noWrap/>
            <w:vAlign w:val="center"/>
            <w:hideMark/>
          </w:tcPr>
          <w:p w14:paraId="4AB454D5"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 xml:space="preserve">             23 375 000 </w:t>
            </w:r>
          </w:p>
        </w:tc>
        <w:tc>
          <w:tcPr>
            <w:tcW w:w="2355" w:type="dxa"/>
            <w:tcBorders>
              <w:top w:val="nil"/>
              <w:left w:val="nil"/>
              <w:bottom w:val="nil"/>
              <w:right w:val="nil"/>
            </w:tcBorders>
            <w:shd w:val="clear" w:color="000000" w:fill="FFFFFF"/>
            <w:noWrap/>
            <w:vAlign w:val="center"/>
            <w:hideMark/>
          </w:tcPr>
          <w:p w14:paraId="03274F37"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w:t>
            </w:r>
          </w:p>
        </w:tc>
      </w:tr>
      <w:tr w:rsidR="00083CA4" w:rsidRPr="002A7673" w14:paraId="7CF8A2AA" w14:textId="77777777" w:rsidTr="005F7139">
        <w:trPr>
          <w:trHeight w:val="408"/>
        </w:trPr>
        <w:tc>
          <w:tcPr>
            <w:tcW w:w="4754" w:type="dxa"/>
            <w:tcBorders>
              <w:top w:val="nil"/>
              <w:left w:val="nil"/>
              <w:bottom w:val="nil"/>
              <w:right w:val="nil"/>
            </w:tcBorders>
            <w:shd w:val="clear" w:color="000000" w:fill="305496"/>
            <w:noWrap/>
            <w:vAlign w:val="center"/>
            <w:hideMark/>
          </w:tcPr>
          <w:p w14:paraId="7F847918" w14:textId="77777777" w:rsidR="00083CA4" w:rsidRPr="002A7673" w:rsidRDefault="00083CA4" w:rsidP="005F7139">
            <w:pPr>
              <w:spacing w:after="0" w:line="240" w:lineRule="auto"/>
              <w:rPr>
                <w:rFonts w:ascii="Times New Roman" w:eastAsia="Times New Roman" w:hAnsi="Times New Roman" w:cs="Times New Roman"/>
                <w:color w:val="FFFFFF"/>
                <w:lang w:eastAsia="es-CR"/>
              </w:rPr>
            </w:pPr>
            <w:r w:rsidRPr="002A7673">
              <w:rPr>
                <w:rFonts w:ascii="Times New Roman" w:eastAsia="Times New Roman" w:hAnsi="Times New Roman" w:cs="Times New Roman"/>
                <w:color w:val="FFFFFF"/>
                <w:lang w:eastAsia="es-CR"/>
              </w:rPr>
              <w:t>Total</w:t>
            </w:r>
          </w:p>
        </w:tc>
        <w:tc>
          <w:tcPr>
            <w:tcW w:w="2311" w:type="dxa"/>
            <w:tcBorders>
              <w:top w:val="nil"/>
              <w:left w:val="nil"/>
              <w:bottom w:val="nil"/>
              <w:right w:val="nil"/>
            </w:tcBorders>
            <w:shd w:val="clear" w:color="000000" w:fill="305496"/>
            <w:noWrap/>
            <w:vAlign w:val="center"/>
            <w:hideMark/>
          </w:tcPr>
          <w:p w14:paraId="182690EC" w14:textId="77777777" w:rsidR="00083CA4" w:rsidRPr="002A7673" w:rsidRDefault="00083CA4" w:rsidP="005F7139">
            <w:pPr>
              <w:spacing w:after="0" w:line="240" w:lineRule="auto"/>
              <w:jc w:val="right"/>
              <w:rPr>
                <w:rFonts w:ascii="Times New Roman" w:eastAsia="Times New Roman" w:hAnsi="Times New Roman" w:cs="Times New Roman"/>
                <w:color w:val="FFFFFF"/>
                <w:sz w:val="18"/>
                <w:szCs w:val="18"/>
                <w:lang w:eastAsia="es-CR"/>
              </w:rPr>
            </w:pPr>
            <w:r w:rsidRPr="002A7673">
              <w:rPr>
                <w:rFonts w:ascii="Times New Roman" w:eastAsia="Times New Roman" w:hAnsi="Times New Roman" w:cs="Times New Roman"/>
                <w:color w:val="FFFFFF"/>
                <w:sz w:val="18"/>
                <w:szCs w:val="18"/>
                <w:lang w:eastAsia="es-CR"/>
              </w:rPr>
              <w:t xml:space="preserve">                480 781 348 </w:t>
            </w:r>
          </w:p>
        </w:tc>
        <w:tc>
          <w:tcPr>
            <w:tcW w:w="2355" w:type="dxa"/>
            <w:tcBorders>
              <w:top w:val="nil"/>
              <w:left w:val="nil"/>
              <w:bottom w:val="nil"/>
              <w:right w:val="nil"/>
            </w:tcBorders>
            <w:shd w:val="clear" w:color="000000" w:fill="305496"/>
            <w:noWrap/>
            <w:vAlign w:val="center"/>
            <w:hideMark/>
          </w:tcPr>
          <w:p w14:paraId="1A926350" w14:textId="77777777" w:rsidR="00083CA4" w:rsidRPr="002A7673" w:rsidRDefault="00083CA4" w:rsidP="005F7139">
            <w:pPr>
              <w:spacing w:after="0" w:line="240" w:lineRule="auto"/>
              <w:jc w:val="center"/>
              <w:rPr>
                <w:rFonts w:ascii="Times New Roman" w:eastAsia="Times New Roman" w:hAnsi="Times New Roman" w:cs="Times New Roman"/>
                <w:color w:val="FFFFFF"/>
                <w:lang w:eastAsia="es-CR"/>
              </w:rPr>
            </w:pPr>
            <w:r w:rsidRPr="002A7673">
              <w:rPr>
                <w:rFonts w:ascii="Times New Roman" w:eastAsia="Times New Roman" w:hAnsi="Times New Roman" w:cs="Times New Roman"/>
                <w:color w:val="FFFFFF"/>
                <w:lang w:eastAsia="es-CR"/>
              </w:rPr>
              <w:t>100%</w:t>
            </w:r>
          </w:p>
        </w:tc>
      </w:tr>
    </w:tbl>
    <w:p w14:paraId="69855335" w14:textId="77777777" w:rsidR="00083CA4" w:rsidRPr="002A7673" w:rsidRDefault="00083CA4" w:rsidP="005F7139">
      <w:pPr>
        <w:spacing w:after="0" w:line="240" w:lineRule="auto"/>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Fuente: SIGA PJ</w:t>
      </w:r>
    </w:p>
    <w:p w14:paraId="3AD61768" w14:textId="77777777" w:rsidR="00083CA4" w:rsidRPr="002A7673" w:rsidRDefault="00083CA4" w:rsidP="005F7139">
      <w:pPr>
        <w:spacing w:after="0" w:line="240" w:lineRule="auto"/>
        <w:rPr>
          <w:rFonts w:ascii="Times New Roman" w:eastAsia="Calibri" w:hAnsi="Times New Roman" w:cs="Times New Roman"/>
          <w:bCs/>
          <w:sz w:val="16"/>
          <w:szCs w:val="16"/>
        </w:rPr>
      </w:pPr>
    </w:p>
    <w:p w14:paraId="424CD3FD" w14:textId="77777777" w:rsidR="00083CA4" w:rsidRPr="002A7673" w:rsidRDefault="00083CA4" w:rsidP="005F7139">
      <w:pPr>
        <w:spacing w:after="0" w:line="240" w:lineRule="auto"/>
        <w:rPr>
          <w:rFonts w:ascii="Times New Roman" w:eastAsia="Calibri" w:hAnsi="Times New Roman" w:cs="Times New Roman"/>
          <w:bCs/>
          <w:sz w:val="16"/>
          <w:szCs w:val="16"/>
        </w:rPr>
      </w:pPr>
    </w:p>
    <w:p w14:paraId="186D5745" w14:textId="77777777" w:rsidR="00083CA4" w:rsidRPr="002A7673" w:rsidRDefault="00083CA4" w:rsidP="005F7139">
      <w:pPr>
        <w:spacing w:after="0" w:line="240" w:lineRule="auto"/>
        <w:rPr>
          <w:rFonts w:ascii="Times New Roman" w:eastAsia="Calibri" w:hAnsi="Times New Roman" w:cs="Times New Roman"/>
          <w:b/>
          <w:sz w:val="24"/>
        </w:rPr>
      </w:pPr>
      <w:r w:rsidRPr="002A7673">
        <w:rPr>
          <w:rFonts w:ascii="Times New Roman" w:eastAsia="Calibri" w:hAnsi="Times New Roman" w:cs="Times New Roman"/>
          <w:b/>
          <w:sz w:val="24"/>
        </w:rPr>
        <w:br w:type="page"/>
      </w:r>
    </w:p>
    <w:p w14:paraId="35B9BB0C" w14:textId="77777777" w:rsidR="00083CA4" w:rsidRPr="002A7673" w:rsidRDefault="00083CA4" w:rsidP="005F7139">
      <w:pPr>
        <w:spacing w:after="0" w:line="240" w:lineRule="auto"/>
        <w:ind w:left="708"/>
        <w:jc w:val="center"/>
        <w:rPr>
          <w:rFonts w:ascii="Times New Roman" w:eastAsia="Calibri" w:hAnsi="Times New Roman" w:cs="Times New Roman"/>
          <w:b/>
          <w:sz w:val="24"/>
        </w:rPr>
      </w:pPr>
      <w:r w:rsidRPr="002A7673">
        <w:rPr>
          <w:rFonts w:ascii="Times New Roman" w:eastAsia="Calibri" w:hAnsi="Times New Roman" w:cs="Times New Roman"/>
          <w:b/>
          <w:sz w:val="24"/>
        </w:rPr>
        <w:lastRenderedPageBreak/>
        <w:t xml:space="preserve">Figura N°. 8 </w:t>
      </w:r>
    </w:p>
    <w:p w14:paraId="3149920D" w14:textId="77777777" w:rsidR="00083CA4" w:rsidRPr="002A7673" w:rsidRDefault="00083CA4" w:rsidP="005F7139">
      <w:pPr>
        <w:spacing w:after="0" w:line="240" w:lineRule="auto"/>
        <w:ind w:left="708"/>
        <w:jc w:val="center"/>
        <w:rPr>
          <w:rFonts w:ascii="Times New Roman" w:eastAsia="Calibri" w:hAnsi="Times New Roman" w:cs="Times New Roman"/>
          <w:b/>
          <w:sz w:val="24"/>
        </w:rPr>
      </w:pPr>
      <w:r w:rsidRPr="002A7673">
        <w:rPr>
          <w:rFonts w:ascii="Times New Roman" w:eastAsia="Calibri" w:hAnsi="Times New Roman" w:cs="Times New Roman"/>
          <w:b/>
          <w:sz w:val="24"/>
        </w:rPr>
        <w:t xml:space="preserve">Distribución de Recursos por Programa </w:t>
      </w:r>
    </w:p>
    <w:p w14:paraId="6E74DCA1" w14:textId="77777777" w:rsidR="00083CA4" w:rsidRPr="002A7673" w:rsidRDefault="00083CA4" w:rsidP="005F7139">
      <w:pPr>
        <w:spacing w:after="0" w:line="240" w:lineRule="auto"/>
        <w:ind w:left="708"/>
        <w:jc w:val="center"/>
        <w:rPr>
          <w:rFonts w:ascii="Times New Roman" w:eastAsia="Calibri" w:hAnsi="Times New Roman" w:cs="Times New Roman"/>
          <w:bCs/>
          <w:sz w:val="24"/>
        </w:rPr>
      </w:pPr>
      <w:r w:rsidRPr="002A7673">
        <w:rPr>
          <w:rFonts w:ascii="Times New Roman" w:eastAsia="Calibri" w:hAnsi="Times New Roman" w:cs="Times New Roman"/>
          <w:noProof/>
          <w:lang w:eastAsia="es-CR"/>
        </w:rPr>
        <w:drawing>
          <wp:inline distT="0" distB="0" distL="0" distR="0" wp14:anchorId="078ECBD3" wp14:editId="0C2E00DF">
            <wp:extent cx="4578350" cy="3898193"/>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7"/>
                    <pic:cNvPicPr/>
                  </pic:nvPicPr>
                  <pic:blipFill>
                    <a:blip r:embed="rId13">
                      <a:extLst>
                        <a:ext uri="{28A0092B-C50C-407E-A947-70E740481C1C}">
                          <a14:useLocalDpi xmlns:a14="http://schemas.microsoft.com/office/drawing/2010/main" val="0"/>
                        </a:ext>
                      </a:extLst>
                    </a:blip>
                    <a:stretch>
                      <a:fillRect/>
                    </a:stretch>
                  </pic:blipFill>
                  <pic:spPr>
                    <a:xfrm>
                      <a:off x="0" y="0"/>
                      <a:ext cx="4578350" cy="3898193"/>
                    </a:xfrm>
                    <a:prstGeom prst="rect">
                      <a:avLst/>
                    </a:prstGeom>
                  </pic:spPr>
                </pic:pic>
              </a:graphicData>
            </a:graphic>
          </wp:inline>
        </w:drawing>
      </w:r>
    </w:p>
    <w:p w14:paraId="1440F983" w14:textId="77777777" w:rsidR="00083CA4" w:rsidRPr="002A7673" w:rsidRDefault="00083CA4" w:rsidP="005F7139">
      <w:pPr>
        <w:spacing w:after="0" w:line="240" w:lineRule="auto"/>
        <w:rPr>
          <w:rFonts w:ascii="Times New Roman" w:eastAsia="Calibri" w:hAnsi="Times New Roman" w:cs="Times New Roman"/>
          <w:bCs/>
          <w:sz w:val="24"/>
        </w:rPr>
      </w:pPr>
    </w:p>
    <w:p w14:paraId="1BB0D528"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Del gráfico expuesto se concluye que, el Programa 928 </w:t>
      </w:r>
      <w:r w:rsidRPr="002A7673">
        <w:rPr>
          <w:rFonts w:ascii="Times New Roman" w:eastAsia="Times New Roman" w:hAnsi="Times New Roman" w:cs="Times New Roman"/>
          <w:i/>
          <w:sz w:val="26"/>
          <w:szCs w:val="26"/>
          <w:lang w:val="es-ES" w:eastAsia="es-ES"/>
        </w:rPr>
        <w:t>Organismo de Investigación Judicial,</w:t>
      </w:r>
      <w:r w:rsidRPr="002A7673">
        <w:rPr>
          <w:rFonts w:ascii="Times New Roman" w:eastAsia="Times New Roman" w:hAnsi="Times New Roman" w:cs="Times New Roman"/>
          <w:sz w:val="26"/>
          <w:szCs w:val="26"/>
          <w:lang w:val="es-ES" w:eastAsia="es-ES"/>
        </w:rPr>
        <w:t xml:space="preserve"> es el principal solicitante de recursos en esta subpartida, representando </w:t>
      </w:r>
      <w:proofErr w:type="gramStart"/>
      <w:r w:rsidRPr="002A7673">
        <w:rPr>
          <w:rFonts w:ascii="Times New Roman" w:eastAsia="Times New Roman" w:hAnsi="Times New Roman" w:cs="Times New Roman"/>
          <w:sz w:val="26"/>
          <w:szCs w:val="26"/>
          <w:lang w:val="es-ES" w:eastAsia="es-ES"/>
        </w:rPr>
        <w:t>un  55</w:t>
      </w:r>
      <w:proofErr w:type="gramEnd"/>
      <w:r w:rsidRPr="002A7673">
        <w:rPr>
          <w:rFonts w:ascii="Times New Roman" w:eastAsia="Times New Roman" w:hAnsi="Times New Roman" w:cs="Times New Roman"/>
          <w:sz w:val="26"/>
          <w:szCs w:val="26"/>
          <w:lang w:val="es-ES" w:eastAsia="es-ES"/>
        </w:rPr>
        <w:t xml:space="preserve">% de los recursos formulados, lo cual responde a que cuenta con la mayor cantidad de Vehículos asignados de la flotilla vehicular del Poder Judicial. </w:t>
      </w:r>
    </w:p>
    <w:p w14:paraId="69EE2CB5"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p>
    <w:p w14:paraId="7135F909" w14:textId="77777777" w:rsidR="00083CA4" w:rsidRPr="002A7673" w:rsidRDefault="00083CA4" w:rsidP="005F7139">
      <w:pPr>
        <w:keepNext/>
        <w:keepLines/>
        <w:numPr>
          <w:ilvl w:val="2"/>
          <w:numId w:val="7"/>
        </w:numPr>
        <w:spacing w:after="0" w:line="240" w:lineRule="auto"/>
        <w:ind w:left="851" w:right="851" w:firstLine="709"/>
        <w:outlineLvl w:val="2"/>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t>Distribución por Centro de Responsabilidad</w:t>
      </w:r>
    </w:p>
    <w:p w14:paraId="3E9FD3F1"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p>
    <w:p w14:paraId="1492A031"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el siguiente cuadro se muestra el detalle de la distribución de los recursos formulados por </w:t>
      </w:r>
      <w:proofErr w:type="gramStart"/>
      <w:r w:rsidRPr="002A7673">
        <w:rPr>
          <w:rFonts w:ascii="Times New Roman" w:eastAsia="Calibri" w:hAnsi="Times New Roman" w:cs="Times New Roman"/>
          <w:sz w:val="26"/>
          <w:szCs w:val="26"/>
        </w:rPr>
        <w:t>los  Centros</w:t>
      </w:r>
      <w:proofErr w:type="gramEnd"/>
      <w:r w:rsidRPr="002A7673">
        <w:rPr>
          <w:rFonts w:ascii="Times New Roman" w:eastAsia="Calibri" w:hAnsi="Times New Roman" w:cs="Times New Roman"/>
          <w:sz w:val="26"/>
          <w:szCs w:val="26"/>
        </w:rPr>
        <w:t xml:space="preserve"> de Responsabilidad más representativos. </w:t>
      </w:r>
    </w:p>
    <w:p w14:paraId="581830E5" w14:textId="77777777" w:rsidR="00083CA4" w:rsidRPr="002A7673" w:rsidRDefault="00083CA4" w:rsidP="005F7139">
      <w:pPr>
        <w:spacing w:after="0" w:line="360" w:lineRule="auto"/>
        <w:jc w:val="both"/>
        <w:rPr>
          <w:rFonts w:ascii="Times New Roman" w:eastAsia="Calibri" w:hAnsi="Times New Roman" w:cs="Times New Roman"/>
          <w:sz w:val="26"/>
          <w:szCs w:val="26"/>
        </w:rPr>
      </w:pPr>
    </w:p>
    <w:p w14:paraId="3318AAC4" w14:textId="77777777" w:rsidR="00083CA4" w:rsidRPr="002A7673" w:rsidRDefault="00083CA4" w:rsidP="005F7139">
      <w:pPr>
        <w:spacing w:after="0" w:line="240" w:lineRule="auto"/>
        <w:ind w:left="708"/>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Figura N° 9</w:t>
      </w:r>
    </w:p>
    <w:p w14:paraId="545BF86B" w14:textId="77777777" w:rsidR="00083CA4" w:rsidRPr="002A7673" w:rsidRDefault="00083CA4" w:rsidP="005F7139">
      <w:pPr>
        <w:spacing w:after="0" w:line="240" w:lineRule="auto"/>
        <w:ind w:left="708"/>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 xml:space="preserve">Distribución por Centro de </w:t>
      </w:r>
      <w:proofErr w:type="gramStart"/>
      <w:r w:rsidRPr="002A7673">
        <w:rPr>
          <w:rFonts w:ascii="Times New Roman" w:eastAsia="Calibri" w:hAnsi="Times New Roman" w:cs="Times New Roman"/>
          <w:b/>
          <w:sz w:val="26"/>
          <w:szCs w:val="26"/>
        </w:rPr>
        <w:t>Responsabilidad  más</w:t>
      </w:r>
      <w:proofErr w:type="gramEnd"/>
      <w:r w:rsidRPr="002A7673">
        <w:rPr>
          <w:rFonts w:ascii="Times New Roman" w:eastAsia="Calibri" w:hAnsi="Times New Roman" w:cs="Times New Roman"/>
          <w:b/>
          <w:sz w:val="26"/>
          <w:szCs w:val="26"/>
        </w:rPr>
        <w:t xml:space="preserve"> representativos de la Subpartida 10805 Mantenimiento y Reparación de Equipo de Transporte.</w:t>
      </w:r>
    </w:p>
    <w:p w14:paraId="67560B31" w14:textId="77777777" w:rsidR="00083CA4" w:rsidRPr="002A7673" w:rsidRDefault="00083CA4" w:rsidP="005F7139">
      <w:pPr>
        <w:spacing w:after="0" w:line="240" w:lineRule="auto"/>
        <w:ind w:left="708"/>
        <w:jc w:val="center"/>
        <w:rPr>
          <w:rFonts w:ascii="Times New Roman" w:eastAsia="Calibri" w:hAnsi="Times New Roman" w:cs="Times New Roman"/>
          <w:b/>
          <w:sz w:val="24"/>
        </w:rPr>
      </w:pPr>
    </w:p>
    <w:p w14:paraId="6AF84D56" w14:textId="77777777" w:rsidR="00083CA4" w:rsidRPr="002A7673" w:rsidRDefault="00083CA4" w:rsidP="005F7139">
      <w:pPr>
        <w:spacing w:after="0" w:line="240" w:lineRule="auto"/>
        <w:ind w:left="708"/>
        <w:jc w:val="center"/>
        <w:rPr>
          <w:rFonts w:ascii="Times New Roman" w:eastAsia="Calibri" w:hAnsi="Times New Roman" w:cs="Times New Roman"/>
          <w:b/>
          <w:sz w:val="24"/>
        </w:rPr>
      </w:pPr>
      <w:r w:rsidRPr="002A7673">
        <w:rPr>
          <w:rFonts w:ascii="Times New Roman" w:eastAsia="Calibri" w:hAnsi="Times New Roman" w:cs="Times New Roman"/>
          <w:noProof/>
          <w:lang w:eastAsia="es-CR"/>
        </w:rPr>
        <w:lastRenderedPageBreak/>
        <w:drawing>
          <wp:inline distT="0" distB="0" distL="0" distR="0" wp14:anchorId="5BE42CB9" wp14:editId="5B949A82">
            <wp:extent cx="5318760" cy="172974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18760" cy="1729740"/>
                    </a:xfrm>
                    <a:prstGeom prst="rect">
                      <a:avLst/>
                    </a:prstGeom>
                    <a:noFill/>
                    <a:ln>
                      <a:noFill/>
                    </a:ln>
                  </pic:spPr>
                </pic:pic>
              </a:graphicData>
            </a:graphic>
          </wp:inline>
        </w:drawing>
      </w:r>
    </w:p>
    <w:p w14:paraId="52BBC3B8" w14:textId="77777777" w:rsidR="00083CA4" w:rsidRPr="002A7673" w:rsidRDefault="00083CA4" w:rsidP="005F7139">
      <w:pPr>
        <w:spacing w:after="0" w:line="240" w:lineRule="auto"/>
        <w:ind w:left="708"/>
        <w:rPr>
          <w:rFonts w:ascii="Times New Roman" w:eastAsia="Calibri" w:hAnsi="Times New Roman" w:cs="Times New Roman"/>
          <w:bCs/>
          <w:sz w:val="18"/>
          <w:szCs w:val="18"/>
        </w:rPr>
      </w:pPr>
      <w:bookmarkStart w:id="3" w:name="_Hlk66801667"/>
      <w:r w:rsidRPr="002A7673">
        <w:rPr>
          <w:rFonts w:ascii="Times New Roman" w:eastAsia="Calibri" w:hAnsi="Times New Roman" w:cs="Times New Roman"/>
          <w:bCs/>
          <w:sz w:val="18"/>
          <w:szCs w:val="18"/>
        </w:rPr>
        <w:t>Nota:” Otros” incluye al resto de centros de responsabilidad</w:t>
      </w:r>
    </w:p>
    <w:bookmarkEnd w:id="3"/>
    <w:p w14:paraId="08503DD8" w14:textId="77777777" w:rsidR="00083CA4" w:rsidRPr="002A7673" w:rsidRDefault="00083CA4" w:rsidP="005F7139">
      <w:pPr>
        <w:spacing w:after="0" w:line="240" w:lineRule="auto"/>
        <w:ind w:left="708"/>
        <w:jc w:val="center"/>
        <w:rPr>
          <w:rFonts w:ascii="Times New Roman" w:eastAsia="Calibri" w:hAnsi="Times New Roman" w:cs="Times New Roman"/>
          <w:b/>
          <w:sz w:val="24"/>
        </w:rPr>
      </w:pPr>
    </w:p>
    <w:p w14:paraId="09612C56" w14:textId="77777777" w:rsidR="00083CA4" w:rsidRPr="002A7673" w:rsidRDefault="00083CA4" w:rsidP="005F7139">
      <w:pPr>
        <w:spacing w:after="0" w:line="240" w:lineRule="auto"/>
        <w:ind w:left="708"/>
        <w:jc w:val="center"/>
        <w:rPr>
          <w:rFonts w:ascii="Times New Roman" w:eastAsia="Calibri" w:hAnsi="Times New Roman" w:cs="Times New Roman"/>
          <w:b/>
          <w:sz w:val="24"/>
        </w:rPr>
      </w:pPr>
    </w:p>
    <w:p w14:paraId="6FEEA0CD" w14:textId="77777777" w:rsidR="00083CA4" w:rsidRPr="002A7673" w:rsidRDefault="00083CA4" w:rsidP="005F7139">
      <w:pPr>
        <w:spacing w:after="0" w:line="240" w:lineRule="auto"/>
        <w:ind w:left="708"/>
        <w:jc w:val="center"/>
        <w:rPr>
          <w:rFonts w:ascii="Times New Roman" w:eastAsia="Calibri" w:hAnsi="Times New Roman" w:cs="Times New Roman"/>
          <w:b/>
          <w:sz w:val="24"/>
        </w:rPr>
      </w:pPr>
    </w:p>
    <w:p w14:paraId="309BD634" w14:textId="77777777" w:rsidR="00083CA4" w:rsidRPr="002A7673" w:rsidRDefault="00083CA4" w:rsidP="005F7139">
      <w:pPr>
        <w:spacing w:after="0" w:line="240" w:lineRule="auto"/>
        <w:jc w:val="center"/>
        <w:rPr>
          <w:rFonts w:ascii="Times New Roman" w:eastAsia="Calibri" w:hAnsi="Times New Roman" w:cs="Times New Roman"/>
          <w:bCs/>
          <w:sz w:val="24"/>
        </w:rPr>
      </w:pPr>
    </w:p>
    <w:p w14:paraId="65755AEF" w14:textId="77777777" w:rsidR="00083CA4" w:rsidRPr="002A7673" w:rsidRDefault="00083CA4" w:rsidP="005F7139">
      <w:pPr>
        <w:spacing w:after="0" w:line="240" w:lineRule="auto"/>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 xml:space="preserve">             Fuente: SIGA PJ</w:t>
      </w:r>
    </w:p>
    <w:p w14:paraId="622E7F0E" w14:textId="77777777" w:rsidR="005F7139" w:rsidRPr="002A7673" w:rsidRDefault="005F7139" w:rsidP="005F7139">
      <w:pPr>
        <w:spacing w:after="0" w:line="360" w:lineRule="auto"/>
        <w:ind w:left="360" w:firstLine="348"/>
        <w:jc w:val="both"/>
        <w:rPr>
          <w:rFonts w:ascii="Times New Roman" w:eastAsia="Calibri" w:hAnsi="Times New Roman" w:cs="Times New Roman"/>
          <w:sz w:val="24"/>
          <w:szCs w:val="24"/>
        </w:rPr>
      </w:pPr>
    </w:p>
    <w:p w14:paraId="2CCD1C12" w14:textId="77777777" w:rsidR="00083CA4" w:rsidRPr="002A7673" w:rsidRDefault="005F7139"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De los </w:t>
      </w:r>
      <w:r w:rsidR="00083CA4" w:rsidRPr="002A7673">
        <w:rPr>
          <w:rFonts w:ascii="Times New Roman" w:eastAsia="Calibri" w:hAnsi="Times New Roman" w:cs="Times New Roman"/>
          <w:sz w:val="26"/>
          <w:szCs w:val="26"/>
        </w:rPr>
        <w:t>primeros Centros de Responsabilidad, el más representativo corresponde al programa presupuestarios 928 “</w:t>
      </w:r>
      <w:r w:rsidR="00083CA4" w:rsidRPr="002A7673">
        <w:rPr>
          <w:rFonts w:ascii="Times New Roman" w:eastAsia="Calibri" w:hAnsi="Times New Roman" w:cs="Times New Roman"/>
          <w:i/>
          <w:sz w:val="26"/>
          <w:szCs w:val="26"/>
        </w:rPr>
        <w:t>Organismo de Investigación Judicial”</w:t>
      </w:r>
      <w:r w:rsidR="00083CA4" w:rsidRPr="002A7673">
        <w:rPr>
          <w:rFonts w:ascii="Times New Roman" w:eastAsia="Calibri" w:hAnsi="Times New Roman" w:cs="Times New Roman"/>
          <w:sz w:val="26"/>
          <w:szCs w:val="26"/>
        </w:rPr>
        <w:t xml:space="preserve"> con un 55</w:t>
      </w:r>
      <w:proofErr w:type="gramStart"/>
      <w:r w:rsidR="00083CA4" w:rsidRPr="002A7673">
        <w:rPr>
          <w:rFonts w:ascii="Times New Roman" w:eastAsia="Calibri" w:hAnsi="Times New Roman" w:cs="Times New Roman"/>
          <w:sz w:val="26"/>
          <w:szCs w:val="26"/>
        </w:rPr>
        <w:t>%  de</w:t>
      </w:r>
      <w:proofErr w:type="gramEnd"/>
      <w:r w:rsidR="00083CA4" w:rsidRPr="002A7673">
        <w:rPr>
          <w:rFonts w:ascii="Times New Roman" w:eastAsia="Calibri" w:hAnsi="Times New Roman" w:cs="Times New Roman"/>
          <w:sz w:val="26"/>
          <w:szCs w:val="26"/>
        </w:rPr>
        <w:t xml:space="preserve"> los recursos formulados para el 2022, siguiéndole  la Dirección Ejecutiva con un 18 % y el Programa 950 </w:t>
      </w:r>
      <w:r w:rsidR="00083CA4" w:rsidRPr="002A7673">
        <w:rPr>
          <w:rFonts w:ascii="Times New Roman" w:eastAsia="Calibri" w:hAnsi="Times New Roman" w:cs="Times New Roman"/>
          <w:i/>
          <w:sz w:val="26"/>
          <w:szCs w:val="26"/>
        </w:rPr>
        <w:t>Servicio de Atención y Protección de Víctimas y Testigos</w:t>
      </w:r>
      <w:r w:rsidR="00083CA4" w:rsidRPr="002A7673">
        <w:rPr>
          <w:rFonts w:ascii="Times New Roman" w:eastAsia="Calibri" w:hAnsi="Times New Roman" w:cs="Times New Roman"/>
          <w:sz w:val="26"/>
          <w:szCs w:val="26"/>
        </w:rPr>
        <w:t xml:space="preserve">, con un 5%. </w:t>
      </w:r>
    </w:p>
    <w:p w14:paraId="53BAAC2A"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p>
    <w:p w14:paraId="3B6BA7FE" w14:textId="77777777" w:rsidR="00083CA4" w:rsidRPr="002A7673" w:rsidRDefault="00083CA4" w:rsidP="005F7139">
      <w:pPr>
        <w:keepNext/>
        <w:keepLines/>
        <w:numPr>
          <w:ilvl w:val="1"/>
          <w:numId w:val="7"/>
        </w:numPr>
        <w:shd w:val="clear" w:color="auto" w:fill="F2F2F2"/>
        <w:spacing w:after="0" w:line="240" w:lineRule="auto"/>
        <w:ind w:left="851" w:right="851" w:firstLine="709"/>
        <w:outlineLvl w:val="1"/>
        <w:rPr>
          <w:rFonts w:ascii="Times New Roman" w:eastAsia="Times New Roman" w:hAnsi="Times New Roman" w:cs="Times New Roman"/>
          <w:bCs/>
          <w:i/>
          <w:iCs/>
          <w:color w:val="1F4E79"/>
          <w:sz w:val="26"/>
          <w:szCs w:val="26"/>
          <w:shd w:val="clear" w:color="auto" w:fill="F2F2F2"/>
          <w:lang w:val="es-ES" w:eastAsia="es-ES"/>
        </w:rPr>
      </w:pPr>
      <w:r w:rsidRPr="002A7673">
        <w:rPr>
          <w:rFonts w:ascii="Times New Roman" w:eastAsia="Times New Roman" w:hAnsi="Times New Roman" w:cs="Times New Roman"/>
          <w:b/>
          <w:bCs/>
          <w:i/>
          <w:iCs/>
          <w:color w:val="1F4E79"/>
          <w:sz w:val="26"/>
          <w:szCs w:val="26"/>
          <w:shd w:val="clear" w:color="auto" w:fill="F2F2F2"/>
          <w:lang w:val="es-ES" w:eastAsia="es-ES"/>
        </w:rPr>
        <w:t xml:space="preserve"> Requerimientos Adicionales: </w:t>
      </w:r>
    </w:p>
    <w:p w14:paraId="2C1881DC"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p>
    <w:p w14:paraId="433A8C72"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La Defensa Pública solicita como requerimiento adicional la suma de ¢4.000.000, para atender de manera oportuna el mantenimiento de la flotilla vehicular ya que, históricamente, el presupuesto que se ha formulado en esta subpartida es insuficiente y genera que a los vehículos que no se les pueda brindar el mantenimiento, se mantengan detenidos hasta que se cuente con los recursos del periodo presupuestario siguiente.</w:t>
      </w:r>
    </w:p>
    <w:p w14:paraId="382ABBBE"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p>
    <w:p w14:paraId="5A71490E"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En lo que respecta a la ejecución del 2020, la Defensa Pública muestra una ejecución del 95%. Es importante considerar que </w:t>
      </w:r>
      <w:proofErr w:type="gramStart"/>
      <w:r w:rsidRPr="002A7673">
        <w:rPr>
          <w:rFonts w:ascii="Times New Roman" w:eastAsia="Times New Roman" w:hAnsi="Times New Roman" w:cs="Times New Roman"/>
          <w:sz w:val="26"/>
          <w:szCs w:val="26"/>
          <w:lang w:val="es-ES" w:eastAsia="es-ES"/>
        </w:rPr>
        <w:t>la  flotilla</w:t>
      </w:r>
      <w:proofErr w:type="gramEnd"/>
      <w:r w:rsidRPr="002A7673">
        <w:rPr>
          <w:rFonts w:ascii="Times New Roman" w:eastAsia="Times New Roman" w:hAnsi="Times New Roman" w:cs="Times New Roman"/>
          <w:sz w:val="26"/>
          <w:szCs w:val="26"/>
          <w:lang w:val="es-ES" w:eastAsia="es-ES"/>
        </w:rPr>
        <w:t xml:space="preserve"> vehicular de la Defensa Publica asciende a 48 vehículos a nivel nacional.</w:t>
      </w:r>
    </w:p>
    <w:p w14:paraId="470C808B"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p>
    <w:p w14:paraId="45AC21E6"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En consulta realizada al licenciado Josué González, administrador </w:t>
      </w:r>
      <w:proofErr w:type="spellStart"/>
      <w:r w:rsidRPr="002A7673">
        <w:rPr>
          <w:rFonts w:ascii="Times New Roman" w:eastAsia="Times New Roman" w:hAnsi="Times New Roman" w:cs="Times New Roman"/>
          <w:sz w:val="26"/>
          <w:szCs w:val="26"/>
          <w:lang w:val="es-ES" w:eastAsia="es-ES"/>
        </w:rPr>
        <w:t>a.í</w:t>
      </w:r>
      <w:proofErr w:type="spellEnd"/>
      <w:r w:rsidRPr="002A7673">
        <w:rPr>
          <w:rFonts w:ascii="Times New Roman" w:eastAsia="Times New Roman" w:hAnsi="Times New Roman" w:cs="Times New Roman"/>
          <w:sz w:val="26"/>
          <w:szCs w:val="26"/>
          <w:lang w:val="es-ES" w:eastAsia="es-ES"/>
        </w:rPr>
        <w:t xml:space="preserve">, sobre el porqué no se incluyeron  estos recursos en la formulación 2022, manifestó que, el incluir estos recursos en la formulación implicaría aumentar aún más el límite presupuestario establecido para la Defensa Pública,  por lo que optó solicitarlo como un requerimiento adicional, considerando que los </w:t>
      </w:r>
      <w:r w:rsidRPr="002A7673">
        <w:rPr>
          <w:rFonts w:ascii="Times New Roman" w:eastAsia="Times New Roman" w:hAnsi="Times New Roman" w:cs="Times New Roman"/>
          <w:sz w:val="26"/>
          <w:szCs w:val="26"/>
          <w:lang w:val="es-ES" w:eastAsia="es-ES"/>
        </w:rPr>
        <w:lastRenderedPageBreak/>
        <w:t xml:space="preserve">recursos que se han solicitado en años anteriores han sido insuficientes para atender correctamente los mantenimientos de la flotilla vehicular actual. </w:t>
      </w:r>
    </w:p>
    <w:p w14:paraId="779D4061"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p>
    <w:p w14:paraId="66BBC28C"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En virtud de la justificación indicada, a continuación, se muestra el detalle de los recursos aprobados y ejecutados para los períodos 2018 al 2020.</w:t>
      </w:r>
    </w:p>
    <w:p w14:paraId="4C2351B2" w14:textId="77777777" w:rsidR="00083CA4" w:rsidRPr="002A7673" w:rsidRDefault="00083CA4" w:rsidP="005F7139">
      <w:pPr>
        <w:spacing w:after="0" w:line="360" w:lineRule="auto"/>
        <w:ind w:left="708" w:firstLine="696"/>
        <w:jc w:val="both"/>
        <w:rPr>
          <w:rFonts w:ascii="Times New Roman" w:eastAsia="Times New Roman" w:hAnsi="Times New Roman" w:cs="Times New Roman"/>
          <w:sz w:val="24"/>
          <w:szCs w:val="24"/>
          <w:lang w:val="es-ES" w:eastAsia="es-ES"/>
        </w:rPr>
      </w:pPr>
    </w:p>
    <w:tbl>
      <w:tblPr>
        <w:tblW w:w="7460" w:type="dxa"/>
        <w:jc w:val="center"/>
        <w:tblCellMar>
          <w:left w:w="70" w:type="dxa"/>
          <w:right w:w="70" w:type="dxa"/>
        </w:tblCellMar>
        <w:tblLook w:val="04A0" w:firstRow="1" w:lastRow="0" w:firstColumn="1" w:lastColumn="0" w:noHBand="0" w:noVBand="1"/>
      </w:tblPr>
      <w:tblGrid>
        <w:gridCol w:w="1660"/>
        <w:gridCol w:w="1800"/>
        <w:gridCol w:w="1760"/>
        <w:gridCol w:w="2240"/>
      </w:tblGrid>
      <w:tr w:rsidR="00083CA4" w:rsidRPr="002A7673" w14:paraId="0BEE3147" w14:textId="77777777" w:rsidTr="005F7139">
        <w:trPr>
          <w:trHeight w:val="636"/>
          <w:jc w:val="center"/>
        </w:trPr>
        <w:tc>
          <w:tcPr>
            <w:tcW w:w="166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0201F588"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 xml:space="preserve">Período </w:t>
            </w:r>
          </w:p>
        </w:tc>
        <w:tc>
          <w:tcPr>
            <w:tcW w:w="1800" w:type="dxa"/>
            <w:tcBorders>
              <w:top w:val="single" w:sz="8" w:space="0" w:color="auto"/>
              <w:left w:val="nil"/>
              <w:bottom w:val="single" w:sz="8" w:space="0" w:color="auto"/>
              <w:right w:val="single" w:sz="8" w:space="0" w:color="auto"/>
            </w:tcBorders>
            <w:shd w:val="clear" w:color="000000" w:fill="BFBFBF"/>
            <w:vAlign w:val="center"/>
            <w:hideMark/>
          </w:tcPr>
          <w:p w14:paraId="20350A0C"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Formulado</w:t>
            </w:r>
          </w:p>
        </w:tc>
        <w:tc>
          <w:tcPr>
            <w:tcW w:w="1760" w:type="dxa"/>
            <w:tcBorders>
              <w:top w:val="single" w:sz="8" w:space="0" w:color="auto"/>
              <w:left w:val="nil"/>
              <w:bottom w:val="single" w:sz="8" w:space="0" w:color="auto"/>
              <w:right w:val="single" w:sz="8" w:space="0" w:color="auto"/>
            </w:tcBorders>
            <w:shd w:val="clear" w:color="000000" w:fill="BFBFBF"/>
            <w:vAlign w:val="center"/>
            <w:hideMark/>
          </w:tcPr>
          <w:p w14:paraId="2DCF2536"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Ejecutado</w:t>
            </w:r>
          </w:p>
        </w:tc>
        <w:tc>
          <w:tcPr>
            <w:tcW w:w="2240" w:type="dxa"/>
            <w:tcBorders>
              <w:top w:val="single" w:sz="8" w:space="0" w:color="auto"/>
              <w:left w:val="nil"/>
              <w:bottom w:val="single" w:sz="8" w:space="0" w:color="auto"/>
              <w:right w:val="single" w:sz="8" w:space="0" w:color="auto"/>
            </w:tcBorders>
            <w:shd w:val="clear" w:color="000000" w:fill="BFBFBF"/>
            <w:vAlign w:val="center"/>
            <w:hideMark/>
          </w:tcPr>
          <w:p w14:paraId="7ED35198"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 Ejecución</w:t>
            </w:r>
          </w:p>
        </w:tc>
      </w:tr>
      <w:tr w:rsidR="00083CA4" w:rsidRPr="002A7673" w14:paraId="0AA3AA4B" w14:textId="77777777" w:rsidTr="005F7139">
        <w:trPr>
          <w:trHeight w:val="300"/>
          <w:jc w:val="center"/>
        </w:trPr>
        <w:tc>
          <w:tcPr>
            <w:tcW w:w="1660" w:type="dxa"/>
            <w:tcBorders>
              <w:top w:val="nil"/>
              <w:left w:val="single" w:sz="8" w:space="0" w:color="auto"/>
              <w:bottom w:val="single" w:sz="8" w:space="0" w:color="auto"/>
              <w:right w:val="single" w:sz="8" w:space="0" w:color="auto"/>
            </w:tcBorders>
            <w:shd w:val="clear" w:color="auto" w:fill="auto"/>
            <w:noWrap/>
            <w:vAlign w:val="center"/>
            <w:hideMark/>
          </w:tcPr>
          <w:p w14:paraId="4BE52A6A"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2018</w:t>
            </w:r>
          </w:p>
        </w:tc>
        <w:tc>
          <w:tcPr>
            <w:tcW w:w="1800" w:type="dxa"/>
            <w:tcBorders>
              <w:top w:val="nil"/>
              <w:left w:val="nil"/>
              <w:bottom w:val="single" w:sz="8" w:space="0" w:color="auto"/>
              <w:right w:val="single" w:sz="8" w:space="0" w:color="auto"/>
            </w:tcBorders>
            <w:shd w:val="clear" w:color="auto" w:fill="auto"/>
            <w:noWrap/>
            <w:vAlign w:val="center"/>
            <w:hideMark/>
          </w:tcPr>
          <w:p w14:paraId="3198F222"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4.440.320,00</w:t>
            </w:r>
          </w:p>
        </w:tc>
        <w:tc>
          <w:tcPr>
            <w:tcW w:w="1760" w:type="dxa"/>
            <w:tcBorders>
              <w:top w:val="nil"/>
              <w:left w:val="nil"/>
              <w:bottom w:val="single" w:sz="8" w:space="0" w:color="auto"/>
              <w:right w:val="single" w:sz="8" w:space="0" w:color="auto"/>
            </w:tcBorders>
            <w:shd w:val="clear" w:color="auto" w:fill="auto"/>
            <w:noWrap/>
            <w:vAlign w:val="center"/>
            <w:hideMark/>
          </w:tcPr>
          <w:p w14:paraId="538DE315"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3.200.092,00</w:t>
            </w:r>
          </w:p>
        </w:tc>
        <w:tc>
          <w:tcPr>
            <w:tcW w:w="2240" w:type="dxa"/>
            <w:tcBorders>
              <w:top w:val="nil"/>
              <w:left w:val="nil"/>
              <w:bottom w:val="single" w:sz="8" w:space="0" w:color="auto"/>
              <w:right w:val="single" w:sz="8" w:space="0" w:color="auto"/>
            </w:tcBorders>
            <w:shd w:val="clear" w:color="auto" w:fill="auto"/>
            <w:vAlign w:val="center"/>
            <w:hideMark/>
          </w:tcPr>
          <w:p w14:paraId="054D8994"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72,00%</w:t>
            </w:r>
          </w:p>
        </w:tc>
      </w:tr>
      <w:tr w:rsidR="00083CA4" w:rsidRPr="002A7673" w14:paraId="66A89858" w14:textId="77777777" w:rsidTr="005F7139">
        <w:trPr>
          <w:trHeight w:val="300"/>
          <w:jc w:val="center"/>
        </w:trPr>
        <w:tc>
          <w:tcPr>
            <w:tcW w:w="1660" w:type="dxa"/>
            <w:tcBorders>
              <w:top w:val="nil"/>
              <w:left w:val="single" w:sz="8" w:space="0" w:color="auto"/>
              <w:bottom w:val="single" w:sz="8" w:space="0" w:color="auto"/>
              <w:right w:val="single" w:sz="8" w:space="0" w:color="auto"/>
            </w:tcBorders>
            <w:shd w:val="clear" w:color="auto" w:fill="auto"/>
            <w:noWrap/>
            <w:vAlign w:val="center"/>
            <w:hideMark/>
          </w:tcPr>
          <w:p w14:paraId="43C8A336"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2019</w:t>
            </w:r>
          </w:p>
        </w:tc>
        <w:tc>
          <w:tcPr>
            <w:tcW w:w="1800" w:type="dxa"/>
            <w:tcBorders>
              <w:top w:val="nil"/>
              <w:left w:val="nil"/>
              <w:bottom w:val="single" w:sz="8" w:space="0" w:color="auto"/>
              <w:right w:val="single" w:sz="8" w:space="0" w:color="auto"/>
            </w:tcBorders>
            <w:shd w:val="clear" w:color="auto" w:fill="auto"/>
            <w:noWrap/>
            <w:vAlign w:val="center"/>
            <w:hideMark/>
          </w:tcPr>
          <w:p w14:paraId="032A2FA7"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7.837.500,00</w:t>
            </w:r>
          </w:p>
        </w:tc>
        <w:tc>
          <w:tcPr>
            <w:tcW w:w="1760" w:type="dxa"/>
            <w:tcBorders>
              <w:top w:val="nil"/>
              <w:left w:val="nil"/>
              <w:bottom w:val="single" w:sz="8" w:space="0" w:color="auto"/>
              <w:right w:val="single" w:sz="8" w:space="0" w:color="auto"/>
            </w:tcBorders>
            <w:shd w:val="clear" w:color="auto" w:fill="auto"/>
            <w:noWrap/>
            <w:vAlign w:val="center"/>
            <w:hideMark/>
          </w:tcPr>
          <w:p w14:paraId="0472D5C4"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7.817.697,00</w:t>
            </w:r>
          </w:p>
        </w:tc>
        <w:tc>
          <w:tcPr>
            <w:tcW w:w="2240" w:type="dxa"/>
            <w:tcBorders>
              <w:top w:val="nil"/>
              <w:left w:val="nil"/>
              <w:bottom w:val="single" w:sz="8" w:space="0" w:color="auto"/>
              <w:right w:val="single" w:sz="8" w:space="0" w:color="auto"/>
            </w:tcBorders>
            <w:shd w:val="clear" w:color="auto" w:fill="auto"/>
            <w:noWrap/>
            <w:vAlign w:val="center"/>
            <w:hideMark/>
          </w:tcPr>
          <w:p w14:paraId="447F673E"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99,75%</w:t>
            </w:r>
          </w:p>
        </w:tc>
      </w:tr>
      <w:tr w:rsidR="00083CA4" w:rsidRPr="002A7673" w14:paraId="5193A7A3" w14:textId="77777777" w:rsidTr="005F7139">
        <w:trPr>
          <w:trHeight w:val="300"/>
          <w:jc w:val="center"/>
        </w:trPr>
        <w:tc>
          <w:tcPr>
            <w:tcW w:w="1660" w:type="dxa"/>
            <w:tcBorders>
              <w:top w:val="nil"/>
              <w:left w:val="single" w:sz="8" w:space="0" w:color="auto"/>
              <w:bottom w:val="single" w:sz="8" w:space="0" w:color="auto"/>
              <w:right w:val="single" w:sz="8" w:space="0" w:color="auto"/>
            </w:tcBorders>
            <w:shd w:val="clear" w:color="auto" w:fill="auto"/>
            <w:noWrap/>
            <w:vAlign w:val="center"/>
            <w:hideMark/>
          </w:tcPr>
          <w:p w14:paraId="6CE948EC"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2020</w:t>
            </w:r>
          </w:p>
        </w:tc>
        <w:tc>
          <w:tcPr>
            <w:tcW w:w="1800" w:type="dxa"/>
            <w:tcBorders>
              <w:top w:val="nil"/>
              <w:left w:val="nil"/>
              <w:bottom w:val="single" w:sz="8" w:space="0" w:color="auto"/>
              <w:right w:val="single" w:sz="8" w:space="0" w:color="auto"/>
            </w:tcBorders>
            <w:shd w:val="clear" w:color="auto" w:fill="auto"/>
            <w:noWrap/>
            <w:vAlign w:val="center"/>
            <w:hideMark/>
          </w:tcPr>
          <w:p w14:paraId="4C9F8796"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4.837.711,00</w:t>
            </w:r>
          </w:p>
        </w:tc>
        <w:tc>
          <w:tcPr>
            <w:tcW w:w="1760" w:type="dxa"/>
            <w:tcBorders>
              <w:top w:val="nil"/>
              <w:left w:val="nil"/>
              <w:bottom w:val="single" w:sz="8" w:space="0" w:color="auto"/>
              <w:right w:val="single" w:sz="8" w:space="0" w:color="auto"/>
            </w:tcBorders>
            <w:shd w:val="clear" w:color="auto" w:fill="auto"/>
            <w:noWrap/>
            <w:vAlign w:val="center"/>
            <w:hideMark/>
          </w:tcPr>
          <w:p w14:paraId="1F215717"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4.523.127,00</w:t>
            </w:r>
          </w:p>
        </w:tc>
        <w:tc>
          <w:tcPr>
            <w:tcW w:w="2240" w:type="dxa"/>
            <w:tcBorders>
              <w:top w:val="nil"/>
              <w:left w:val="nil"/>
              <w:bottom w:val="single" w:sz="8" w:space="0" w:color="auto"/>
              <w:right w:val="single" w:sz="8" w:space="0" w:color="auto"/>
            </w:tcBorders>
            <w:shd w:val="clear" w:color="auto" w:fill="auto"/>
            <w:noWrap/>
            <w:vAlign w:val="center"/>
            <w:hideMark/>
          </w:tcPr>
          <w:p w14:paraId="5D16DFC6" w14:textId="77777777" w:rsidR="00083CA4" w:rsidRPr="002A7673" w:rsidRDefault="00083CA4" w:rsidP="005F7139">
            <w:pPr>
              <w:spacing w:after="0" w:line="240" w:lineRule="auto"/>
              <w:jc w:val="center"/>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93,50%</w:t>
            </w:r>
          </w:p>
        </w:tc>
      </w:tr>
    </w:tbl>
    <w:p w14:paraId="289309F5" w14:textId="77777777" w:rsidR="00083CA4" w:rsidRPr="002A7673" w:rsidRDefault="00083CA4" w:rsidP="005F7139">
      <w:pPr>
        <w:spacing w:after="0" w:line="360" w:lineRule="auto"/>
        <w:ind w:left="708"/>
        <w:jc w:val="both"/>
        <w:rPr>
          <w:rFonts w:ascii="Times New Roman" w:eastAsia="Times New Roman" w:hAnsi="Times New Roman" w:cs="Times New Roman"/>
          <w:sz w:val="24"/>
          <w:szCs w:val="24"/>
          <w:lang w:val="es-ES" w:eastAsia="es-ES"/>
        </w:rPr>
      </w:pPr>
    </w:p>
    <w:p w14:paraId="2BF1CB81"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Como se aprecia, se ha ejecutado un monto menor al aprobado inicialmente en el último trienio. </w:t>
      </w:r>
    </w:p>
    <w:p w14:paraId="7618E2FC"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bCs/>
          <w:sz w:val="26"/>
          <w:szCs w:val="26"/>
          <w:lang w:val="es-ES" w:eastAsia="es-ES"/>
        </w:rPr>
      </w:pPr>
    </w:p>
    <w:p w14:paraId="33C8D68F" w14:textId="77777777" w:rsidR="00083CA4" w:rsidRPr="002A7673" w:rsidRDefault="00083CA4" w:rsidP="00D527DE">
      <w:pPr>
        <w:numPr>
          <w:ilvl w:val="0"/>
          <w:numId w:val="22"/>
        </w:numPr>
        <w:spacing w:after="0" w:line="240" w:lineRule="auto"/>
        <w:ind w:left="851" w:right="851" w:firstLine="709"/>
        <w:jc w:val="center"/>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0   -</w:t>
      </w:r>
    </w:p>
    <w:p w14:paraId="3ADBECEA"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p>
    <w:p w14:paraId="221C92FE"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Al respecto, la Dirección Ejecutiva mediante correo electrónico de este 22 de abril de 2021, indicó </w:t>
      </w:r>
      <w:proofErr w:type="gramStart"/>
      <w:r w:rsidRPr="002A7673">
        <w:rPr>
          <w:rFonts w:ascii="Times New Roman" w:eastAsia="Calibri" w:hAnsi="Times New Roman" w:cs="Times New Roman"/>
          <w:sz w:val="26"/>
          <w:szCs w:val="26"/>
        </w:rPr>
        <w:t>que</w:t>
      </w:r>
      <w:proofErr w:type="gramEnd"/>
      <w:r w:rsidRPr="002A7673">
        <w:rPr>
          <w:rFonts w:ascii="Times New Roman" w:eastAsia="Calibri" w:hAnsi="Times New Roman" w:cs="Times New Roman"/>
          <w:sz w:val="26"/>
          <w:szCs w:val="26"/>
        </w:rPr>
        <w:t xml:space="preserve"> como resultado del análisis, se concluye que en relación con el análisis solicitado respecto a los recursos adicionales solicitados por el Defensa Pública en la subpartida 10805 “Mantenimiento y Reparación de Equipo de Transporte”, sí se justifica la gestión de estos recursos como adicionales.</w:t>
      </w:r>
    </w:p>
    <w:p w14:paraId="3D3FE6C7" w14:textId="77777777" w:rsidR="005F7139" w:rsidRPr="002A7673" w:rsidRDefault="005F7139" w:rsidP="005F7139">
      <w:pPr>
        <w:spacing w:after="0" w:line="240" w:lineRule="auto"/>
        <w:ind w:left="851" w:right="851" w:firstLine="709"/>
        <w:jc w:val="both"/>
        <w:rPr>
          <w:rFonts w:ascii="Times New Roman" w:eastAsia="Calibri" w:hAnsi="Times New Roman" w:cs="Times New Roman"/>
          <w:sz w:val="26"/>
          <w:szCs w:val="26"/>
        </w:rPr>
      </w:pPr>
    </w:p>
    <w:p w14:paraId="5785253A" w14:textId="77777777" w:rsidR="00083CA4" w:rsidRPr="002A7673" w:rsidRDefault="00083CA4" w:rsidP="005F7139">
      <w:pPr>
        <w:spacing w:after="0" w:line="360" w:lineRule="auto"/>
        <w:jc w:val="center"/>
        <w:rPr>
          <w:rFonts w:ascii="Times New Roman" w:eastAsia="Calibri" w:hAnsi="Times New Roman" w:cs="Times New Roman"/>
          <w:sz w:val="28"/>
          <w:szCs w:val="28"/>
          <w:lang w:eastAsia="es-ES"/>
        </w:rPr>
      </w:pPr>
      <w:r w:rsidRPr="002A7673">
        <w:rPr>
          <w:rFonts w:ascii="Times New Roman" w:eastAsia="Calibri" w:hAnsi="Times New Roman" w:cs="Times New Roman"/>
          <w:sz w:val="28"/>
          <w:szCs w:val="28"/>
          <w:lang w:eastAsia="es-ES"/>
        </w:rPr>
        <w:object w:dxaOrig="1508" w:dyaOrig="984" w14:anchorId="6EF85D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15" o:title=""/>
          </v:shape>
          <o:OLEObject Type="Embed" ProgID="Package" ShapeID="_x0000_i1025" DrawAspect="Icon" ObjectID="_1684066968" r:id="rId16"/>
        </w:object>
      </w:r>
    </w:p>
    <w:p w14:paraId="29F2001B" w14:textId="77777777" w:rsidR="00083CA4" w:rsidRPr="002A7673" w:rsidRDefault="00083CA4" w:rsidP="005F7139">
      <w:pPr>
        <w:keepNext/>
        <w:keepLines/>
        <w:numPr>
          <w:ilvl w:val="1"/>
          <w:numId w:val="7"/>
        </w:numPr>
        <w:shd w:val="clear" w:color="auto" w:fill="F2F2F2"/>
        <w:spacing w:after="0" w:line="240" w:lineRule="auto"/>
        <w:ind w:left="851" w:right="851" w:firstLine="709"/>
        <w:outlineLvl w:val="1"/>
        <w:rPr>
          <w:rFonts w:ascii="Times New Roman" w:eastAsia="Times New Roman" w:hAnsi="Times New Roman" w:cs="Times New Roman"/>
          <w:bCs/>
          <w:i/>
          <w:iCs/>
          <w:color w:val="1F4E79"/>
          <w:sz w:val="26"/>
          <w:szCs w:val="26"/>
          <w:shd w:val="clear" w:color="auto" w:fill="F2F2F2"/>
          <w:lang w:val="es-ES" w:eastAsia="es-ES"/>
        </w:rPr>
      </w:pPr>
      <w:r w:rsidRPr="002A7673">
        <w:rPr>
          <w:rFonts w:ascii="Times New Roman" w:eastAsia="Times New Roman" w:hAnsi="Times New Roman" w:cs="Times New Roman"/>
          <w:b/>
          <w:bCs/>
          <w:i/>
          <w:iCs/>
          <w:color w:val="1F4E79"/>
          <w:sz w:val="26"/>
          <w:szCs w:val="26"/>
          <w:shd w:val="clear" w:color="auto" w:fill="F2F2F2"/>
          <w:lang w:val="es-ES" w:eastAsia="es-ES"/>
        </w:rPr>
        <w:t>Subpartida 2.01.01 Combustibles y Lubricantes</w:t>
      </w:r>
    </w:p>
    <w:p w14:paraId="43FAE413" w14:textId="77777777" w:rsidR="00083CA4" w:rsidRPr="002A7673" w:rsidRDefault="00083CA4" w:rsidP="005F7139">
      <w:pPr>
        <w:spacing w:after="0" w:line="240" w:lineRule="auto"/>
        <w:ind w:left="851" w:right="851" w:firstLine="709"/>
        <w:rPr>
          <w:rFonts w:ascii="Times New Roman" w:eastAsia="Calibri" w:hAnsi="Times New Roman" w:cs="Times New Roman"/>
          <w:sz w:val="26"/>
          <w:szCs w:val="26"/>
        </w:rPr>
      </w:pPr>
    </w:p>
    <w:p w14:paraId="0B0C85B2"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En esta subpartida se formulan recursos principalmente para la compra de combustible para consumo de la flotilla vehicular del Poder Judicial, el cual se realiza por medio del Sistema Flota 2.0 mediante el uso de las tarjetas que se tienen para estos fines. En esta subpartida se formulan los recursos correspondientes a gasolina súper, gasolina regular y Diesel.</w:t>
      </w:r>
    </w:p>
    <w:p w14:paraId="7A71BA81" w14:textId="77777777" w:rsidR="00083CA4" w:rsidRPr="002A7673" w:rsidRDefault="00083CA4" w:rsidP="005F7139">
      <w:pPr>
        <w:spacing w:after="0" w:line="240" w:lineRule="auto"/>
        <w:ind w:left="851" w:right="851" w:firstLine="709"/>
        <w:rPr>
          <w:rFonts w:ascii="Times New Roman" w:eastAsia="Calibri" w:hAnsi="Times New Roman" w:cs="Times New Roman"/>
          <w:sz w:val="26"/>
          <w:szCs w:val="26"/>
        </w:rPr>
      </w:pPr>
    </w:p>
    <w:p w14:paraId="780CD395" w14:textId="77777777" w:rsidR="00083CA4" w:rsidRPr="002A7673" w:rsidRDefault="00083CA4" w:rsidP="005F7139">
      <w:pPr>
        <w:keepNext/>
        <w:keepLines/>
        <w:numPr>
          <w:ilvl w:val="2"/>
          <w:numId w:val="7"/>
        </w:numPr>
        <w:spacing w:after="0" w:line="240" w:lineRule="auto"/>
        <w:ind w:left="851" w:right="851" w:firstLine="709"/>
        <w:outlineLvl w:val="2"/>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t>Comportamiento histórico de la subpartida</w:t>
      </w:r>
    </w:p>
    <w:p w14:paraId="1F1DEA8D" w14:textId="77777777" w:rsidR="00083CA4" w:rsidRPr="002A7673" w:rsidRDefault="00083CA4" w:rsidP="005F7139">
      <w:pPr>
        <w:spacing w:after="0" w:line="240" w:lineRule="auto"/>
        <w:jc w:val="both"/>
        <w:rPr>
          <w:rFonts w:ascii="Times New Roman" w:eastAsia="Calibri" w:hAnsi="Times New Roman" w:cs="Times New Roman"/>
          <w:bCs/>
          <w:sz w:val="24"/>
        </w:rPr>
      </w:pPr>
    </w:p>
    <w:p w14:paraId="59BBDA98"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Calibri" w:hAnsi="Times New Roman" w:cs="Times New Roman"/>
          <w:b/>
          <w:sz w:val="26"/>
          <w:szCs w:val="26"/>
        </w:rPr>
        <w:t>Figura N° 10</w:t>
      </w:r>
    </w:p>
    <w:p w14:paraId="16BDDBFA"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lastRenderedPageBreak/>
        <w:t>Detalle del comportamiento histórico de la subpartida 2.01.01 Combustibles y Lubricantes, Período 2018 – 2022.</w:t>
      </w:r>
    </w:p>
    <w:p w14:paraId="0CACC8BC" w14:textId="77777777" w:rsidR="00083CA4" w:rsidRPr="002A7673" w:rsidRDefault="00083CA4" w:rsidP="005F7139">
      <w:pPr>
        <w:spacing w:after="0" w:line="240" w:lineRule="auto"/>
        <w:jc w:val="both"/>
        <w:rPr>
          <w:rFonts w:ascii="Times New Roman" w:eastAsia="Calibri" w:hAnsi="Times New Roman" w:cs="Times New Roman"/>
          <w:bCs/>
          <w:sz w:val="24"/>
        </w:rPr>
      </w:pPr>
    </w:p>
    <w:tbl>
      <w:tblPr>
        <w:tblW w:w="8602" w:type="dxa"/>
        <w:tblCellMar>
          <w:left w:w="70" w:type="dxa"/>
          <w:right w:w="70" w:type="dxa"/>
        </w:tblCellMar>
        <w:tblLook w:val="04A0" w:firstRow="1" w:lastRow="0" w:firstColumn="1" w:lastColumn="0" w:noHBand="0" w:noVBand="1"/>
      </w:tblPr>
      <w:tblGrid>
        <w:gridCol w:w="2012"/>
        <w:gridCol w:w="1407"/>
        <w:gridCol w:w="1292"/>
        <w:gridCol w:w="1307"/>
        <w:gridCol w:w="1292"/>
        <w:gridCol w:w="1292"/>
      </w:tblGrid>
      <w:tr w:rsidR="00083CA4" w:rsidRPr="002A7673" w14:paraId="582D64B0" w14:textId="77777777" w:rsidTr="00083CA4">
        <w:trPr>
          <w:trHeight w:val="391"/>
        </w:trPr>
        <w:tc>
          <w:tcPr>
            <w:tcW w:w="2012" w:type="dxa"/>
            <w:tcBorders>
              <w:top w:val="nil"/>
              <w:left w:val="nil"/>
              <w:bottom w:val="single" w:sz="4" w:space="0" w:color="8EA9DB"/>
              <w:right w:val="nil"/>
            </w:tcBorders>
            <w:shd w:val="clear" w:color="auto" w:fill="auto"/>
            <w:noWrap/>
            <w:vAlign w:val="center"/>
            <w:hideMark/>
          </w:tcPr>
          <w:p w14:paraId="5B9D8FA4"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18"/>
                <w:szCs w:val="18"/>
                <w:lang w:eastAsia="es-CR"/>
              </w:rPr>
            </w:pPr>
          </w:p>
        </w:tc>
        <w:tc>
          <w:tcPr>
            <w:tcW w:w="1407" w:type="dxa"/>
            <w:tcBorders>
              <w:top w:val="nil"/>
              <w:left w:val="nil"/>
              <w:bottom w:val="single" w:sz="4" w:space="0" w:color="8EA9DB"/>
              <w:right w:val="nil"/>
            </w:tcBorders>
            <w:shd w:val="clear" w:color="auto" w:fill="F2F2F2"/>
            <w:noWrap/>
            <w:vAlign w:val="center"/>
            <w:hideMark/>
          </w:tcPr>
          <w:p w14:paraId="469C5B06"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0"/>
                <w:szCs w:val="20"/>
                <w:lang w:eastAsia="es-CR"/>
              </w:rPr>
            </w:pPr>
            <w:r w:rsidRPr="002A7673">
              <w:rPr>
                <w:rFonts w:ascii="Times New Roman" w:eastAsia="Times New Roman" w:hAnsi="Times New Roman" w:cs="Times New Roman"/>
                <w:b/>
                <w:bCs/>
                <w:color w:val="1F4E78"/>
                <w:sz w:val="20"/>
                <w:szCs w:val="20"/>
                <w:lang w:eastAsia="es-CR"/>
              </w:rPr>
              <w:t>2018</w:t>
            </w:r>
          </w:p>
        </w:tc>
        <w:tc>
          <w:tcPr>
            <w:tcW w:w="1292" w:type="dxa"/>
            <w:tcBorders>
              <w:top w:val="nil"/>
              <w:left w:val="nil"/>
              <w:bottom w:val="single" w:sz="4" w:space="0" w:color="8EA9DB"/>
              <w:right w:val="nil"/>
            </w:tcBorders>
            <w:shd w:val="clear" w:color="auto" w:fill="F2F2F2"/>
            <w:noWrap/>
            <w:vAlign w:val="center"/>
            <w:hideMark/>
          </w:tcPr>
          <w:p w14:paraId="775CC3DA"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0"/>
                <w:szCs w:val="20"/>
                <w:lang w:eastAsia="es-CR"/>
              </w:rPr>
            </w:pPr>
            <w:r w:rsidRPr="002A7673">
              <w:rPr>
                <w:rFonts w:ascii="Times New Roman" w:eastAsia="Times New Roman" w:hAnsi="Times New Roman" w:cs="Times New Roman"/>
                <w:b/>
                <w:bCs/>
                <w:color w:val="1F4E78"/>
                <w:sz w:val="20"/>
                <w:szCs w:val="20"/>
                <w:lang w:eastAsia="es-CR"/>
              </w:rPr>
              <w:t>2019</w:t>
            </w:r>
          </w:p>
        </w:tc>
        <w:tc>
          <w:tcPr>
            <w:tcW w:w="1307" w:type="dxa"/>
            <w:tcBorders>
              <w:top w:val="nil"/>
              <w:left w:val="nil"/>
              <w:bottom w:val="single" w:sz="4" w:space="0" w:color="8EA9DB"/>
              <w:right w:val="nil"/>
            </w:tcBorders>
            <w:shd w:val="clear" w:color="auto" w:fill="F2F2F2"/>
            <w:noWrap/>
            <w:vAlign w:val="center"/>
            <w:hideMark/>
          </w:tcPr>
          <w:p w14:paraId="3CD277C2"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0"/>
                <w:szCs w:val="20"/>
                <w:lang w:eastAsia="es-CR"/>
              </w:rPr>
            </w:pPr>
            <w:r w:rsidRPr="002A7673">
              <w:rPr>
                <w:rFonts w:ascii="Times New Roman" w:eastAsia="Times New Roman" w:hAnsi="Times New Roman" w:cs="Times New Roman"/>
                <w:b/>
                <w:bCs/>
                <w:color w:val="1F4E78"/>
                <w:sz w:val="20"/>
                <w:szCs w:val="20"/>
                <w:lang w:eastAsia="es-CR"/>
              </w:rPr>
              <w:t>2020</w:t>
            </w:r>
          </w:p>
        </w:tc>
        <w:tc>
          <w:tcPr>
            <w:tcW w:w="1292" w:type="dxa"/>
            <w:tcBorders>
              <w:top w:val="nil"/>
              <w:left w:val="nil"/>
              <w:bottom w:val="single" w:sz="4" w:space="0" w:color="8EA9DB"/>
              <w:right w:val="nil"/>
            </w:tcBorders>
            <w:shd w:val="clear" w:color="auto" w:fill="F2F2F2"/>
            <w:noWrap/>
            <w:vAlign w:val="center"/>
            <w:hideMark/>
          </w:tcPr>
          <w:p w14:paraId="7149272A"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0"/>
                <w:szCs w:val="20"/>
                <w:lang w:eastAsia="es-CR"/>
              </w:rPr>
            </w:pPr>
            <w:r w:rsidRPr="002A7673">
              <w:rPr>
                <w:rFonts w:ascii="Times New Roman" w:eastAsia="Times New Roman" w:hAnsi="Times New Roman" w:cs="Times New Roman"/>
                <w:b/>
                <w:bCs/>
                <w:color w:val="1F4E78"/>
                <w:sz w:val="20"/>
                <w:szCs w:val="20"/>
                <w:lang w:eastAsia="es-CR"/>
              </w:rPr>
              <w:t>2021</w:t>
            </w:r>
          </w:p>
        </w:tc>
        <w:tc>
          <w:tcPr>
            <w:tcW w:w="1292" w:type="dxa"/>
            <w:tcBorders>
              <w:top w:val="nil"/>
              <w:left w:val="nil"/>
              <w:bottom w:val="single" w:sz="4" w:space="0" w:color="8EA9DB"/>
              <w:right w:val="nil"/>
            </w:tcBorders>
            <w:shd w:val="clear" w:color="auto" w:fill="F2F2F2"/>
            <w:noWrap/>
            <w:vAlign w:val="center"/>
            <w:hideMark/>
          </w:tcPr>
          <w:p w14:paraId="1E70605C"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0"/>
                <w:szCs w:val="20"/>
                <w:lang w:eastAsia="es-CR"/>
              </w:rPr>
            </w:pPr>
            <w:r w:rsidRPr="002A7673">
              <w:rPr>
                <w:rFonts w:ascii="Times New Roman" w:eastAsia="Times New Roman" w:hAnsi="Times New Roman" w:cs="Times New Roman"/>
                <w:b/>
                <w:bCs/>
                <w:color w:val="1F4E78"/>
                <w:sz w:val="20"/>
                <w:szCs w:val="20"/>
                <w:lang w:eastAsia="es-CR"/>
              </w:rPr>
              <w:t>2022</w:t>
            </w:r>
          </w:p>
        </w:tc>
      </w:tr>
      <w:tr w:rsidR="00083CA4" w:rsidRPr="002A7673" w14:paraId="5CB20646" w14:textId="77777777" w:rsidTr="00083CA4">
        <w:trPr>
          <w:trHeight w:val="182"/>
        </w:trPr>
        <w:tc>
          <w:tcPr>
            <w:tcW w:w="2012" w:type="dxa"/>
            <w:tcBorders>
              <w:top w:val="nil"/>
              <w:left w:val="nil"/>
              <w:bottom w:val="nil"/>
              <w:right w:val="nil"/>
            </w:tcBorders>
            <w:shd w:val="clear" w:color="auto" w:fill="F2F2F2"/>
            <w:noWrap/>
            <w:vAlign w:val="bottom"/>
            <w:hideMark/>
          </w:tcPr>
          <w:p w14:paraId="607CA7C6"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b/>
                <w:bCs/>
                <w:color w:val="000000"/>
                <w:sz w:val="18"/>
                <w:szCs w:val="18"/>
                <w:lang w:eastAsia="es-CR"/>
              </w:rPr>
              <w:t>Monto formulado</w:t>
            </w:r>
          </w:p>
        </w:tc>
        <w:tc>
          <w:tcPr>
            <w:tcW w:w="1407" w:type="dxa"/>
            <w:tcBorders>
              <w:top w:val="nil"/>
              <w:left w:val="nil"/>
              <w:bottom w:val="nil"/>
              <w:right w:val="nil"/>
            </w:tcBorders>
            <w:shd w:val="clear" w:color="auto" w:fill="auto"/>
            <w:noWrap/>
            <w:vAlign w:val="bottom"/>
            <w:hideMark/>
          </w:tcPr>
          <w:p w14:paraId="293D5017"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1.192.890.241</w:t>
            </w:r>
          </w:p>
        </w:tc>
        <w:tc>
          <w:tcPr>
            <w:tcW w:w="1292" w:type="dxa"/>
            <w:tcBorders>
              <w:top w:val="nil"/>
              <w:left w:val="nil"/>
              <w:bottom w:val="nil"/>
              <w:right w:val="nil"/>
            </w:tcBorders>
            <w:shd w:val="clear" w:color="auto" w:fill="auto"/>
            <w:noWrap/>
            <w:vAlign w:val="bottom"/>
            <w:hideMark/>
          </w:tcPr>
          <w:p w14:paraId="3036512E"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1.343.483.310</w:t>
            </w:r>
          </w:p>
        </w:tc>
        <w:tc>
          <w:tcPr>
            <w:tcW w:w="1307" w:type="dxa"/>
            <w:tcBorders>
              <w:top w:val="nil"/>
              <w:left w:val="nil"/>
              <w:bottom w:val="nil"/>
              <w:right w:val="nil"/>
            </w:tcBorders>
            <w:shd w:val="clear" w:color="auto" w:fill="auto"/>
            <w:noWrap/>
            <w:vAlign w:val="bottom"/>
            <w:hideMark/>
          </w:tcPr>
          <w:p w14:paraId="2ED52ED9"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1.424.811.758</w:t>
            </w:r>
          </w:p>
        </w:tc>
        <w:tc>
          <w:tcPr>
            <w:tcW w:w="1292" w:type="dxa"/>
            <w:tcBorders>
              <w:top w:val="nil"/>
              <w:left w:val="nil"/>
              <w:bottom w:val="nil"/>
              <w:right w:val="nil"/>
            </w:tcBorders>
            <w:shd w:val="clear" w:color="auto" w:fill="auto"/>
            <w:noWrap/>
            <w:vAlign w:val="bottom"/>
            <w:hideMark/>
          </w:tcPr>
          <w:p w14:paraId="43730C34"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1.377.503.756</w:t>
            </w:r>
          </w:p>
        </w:tc>
        <w:tc>
          <w:tcPr>
            <w:tcW w:w="1292" w:type="dxa"/>
            <w:tcBorders>
              <w:top w:val="nil"/>
              <w:left w:val="nil"/>
              <w:bottom w:val="nil"/>
              <w:right w:val="nil"/>
            </w:tcBorders>
            <w:shd w:val="clear" w:color="auto" w:fill="auto"/>
            <w:noWrap/>
            <w:vAlign w:val="bottom"/>
            <w:hideMark/>
          </w:tcPr>
          <w:p w14:paraId="2FA80AC5"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1.223.152.670</w:t>
            </w:r>
          </w:p>
        </w:tc>
      </w:tr>
      <w:tr w:rsidR="00083CA4" w:rsidRPr="002A7673" w14:paraId="4DF44AF0" w14:textId="77777777" w:rsidTr="00083CA4">
        <w:trPr>
          <w:trHeight w:val="335"/>
        </w:trPr>
        <w:tc>
          <w:tcPr>
            <w:tcW w:w="2012" w:type="dxa"/>
            <w:tcBorders>
              <w:top w:val="nil"/>
              <w:left w:val="nil"/>
              <w:bottom w:val="single" w:sz="4" w:space="0" w:color="auto"/>
              <w:right w:val="nil"/>
            </w:tcBorders>
            <w:shd w:val="clear" w:color="auto" w:fill="F2F2F2"/>
            <w:noWrap/>
            <w:vAlign w:val="bottom"/>
            <w:hideMark/>
          </w:tcPr>
          <w:p w14:paraId="34A79C0C" w14:textId="77777777" w:rsidR="00083CA4" w:rsidRPr="002A7673" w:rsidRDefault="00083CA4" w:rsidP="005F7139">
            <w:pPr>
              <w:spacing w:after="0" w:line="240" w:lineRule="auto"/>
              <w:rPr>
                <w:rFonts w:ascii="Times New Roman" w:eastAsia="Times New Roman" w:hAnsi="Times New Roman" w:cs="Times New Roman"/>
                <w:b/>
                <w:bCs/>
                <w:color w:val="000000"/>
                <w:sz w:val="18"/>
                <w:szCs w:val="18"/>
                <w:lang w:eastAsia="es-CR"/>
              </w:rPr>
            </w:pPr>
            <w:r w:rsidRPr="002A7673">
              <w:rPr>
                <w:rFonts w:ascii="Times New Roman" w:eastAsia="Times New Roman" w:hAnsi="Times New Roman" w:cs="Times New Roman"/>
                <w:b/>
                <w:bCs/>
                <w:color w:val="000000"/>
                <w:sz w:val="18"/>
                <w:szCs w:val="18"/>
                <w:lang w:eastAsia="es-CR"/>
              </w:rPr>
              <w:t xml:space="preserve">Variación </w:t>
            </w:r>
          </w:p>
        </w:tc>
        <w:tc>
          <w:tcPr>
            <w:tcW w:w="1407" w:type="dxa"/>
            <w:tcBorders>
              <w:top w:val="nil"/>
              <w:left w:val="nil"/>
              <w:bottom w:val="single" w:sz="4" w:space="0" w:color="auto"/>
              <w:right w:val="nil"/>
            </w:tcBorders>
            <w:shd w:val="clear" w:color="auto" w:fill="auto"/>
            <w:noWrap/>
            <w:vAlign w:val="bottom"/>
            <w:hideMark/>
          </w:tcPr>
          <w:p w14:paraId="1D1A526D" w14:textId="77777777" w:rsidR="00083CA4" w:rsidRPr="002A7673" w:rsidRDefault="00083CA4" w:rsidP="005F7139">
            <w:pPr>
              <w:spacing w:after="0" w:line="240" w:lineRule="auto"/>
              <w:rPr>
                <w:rFonts w:ascii="Times New Roman" w:eastAsia="Times New Roman" w:hAnsi="Times New Roman" w:cs="Times New Roman"/>
                <w:sz w:val="20"/>
                <w:szCs w:val="20"/>
                <w:lang w:eastAsia="es-CR"/>
              </w:rPr>
            </w:pPr>
          </w:p>
        </w:tc>
        <w:tc>
          <w:tcPr>
            <w:tcW w:w="1292" w:type="dxa"/>
            <w:tcBorders>
              <w:top w:val="nil"/>
              <w:left w:val="nil"/>
              <w:bottom w:val="single" w:sz="4" w:space="0" w:color="auto"/>
              <w:right w:val="nil"/>
            </w:tcBorders>
            <w:shd w:val="clear" w:color="auto" w:fill="auto"/>
            <w:noWrap/>
            <w:vAlign w:val="bottom"/>
            <w:hideMark/>
          </w:tcPr>
          <w:p w14:paraId="15D8DFD0"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11%</w:t>
            </w:r>
          </w:p>
        </w:tc>
        <w:tc>
          <w:tcPr>
            <w:tcW w:w="1307" w:type="dxa"/>
            <w:tcBorders>
              <w:top w:val="nil"/>
              <w:left w:val="nil"/>
              <w:bottom w:val="single" w:sz="4" w:space="0" w:color="auto"/>
              <w:right w:val="nil"/>
            </w:tcBorders>
            <w:shd w:val="clear" w:color="auto" w:fill="auto"/>
            <w:noWrap/>
            <w:vAlign w:val="bottom"/>
            <w:hideMark/>
          </w:tcPr>
          <w:p w14:paraId="3C0EFB97"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6%</w:t>
            </w:r>
          </w:p>
        </w:tc>
        <w:tc>
          <w:tcPr>
            <w:tcW w:w="1292" w:type="dxa"/>
            <w:tcBorders>
              <w:top w:val="nil"/>
              <w:left w:val="nil"/>
              <w:bottom w:val="single" w:sz="4" w:space="0" w:color="auto"/>
              <w:right w:val="nil"/>
            </w:tcBorders>
            <w:shd w:val="clear" w:color="auto" w:fill="auto"/>
            <w:noWrap/>
            <w:vAlign w:val="bottom"/>
            <w:hideMark/>
          </w:tcPr>
          <w:p w14:paraId="25D69F35"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-3%</w:t>
            </w:r>
          </w:p>
        </w:tc>
        <w:tc>
          <w:tcPr>
            <w:tcW w:w="1292" w:type="dxa"/>
            <w:tcBorders>
              <w:top w:val="nil"/>
              <w:left w:val="nil"/>
              <w:bottom w:val="single" w:sz="4" w:space="0" w:color="auto"/>
              <w:right w:val="nil"/>
            </w:tcBorders>
            <w:shd w:val="clear" w:color="auto" w:fill="auto"/>
            <w:noWrap/>
            <w:vAlign w:val="bottom"/>
            <w:hideMark/>
          </w:tcPr>
          <w:p w14:paraId="35A67571"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-13%</w:t>
            </w:r>
          </w:p>
        </w:tc>
      </w:tr>
    </w:tbl>
    <w:p w14:paraId="2FEBBFB1" w14:textId="77777777" w:rsidR="00083CA4" w:rsidRPr="002A7673" w:rsidRDefault="00083CA4" w:rsidP="005F7139">
      <w:pPr>
        <w:spacing w:after="0" w:line="240" w:lineRule="auto"/>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Fuente: SIGA PJ</w:t>
      </w:r>
    </w:p>
    <w:p w14:paraId="0225AF5D"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7AC52FE4"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Como se observa en el cuadro anterior, a partir del 2021 la subpartida muestra un decrecimiento del -3% y para el 2022 de un -13% y en términos absolutos disminuye en ¢47.308.002 y ¢154.351.086, respectivamente.  </w:t>
      </w:r>
    </w:p>
    <w:p w14:paraId="79CB2501"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01578CC8"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16C07A0C"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Figura N° 11.</w:t>
      </w:r>
    </w:p>
    <w:p w14:paraId="7116EA56"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 xml:space="preserve"> </w:t>
      </w:r>
    </w:p>
    <w:p w14:paraId="1728D1A1"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Subpartida 2.01.01 Combustibles y Lubricantes Formulación y Ejecución Periodos 2018 – 2022</w:t>
      </w:r>
    </w:p>
    <w:p w14:paraId="13FECA68"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30A7C51C"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tbl>
      <w:tblPr>
        <w:tblW w:w="8051" w:type="dxa"/>
        <w:jc w:val="center"/>
        <w:tblCellMar>
          <w:left w:w="70" w:type="dxa"/>
          <w:right w:w="70" w:type="dxa"/>
        </w:tblCellMar>
        <w:tblLook w:val="04A0" w:firstRow="1" w:lastRow="0" w:firstColumn="1" w:lastColumn="0" w:noHBand="0" w:noVBand="1"/>
      </w:tblPr>
      <w:tblGrid>
        <w:gridCol w:w="1585"/>
        <w:gridCol w:w="2541"/>
        <w:gridCol w:w="2340"/>
        <w:gridCol w:w="1585"/>
      </w:tblGrid>
      <w:tr w:rsidR="00083CA4" w:rsidRPr="002A7673" w14:paraId="4506319D" w14:textId="77777777" w:rsidTr="005F7139">
        <w:trPr>
          <w:trHeight w:val="293"/>
          <w:jc w:val="center"/>
        </w:trPr>
        <w:tc>
          <w:tcPr>
            <w:tcW w:w="1585"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2F418808"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0"/>
                <w:szCs w:val="20"/>
                <w:lang w:eastAsia="es-CR"/>
              </w:rPr>
            </w:pPr>
            <w:r w:rsidRPr="002A7673">
              <w:rPr>
                <w:rFonts w:ascii="Times New Roman" w:eastAsia="Times New Roman" w:hAnsi="Times New Roman" w:cs="Times New Roman"/>
                <w:b/>
                <w:bCs/>
                <w:color w:val="000000"/>
                <w:sz w:val="20"/>
                <w:szCs w:val="20"/>
                <w:lang w:eastAsia="es-CR"/>
              </w:rPr>
              <w:t>Periodo</w:t>
            </w:r>
          </w:p>
        </w:tc>
        <w:tc>
          <w:tcPr>
            <w:tcW w:w="2541" w:type="dxa"/>
            <w:tcBorders>
              <w:top w:val="single" w:sz="8" w:space="0" w:color="auto"/>
              <w:left w:val="nil"/>
              <w:bottom w:val="single" w:sz="8" w:space="0" w:color="auto"/>
              <w:right w:val="single" w:sz="8" w:space="0" w:color="auto"/>
            </w:tcBorders>
            <w:shd w:val="clear" w:color="000000" w:fill="D9D9D9"/>
            <w:noWrap/>
            <w:vAlign w:val="center"/>
            <w:hideMark/>
          </w:tcPr>
          <w:p w14:paraId="000C71FA"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0"/>
                <w:szCs w:val="20"/>
                <w:lang w:eastAsia="es-CR"/>
              </w:rPr>
            </w:pPr>
            <w:r w:rsidRPr="002A7673">
              <w:rPr>
                <w:rFonts w:ascii="Times New Roman" w:eastAsia="Times New Roman" w:hAnsi="Times New Roman" w:cs="Times New Roman"/>
                <w:b/>
                <w:bCs/>
                <w:color w:val="000000"/>
                <w:sz w:val="20"/>
                <w:szCs w:val="20"/>
                <w:lang w:eastAsia="es-CR"/>
              </w:rPr>
              <w:t>Formulado</w:t>
            </w:r>
          </w:p>
        </w:tc>
        <w:tc>
          <w:tcPr>
            <w:tcW w:w="2340" w:type="dxa"/>
            <w:tcBorders>
              <w:top w:val="single" w:sz="8" w:space="0" w:color="auto"/>
              <w:left w:val="nil"/>
              <w:bottom w:val="single" w:sz="8" w:space="0" w:color="auto"/>
              <w:right w:val="single" w:sz="8" w:space="0" w:color="auto"/>
            </w:tcBorders>
            <w:shd w:val="clear" w:color="000000" w:fill="D9D9D9"/>
            <w:noWrap/>
            <w:vAlign w:val="center"/>
            <w:hideMark/>
          </w:tcPr>
          <w:p w14:paraId="787D39D7"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0"/>
                <w:szCs w:val="20"/>
                <w:lang w:eastAsia="es-CR"/>
              </w:rPr>
            </w:pPr>
            <w:r w:rsidRPr="002A7673">
              <w:rPr>
                <w:rFonts w:ascii="Times New Roman" w:eastAsia="Times New Roman" w:hAnsi="Times New Roman" w:cs="Times New Roman"/>
                <w:b/>
                <w:bCs/>
                <w:color w:val="000000"/>
                <w:sz w:val="20"/>
                <w:szCs w:val="20"/>
                <w:lang w:eastAsia="es-CR"/>
              </w:rPr>
              <w:t>Ejecutado</w:t>
            </w:r>
          </w:p>
        </w:tc>
        <w:tc>
          <w:tcPr>
            <w:tcW w:w="1585" w:type="dxa"/>
            <w:tcBorders>
              <w:top w:val="single" w:sz="8" w:space="0" w:color="auto"/>
              <w:left w:val="nil"/>
              <w:bottom w:val="single" w:sz="8" w:space="0" w:color="auto"/>
              <w:right w:val="single" w:sz="8" w:space="0" w:color="auto"/>
            </w:tcBorders>
            <w:shd w:val="clear" w:color="000000" w:fill="D9D9D9"/>
            <w:noWrap/>
            <w:vAlign w:val="center"/>
            <w:hideMark/>
          </w:tcPr>
          <w:p w14:paraId="7720EBE2"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0"/>
                <w:szCs w:val="20"/>
                <w:lang w:eastAsia="es-CR"/>
              </w:rPr>
            </w:pPr>
            <w:r w:rsidRPr="002A7673">
              <w:rPr>
                <w:rFonts w:ascii="Times New Roman" w:eastAsia="Times New Roman" w:hAnsi="Times New Roman" w:cs="Times New Roman"/>
                <w:b/>
                <w:bCs/>
                <w:color w:val="000000"/>
                <w:sz w:val="20"/>
                <w:szCs w:val="20"/>
                <w:lang w:eastAsia="es-CR"/>
              </w:rPr>
              <w:t xml:space="preserve">% Ejecución </w:t>
            </w:r>
          </w:p>
        </w:tc>
      </w:tr>
      <w:tr w:rsidR="00083CA4" w:rsidRPr="002A7673" w14:paraId="3A7C102E" w14:textId="77777777" w:rsidTr="005F7139">
        <w:trPr>
          <w:trHeight w:val="293"/>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14:paraId="19AA3F43"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2018</w:t>
            </w:r>
          </w:p>
        </w:tc>
        <w:tc>
          <w:tcPr>
            <w:tcW w:w="2541" w:type="dxa"/>
            <w:tcBorders>
              <w:top w:val="nil"/>
              <w:left w:val="nil"/>
              <w:bottom w:val="single" w:sz="8" w:space="0" w:color="auto"/>
              <w:right w:val="single" w:sz="8" w:space="0" w:color="auto"/>
            </w:tcBorders>
            <w:shd w:val="clear" w:color="auto" w:fill="auto"/>
            <w:noWrap/>
            <w:vAlign w:val="center"/>
            <w:hideMark/>
          </w:tcPr>
          <w:p w14:paraId="33499E0B"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1 192 890 241 </w:t>
            </w:r>
          </w:p>
        </w:tc>
        <w:tc>
          <w:tcPr>
            <w:tcW w:w="2340" w:type="dxa"/>
            <w:tcBorders>
              <w:top w:val="nil"/>
              <w:left w:val="nil"/>
              <w:bottom w:val="single" w:sz="8" w:space="0" w:color="auto"/>
              <w:right w:val="single" w:sz="8" w:space="0" w:color="auto"/>
            </w:tcBorders>
            <w:shd w:val="clear" w:color="auto" w:fill="auto"/>
            <w:noWrap/>
            <w:vAlign w:val="center"/>
            <w:hideMark/>
          </w:tcPr>
          <w:p w14:paraId="2A40E862" w14:textId="77777777" w:rsidR="00083CA4" w:rsidRPr="002A7673" w:rsidRDefault="00083CA4" w:rsidP="005F7139">
            <w:pPr>
              <w:spacing w:after="0" w:line="240" w:lineRule="auto"/>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1 185 970 348 </w:t>
            </w:r>
          </w:p>
        </w:tc>
        <w:tc>
          <w:tcPr>
            <w:tcW w:w="1585" w:type="dxa"/>
            <w:tcBorders>
              <w:top w:val="nil"/>
              <w:left w:val="nil"/>
              <w:bottom w:val="single" w:sz="8" w:space="0" w:color="auto"/>
              <w:right w:val="single" w:sz="8" w:space="0" w:color="auto"/>
            </w:tcBorders>
            <w:shd w:val="clear" w:color="auto" w:fill="auto"/>
            <w:noWrap/>
            <w:vAlign w:val="center"/>
            <w:hideMark/>
          </w:tcPr>
          <w:p w14:paraId="171FD005"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99,42%</w:t>
            </w:r>
          </w:p>
        </w:tc>
      </w:tr>
      <w:tr w:rsidR="00083CA4" w:rsidRPr="002A7673" w14:paraId="0145095A" w14:textId="77777777" w:rsidTr="005F7139">
        <w:trPr>
          <w:trHeight w:val="293"/>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14:paraId="44858FAD"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2019</w:t>
            </w:r>
          </w:p>
        </w:tc>
        <w:tc>
          <w:tcPr>
            <w:tcW w:w="2541" w:type="dxa"/>
            <w:tcBorders>
              <w:top w:val="nil"/>
              <w:left w:val="nil"/>
              <w:bottom w:val="single" w:sz="8" w:space="0" w:color="auto"/>
              <w:right w:val="single" w:sz="8" w:space="0" w:color="auto"/>
            </w:tcBorders>
            <w:shd w:val="clear" w:color="auto" w:fill="auto"/>
            <w:noWrap/>
            <w:vAlign w:val="center"/>
            <w:hideMark/>
          </w:tcPr>
          <w:p w14:paraId="52E5A6F4"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1 343 483 310 </w:t>
            </w:r>
          </w:p>
        </w:tc>
        <w:tc>
          <w:tcPr>
            <w:tcW w:w="2340" w:type="dxa"/>
            <w:tcBorders>
              <w:top w:val="nil"/>
              <w:left w:val="nil"/>
              <w:bottom w:val="single" w:sz="8" w:space="0" w:color="auto"/>
              <w:right w:val="single" w:sz="8" w:space="0" w:color="auto"/>
            </w:tcBorders>
            <w:shd w:val="clear" w:color="auto" w:fill="auto"/>
            <w:noWrap/>
            <w:vAlign w:val="center"/>
            <w:hideMark/>
          </w:tcPr>
          <w:p w14:paraId="4F42C6F1" w14:textId="77777777" w:rsidR="00083CA4" w:rsidRPr="002A7673" w:rsidRDefault="00083CA4" w:rsidP="005F7139">
            <w:pPr>
              <w:spacing w:after="0" w:line="240" w:lineRule="auto"/>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1 301 569 933 </w:t>
            </w:r>
          </w:p>
        </w:tc>
        <w:tc>
          <w:tcPr>
            <w:tcW w:w="1585" w:type="dxa"/>
            <w:tcBorders>
              <w:top w:val="nil"/>
              <w:left w:val="nil"/>
              <w:bottom w:val="single" w:sz="8" w:space="0" w:color="auto"/>
              <w:right w:val="single" w:sz="8" w:space="0" w:color="auto"/>
            </w:tcBorders>
            <w:shd w:val="clear" w:color="auto" w:fill="auto"/>
            <w:noWrap/>
            <w:vAlign w:val="center"/>
            <w:hideMark/>
          </w:tcPr>
          <w:p w14:paraId="4FD6DF65"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96,88%</w:t>
            </w:r>
          </w:p>
        </w:tc>
      </w:tr>
      <w:tr w:rsidR="00083CA4" w:rsidRPr="002A7673" w14:paraId="60BE02ED" w14:textId="77777777" w:rsidTr="005F7139">
        <w:trPr>
          <w:trHeight w:val="293"/>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14:paraId="50846523"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2020</w:t>
            </w:r>
          </w:p>
        </w:tc>
        <w:tc>
          <w:tcPr>
            <w:tcW w:w="2541" w:type="dxa"/>
            <w:tcBorders>
              <w:top w:val="nil"/>
              <w:left w:val="nil"/>
              <w:bottom w:val="single" w:sz="8" w:space="0" w:color="auto"/>
              <w:right w:val="single" w:sz="8" w:space="0" w:color="auto"/>
            </w:tcBorders>
            <w:shd w:val="clear" w:color="auto" w:fill="auto"/>
            <w:noWrap/>
            <w:vAlign w:val="center"/>
            <w:hideMark/>
          </w:tcPr>
          <w:p w14:paraId="0228C656"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1 424 811 758 </w:t>
            </w:r>
          </w:p>
        </w:tc>
        <w:tc>
          <w:tcPr>
            <w:tcW w:w="2340" w:type="dxa"/>
            <w:tcBorders>
              <w:top w:val="nil"/>
              <w:left w:val="nil"/>
              <w:bottom w:val="single" w:sz="8" w:space="0" w:color="auto"/>
              <w:right w:val="single" w:sz="8" w:space="0" w:color="auto"/>
            </w:tcBorders>
            <w:shd w:val="clear" w:color="auto" w:fill="auto"/>
            <w:noWrap/>
            <w:vAlign w:val="center"/>
            <w:hideMark/>
          </w:tcPr>
          <w:p w14:paraId="714D8F48" w14:textId="77777777" w:rsidR="00083CA4" w:rsidRPr="002A7673" w:rsidRDefault="00083CA4" w:rsidP="005F7139">
            <w:pPr>
              <w:spacing w:after="0" w:line="240" w:lineRule="auto"/>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1 092 178 427 </w:t>
            </w:r>
          </w:p>
        </w:tc>
        <w:tc>
          <w:tcPr>
            <w:tcW w:w="1585" w:type="dxa"/>
            <w:tcBorders>
              <w:top w:val="nil"/>
              <w:left w:val="nil"/>
              <w:bottom w:val="single" w:sz="8" w:space="0" w:color="auto"/>
              <w:right w:val="single" w:sz="8" w:space="0" w:color="auto"/>
            </w:tcBorders>
            <w:shd w:val="clear" w:color="auto" w:fill="auto"/>
            <w:noWrap/>
            <w:vAlign w:val="center"/>
            <w:hideMark/>
          </w:tcPr>
          <w:p w14:paraId="477EA648"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76,65%</w:t>
            </w:r>
          </w:p>
        </w:tc>
      </w:tr>
      <w:tr w:rsidR="00083CA4" w:rsidRPr="002A7673" w14:paraId="7DCBBCF9" w14:textId="77777777" w:rsidTr="005F7139">
        <w:trPr>
          <w:trHeight w:val="293"/>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14:paraId="74833814"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2021</w:t>
            </w:r>
          </w:p>
        </w:tc>
        <w:tc>
          <w:tcPr>
            <w:tcW w:w="2541" w:type="dxa"/>
            <w:tcBorders>
              <w:top w:val="nil"/>
              <w:left w:val="nil"/>
              <w:bottom w:val="single" w:sz="8" w:space="0" w:color="auto"/>
              <w:right w:val="single" w:sz="8" w:space="0" w:color="auto"/>
            </w:tcBorders>
            <w:shd w:val="clear" w:color="auto" w:fill="auto"/>
            <w:noWrap/>
            <w:vAlign w:val="center"/>
            <w:hideMark/>
          </w:tcPr>
          <w:p w14:paraId="690B4C60"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1 377 503 756 </w:t>
            </w:r>
          </w:p>
        </w:tc>
        <w:tc>
          <w:tcPr>
            <w:tcW w:w="2340" w:type="dxa"/>
            <w:tcBorders>
              <w:top w:val="nil"/>
              <w:left w:val="nil"/>
              <w:bottom w:val="single" w:sz="8" w:space="0" w:color="auto"/>
              <w:right w:val="single" w:sz="8" w:space="0" w:color="auto"/>
            </w:tcBorders>
            <w:shd w:val="clear" w:color="auto" w:fill="auto"/>
            <w:noWrap/>
            <w:vAlign w:val="center"/>
            <w:hideMark/>
          </w:tcPr>
          <w:p w14:paraId="717DFB7A" w14:textId="77777777" w:rsidR="00083CA4" w:rsidRPr="002A7673" w:rsidRDefault="00083CA4" w:rsidP="005F7139">
            <w:pPr>
              <w:spacing w:after="0" w:line="240" w:lineRule="auto"/>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   </w:t>
            </w:r>
          </w:p>
        </w:tc>
        <w:tc>
          <w:tcPr>
            <w:tcW w:w="1585" w:type="dxa"/>
            <w:tcBorders>
              <w:top w:val="nil"/>
              <w:left w:val="nil"/>
              <w:bottom w:val="single" w:sz="8" w:space="0" w:color="auto"/>
              <w:right w:val="single" w:sz="8" w:space="0" w:color="auto"/>
            </w:tcBorders>
            <w:shd w:val="clear" w:color="auto" w:fill="auto"/>
            <w:noWrap/>
            <w:vAlign w:val="center"/>
            <w:hideMark/>
          </w:tcPr>
          <w:p w14:paraId="09257A26"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0,00%</w:t>
            </w:r>
          </w:p>
        </w:tc>
      </w:tr>
      <w:tr w:rsidR="00083CA4" w:rsidRPr="002A7673" w14:paraId="4D71FFF5" w14:textId="77777777" w:rsidTr="005F7139">
        <w:trPr>
          <w:trHeight w:val="326"/>
          <w:jc w:val="center"/>
        </w:trPr>
        <w:tc>
          <w:tcPr>
            <w:tcW w:w="1585" w:type="dxa"/>
            <w:tcBorders>
              <w:top w:val="nil"/>
              <w:left w:val="single" w:sz="8" w:space="0" w:color="auto"/>
              <w:bottom w:val="single" w:sz="8" w:space="0" w:color="auto"/>
              <w:right w:val="single" w:sz="8" w:space="0" w:color="auto"/>
            </w:tcBorders>
            <w:shd w:val="clear" w:color="auto" w:fill="auto"/>
            <w:noWrap/>
            <w:vAlign w:val="center"/>
            <w:hideMark/>
          </w:tcPr>
          <w:p w14:paraId="0C1D8D01"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2022</w:t>
            </w:r>
          </w:p>
        </w:tc>
        <w:tc>
          <w:tcPr>
            <w:tcW w:w="2541" w:type="dxa"/>
            <w:tcBorders>
              <w:top w:val="nil"/>
              <w:left w:val="nil"/>
              <w:bottom w:val="single" w:sz="8" w:space="0" w:color="auto"/>
              <w:right w:val="single" w:sz="8" w:space="0" w:color="auto"/>
            </w:tcBorders>
            <w:shd w:val="clear" w:color="auto" w:fill="auto"/>
            <w:noWrap/>
            <w:vAlign w:val="center"/>
            <w:hideMark/>
          </w:tcPr>
          <w:p w14:paraId="64B70C3E"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1 223 152 670 </w:t>
            </w:r>
          </w:p>
        </w:tc>
        <w:tc>
          <w:tcPr>
            <w:tcW w:w="2340" w:type="dxa"/>
            <w:tcBorders>
              <w:top w:val="nil"/>
              <w:left w:val="nil"/>
              <w:bottom w:val="single" w:sz="8" w:space="0" w:color="auto"/>
              <w:right w:val="single" w:sz="8" w:space="0" w:color="auto"/>
            </w:tcBorders>
            <w:shd w:val="clear" w:color="auto" w:fill="auto"/>
            <w:noWrap/>
            <w:vAlign w:val="center"/>
            <w:hideMark/>
          </w:tcPr>
          <w:p w14:paraId="5D5D9F28" w14:textId="77777777" w:rsidR="00083CA4" w:rsidRPr="002A7673" w:rsidRDefault="00083CA4" w:rsidP="005F7139">
            <w:pPr>
              <w:spacing w:after="0" w:line="240" w:lineRule="auto"/>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 xml:space="preserve">                         -   </w:t>
            </w:r>
          </w:p>
        </w:tc>
        <w:tc>
          <w:tcPr>
            <w:tcW w:w="1585" w:type="dxa"/>
            <w:tcBorders>
              <w:top w:val="nil"/>
              <w:left w:val="nil"/>
              <w:bottom w:val="single" w:sz="8" w:space="0" w:color="auto"/>
              <w:right w:val="single" w:sz="8" w:space="0" w:color="auto"/>
            </w:tcBorders>
            <w:shd w:val="clear" w:color="auto" w:fill="auto"/>
            <w:noWrap/>
            <w:vAlign w:val="center"/>
            <w:hideMark/>
          </w:tcPr>
          <w:p w14:paraId="6BAFAC4D" w14:textId="77777777" w:rsidR="00083CA4" w:rsidRPr="002A7673" w:rsidRDefault="00083CA4" w:rsidP="005F7139">
            <w:pPr>
              <w:spacing w:after="0" w:line="240" w:lineRule="auto"/>
              <w:jc w:val="center"/>
              <w:rPr>
                <w:rFonts w:ascii="Times New Roman" w:eastAsia="Times New Roman" w:hAnsi="Times New Roman" w:cs="Times New Roman"/>
                <w:color w:val="000000"/>
                <w:sz w:val="20"/>
                <w:szCs w:val="20"/>
                <w:lang w:eastAsia="es-CR"/>
              </w:rPr>
            </w:pPr>
            <w:r w:rsidRPr="002A7673">
              <w:rPr>
                <w:rFonts w:ascii="Times New Roman" w:eastAsia="Times New Roman" w:hAnsi="Times New Roman" w:cs="Times New Roman"/>
                <w:color w:val="000000"/>
                <w:sz w:val="20"/>
                <w:szCs w:val="20"/>
                <w:lang w:eastAsia="es-CR"/>
              </w:rPr>
              <w:t>0,00%</w:t>
            </w:r>
          </w:p>
        </w:tc>
      </w:tr>
    </w:tbl>
    <w:p w14:paraId="297528C1"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0EA94A49"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0F9381A7"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28E1A0D0"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rPr>
      </w:pPr>
    </w:p>
    <w:p w14:paraId="72E3076D" w14:textId="77777777" w:rsidR="00083CA4" w:rsidRPr="002A7673" w:rsidRDefault="00083CA4" w:rsidP="005F7139">
      <w:pPr>
        <w:spacing w:after="0" w:line="240" w:lineRule="auto"/>
        <w:rPr>
          <w:rFonts w:ascii="Times New Roman" w:eastAsia="Times New Roman" w:hAnsi="Times New Roman" w:cs="Times New Roman"/>
          <w:sz w:val="24"/>
          <w:szCs w:val="24"/>
          <w:lang w:eastAsia="es-CR"/>
        </w:rPr>
      </w:pPr>
      <w:r w:rsidRPr="002A7673">
        <w:rPr>
          <w:rFonts w:ascii="Times New Roman" w:eastAsia="Calibri" w:hAnsi="Times New Roman" w:cs="Times New Roman"/>
          <w:noProof/>
          <w:lang w:eastAsia="es-CR"/>
        </w:rPr>
        <w:lastRenderedPageBreak/>
        <w:drawing>
          <wp:inline distT="0" distB="0" distL="0" distR="0" wp14:anchorId="491E0291" wp14:editId="1F555603">
            <wp:extent cx="5190409" cy="2621045"/>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
                    <pic:cNvPicPr/>
                  </pic:nvPicPr>
                  <pic:blipFill>
                    <a:blip r:embed="rId17">
                      <a:extLst>
                        <a:ext uri="{28A0092B-C50C-407E-A947-70E740481C1C}">
                          <a14:useLocalDpi xmlns:a14="http://schemas.microsoft.com/office/drawing/2010/main" val="0"/>
                        </a:ext>
                      </a:extLst>
                    </a:blip>
                    <a:stretch>
                      <a:fillRect/>
                    </a:stretch>
                  </pic:blipFill>
                  <pic:spPr>
                    <a:xfrm>
                      <a:off x="0" y="0"/>
                      <a:ext cx="5190409" cy="2621045"/>
                    </a:xfrm>
                    <a:prstGeom prst="rect">
                      <a:avLst/>
                    </a:prstGeom>
                  </pic:spPr>
                </pic:pic>
              </a:graphicData>
            </a:graphic>
          </wp:inline>
        </w:drawing>
      </w:r>
    </w:p>
    <w:p w14:paraId="0AA0E5D3" w14:textId="77777777" w:rsidR="00083CA4" w:rsidRPr="002A7673" w:rsidRDefault="00083CA4" w:rsidP="005F7139">
      <w:pPr>
        <w:spacing w:after="0" w:line="240" w:lineRule="auto"/>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 xml:space="preserve">                                 Fuente: SIGA PJ</w:t>
      </w:r>
    </w:p>
    <w:p w14:paraId="599D81A1" w14:textId="77777777" w:rsidR="00083CA4" w:rsidRPr="002A7673" w:rsidRDefault="00083CA4" w:rsidP="005F7139">
      <w:pPr>
        <w:spacing w:after="0" w:line="240" w:lineRule="auto"/>
        <w:rPr>
          <w:rFonts w:ascii="Times New Roman" w:eastAsia="Calibri" w:hAnsi="Times New Roman" w:cs="Times New Roman"/>
          <w:bCs/>
          <w:sz w:val="16"/>
          <w:szCs w:val="16"/>
        </w:rPr>
      </w:pPr>
    </w:p>
    <w:p w14:paraId="0A82DD40" w14:textId="77777777" w:rsidR="00083CA4" w:rsidRPr="002A7673" w:rsidRDefault="00083CA4" w:rsidP="005F7139">
      <w:pPr>
        <w:spacing w:after="0" w:line="240" w:lineRule="auto"/>
        <w:rPr>
          <w:rFonts w:ascii="Times New Roman" w:eastAsia="Calibri" w:hAnsi="Times New Roman" w:cs="Times New Roman"/>
          <w:bCs/>
          <w:sz w:val="16"/>
          <w:szCs w:val="16"/>
        </w:rPr>
      </w:pPr>
    </w:p>
    <w:p w14:paraId="596E98F8"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En el gráfico anterior se observa que, los recursos formulados para el período 2018 y 2019, obtuvieron una ejecución por encima del 90%; sin embargo, para el 2020, la ejecución fue de un 76.65%, disminuyendo un 20% en relación con el 2019. </w:t>
      </w:r>
    </w:p>
    <w:p w14:paraId="02EF4F32"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sz w:val="26"/>
          <w:szCs w:val="26"/>
        </w:rPr>
        <w:t xml:space="preserve">  </w:t>
      </w:r>
    </w:p>
    <w:p w14:paraId="31BDD043" w14:textId="77777777" w:rsidR="00083CA4" w:rsidRPr="002A7673" w:rsidRDefault="00083CA4" w:rsidP="005F7139">
      <w:pPr>
        <w:keepNext/>
        <w:keepLines/>
        <w:numPr>
          <w:ilvl w:val="2"/>
          <w:numId w:val="7"/>
        </w:numPr>
        <w:spacing w:after="0" w:line="240" w:lineRule="auto"/>
        <w:ind w:left="851" w:right="851" w:firstLine="709"/>
        <w:outlineLvl w:val="2"/>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t>Análisis de la ejecución presupuestaria de la subpartida</w:t>
      </w:r>
    </w:p>
    <w:p w14:paraId="59EB5C6D" w14:textId="77777777" w:rsidR="00083CA4" w:rsidRPr="002A7673" w:rsidRDefault="00083CA4" w:rsidP="005F7139">
      <w:pPr>
        <w:spacing w:after="0" w:line="240" w:lineRule="auto"/>
        <w:rPr>
          <w:rFonts w:ascii="Times New Roman" w:eastAsia="Calibri" w:hAnsi="Times New Roman" w:cs="Times New Roman"/>
          <w:sz w:val="26"/>
          <w:szCs w:val="26"/>
        </w:rPr>
      </w:pPr>
    </w:p>
    <w:p w14:paraId="3545BA62" w14:textId="77777777" w:rsidR="00083CA4" w:rsidRPr="002A7673" w:rsidRDefault="00083CA4" w:rsidP="005F7139">
      <w:pPr>
        <w:spacing w:after="0" w:line="240" w:lineRule="auto"/>
        <w:rPr>
          <w:rFonts w:ascii="Times New Roman" w:eastAsia="Calibri" w:hAnsi="Times New Roman" w:cs="Times New Roman"/>
          <w:sz w:val="26"/>
          <w:szCs w:val="26"/>
        </w:rPr>
      </w:pPr>
    </w:p>
    <w:p w14:paraId="4F0C13F2" w14:textId="77777777" w:rsidR="00083CA4" w:rsidRPr="002A7673" w:rsidRDefault="00083CA4" w:rsidP="005F7139">
      <w:pPr>
        <w:spacing w:after="0" w:line="240" w:lineRule="auto"/>
        <w:ind w:firstLine="709"/>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Figura N°12</w:t>
      </w:r>
    </w:p>
    <w:p w14:paraId="1D661CA8" w14:textId="77777777" w:rsidR="00083CA4" w:rsidRPr="002A7673" w:rsidRDefault="00083CA4" w:rsidP="005F7139">
      <w:pPr>
        <w:spacing w:after="0" w:line="240" w:lineRule="auto"/>
        <w:ind w:firstLine="709"/>
        <w:jc w:val="center"/>
        <w:rPr>
          <w:rFonts w:ascii="Times New Roman" w:eastAsia="Calibri" w:hAnsi="Times New Roman" w:cs="Times New Roman"/>
          <w:b/>
          <w:sz w:val="26"/>
          <w:szCs w:val="26"/>
        </w:rPr>
      </w:pPr>
      <w:r w:rsidRPr="002A7673">
        <w:rPr>
          <w:rFonts w:ascii="Times New Roman" w:eastAsia="Times New Roman" w:hAnsi="Times New Roman" w:cs="Times New Roman"/>
          <w:b/>
          <w:bCs/>
          <w:sz w:val="26"/>
          <w:szCs w:val="26"/>
        </w:rPr>
        <w:t>Subpartida 2.01.01 Combustibles y Lubricantes</w:t>
      </w:r>
    </w:p>
    <w:p w14:paraId="71662887" w14:textId="77777777" w:rsidR="00083CA4" w:rsidRPr="002A7673" w:rsidRDefault="00083CA4" w:rsidP="005F7139">
      <w:pPr>
        <w:spacing w:after="0" w:line="240" w:lineRule="auto"/>
        <w:ind w:firstLine="709"/>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Ejecución presupuestaria periodos 2018 -2020</w:t>
      </w:r>
    </w:p>
    <w:p w14:paraId="772DB887" w14:textId="77777777" w:rsidR="00083CA4" w:rsidRPr="002A7673" w:rsidRDefault="00083CA4" w:rsidP="005F7139">
      <w:pPr>
        <w:spacing w:after="0" w:line="240" w:lineRule="auto"/>
        <w:ind w:firstLine="709"/>
        <w:jc w:val="center"/>
        <w:rPr>
          <w:rFonts w:ascii="Times New Roman" w:eastAsia="Calibri" w:hAnsi="Times New Roman" w:cs="Times New Roman"/>
          <w:b/>
          <w:sz w:val="26"/>
          <w:szCs w:val="26"/>
        </w:rPr>
      </w:pPr>
    </w:p>
    <w:p w14:paraId="300D0C0E" w14:textId="77777777" w:rsidR="00083CA4" w:rsidRPr="002A7673" w:rsidRDefault="00083CA4" w:rsidP="005F7139">
      <w:pPr>
        <w:spacing w:after="0" w:line="240" w:lineRule="auto"/>
        <w:ind w:firstLine="709"/>
        <w:jc w:val="center"/>
        <w:rPr>
          <w:rFonts w:ascii="Times New Roman" w:eastAsia="Calibri" w:hAnsi="Times New Roman" w:cs="Times New Roman"/>
          <w:b/>
          <w:sz w:val="26"/>
          <w:szCs w:val="26"/>
        </w:rPr>
      </w:pPr>
    </w:p>
    <w:tbl>
      <w:tblPr>
        <w:tblW w:w="7994" w:type="dxa"/>
        <w:jc w:val="center"/>
        <w:tblCellMar>
          <w:left w:w="70" w:type="dxa"/>
          <w:right w:w="70" w:type="dxa"/>
        </w:tblCellMar>
        <w:tblLook w:val="04A0" w:firstRow="1" w:lastRow="0" w:firstColumn="1" w:lastColumn="0" w:noHBand="0" w:noVBand="1"/>
      </w:tblPr>
      <w:tblGrid>
        <w:gridCol w:w="1770"/>
        <w:gridCol w:w="2242"/>
        <w:gridCol w:w="2271"/>
        <w:gridCol w:w="1711"/>
      </w:tblGrid>
      <w:tr w:rsidR="00083CA4" w:rsidRPr="002A7673" w14:paraId="44427E55" w14:textId="77777777" w:rsidTr="00083CA4">
        <w:trPr>
          <w:trHeight w:val="433"/>
          <w:jc w:val="center"/>
        </w:trPr>
        <w:tc>
          <w:tcPr>
            <w:tcW w:w="1770" w:type="dxa"/>
            <w:tcBorders>
              <w:top w:val="single" w:sz="8" w:space="0" w:color="auto"/>
              <w:left w:val="single" w:sz="8" w:space="0" w:color="auto"/>
              <w:bottom w:val="single" w:sz="4" w:space="0" w:color="auto"/>
              <w:right w:val="single" w:sz="4" w:space="0" w:color="auto"/>
            </w:tcBorders>
            <w:shd w:val="clear" w:color="auto" w:fill="D9D9D9"/>
            <w:vAlign w:val="center"/>
            <w:hideMark/>
          </w:tcPr>
          <w:p w14:paraId="7F94360C"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 xml:space="preserve">Periodo </w:t>
            </w:r>
          </w:p>
        </w:tc>
        <w:tc>
          <w:tcPr>
            <w:tcW w:w="2242" w:type="dxa"/>
            <w:tcBorders>
              <w:top w:val="single" w:sz="8" w:space="0" w:color="auto"/>
              <w:left w:val="nil"/>
              <w:bottom w:val="single" w:sz="4" w:space="0" w:color="auto"/>
              <w:right w:val="single" w:sz="4" w:space="0" w:color="auto"/>
            </w:tcBorders>
            <w:shd w:val="clear" w:color="auto" w:fill="D9D9D9"/>
            <w:vAlign w:val="center"/>
            <w:hideMark/>
          </w:tcPr>
          <w:p w14:paraId="73EA56B4"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Formulado</w:t>
            </w:r>
          </w:p>
        </w:tc>
        <w:tc>
          <w:tcPr>
            <w:tcW w:w="2271" w:type="dxa"/>
            <w:tcBorders>
              <w:top w:val="single" w:sz="8" w:space="0" w:color="auto"/>
              <w:left w:val="nil"/>
              <w:bottom w:val="single" w:sz="4" w:space="0" w:color="auto"/>
              <w:right w:val="single" w:sz="4" w:space="0" w:color="auto"/>
            </w:tcBorders>
            <w:shd w:val="clear" w:color="auto" w:fill="D9D9D9"/>
            <w:vAlign w:val="center"/>
            <w:hideMark/>
          </w:tcPr>
          <w:p w14:paraId="000D2A69"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Ejecutado</w:t>
            </w:r>
          </w:p>
        </w:tc>
        <w:tc>
          <w:tcPr>
            <w:tcW w:w="1711" w:type="dxa"/>
            <w:tcBorders>
              <w:top w:val="single" w:sz="8" w:space="0" w:color="auto"/>
              <w:left w:val="nil"/>
              <w:bottom w:val="single" w:sz="4" w:space="0" w:color="auto"/>
              <w:right w:val="single" w:sz="8" w:space="0" w:color="auto"/>
            </w:tcBorders>
            <w:shd w:val="clear" w:color="auto" w:fill="D9D9D9"/>
            <w:vAlign w:val="center"/>
            <w:hideMark/>
          </w:tcPr>
          <w:p w14:paraId="1420AABB"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 Ejecución</w:t>
            </w:r>
          </w:p>
        </w:tc>
      </w:tr>
      <w:tr w:rsidR="00083CA4" w:rsidRPr="002A7673" w14:paraId="4AA9C183" w14:textId="77777777" w:rsidTr="005F7139">
        <w:trPr>
          <w:trHeight w:val="202"/>
          <w:jc w:val="center"/>
        </w:trPr>
        <w:tc>
          <w:tcPr>
            <w:tcW w:w="1770" w:type="dxa"/>
            <w:tcBorders>
              <w:top w:val="nil"/>
              <w:left w:val="single" w:sz="8" w:space="0" w:color="auto"/>
              <w:bottom w:val="single" w:sz="4" w:space="0" w:color="auto"/>
              <w:right w:val="single" w:sz="4" w:space="0" w:color="auto"/>
            </w:tcBorders>
            <w:shd w:val="clear" w:color="auto" w:fill="auto"/>
            <w:noWrap/>
            <w:vAlign w:val="bottom"/>
            <w:hideMark/>
          </w:tcPr>
          <w:p w14:paraId="45F5656E"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2018</w:t>
            </w:r>
          </w:p>
        </w:tc>
        <w:tc>
          <w:tcPr>
            <w:tcW w:w="2242" w:type="dxa"/>
            <w:tcBorders>
              <w:top w:val="nil"/>
              <w:left w:val="nil"/>
              <w:bottom w:val="single" w:sz="4" w:space="0" w:color="auto"/>
              <w:right w:val="single" w:sz="4" w:space="0" w:color="auto"/>
            </w:tcBorders>
            <w:shd w:val="clear" w:color="auto" w:fill="auto"/>
            <w:noWrap/>
            <w:vAlign w:val="bottom"/>
          </w:tcPr>
          <w:p w14:paraId="7240F976"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1 192 890 241</w:t>
            </w:r>
          </w:p>
        </w:tc>
        <w:tc>
          <w:tcPr>
            <w:tcW w:w="2271" w:type="dxa"/>
            <w:tcBorders>
              <w:top w:val="nil"/>
              <w:left w:val="nil"/>
              <w:bottom w:val="single" w:sz="4" w:space="0" w:color="auto"/>
              <w:right w:val="single" w:sz="4" w:space="0" w:color="auto"/>
            </w:tcBorders>
            <w:shd w:val="clear" w:color="auto" w:fill="auto"/>
            <w:noWrap/>
            <w:vAlign w:val="bottom"/>
          </w:tcPr>
          <w:p w14:paraId="41AF0F2A"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1 185 970 348</w:t>
            </w:r>
          </w:p>
        </w:tc>
        <w:tc>
          <w:tcPr>
            <w:tcW w:w="1711" w:type="dxa"/>
            <w:tcBorders>
              <w:top w:val="nil"/>
              <w:left w:val="nil"/>
              <w:bottom w:val="single" w:sz="4" w:space="0" w:color="auto"/>
              <w:right w:val="single" w:sz="8" w:space="0" w:color="auto"/>
            </w:tcBorders>
            <w:shd w:val="clear" w:color="auto" w:fill="auto"/>
            <w:vAlign w:val="center"/>
            <w:hideMark/>
          </w:tcPr>
          <w:p w14:paraId="73E59C4A"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99.42%</w:t>
            </w:r>
          </w:p>
        </w:tc>
      </w:tr>
      <w:tr w:rsidR="00083CA4" w:rsidRPr="002A7673" w14:paraId="5028BDDB" w14:textId="77777777" w:rsidTr="005F7139">
        <w:trPr>
          <w:trHeight w:val="202"/>
          <w:jc w:val="center"/>
        </w:trPr>
        <w:tc>
          <w:tcPr>
            <w:tcW w:w="1770" w:type="dxa"/>
            <w:tcBorders>
              <w:top w:val="nil"/>
              <w:left w:val="single" w:sz="8" w:space="0" w:color="auto"/>
              <w:bottom w:val="single" w:sz="4" w:space="0" w:color="auto"/>
              <w:right w:val="single" w:sz="4" w:space="0" w:color="auto"/>
            </w:tcBorders>
            <w:shd w:val="clear" w:color="auto" w:fill="auto"/>
            <w:noWrap/>
            <w:vAlign w:val="bottom"/>
            <w:hideMark/>
          </w:tcPr>
          <w:p w14:paraId="6D719787"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2019</w:t>
            </w:r>
          </w:p>
        </w:tc>
        <w:tc>
          <w:tcPr>
            <w:tcW w:w="2242" w:type="dxa"/>
            <w:tcBorders>
              <w:top w:val="nil"/>
              <w:left w:val="nil"/>
              <w:bottom w:val="single" w:sz="4" w:space="0" w:color="auto"/>
              <w:right w:val="single" w:sz="4" w:space="0" w:color="auto"/>
            </w:tcBorders>
            <w:shd w:val="clear" w:color="auto" w:fill="auto"/>
            <w:noWrap/>
            <w:vAlign w:val="bottom"/>
            <w:hideMark/>
          </w:tcPr>
          <w:p w14:paraId="39CF072F"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1 343 483 310</w:t>
            </w:r>
          </w:p>
        </w:tc>
        <w:tc>
          <w:tcPr>
            <w:tcW w:w="2271" w:type="dxa"/>
            <w:tcBorders>
              <w:top w:val="nil"/>
              <w:left w:val="nil"/>
              <w:bottom w:val="single" w:sz="4" w:space="0" w:color="auto"/>
              <w:right w:val="single" w:sz="4" w:space="0" w:color="auto"/>
            </w:tcBorders>
            <w:shd w:val="clear" w:color="auto" w:fill="auto"/>
            <w:noWrap/>
            <w:vAlign w:val="bottom"/>
            <w:hideMark/>
          </w:tcPr>
          <w:p w14:paraId="56537AB4"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          1 301 569 933</w:t>
            </w:r>
          </w:p>
        </w:tc>
        <w:tc>
          <w:tcPr>
            <w:tcW w:w="1711" w:type="dxa"/>
            <w:tcBorders>
              <w:top w:val="nil"/>
              <w:left w:val="nil"/>
              <w:bottom w:val="single" w:sz="4" w:space="0" w:color="auto"/>
              <w:right w:val="single" w:sz="8" w:space="0" w:color="auto"/>
            </w:tcBorders>
            <w:shd w:val="clear" w:color="auto" w:fill="auto"/>
            <w:noWrap/>
            <w:vAlign w:val="bottom"/>
            <w:hideMark/>
          </w:tcPr>
          <w:p w14:paraId="5B97230E"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96.88%</w:t>
            </w:r>
          </w:p>
        </w:tc>
      </w:tr>
      <w:tr w:rsidR="00083CA4" w:rsidRPr="002A7673" w14:paraId="5622D687" w14:textId="77777777" w:rsidTr="005F7139">
        <w:trPr>
          <w:trHeight w:val="202"/>
          <w:jc w:val="center"/>
        </w:trPr>
        <w:tc>
          <w:tcPr>
            <w:tcW w:w="1770" w:type="dxa"/>
            <w:tcBorders>
              <w:top w:val="nil"/>
              <w:left w:val="single" w:sz="8" w:space="0" w:color="auto"/>
              <w:bottom w:val="single" w:sz="4" w:space="0" w:color="auto"/>
              <w:right w:val="single" w:sz="4" w:space="0" w:color="auto"/>
            </w:tcBorders>
            <w:shd w:val="clear" w:color="auto" w:fill="auto"/>
            <w:noWrap/>
            <w:vAlign w:val="bottom"/>
            <w:hideMark/>
          </w:tcPr>
          <w:p w14:paraId="4608585E"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2020</w:t>
            </w:r>
          </w:p>
        </w:tc>
        <w:tc>
          <w:tcPr>
            <w:tcW w:w="2242" w:type="dxa"/>
            <w:tcBorders>
              <w:top w:val="nil"/>
              <w:left w:val="nil"/>
              <w:bottom w:val="single" w:sz="4" w:space="0" w:color="auto"/>
              <w:right w:val="single" w:sz="4" w:space="0" w:color="auto"/>
            </w:tcBorders>
            <w:shd w:val="clear" w:color="auto" w:fill="auto"/>
            <w:noWrap/>
            <w:vAlign w:val="bottom"/>
            <w:hideMark/>
          </w:tcPr>
          <w:p w14:paraId="4932F7DF"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1 424 811 758</w:t>
            </w:r>
          </w:p>
        </w:tc>
        <w:tc>
          <w:tcPr>
            <w:tcW w:w="2271" w:type="dxa"/>
            <w:tcBorders>
              <w:top w:val="nil"/>
              <w:left w:val="nil"/>
              <w:bottom w:val="single" w:sz="4" w:space="0" w:color="auto"/>
              <w:right w:val="single" w:sz="4" w:space="0" w:color="auto"/>
            </w:tcBorders>
            <w:shd w:val="clear" w:color="auto" w:fill="auto"/>
            <w:noWrap/>
            <w:vAlign w:val="bottom"/>
            <w:hideMark/>
          </w:tcPr>
          <w:p w14:paraId="435C0B2A"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 1 092 178 427</w:t>
            </w:r>
          </w:p>
        </w:tc>
        <w:tc>
          <w:tcPr>
            <w:tcW w:w="1711" w:type="dxa"/>
            <w:tcBorders>
              <w:top w:val="nil"/>
              <w:left w:val="nil"/>
              <w:bottom w:val="single" w:sz="4" w:space="0" w:color="auto"/>
              <w:right w:val="single" w:sz="8" w:space="0" w:color="auto"/>
            </w:tcBorders>
            <w:shd w:val="clear" w:color="auto" w:fill="auto"/>
            <w:noWrap/>
            <w:vAlign w:val="bottom"/>
            <w:hideMark/>
          </w:tcPr>
          <w:p w14:paraId="3D252C57"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76.65%</w:t>
            </w:r>
          </w:p>
        </w:tc>
      </w:tr>
      <w:tr w:rsidR="00083CA4" w:rsidRPr="002A7673" w14:paraId="61AF6FAD" w14:textId="77777777" w:rsidTr="005F7139">
        <w:trPr>
          <w:trHeight w:val="209"/>
          <w:jc w:val="center"/>
        </w:trPr>
        <w:tc>
          <w:tcPr>
            <w:tcW w:w="1770" w:type="dxa"/>
            <w:tcBorders>
              <w:top w:val="nil"/>
              <w:left w:val="single" w:sz="8" w:space="0" w:color="auto"/>
              <w:bottom w:val="single" w:sz="8" w:space="0" w:color="auto"/>
              <w:right w:val="single" w:sz="4" w:space="0" w:color="auto"/>
            </w:tcBorders>
            <w:shd w:val="clear" w:color="auto" w:fill="auto"/>
            <w:noWrap/>
            <w:vAlign w:val="bottom"/>
            <w:hideMark/>
          </w:tcPr>
          <w:p w14:paraId="118CD97B"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 xml:space="preserve">Total: </w:t>
            </w:r>
          </w:p>
        </w:tc>
        <w:tc>
          <w:tcPr>
            <w:tcW w:w="2242" w:type="dxa"/>
            <w:tcBorders>
              <w:top w:val="nil"/>
              <w:left w:val="nil"/>
              <w:bottom w:val="single" w:sz="8" w:space="0" w:color="auto"/>
              <w:right w:val="single" w:sz="4" w:space="0" w:color="auto"/>
            </w:tcBorders>
            <w:shd w:val="clear" w:color="auto" w:fill="auto"/>
            <w:noWrap/>
            <w:vAlign w:val="bottom"/>
            <w:hideMark/>
          </w:tcPr>
          <w:p w14:paraId="637FEE64"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3 961 185 309</w:t>
            </w:r>
          </w:p>
        </w:tc>
        <w:tc>
          <w:tcPr>
            <w:tcW w:w="2271" w:type="dxa"/>
            <w:tcBorders>
              <w:top w:val="nil"/>
              <w:left w:val="nil"/>
              <w:bottom w:val="single" w:sz="8" w:space="0" w:color="auto"/>
              <w:right w:val="single" w:sz="4" w:space="0" w:color="auto"/>
            </w:tcBorders>
            <w:shd w:val="clear" w:color="auto" w:fill="auto"/>
            <w:noWrap/>
            <w:vAlign w:val="bottom"/>
            <w:hideMark/>
          </w:tcPr>
          <w:p w14:paraId="3DE960B3"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3 579 718 708</w:t>
            </w:r>
          </w:p>
        </w:tc>
        <w:tc>
          <w:tcPr>
            <w:tcW w:w="1711" w:type="dxa"/>
            <w:tcBorders>
              <w:top w:val="nil"/>
              <w:left w:val="nil"/>
              <w:bottom w:val="single" w:sz="4" w:space="0" w:color="auto"/>
              <w:right w:val="single" w:sz="8" w:space="0" w:color="auto"/>
            </w:tcBorders>
            <w:shd w:val="clear" w:color="auto" w:fill="auto"/>
            <w:noWrap/>
            <w:vAlign w:val="bottom"/>
            <w:hideMark/>
          </w:tcPr>
          <w:p w14:paraId="3D2F7BDC"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90.37%</w:t>
            </w:r>
          </w:p>
        </w:tc>
      </w:tr>
    </w:tbl>
    <w:p w14:paraId="225C2800" w14:textId="77777777" w:rsidR="00083CA4" w:rsidRPr="002A7673" w:rsidRDefault="00083CA4" w:rsidP="005F7139">
      <w:pPr>
        <w:spacing w:after="0" w:line="240" w:lineRule="auto"/>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 xml:space="preserve">                 </w:t>
      </w:r>
    </w:p>
    <w:p w14:paraId="44774DE8" w14:textId="77777777" w:rsidR="00083CA4" w:rsidRPr="002A7673" w:rsidRDefault="00083CA4" w:rsidP="005F7139">
      <w:pPr>
        <w:spacing w:after="0" w:line="240" w:lineRule="auto"/>
        <w:rPr>
          <w:rFonts w:ascii="Times New Roman" w:eastAsia="Calibri" w:hAnsi="Times New Roman" w:cs="Times New Roman"/>
          <w:bCs/>
          <w:sz w:val="26"/>
          <w:szCs w:val="26"/>
        </w:rPr>
      </w:pPr>
    </w:p>
    <w:p w14:paraId="2FF4A92E" w14:textId="77777777" w:rsidR="00083CA4" w:rsidRPr="002A7673" w:rsidRDefault="00083CA4" w:rsidP="005F7139">
      <w:pPr>
        <w:spacing w:after="0" w:line="240" w:lineRule="auto"/>
        <w:rPr>
          <w:rFonts w:ascii="Times New Roman" w:eastAsia="Calibri" w:hAnsi="Times New Roman" w:cs="Times New Roman"/>
          <w:bCs/>
          <w:sz w:val="26"/>
          <w:szCs w:val="26"/>
        </w:rPr>
      </w:pPr>
    </w:p>
    <w:p w14:paraId="580B12C4"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lastRenderedPageBreak/>
        <w:t xml:space="preserve">De la información del cuadro anterior, se deduce que la menor ejecución se presentó en el año 2020, donde se dejó de ejecutar la suma de ¢332.633.331, situación que se justifica debido a las medidas preventivas aplicadas en la Institución para cumplir con lo establecido por el Ministerio de Salud para atender la emergencia del COVID-19.  </w:t>
      </w:r>
    </w:p>
    <w:p w14:paraId="3BDBC6DD"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p>
    <w:p w14:paraId="7968E812" w14:textId="77777777" w:rsidR="00083CA4" w:rsidRPr="002A7673" w:rsidRDefault="00083CA4" w:rsidP="005F7139">
      <w:pPr>
        <w:keepNext/>
        <w:keepLines/>
        <w:numPr>
          <w:ilvl w:val="2"/>
          <w:numId w:val="7"/>
        </w:numPr>
        <w:spacing w:after="0" w:line="240" w:lineRule="auto"/>
        <w:ind w:left="851" w:right="851" w:firstLine="709"/>
        <w:outlineLvl w:val="2"/>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t>Variación por programa 2021-2022</w:t>
      </w:r>
    </w:p>
    <w:p w14:paraId="489BE7EF" w14:textId="77777777" w:rsidR="00083CA4" w:rsidRPr="002A7673" w:rsidRDefault="00083CA4" w:rsidP="005F7139">
      <w:pPr>
        <w:spacing w:after="0" w:line="240" w:lineRule="auto"/>
        <w:ind w:left="851" w:right="851" w:firstLine="709"/>
        <w:rPr>
          <w:rFonts w:ascii="Times New Roman" w:eastAsia="Calibri" w:hAnsi="Times New Roman" w:cs="Times New Roman"/>
          <w:sz w:val="26"/>
          <w:szCs w:val="26"/>
        </w:rPr>
      </w:pPr>
    </w:p>
    <w:p w14:paraId="201D9D29" w14:textId="77777777" w:rsidR="00083CA4" w:rsidRPr="002A7673" w:rsidRDefault="00083CA4" w:rsidP="005F7139">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En el siguiente cuadro se muestra el detalle de la variación para cada uno de los programas presupuestarios:</w:t>
      </w:r>
    </w:p>
    <w:p w14:paraId="2B22DF80" w14:textId="77777777" w:rsidR="00083CA4" w:rsidRPr="002A7673" w:rsidRDefault="00083CA4" w:rsidP="005F7139">
      <w:pPr>
        <w:spacing w:after="0" w:line="360" w:lineRule="auto"/>
        <w:ind w:left="708" w:firstLine="360"/>
        <w:jc w:val="both"/>
        <w:rPr>
          <w:rFonts w:ascii="Times New Roman" w:eastAsia="Times New Roman" w:hAnsi="Times New Roman" w:cs="Times New Roman"/>
          <w:sz w:val="24"/>
          <w:szCs w:val="24"/>
          <w:lang w:val="es-ES" w:eastAsia="es-ES"/>
        </w:rPr>
      </w:pPr>
    </w:p>
    <w:p w14:paraId="73E4EE6A" w14:textId="77777777" w:rsidR="00083CA4" w:rsidRPr="002A7673" w:rsidRDefault="00083CA4" w:rsidP="005F7139">
      <w:pPr>
        <w:spacing w:after="0" w:line="360" w:lineRule="auto"/>
        <w:jc w:val="center"/>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Figura N° 13.</w:t>
      </w:r>
    </w:p>
    <w:p w14:paraId="309B4C33"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Times New Roman" w:hAnsi="Times New Roman" w:cs="Times New Roman"/>
          <w:b/>
          <w:bCs/>
          <w:sz w:val="26"/>
          <w:szCs w:val="26"/>
        </w:rPr>
        <w:t>Subpartida 2.01.01 Combustibles y Lubricantes</w:t>
      </w:r>
    </w:p>
    <w:p w14:paraId="50C70563"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Formulación Presupuestaria por Programa 2021–2022</w:t>
      </w:r>
    </w:p>
    <w:p w14:paraId="7E267E07"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p>
    <w:p w14:paraId="25BDD54B" w14:textId="77777777" w:rsidR="00083CA4" w:rsidRPr="002A7673" w:rsidRDefault="00083CA4" w:rsidP="005F7139">
      <w:pPr>
        <w:spacing w:after="0" w:line="240" w:lineRule="auto"/>
        <w:jc w:val="both"/>
        <w:rPr>
          <w:rFonts w:ascii="Times New Roman" w:eastAsia="Calibri" w:hAnsi="Times New Roman" w:cs="Times New Roman"/>
          <w:b/>
          <w:sz w:val="24"/>
        </w:rPr>
      </w:pPr>
    </w:p>
    <w:p w14:paraId="7EAC76BC" w14:textId="77777777" w:rsidR="00083CA4" w:rsidRPr="002A7673" w:rsidRDefault="00083CA4" w:rsidP="005F7139">
      <w:pPr>
        <w:spacing w:after="0" w:line="240" w:lineRule="auto"/>
        <w:jc w:val="both"/>
        <w:rPr>
          <w:rFonts w:ascii="Times New Roman" w:eastAsia="Calibri" w:hAnsi="Times New Roman" w:cs="Times New Roman"/>
          <w:b/>
          <w:sz w:val="24"/>
        </w:rPr>
      </w:pPr>
      <w:r w:rsidRPr="002A7673">
        <w:rPr>
          <w:rFonts w:ascii="Times New Roman" w:eastAsia="Calibri" w:hAnsi="Times New Roman" w:cs="Times New Roman"/>
          <w:noProof/>
          <w:lang w:eastAsia="es-CR"/>
        </w:rPr>
        <w:drawing>
          <wp:inline distT="0" distB="0" distL="0" distR="0" wp14:anchorId="27D162B2" wp14:editId="26C40395">
            <wp:extent cx="5612130" cy="1464310"/>
            <wp:effectExtent l="0" t="0" r="762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1464310"/>
                    </a:xfrm>
                    <a:prstGeom prst="rect">
                      <a:avLst/>
                    </a:prstGeom>
                    <a:noFill/>
                    <a:ln>
                      <a:noFill/>
                    </a:ln>
                  </pic:spPr>
                </pic:pic>
              </a:graphicData>
            </a:graphic>
          </wp:inline>
        </w:drawing>
      </w:r>
    </w:p>
    <w:p w14:paraId="3953F7FE" w14:textId="77777777" w:rsidR="00083CA4" w:rsidRPr="002A7673" w:rsidRDefault="00083CA4" w:rsidP="005F7139">
      <w:pPr>
        <w:spacing w:after="0" w:line="240" w:lineRule="auto"/>
        <w:jc w:val="both"/>
        <w:rPr>
          <w:rFonts w:ascii="Times New Roman" w:eastAsia="Calibri" w:hAnsi="Times New Roman" w:cs="Times New Roman"/>
          <w:b/>
          <w:sz w:val="24"/>
          <w:highlight w:val="cyan"/>
        </w:rPr>
      </w:pPr>
    </w:p>
    <w:p w14:paraId="655DA21D" w14:textId="77777777" w:rsidR="00083CA4" w:rsidRPr="002A7673" w:rsidRDefault="00083CA4" w:rsidP="005F7139">
      <w:pPr>
        <w:spacing w:after="0" w:line="240" w:lineRule="auto"/>
        <w:jc w:val="both"/>
        <w:rPr>
          <w:rFonts w:ascii="Times New Roman" w:eastAsia="Calibri" w:hAnsi="Times New Roman" w:cs="Times New Roman"/>
          <w:b/>
          <w:sz w:val="24"/>
        </w:rPr>
      </w:pPr>
      <w:r w:rsidRPr="002A7673">
        <w:rPr>
          <w:rFonts w:ascii="Times New Roman" w:eastAsia="Calibri" w:hAnsi="Times New Roman" w:cs="Times New Roman"/>
          <w:noProof/>
          <w:lang w:eastAsia="es-CR"/>
        </w:rPr>
        <w:drawing>
          <wp:inline distT="0" distB="0" distL="0" distR="0" wp14:anchorId="48CA3874" wp14:editId="10E4A55E">
            <wp:extent cx="5612130" cy="102870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pic:nvPicPr>
                  <pic:blipFill>
                    <a:blip r:embed="rId19">
                      <a:extLst>
                        <a:ext uri="{28A0092B-C50C-407E-A947-70E740481C1C}">
                          <a14:useLocalDpi xmlns:a14="http://schemas.microsoft.com/office/drawing/2010/main" val="0"/>
                        </a:ext>
                      </a:extLst>
                    </a:blip>
                    <a:stretch>
                      <a:fillRect/>
                    </a:stretch>
                  </pic:blipFill>
                  <pic:spPr>
                    <a:xfrm>
                      <a:off x="0" y="0"/>
                      <a:ext cx="5612130" cy="1028700"/>
                    </a:xfrm>
                    <a:prstGeom prst="rect">
                      <a:avLst/>
                    </a:prstGeom>
                  </pic:spPr>
                </pic:pic>
              </a:graphicData>
            </a:graphic>
          </wp:inline>
        </w:drawing>
      </w:r>
    </w:p>
    <w:p w14:paraId="54212061" w14:textId="77777777" w:rsidR="00083CA4" w:rsidRPr="002A7673" w:rsidRDefault="00083CA4" w:rsidP="005F7139">
      <w:pPr>
        <w:spacing w:after="0" w:line="240" w:lineRule="auto"/>
        <w:jc w:val="both"/>
        <w:rPr>
          <w:rFonts w:ascii="Times New Roman" w:eastAsia="Calibri" w:hAnsi="Times New Roman" w:cs="Times New Roman"/>
          <w:b/>
          <w:sz w:val="24"/>
        </w:rPr>
      </w:pPr>
    </w:p>
    <w:p w14:paraId="15E40E05"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Del análisis del cuadro anterior se desprende que, todos los programas presentan un decrecimiento en relación con los recursos aprobados para el 2021, cuyo mayor decrecimiento lo presenta el Programa 929 “Ministerio Público”, con un -18%, seguidamente el Programa 926 “</w:t>
      </w:r>
      <w:r w:rsidRPr="002A7673">
        <w:rPr>
          <w:rFonts w:ascii="Times New Roman" w:eastAsia="Calibri" w:hAnsi="Times New Roman" w:cs="Times New Roman"/>
          <w:bCs/>
          <w:i/>
          <w:sz w:val="26"/>
          <w:szCs w:val="26"/>
        </w:rPr>
        <w:t>Dirección y Administración”</w:t>
      </w:r>
      <w:r w:rsidRPr="002A7673">
        <w:rPr>
          <w:rFonts w:ascii="Times New Roman" w:eastAsia="Calibri" w:hAnsi="Times New Roman" w:cs="Times New Roman"/>
          <w:bCs/>
          <w:sz w:val="26"/>
          <w:szCs w:val="26"/>
        </w:rPr>
        <w:t>, con un -13% y el Programa 928 “</w:t>
      </w:r>
      <w:r w:rsidRPr="002A7673">
        <w:rPr>
          <w:rFonts w:ascii="Times New Roman" w:eastAsia="Calibri" w:hAnsi="Times New Roman" w:cs="Times New Roman"/>
          <w:bCs/>
          <w:i/>
          <w:sz w:val="26"/>
          <w:szCs w:val="26"/>
        </w:rPr>
        <w:t>Organismo de Investigación Judicial”</w:t>
      </w:r>
      <w:r w:rsidRPr="002A7673">
        <w:rPr>
          <w:rFonts w:ascii="Times New Roman" w:eastAsia="Calibri" w:hAnsi="Times New Roman" w:cs="Times New Roman"/>
          <w:bCs/>
          <w:sz w:val="26"/>
          <w:szCs w:val="26"/>
        </w:rPr>
        <w:t>, con un -11%; sin embargo, en términos absolutos la mayor disminución la presenta el Programa 928 con una disminución de ¢100.418.416 en relación con los recursos aprobados para el 2021.</w:t>
      </w:r>
    </w:p>
    <w:p w14:paraId="68FA950E" w14:textId="77777777" w:rsidR="005F7139" w:rsidRPr="002A7673" w:rsidRDefault="005F7139" w:rsidP="005F7139">
      <w:pPr>
        <w:spacing w:after="0" w:line="240" w:lineRule="auto"/>
        <w:ind w:left="851" w:right="851" w:firstLine="709"/>
        <w:jc w:val="both"/>
        <w:rPr>
          <w:rFonts w:ascii="Times New Roman" w:eastAsia="Calibri" w:hAnsi="Times New Roman" w:cs="Times New Roman"/>
          <w:bCs/>
          <w:sz w:val="26"/>
          <w:szCs w:val="26"/>
        </w:rPr>
      </w:pPr>
    </w:p>
    <w:p w14:paraId="70351F9C"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 xml:space="preserve">En consulta realizada a la licenciada Carolina Castillo Obando, Administradora </w:t>
      </w:r>
      <w:proofErr w:type="spellStart"/>
      <w:r w:rsidRPr="002A7673">
        <w:rPr>
          <w:rFonts w:ascii="Times New Roman" w:eastAsia="Calibri" w:hAnsi="Times New Roman" w:cs="Times New Roman"/>
          <w:bCs/>
          <w:sz w:val="26"/>
          <w:szCs w:val="26"/>
        </w:rPr>
        <w:t>a.í</w:t>
      </w:r>
      <w:proofErr w:type="spellEnd"/>
      <w:r w:rsidRPr="002A7673">
        <w:rPr>
          <w:rFonts w:ascii="Times New Roman" w:eastAsia="Calibri" w:hAnsi="Times New Roman" w:cs="Times New Roman"/>
          <w:bCs/>
          <w:sz w:val="26"/>
          <w:szCs w:val="26"/>
        </w:rPr>
        <w:t xml:space="preserve"> </w:t>
      </w:r>
      <w:proofErr w:type="gramStart"/>
      <w:r w:rsidRPr="002A7673">
        <w:rPr>
          <w:rFonts w:ascii="Times New Roman" w:eastAsia="Calibri" w:hAnsi="Times New Roman" w:cs="Times New Roman"/>
          <w:bCs/>
          <w:sz w:val="26"/>
          <w:szCs w:val="26"/>
        </w:rPr>
        <w:t>del  Organismo</w:t>
      </w:r>
      <w:proofErr w:type="gramEnd"/>
      <w:r w:rsidRPr="002A7673">
        <w:rPr>
          <w:rFonts w:ascii="Times New Roman" w:eastAsia="Calibri" w:hAnsi="Times New Roman" w:cs="Times New Roman"/>
          <w:bCs/>
          <w:sz w:val="26"/>
          <w:szCs w:val="26"/>
        </w:rPr>
        <w:t xml:space="preserve"> de Investigación Judicial sobre la disminución que presenta este programa, manifestó que, obedece a que para la formulación 2022  se consideró  un porcentaje promedio del devengado en los periodos 2018-2019. </w:t>
      </w:r>
    </w:p>
    <w:p w14:paraId="410AA898" w14:textId="77777777" w:rsidR="00083CA4" w:rsidRPr="002A7673" w:rsidRDefault="00083CA4" w:rsidP="005F7139">
      <w:pPr>
        <w:spacing w:after="0" w:line="360" w:lineRule="auto"/>
        <w:jc w:val="both"/>
        <w:rPr>
          <w:rFonts w:ascii="Times New Roman" w:eastAsia="Calibri" w:hAnsi="Times New Roman" w:cs="Times New Roman"/>
          <w:bCs/>
          <w:sz w:val="26"/>
          <w:szCs w:val="26"/>
        </w:rPr>
      </w:pPr>
    </w:p>
    <w:p w14:paraId="50F2B20C"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 xml:space="preserve">Figura N° 14. </w:t>
      </w:r>
    </w:p>
    <w:p w14:paraId="09A5669B"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 xml:space="preserve">Distribución de recursos por programa para la </w:t>
      </w:r>
      <w:proofErr w:type="gramStart"/>
      <w:r w:rsidRPr="002A7673">
        <w:rPr>
          <w:rFonts w:ascii="Times New Roman" w:eastAsia="Calibri" w:hAnsi="Times New Roman" w:cs="Times New Roman"/>
          <w:b/>
          <w:sz w:val="26"/>
          <w:szCs w:val="26"/>
        </w:rPr>
        <w:t>subpartida</w:t>
      </w:r>
      <w:r w:rsidR="005F7139" w:rsidRPr="002A7673">
        <w:rPr>
          <w:rFonts w:ascii="Times New Roman" w:eastAsia="Calibri" w:hAnsi="Times New Roman" w:cs="Times New Roman"/>
          <w:b/>
          <w:sz w:val="26"/>
          <w:szCs w:val="26"/>
        </w:rPr>
        <w:t xml:space="preserve"> </w:t>
      </w:r>
      <w:r w:rsidRPr="002A7673">
        <w:rPr>
          <w:rFonts w:ascii="Times New Roman" w:eastAsia="Calibri" w:hAnsi="Times New Roman" w:cs="Times New Roman"/>
          <w:b/>
          <w:sz w:val="26"/>
          <w:szCs w:val="26"/>
        </w:rPr>
        <w:t xml:space="preserve"> 20101</w:t>
      </w:r>
      <w:proofErr w:type="gramEnd"/>
      <w:r w:rsidRPr="002A7673">
        <w:rPr>
          <w:rFonts w:ascii="Times New Roman" w:eastAsia="Calibri" w:hAnsi="Times New Roman" w:cs="Times New Roman"/>
          <w:b/>
          <w:sz w:val="26"/>
          <w:szCs w:val="26"/>
        </w:rPr>
        <w:t xml:space="preserve"> Combustibles y Lubricantes</w:t>
      </w:r>
    </w:p>
    <w:p w14:paraId="295DFF88" w14:textId="77777777" w:rsidR="00083CA4" w:rsidRPr="002A7673" w:rsidRDefault="00083CA4" w:rsidP="005F7139">
      <w:pPr>
        <w:spacing w:after="0" w:line="240" w:lineRule="auto"/>
        <w:jc w:val="center"/>
        <w:rPr>
          <w:rFonts w:ascii="Times New Roman" w:eastAsia="Calibri" w:hAnsi="Times New Roman" w:cs="Times New Roman"/>
          <w:noProof/>
        </w:rPr>
      </w:pPr>
    </w:p>
    <w:p w14:paraId="1620D93A" w14:textId="77777777" w:rsidR="00083CA4" w:rsidRPr="002A7673" w:rsidRDefault="00083CA4" w:rsidP="005F7139">
      <w:pPr>
        <w:spacing w:after="0" w:line="240" w:lineRule="auto"/>
        <w:jc w:val="center"/>
        <w:rPr>
          <w:rFonts w:ascii="Times New Roman" w:eastAsia="Calibri" w:hAnsi="Times New Roman" w:cs="Times New Roman"/>
          <w:noProof/>
        </w:rPr>
      </w:pPr>
      <w:r w:rsidRPr="002A7673">
        <w:rPr>
          <w:rFonts w:ascii="Times New Roman" w:eastAsia="Calibri" w:hAnsi="Times New Roman" w:cs="Times New Roman"/>
          <w:noProof/>
          <w:lang w:eastAsia="es-CR"/>
        </w:rPr>
        <w:drawing>
          <wp:inline distT="0" distB="0" distL="0" distR="0" wp14:anchorId="2EA8B7DA" wp14:editId="19A20296">
            <wp:extent cx="5433695" cy="17233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33695" cy="1723390"/>
                    </a:xfrm>
                    <a:prstGeom prst="rect">
                      <a:avLst/>
                    </a:prstGeom>
                    <a:noFill/>
                    <a:ln>
                      <a:noFill/>
                    </a:ln>
                  </pic:spPr>
                </pic:pic>
              </a:graphicData>
            </a:graphic>
          </wp:inline>
        </w:drawing>
      </w:r>
    </w:p>
    <w:p w14:paraId="053A513A" w14:textId="77777777" w:rsidR="00083CA4" w:rsidRPr="002A7673" w:rsidRDefault="00083CA4" w:rsidP="005F7139">
      <w:pPr>
        <w:spacing w:after="0" w:line="240" w:lineRule="auto"/>
        <w:ind w:left="708"/>
        <w:jc w:val="center"/>
        <w:rPr>
          <w:rFonts w:ascii="Times New Roman" w:eastAsia="Calibri" w:hAnsi="Times New Roman" w:cs="Times New Roman"/>
          <w:b/>
          <w:sz w:val="24"/>
        </w:rPr>
      </w:pPr>
    </w:p>
    <w:p w14:paraId="294AD8AA" w14:textId="77777777" w:rsidR="00083CA4" w:rsidRPr="002A7673" w:rsidRDefault="00083CA4" w:rsidP="005F7139">
      <w:pPr>
        <w:spacing w:after="0" w:line="240" w:lineRule="auto"/>
        <w:jc w:val="center"/>
        <w:rPr>
          <w:rFonts w:ascii="Times New Roman" w:eastAsia="Calibri" w:hAnsi="Times New Roman" w:cs="Times New Roman"/>
          <w:noProof/>
        </w:rPr>
      </w:pPr>
      <w:r w:rsidRPr="002A7673">
        <w:rPr>
          <w:rFonts w:ascii="Times New Roman" w:eastAsia="Calibri" w:hAnsi="Times New Roman" w:cs="Times New Roman"/>
          <w:b/>
          <w:sz w:val="24"/>
        </w:rPr>
        <w:lastRenderedPageBreak/>
        <w:t xml:space="preserve">Distribución Gráfica </w:t>
      </w:r>
      <w:r w:rsidRPr="002A7673">
        <w:rPr>
          <w:rFonts w:ascii="Times New Roman" w:eastAsia="Calibri" w:hAnsi="Times New Roman" w:cs="Times New Roman"/>
          <w:noProof/>
          <w:lang w:eastAsia="es-CR"/>
        </w:rPr>
        <w:drawing>
          <wp:inline distT="0" distB="0" distL="0" distR="0" wp14:anchorId="7749E68B" wp14:editId="691E4938">
            <wp:extent cx="5562600" cy="4327526"/>
            <wp:effectExtent l="0" t="0" r="0" b="15875"/>
            <wp:docPr id="12" name="Gráfico 12">
              <a:extLst xmlns:a="http://schemas.openxmlformats.org/drawingml/2006/main">
                <a:ext uri="{FF2B5EF4-FFF2-40B4-BE49-F238E27FC236}">
                  <a16:creationId xmlns:a16="http://schemas.microsoft.com/office/drawing/2014/main" id="{126FF142-A6E7-40ED-BAE2-504DE38FF7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766CD3F" w14:textId="77777777" w:rsidR="00083CA4" w:rsidRPr="002A7673" w:rsidRDefault="00083CA4" w:rsidP="005F7139">
      <w:pPr>
        <w:spacing w:after="0" w:line="240" w:lineRule="auto"/>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 xml:space="preserve">                             Fuente: SIGA PJ</w:t>
      </w:r>
    </w:p>
    <w:p w14:paraId="7DDCBB68" w14:textId="77777777" w:rsidR="00083CA4" w:rsidRPr="002A7673" w:rsidRDefault="00083CA4" w:rsidP="005F7139">
      <w:pPr>
        <w:spacing w:after="0" w:line="240" w:lineRule="auto"/>
        <w:rPr>
          <w:rFonts w:ascii="Times New Roman" w:eastAsia="Calibri" w:hAnsi="Times New Roman" w:cs="Times New Roman"/>
          <w:bCs/>
          <w:sz w:val="16"/>
          <w:szCs w:val="16"/>
        </w:rPr>
      </w:pPr>
    </w:p>
    <w:p w14:paraId="180E769A"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Del gráfico anterior se concluye, que el programa 928 “</w:t>
      </w:r>
      <w:r w:rsidRPr="002A7673">
        <w:rPr>
          <w:rFonts w:ascii="Times New Roman" w:eastAsia="Calibri" w:hAnsi="Times New Roman" w:cs="Times New Roman"/>
          <w:bCs/>
          <w:i/>
          <w:sz w:val="26"/>
          <w:szCs w:val="26"/>
        </w:rPr>
        <w:t>Organismo de Investigación Judicial</w:t>
      </w:r>
      <w:r w:rsidRPr="002A7673">
        <w:rPr>
          <w:rFonts w:ascii="Times New Roman" w:eastAsia="Calibri" w:hAnsi="Times New Roman" w:cs="Times New Roman"/>
          <w:bCs/>
          <w:sz w:val="26"/>
          <w:szCs w:val="26"/>
        </w:rPr>
        <w:t xml:space="preserve"> “es el programa que formula la mayor cantidad de recursos para el </w:t>
      </w:r>
      <w:proofErr w:type="gramStart"/>
      <w:r w:rsidRPr="002A7673">
        <w:rPr>
          <w:rFonts w:ascii="Times New Roman" w:eastAsia="Calibri" w:hAnsi="Times New Roman" w:cs="Times New Roman"/>
          <w:bCs/>
          <w:sz w:val="26"/>
          <w:szCs w:val="26"/>
        </w:rPr>
        <w:t>2022  por</w:t>
      </w:r>
      <w:proofErr w:type="gramEnd"/>
      <w:r w:rsidRPr="002A7673">
        <w:rPr>
          <w:rFonts w:ascii="Times New Roman" w:eastAsia="Calibri" w:hAnsi="Times New Roman" w:cs="Times New Roman"/>
          <w:bCs/>
          <w:sz w:val="26"/>
          <w:szCs w:val="26"/>
        </w:rPr>
        <w:t xml:space="preserve"> la suma de ¢783.203.767 (65%), seguido por el Programa 926 “</w:t>
      </w:r>
      <w:r w:rsidRPr="002A7673">
        <w:rPr>
          <w:rFonts w:ascii="Times New Roman" w:eastAsia="Calibri" w:hAnsi="Times New Roman" w:cs="Times New Roman"/>
          <w:bCs/>
          <w:i/>
          <w:sz w:val="26"/>
          <w:szCs w:val="26"/>
        </w:rPr>
        <w:t>Dirección, Administración”</w:t>
      </w:r>
      <w:r w:rsidRPr="002A7673">
        <w:rPr>
          <w:rFonts w:ascii="Times New Roman" w:eastAsia="Calibri" w:hAnsi="Times New Roman" w:cs="Times New Roman"/>
          <w:bCs/>
          <w:sz w:val="26"/>
          <w:szCs w:val="26"/>
        </w:rPr>
        <w:t xml:space="preserve"> con un 21% (¢253.319.529). Lo anterior responde a que estos programas mantienen la mayor cantidad de vehículos asignados a nivel institucional y, por ende, los que consumen más combustible. </w:t>
      </w:r>
    </w:p>
    <w:p w14:paraId="7DE8A21F"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p>
    <w:p w14:paraId="60A07798" w14:textId="77777777" w:rsidR="00083CA4" w:rsidRPr="002A7673" w:rsidRDefault="00083CA4" w:rsidP="005F7139">
      <w:pPr>
        <w:spacing w:after="0" w:line="240" w:lineRule="auto"/>
        <w:ind w:left="851" w:right="851" w:firstLine="709"/>
        <w:jc w:val="both"/>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Distribución por Centro de Responsabilidad</w:t>
      </w:r>
    </w:p>
    <w:p w14:paraId="0718F7A3" w14:textId="77777777" w:rsidR="00083CA4" w:rsidRPr="002A7673" w:rsidRDefault="00083CA4" w:rsidP="005F7139">
      <w:pPr>
        <w:spacing w:after="0" w:line="240" w:lineRule="auto"/>
        <w:ind w:left="851" w:right="851" w:firstLine="709"/>
        <w:rPr>
          <w:rFonts w:ascii="Times New Roman" w:eastAsia="Calibri" w:hAnsi="Times New Roman" w:cs="Times New Roman"/>
          <w:sz w:val="26"/>
          <w:szCs w:val="26"/>
        </w:rPr>
      </w:pPr>
    </w:p>
    <w:p w14:paraId="63E0CD87" w14:textId="77777777" w:rsidR="00083CA4" w:rsidRPr="002A7673" w:rsidRDefault="00083CA4" w:rsidP="005F7139">
      <w:pPr>
        <w:spacing w:after="0" w:line="240" w:lineRule="auto"/>
        <w:ind w:left="851" w:right="851" w:firstLine="709"/>
        <w:jc w:val="both"/>
        <w:rPr>
          <w:rFonts w:ascii="Times New Roman" w:eastAsia="Calibri" w:hAnsi="Times New Roman" w:cs="Times New Roman"/>
          <w:sz w:val="26"/>
          <w:szCs w:val="26"/>
        </w:rPr>
      </w:pPr>
      <w:bookmarkStart w:id="4" w:name="_Hlk35358175"/>
      <w:r w:rsidRPr="002A7673">
        <w:rPr>
          <w:rFonts w:ascii="Times New Roman" w:eastAsia="Calibri" w:hAnsi="Times New Roman" w:cs="Times New Roman"/>
          <w:sz w:val="26"/>
          <w:szCs w:val="26"/>
        </w:rPr>
        <w:t xml:space="preserve">En el siguiente cuadro se muestra el detalle de la distribución de los recursos formulados por los 8 primeros Centros de Responsabilidad más representativos. </w:t>
      </w:r>
    </w:p>
    <w:bookmarkEnd w:id="4"/>
    <w:p w14:paraId="42399F6A" w14:textId="77777777" w:rsidR="00083CA4" w:rsidRPr="002A7673" w:rsidRDefault="00083CA4" w:rsidP="005F7139">
      <w:pPr>
        <w:spacing w:after="0" w:line="240" w:lineRule="auto"/>
        <w:rPr>
          <w:rFonts w:ascii="Times New Roman" w:eastAsia="Calibri" w:hAnsi="Times New Roman" w:cs="Times New Roman"/>
          <w:sz w:val="26"/>
          <w:szCs w:val="26"/>
        </w:rPr>
      </w:pPr>
    </w:p>
    <w:p w14:paraId="37A58A83" w14:textId="77777777" w:rsidR="00083CA4" w:rsidRPr="002A7673" w:rsidRDefault="00083CA4" w:rsidP="005F7139">
      <w:pPr>
        <w:spacing w:after="0" w:line="240" w:lineRule="auto"/>
        <w:jc w:val="center"/>
        <w:rPr>
          <w:rFonts w:ascii="Times New Roman" w:eastAsia="Calibri" w:hAnsi="Times New Roman" w:cs="Times New Roman"/>
          <w:b/>
          <w:sz w:val="26"/>
          <w:szCs w:val="26"/>
        </w:rPr>
      </w:pPr>
    </w:p>
    <w:p w14:paraId="64BF97BB"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lastRenderedPageBreak/>
        <w:t>Figura N° 15</w:t>
      </w:r>
    </w:p>
    <w:p w14:paraId="252CE077"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Distribución por Centro de Responsabilidad</w:t>
      </w:r>
    </w:p>
    <w:p w14:paraId="45ABEE8D" w14:textId="77777777" w:rsidR="00083CA4" w:rsidRPr="002A7673" w:rsidRDefault="00083CA4" w:rsidP="005F7139">
      <w:pPr>
        <w:spacing w:after="0" w:line="240" w:lineRule="auto"/>
        <w:jc w:val="center"/>
        <w:rPr>
          <w:rFonts w:ascii="Times New Roman" w:eastAsia="Calibri" w:hAnsi="Times New Roman" w:cs="Times New Roman"/>
          <w:b/>
          <w:sz w:val="24"/>
        </w:rPr>
      </w:pPr>
      <w:r w:rsidRPr="002A7673">
        <w:rPr>
          <w:rFonts w:ascii="Times New Roman" w:eastAsia="Calibri" w:hAnsi="Times New Roman" w:cs="Times New Roman"/>
          <w:b/>
          <w:sz w:val="26"/>
          <w:szCs w:val="26"/>
        </w:rPr>
        <w:t>Subpartida 20101 Combustibles y Lubricante</w:t>
      </w:r>
      <w:r w:rsidRPr="002A7673">
        <w:rPr>
          <w:rFonts w:ascii="Times New Roman" w:eastAsia="Calibri" w:hAnsi="Times New Roman" w:cs="Times New Roman"/>
          <w:b/>
          <w:sz w:val="24"/>
        </w:rPr>
        <w:t>s</w:t>
      </w:r>
    </w:p>
    <w:p w14:paraId="6FEB6F56" w14:textId="77777777" w:rsidR="00083CA4" w:rsidRPr="002A7673" w:rsidRDefault="00083CA4" w:rsidP="005F7139">
      <w:pPr>
        <w:spacing w:after="0" w:line="240" w:lineRule="auto"/>
        <w:jc w:val="center"/>
        <w:rPr>
          <w:rFonts w:ascii="Times New Roman" w:eastAsia="Calibri" w:hAnsi="Times New Roman" w:cs="Times New Roman"/>
          <w:b/>
          <w:sz w:val="24"/>
        </w:rPr>
      </w:pPr>
    </w:p>
    <w:p w14:paraId="361B2776" w14:textId="77777777" w:rsidR="00083CA4" w:rsidRPr="002A7673" w:rsidRDefault="00083CA4" w:rsidP="005F7139">
      <w:pPr>
        <w:spacing w:after="0" w:line="240" w:lineRule="auto"/>
        <w:jc w:val="center"/>
        <w:rPr>
          <w:rFonts w:ascii="Times New Roman" w:eastAsia="Calibri" w:hAnsi="Times New Roman" w:cs="Times New Roman"/>
          <w:b/>
          <w:sz w:val="24"/>
        </w:rPr>
      </w:pPr>
    </w:p>
    <w:p w14:paraId="4AC59F07" w14:textId="77777777" w:rsidR="00083CA4" w:rsidRPr="002A7673" w:rsidRDefault="00083CA4" w:rsidP="005F7139">
      <w:pPr>
        <w:spacing w:after="0" w:line="240" w:lineRule="auto"/>
        <w:jc w:val="center"/>
        <w:rPr>
          <w:rFonts w:ascii="Times New Roman" w:eastAsia="Calibri" w:hAnsi="Times New Roman" w:cs="Times New Roman"/>
          <w:b/>
          <w:sz w:val="24"/>
        </w:rPr>
      </w:pPr>
      <w:r w:rsidRPr="002A7673">
        <w:rPr>
          <w:rFonts w:ascii="Times New Roman" w:eastAsia="Calibri" w:hAnsi="Times New Roman" w:cs="Times New Roman"/>
          <w:noProof/>
          <w:lang w:eastAsia="es-CR"/>
        </w:rPr>
        <w:drawing>
          <wp:inline distT="0" distB="0" distL="0" distR="0" wp14:anchorId="49EBEABF" wp14:editId="7A996F75">
            <wp:extent cx="5166360" cy="181356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6360" cy="1813560"/>
                    </a:xfrm>
                    <a:prstGeom prst="rect">
                      <a:avLst/>
                    </a:prstGeom>
                    <a:noFill/>
                    <a:ln>
                      <a:noFill/>
                    </a:ln>
                  </pic:spPr>
                </pic:pic>
              </a:graphicData>
            </a:graphic>
          </wp:inline>
        </w:drawing>
      </w:r>
    </w:p>
    <w:p w14:paraId="1A729C1F" w14:textId="77777777" w:rsidR="00083CA4" w:rsidRPr="002A7673" w:rsidRDefault="00083CA4" w:rsidP="005F7139">
      <w:pPr>
        <w:spacing w:after="0" w:line="240" w:lineRule="auto"/>
        <w:jc w:val="center"/>
        <w:rPr>
          <w:rFonts w:ascii="Times New Roman" w:eastAsia="Calibri" w:hAnsi="Times New Roman" w:cs="Times New Roman"/>
          <w:b/>
          <w:sz w:val="24"/>
        </w:rPr>
      </w:pPr>
      <w:r w:rsidRPr="002A7673">
        <w:rPr>
          <w:rFonts w:ascii="Times New Roman" w:eastAsia="Calibri" w:hAnsi="Times New Roman" w:cs="Times New Roman"/>
          <w:noProof/>
          <w:lang w:eastAsia="es-CR"/>
        </w:rPr>
        <w:drawing>
          <wp:inline distT="0" distB="0" distL="0" distR="0" wp14:anchorId="6B55E60B" wp14:editId="59672EA7">
            <wp:extent cx="5612130" cy="24384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2130" cy="243840"/>
                    </a:xfrm>
                    <a:prstGeom prst="rect">
                      <a:avLst/>
                    </a:prstGeom>
                    <a:noFill/>
                    <a:ln>
                      <a:noFill/>
                    </a:ln>
                  </pic:spPr>
                </pic:pic>
              </a:graphicData>
            </a:graphic>
          </wp:inline>
        </w:drawing>
      </w:r>
    </w:p>
    <w:p w14:paraId="39DC1D2A" w14:textId="77777777" w:rsidR="00083CA4" w:rsidRPr="002A7673" w:rsidRDefault="00083CA4" w:rsidP="005F7139">
      <w:pPr>
        <w:tabs>
          <w:tab w:val="left" w:pos="5060"/>
        </w:tabs>
        <w:spacing w:after="0" w:line="240" w:lineRule="auto"/>
        <w:jc w:val="both"/>
        <w:rPr>
          <w:rFonts w:ascii="Times New Roman" w:eastAsia="Calibri" w:hAnsi="Times New Roman" w:cs="Times New Roman"/>
          <w:b/>
          <w:sz w:val="24"/>
        </w:rPr>
      </w:pPr>
      <w:r w:rsidRPr="002A7673">
        <w:rPr>
          <w:rFonts w:ascii="Times New Roman" w:eastAsia="Calibri" w:hAnsi="Times New Roman" w:cs="Times New Roman"/>
          <w:bCs/>
          <w:sz w:val="16"/>
          <w:szCs w:val="16"/>
        </w:rPr>
        <w:t xml:space="preserve"> Fuente: SIGA PJ</w:t>
      </w:r>
    </w:p>
    <w:p w14:paraId="4C57AE2C" w14:textId="77777777" w:rsidR="00083CA4" w:rsidRPr="002A7673" w:rsidRDefault="00083CA4" w:rsidP="005F7139">
      <w:pPr>
        <w:spacing w:after="0" w:line="240" w:lineRule="auto"/>
        <w:rPr>
          <w:rFonts w:ascii="Times New Roman" w:eastAsia="Calibri" w:hAnsi="Times New Roman" w:cs="Times New Roman"/>
          <w:bCs/>
          <w:sz w:val="24"/>
        </w:rPr>
      </w:pPr>
    </w:p>
    <w:p w14:paraId="5AC1A6A0" w14:textId="77777777" w:rsidR="00083CA4" w:rsidRPr="002A7673" w:rsidRDefault="00083CA4" w:rsidP="005F7139">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 xml:space="preserve">Finalmente </w:t>
      </w:r>
      <w:proofErr w:type="gramStart"/>
      <w:r w:rsidRPr="002A7673">
        <w:rPr>
          <w:rFonts w:ascii="Times New Roman" w:eastAsia="Calibri" w:hAnsi="Times New Roman" w:cs="Times New Roman"/>
          <w:bCs/>
          <w:sz w:val="26"/>
          <w:szCs w:val="26"/>
        </w:rPr>
        <w:t>indicar</w:t>
      </w:r>
      <w:proofErr w:type="gramEnd"/>
      <w:r w:rsidRPr="002A7673">
        <w:rPr>
          <w:rFonts w:ascii="Times New Roman" w:eastAsia="Calibri" w:hAnsi="Times New Roman" w:cs="Times New Roman"/>
          <w:bCs/>
          <w:sz w:val="26"/>
          <w:szCs w:val="26"/>
        </w:rPr>
        <w:t xml:space="preserve"> que esta subpartida cumple con lo acordado por Corte Plena en sesión del pasado 11 de enero del año en curso, donde se aprobó que para el Anteproyecto de Presupuesto del 2022 se formulará un -4% del monto aprobado para el 2021, debido a que disminuyó a nivel de Título la suma de ¢154 millones (-1.21%).  </w:t>
      </w:r>
    </w:p>
    <w:p w14:paraId="52221D65" w14:textId="77777777" w:rsidR="005F7139" w:rsidRPr="002A7673" w:rsidRDefault="005F7139" w:rsidP="005F7139">
      <w:pPr>
        <w:spacing w:after="0" w:line="240" w:lineRule="auto"/>
        <w:ind w:left="851" w:right="851" w:firstLine="709"/>
        <w:jc w:val="both"/>
        <w:rPr>
          <w:rFonts w:ascii="Times New Roman" w:eastAsia="Calibri" w:hAnsi="Times New Roman" w:cs="Times New Roman"/>
          <w:bCs/>
          <w:sz w:val="26"/>
          <w:szCs w:val="26"/>
        </w:rPr>
      </w:pPr>
    </w:p>
    <w:p w14:paraId="01CE7A4C" w14:textId="77777777" w:rsidR="005F7139" w:rsidRPr="002A7673" w:rsidRDefault="005F7139" w:rsidP="005F7139">
      <w:pPr>
        <w:ind w:left="851" w:right="851" w:firstLine="709"/>
        <w:jc w:val="center"/>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- 0 -</w:t>
      </w:r>
    </w:p>
    <w:p w14:paraId="6936577A" w14:textId="77777777" w:rsidR="00F422DD" w:rsidRPr="002A7673" w:rsidRDefault="00083CA4" w:rsidP="005F7139">
      <w:pPr>
        <w:spacing w:after="0" w:line="360" w:lineRule="auto"/>
        <w:ind w:firstLine="708"/>
        <w:jc w:val="both"/>
        <w:rPr>
          <w:rFonts w:ascii="Times New Roman" w:eastAsia="Calibri" w:hAnsi="Times New Roman" w:cs="Times New Roman"/>
          <w:sz w:val="28"/>
          <w:szCs w:val="28"/>
        </w:rPr>
      </w:pPr>
      <w:r w:rsidRPr="002A7673">
        <w:rPr>
          <w:rFonts w:ascii="Times New Roman" w:eastAsia="Calibri" w:hAnsi="Times New Roman" w:cs="Times New Roman"/>
          <w:b/>
          <w:bCs/>
          <w:sz w:val="28"/>
          <w:szCs w:val="28"/>
        </w:rPr>
        <w:t>Se acordó</w:t>
      </w:r>
      <w:r w:rsidRPr="002A7673">
        <w:rPr>
          <w:rFonts w:ascii="Times New Roman" w:eastAsia="Calibri" w:hAnsi="Times New Roman" w:cs="Times New Roman"/>
          <w:b/>
          <w:sz w:val="28"/>
          <w:szCs w:val="28"/>
        </w:rPr>
        <w:t>:  1)</w:t>
      </w:r>
      <w:r w:rsidRPr="002A7673">
        <w:rPr>
          <w:rFonts w:ascii="Times New Roman" w:eastAsia="Calibri" w:hAnsi="Times New Roman" w:cs="Times New Roman"/>
          <w:sz w:val="28"/>
          <w:szCs w:val="28"/>
        </w:rPr>
        <w:t xml:space="preserve"> Se dan por conocidos los recursos formulados en las subpartidas 10805 “Mantenimiento y Reparación de Equipo de Transporte” y 20101 “Combustibles y Lubricantes”, sin embargo, se estará a la espera del análisis global del presupuesto 2022, para aprobar una propuesta integral que consolide todas las necesidades institucionales.  </w:t>
      </w:r>
      <w:r w:rsidRPr="002A7673">
        <w:rPr>
          <w:rFonts w:ascii="Times New Roman" w:eastAsia="Calibri" w:hAnsi="Times New Roman" w:cs="Times New Roman"/>
          <w:b/>
          <w:sz w:val="28"/>
          <w:szCs w:val="28"/>
        </w:rPr>
        <w:t>2)</w:t>
      </w:r>
      <w:r w:rsidRPr="002A7673">
        <w:rPr>
          <w:rFonts w:ascii="Times New Roman" w:eastAsia="Calibri" w:hAnsi="Times New Roman" w:cs="Times New Roman"/>
          <w:sz w:val="28"/>
          <w:szCs w:val="28"/>
        </w:rPr>
        <w:t xml:space="preserve"> Aprobar los requerimientos adicionales en la Subpartida 10805 Mantenimiento y Reparación de equipo de Transporte, solicitados por la Defensa Pública, por la suma de ¢4.000.000,</w:t>
      </w:r>
      <w:r w:rsidR="002B6FA6" w:rsidRPr="002A7673">
        <w:rPr>
          <w:rFonts w:ascii="Times New Roman" w:eastAsia="Calibri" w:hAnsi="Times New Roman" w:cs="Times New Roman"/>
          <w:sz w:val="28"/>
          <w:szCs w:val="28"/>
        </w:rPr>
        <w:t xml:space="preserve"> (cuatro millones de colones exactos),</w:t>
      </w:r>
      <w:r w:rsidRPr="002A7673">
        <w:rPr>
          <w:rFonts w:ascii="Times New Roman" w:eastAsia="Calibri" w:hAnsi="Times New Roman" w:cs="Times New Roman"/>
          <w:sz w:val="28"/>
          <w:szCs w:val="28"/>
        </w:rPr>
        <w:t xml:space="preserve"> para atender de manera oportuna el mantenimiento de la flotilla vehicular.</w:t>
      </w:r>
      <w:r w:rsidR="00F422DD" w:rsidRPr="002A7673">
        <w:rPr>
          <w:rFonts w:ascii="Times New Roman" w:eastAsia="Calibri" w:hAnsi="Times New Roman" w:cs="Times New Roman"/>
          <w:sz w:val="28"/>
          <w:szCs w:val="28"/>
        </w:rPr>
        <w:t xml:space="preserve"> </w:t>
      </w:r>
    </w:p>
    <w:p w14:paraId="64C6C10E" w14:textId="77777777" w:rsidR="00083CA4" w:rsidRPr="002A7673" w:rsidRDefault="00F422DD" w:rsidP="005F7139">
      <w:pPr>
        <w:spacing w:after="0" w:line="360" w:lineRule="auto"/>
        <w:ind w:firstLine="708"/>
        <w:jc w:val="both"/>
        <w:rPr>
          <w:rFonts w:ascii="Times New Roman" w:eastAsia="Calibri" w:hAnsi="Times New Roman" w:cs="Times New Roman"/>
          <w:sz w:val="24"/>
          <w:szCs w:val="24"/>
        </w:rPr>
      </w:pPr>
      <w:r w:rsidRPr="002A7673">
        <w:rPr>
          <w:rFonts w:ascii="Times New Roman" w:eastAsia="Calibri" w:hAnsi="Times New Roman" w:cs="Times New Roman"/>
          <w:sz w:val="28"/>
          <w:szCs w:val="28"/>
        </w:rPr>
        <w:lastRenderedPageBreak/>
        <w:t xml:space="preserve">La Dirección Ejecutiva, de Planificación y la Defensa Pública, tomarán nota para lo que corresponda. </w:t>
      </w:r>
      <w:r w:rsidRPr="002A7673">
        <w:rPr>
          <w:rFonts w:ascii="Times New Roman" w:eastAsia="Calibri" w:hAnsi="Times New Roman" w:cs="Times New Roman"/>
          <w:b/>
          <w:sz w:val="28"/>
          <w:szCs w:val="28"/>
        </w:rPr>
        <w:t>Se declara acuerdo firme.</w:t>
      </w:r>
    </w:p>
    <w:p w14:paraId="07DD51AE" w14:textId="77777777" w:rsidR="00083CA4" w:rsidRPr="002A7673" w:rsidRDefault="00083CA4" w:rsidP="00E37699">
      <w:pPr>
        <w:spacing w:after="0" w:line="240" w:lineRule="auto"/>
        <w:rPr>
          <w:rFonts w:ascii="Times New Roman" w:eastAsia="Times New Roman" w:hAnsi="Times New Roman" w:cs="Times New Roman"/>
          <w:b/>
          <w:sz w:val="24"/>
          <w:szCs w:val="24"/>
          <w:lang w:val="es-ES" w:eastAsia="es-ES"/>
        </w:rPr>
      </w:pPr>
    </w:p>
    <w:p w14:paraId="5F70593D" w14:textId="09F581A0" w:rsidR="00AE01C4" w:rsidRPr="00EF57CF" w:rsidRDefault="00083CA4" w:rsidP="00EF57CF">
      <w:pPr>
        <w:keepNext/>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II</w:t>
      </w:r>
    </w:p>
    <w:p w14:paraId="741C716B" w14:textId="77777777" w:rsidR="00083CA4" w:rsidRPr="002A7673" w:rsidRDefault="00083CA4" w:rsidP="005F7139">
      <w:pPr>
        <w:autoSpaceDE w:val="0"/>
        <w:autoSpaceDN w:val="0"/>
        <w:adjustRightInd w:val="0"/>
        <w:spacing w:after="0" w:line="480" w:lineRule="auto"/>
        <w:ind w:firstLine="302"/>
        <w:jc w:val="both"/>
        <w:rPr>
          <w:rFonts w:ascii="Times New Roman" w:eastAsia="Calibri" w:hAnsi="Times New Roman" w:cs="Times New Roman"/>
          <w:b/>
          <w:bCs/>
          <w:color w:val="00B050"/>
          <w:sz w:val="28"/>
          <w:szCs w:val="28"/>
        </w:rPr>
      </w:pPr>
      <w:r w:rsidRPr="002A7673">
        <w:rPr>
          <w:rFonts w:ascii="Times New Roman" w:eastAsia="Calibri" w:hAnsi="Times New Roman" w:cs="Times New Roman"/>
          <w:b/>
          <w:bCs/>
          <w:sz w:val="28"/>
          <w:szCs w:val="28"/>
        </w:rPr>
        <w:t xml:space="preserve">Documento N° </w:t>
      </w:r>
      <w:r w:rsidRPr="002A7673">
        <w:rPr>
          <w:rFonts w:ascii="Times New Roman" w:eastAsia="Calibri" w:hAnsi="Times New Roman" w:cs="Times New Roman"/>
          <w:b/>
          <w:bCs/>
          <w:color w:val="00B050"/>
          <w:sz w:val="28"/>
          <w:szCs w:val="28"/>
        </w:rPr>
        <w:t>4388-2021</w:t>
      </w:r>
    </w:p>
    <w:p w14:paraId="0238042B" w14:textId="77777777" w:rsidR="00083CA4" w:rsidRPr="002A7673" w:rsidRDefault="00083CA4" w:rsidP="002B6FA6">
      <w:pPr>
        <w:keepNext/>
        <w:shd w:val="clear" w:color="auto" w:fill="FFFFFF"/>
        <w:autoSpaceDE w:val="0"/>
        <w:autoSpaceDN w:val="0"/>
        <w:spacing w:after="0" w:line="360" w:lineRule="auto"/>
        <w:ind w:firstLine="709"/>
        <w:jc w:val="both"/>
        <w:outlineLvl w:val="0"/>
        <w:rPr>
          <w:rFonts w:ascii="Times New Roman" w:eastAsia="Calibri" w:hAnsi="Times New Roman" w:cs="Times New Roman"/>
          <w:b/>
          <w:bCs/>
          <w:sz w:val="28"/>
          <w:szCs w:val="28"/>
          <w:lang w:val="es-MX" w:eastAsia="es-ES"/>
        </w:rPr>
      </w:pPr>
      <w:r w:rsidRPr="002A7673">
        <w:rPr>
          <w:rFonts w:ascii="Times New Roman" w:eastAsia="Calibri" w:hAnsi="Times New Roman" w:cs="Times New Roman"/>
          <w:sz w:val="28"/>
          <w:szCs w:val="28"/>
          <w:lang w:eastAsia="es-ES"/>
        </w:rPr>
        <w:t xml:space="preserve">En reunión de trabajo del pasado 16 de abril, la Licenciada Nacira Valverde Bermúdez presentó la estimación de requerimientos para el 2022 en las </w:t>
      </w:r>
      <w:r w:rsidRPr="002A7673">
        <w:rPr>
          <w:rFonts w:ascii="Times New Roman" w:eastAsia="Calibri" w:hAnsi="Times New Roman" w:cs="Times New Roman"/>
          <w:b/>
          <w:bCs/>
          <w:sz w:val="28"/>
          <w:szCs w:val="28"/>
          <w:lang w:val="es-MX" w:eastAsia="es-ES"/>
        </w:rPr>
        <w:t>Subpartidas 10101 Alquiler de edificios, locales y terrenos; 10801 Mantenimiento de edificios y locales; 50201 Edificios</w:t>
      </w:r>
      <w:r w:rsidR="00F422DD" w:rsidRPr="002A7673">
        <w:rPr>
          <w:rFonts w:ascii="Times New Roman" w:eastAsia="Calibri" w:hAnsi="Times New Roman" w:cs="Times New Roman"/>
          <w:bCs/>
          <w:sz w:val="28"/>
          <w:szCs w:val="28"/>
          <w:lang w:val="es-MX" w:eastAsia="es-ES"/>
        </w:rPr>
        <w:t>, que dice:</w:t>
      </w:r>
      <w:r w:rsidRPr="002A7673">
        <w:rPr>
          <w:rFonts w:ascii="Times New Roman" w:eastAsia="Calibri" w:hAnsi="Times New Roman" w:cs="Times New Roman"/>
          <w:b/>
          <w:bCs/>
          <w:sz w:val="28"/>
          <w:szCs w:val="28"/>
          <w:lang w:val="es-MX" w:eastAsia="es-ES"/>
        </w:rPr>
        <w:t xml:space="preserve">     </w:t>
      </w:r>
    </w:p>
    <w:p w14:paraId="3A04A77C" w14:textId="77777777" w:rsidR="00083CA4" w:rsidRPr="002A7673" w:rsidRDefault="00083CA4" w:rsidP="005F7139">
      <w:pPr>
        <w:spacing w:after="0" w:line="240" w:lineRule="auto"/>
        <w:jc w:val="center"/>
        <w:rPr>
          <w:rFonts w:ascii="Times New Roman" w:eastAsia="Calibri" w:hAnsi="Times New Roman" w:cs="Times New Roman"/>
          <w:b/>
          <w:sz w:val="28"/>
          <w:szCs w:val="24"/>
        </w:rPr>
      </w:pPr>
      <w:r w:rsidRPr="002A7673">
        <w:rPr>
          <w:rFonts w:ascii="Times New Roman" w:eastAsia="Calibri" w:hAnsi="Times New Roman" w:cs="Times New Roman"/>
          <w:b/>
          <w:sz w:val="28"/>
          <w:szCs w:val="24"/>
        </w:rPr>
        <w:t xml:space="preserve">     </w:t>
      </w:r>
    </w:p>
    <w:p w14:paraId="5F9A0CED" w14:textId="77777777" w:rsidR="00083CA4" w:rsidRPr="002A7673" w:rsidRDefault="00F422DD" w:rsidP="00F422DD">
      <w:pPr>
        <w:spacing w:after="0" w:line="240" w:lineRule="auto"/>
        <w:ind w:left="851" w:right="851" w:firstLine="709"/>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w:t>
      </w:r>
      <w:r w:rsidR="00083CA4" w:rsidRPr="002A7673">
        <w:rPr>
          <w:rFonts w:ascii="Times New Roman" w:eastAsia="Calibri" w:hAnsi="Times New Roman" w:cs="Times New Roman"/>
          <w:b/>
          <w:sz w:val="26"/>
          <w:szCs w:val="26"/>
        </w:rPr>
        <w:t>Subpartida 1.01.01 Alquiler de edificios, locales y terrenos</w:t>
      </w:r>
    </w:p>
    <w:p w14:paraId="33EEB884" w14:textId="77777777" w:rsidR="00083CA4" w:rsidRPr="002A7673" w:rsidRDefault="00083CA4" w:rsidP="00F422DD">
      <w:pPr>
        <w:spacing w:after="0" w:line="240" w:lineRule="auto"/>
        <w:ind w:left="851" w:right="851" w:firstLine="709"/>
        <w:jc w:val="center"/>
        <w:rPr>
          <w:rFonts w:ascii="Times New Roman" w:eastAsia="Calibri" w:hAnsi="Times New Roman" w:cs="Times New Roman"/>
          <w:b/>
          <w:sz w:val="26"/>
          <w:szCs w:val="26"/>
        </w:rPr>
      </w:pPr>
    </w:p>
    <w:p w14:paraId="68296050" w14:textId="77777777" w:rsidR="00083CA4" w:rsidRPr="002A7673" w:rsidRDefault="00083CA4" w:rsidP="00F422DD">
      <w:pPr>
        <w:numPr>
          <w:ilvl w:val="1"/>
          <w:numId w:val="2"/>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Comportamiento Histórico de la Subpartida</w:t>
      </w:r>
    </w:p>
    <w:p w14:paraId="1660DE64" w14:textId="77777777" w:rsidR="00083CA4" w:rsidRPr="002A7673" w:rsidRDefault="00083CA4" w:rsidP="00F422DD">
      <w:pPr>
        <w:spacing w:after="0" w:line="240" w:lineRule="auto"/>
        <w:ind w:left="851" w:right="851" w:firstLine="709"/>
        <w:rPr>
          <w:rFonts w:ascii="Times New Roman" w:eastAsia="Calibri" w:hAnsi="Times New Roman" w:cs="Times New Roman"/>
          <w:b/>
          <w:sz w:val="26"/>
          <w:szCs w:val="26"/>
        </w:rPr>
      </w:pPr>
    </w:p>
    <w:p w14:paraId="1D406970"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Los recursos formulados en la subpartida 10101 Alquiler de Edificios Locales y Terrenos, responden a las necesidades Institucionales para abarcar en la medida de lo posible todo el territorio nacional. Además, producto del crecimiento de los servicios que brinda la institución, con el pasar de los años el hacinamiento del personal se ha vuelto una problemática, que se ha tenido que solventar con el alquiler de nueva infraestructura.</w:t>
      </w:r>
    </w:p>
    <w:p w14:paraId="4B19AFA0"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p>
    <w:p w14:paraId="337360F9"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Tabla 1. Detalle del Comportamiento Histórico de la Subpartida 10101 Alquiler de Edificios, Locales y Terrenos.</w:t>
      </w:r>
    </w:p>
    <w:p w14:paraId="6C5BEDBF" w14:textId="77777777" w:rsidR="00083CA4" w:rsidRPr="002A7673" w:rsidRDefault="00083CA4" w:rsidP="005F7139">
      <w:pPr>
        <w:spacing w:after="0" w:line="240" w:lineRule="auto"/>
        <w:jc w:val="center"/>
        <w:textAlignment w:val="baseline"/>
        <w:rPr>
          <w:rFonts w:ascii="Times New Roman" w:eastAsia="Times New Roman" w:hAnsi="Times New Roman" w:cs="Times New Roman"/>
          <w:sz w:val="26"/>
          <w:szCs w:val="26"/>
          <w:lang w:eastAsia="es-CR"/>
        </w:rPr>
      </w:pPr>
      <w:r w:rsidRPr="002A7673">
        <w:rPr>
          <w:rFonts w:ascii="Times New Roman" w:eastAsia="Times New Roman" w:hAnsi="Times New Roman" w:cs="Times New Roman"/>
          <w:b/>
          <w:bCs/>
          <w:sz w:val="26"/>
          <w:szCs w:val="26"/>
          <w:lang w:eastAsia="es-CR"/>
        </w:rPr>
        <w:t xml:space="preserve"> Periodos 2018-2022</w:t>
      </w:r>
    </w:p>
    <w:tbl>
      <w:tblPr>
        <w:tblW w:w="9500" w:type="dxa"/>
        <w:tblCellMar>
          <w:left w:w="70" w:type="dxa"/>
          <w:right w:w="70" w:type="dxa"/>
        </w:tblCellMar>
        <w:tblLook w:val="04A0" w:firstRow="1" w:lastRow="0" w:firstColumn="1" w:lastColumn="0" w:noHBand="0" w:noVBand="1"/>
      </w:tblPr>
      <w:tblGrid>
        <w:gridCol w:w="1580"/>
        <w:gridCol w:w="1560"/>
        <w:gridCol w:w="1600"/>
        <w:gridCol w:w="1720"/>
        <w:gridCol w:w="1480"/>
        <w:gridCol w:w="1560"/>
      </w:tblGrid>
      <w:tr w:rsidR="00083CA4" w:rsidRPr="002A7673" w14:paraId="0AC7894F" w14:textId="77777777" w:rsidTr="005F7139">
        <w:trPr>
          <w:trHeight w:val="300"/>
        </w:trPr>
        <w:tc>
          <w:tcPr>
            <w:tcW w:w="1580" w:type="dxa"/>
            <w:tcBorders>
              <w:top w:val="single" w:sz="8" w:space="0" w:color="1F4E78"/>
              <w:left w:val="nil"/>
              <w:bottom w:val="single" w:sz="8" w:space="0" w:color="1F4E78"/>
              <w:right w:val="nil"/>
            </w:tcBorders>
            <w:shd w:val="clear" w:color="000000" w:fill="F2F2F2"/>
            <w:vAlign w:val="center"/>
            <w:hideMark/>
          </w:tcPr>
          <w:p w14:paraId="1DBCA88F"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 </w:t>
            </w:r>
          </w:p>
        </w:tc>
        <w:tc>
          <w:tcPr>
            <w:tcW w:w="1560" w:type="dxa"/>
            <w:tcBorders>
              <w:top w:val="single" w:sz="8" w:space="0" w:color="1F4E78"/>
              <w:left w:val="nil"/>
              <w:bottom w:val="single" w:sz="8" w:space="0" w:color="1F4E78"/>
              <w:right w:val="nil"/>
            </w:tcBorders>
            <w:shd w:val="clear" w:color="000000" w:fill="F2F2F2"/>
            <w:vAlign w:val="center"/>
            <w:hideMark/>
          </w:tcPr>
          <w:p w14:paraId="699B2647"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2018</w:t>
            </w:r>
          </w:p>
        </w:tc>
        <w:tc>
          <w:tcPr>
            <w:tcW w:w="1600" w:type="dxa"/>
            <w:tcBorders>
              <w:top w:val="single" w:sz="8" w:space="0" w:color="1F4E78"/>
              <w:left w:val="nil"/>
              <w:bottom w:val="single" w:sz="8" w:space="0" w:color="1F4E78"/>
              <w:right w:val="nil"/>
            </w:tcBorders>
            <w:shd w:val="clear" w:color="000000" w:fill="F2F2F2"/>
            <w:vAlign w:val="center"/>
            <w:hideMark/>
          </w:tcPr>
          <w:p w14:paraId="001851B5"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2019</w:t>
            </w:r>
          </w:p>
        </w:tc>
        <w:tc>
          <w:tcPr>
            <w:tcW w:w="1720" w:type="dxa"/>
            <w:tcBorders>
              <w:top w:val="single" w:sz="8" w:space="0" w:color="1F4E78"/>
              <w:left w:val="nil"/>
              <w:bottom w:val="single" w:sz="8" w:space="0" w:color="1F4E78"/>
              <w:right w:val="nil"/>
            </w:tcBorders>
            <w:shd w:val="clear" w:color="000000" w:fill="F2F2F2"/>
            <w:vAlign w:val="center"/>
            <w:hideMark/>
          </w:tcPr>
          <w:p w14:paraId="40032D0C"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2020</w:t>
            </w:r>
          </w:p>
        </w:tc>
        <w:tc>
          <w:tcPr>
            <w:tcW w:w="1480" w:type="dxa"/>
            <w:tcBorders>
              <w:top w:val="single" w:sz="8" w:space="0" w:color="1F4E78"/>
              <w:left w:val="nil"/>
              <w:bottom w:val="single" w:sz="8" w:space="0" w:color="1F4E78"/>
              <w:right w:val="nil"/>
            </w:tcBorders>
            <w:shd w:val="clear" w:color="000000" w:fill="F2F2F2"/>
            <w:vAlign w:val="center"/>
            <w:hideMark/>
          </w:tcPr>
          <w:p w14:paraId="54E40A37"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2021</w:t>
            </w:r>
          </w:p>
        </w:tc>
        <w:tc>
          <w:tcPr>
            <w:tcW w:w="1560" w:type="dxa"/>
            <w:tcBorders>
              <w:top w:val="single" w:sz="8" w:space="0" w:color="1F4E78"/>
              <w:left w:val="nil"/>
              <w:bottom w:val="single" w:sz="8" w:space="0" w:color="1F4E78"/>
              <w:right w:val="nil"/>
            </w:tcBorders>
            <w:shd w:val="clear" w:color="000000" w:fill="F2F2F2"/>
            <w:vAlign w:val="center"/>
            <w:hideMark/>
          </w:tcPr>
          <w:p w14:paraId="4B68B3D3"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2022</w:t>
            </w:r>
          </w:p>
        </w:tc>
      </w:tr>
      <w:tr w:rsidR="00083CA4" w:rsidRPr="002A7673" w14:paraId="22AB01AC" w14:textId="77777777" w:rsidTr="005F7139">
        <w:trPr>
          <w:trHeight w:val="288"/>
        </w:trPr>
        <w:tc>
          <w:tcPr>
            <w:tcW w:w="1580" w:type="dxa"/>
            <w:tcBorders>
              <w:top w:val="nil"/>
              <w:left w:val="nil"/>
              <w:bottom w:val="nil"/>
              <w:right w:val="nil"/>
            </w:tcBorders>
            <w:shd w:val="clear" w:color="000000" w:fill="FFFFFF"/>
            <w:noWrap/>
            <w:vAlign w:val="center"/>
            <w:hideMark/>
          </w:tcPr>
          <w:p w14:paraId="23EB6581"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Monto Formulado</w:t>
            </w:r>
          </w:p>
        </w:tc>
        <w:tc>
          <w:tcPr>
            <w:tcW w:w="1560" w:type="dxa"/>
            <w:tcBorders>
              <w:top w:val="nil"/>
              <w:left w:val="nil"/>
              <w:bottom w:val="nil"/>
              <w:right w:val="nil"/>
            </w:tcBorders>
            <w:shd w:val="clear" w:color="000000" w:fill="FFFFFF"/>
            <w:noWrap/>
            <w:vAlign w:val="center"/>
            <w:hideMark/>
          </w:tcPr>
          <w:p w14:paraId="18A1DC7C"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12,243,454,041 </w:t>
            </w:r>
          </w:p>
        </w:tc>
        <w:tc>
          <w:tcPr>
            <w:tcW w:w="1600" w:type="dxa"/>
            <w:tcBorders>
              <w:top w:val="nil"/>
              <w:left w:val="nil"/>
              <w:bottom w:val="nil"/>
              <w:right w:val="nil"/>
            </w:tcBorders>
            <w:shd w:val="clear" w:color="000000" w:fill="FFFFFF"/>
            <w:noWrap/>
            <w:vAlign w:val="center"/>
            <w:hideMark/>
          </w:tcPr>
          <w:p w14:paraId="149433A0"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12,775,531,151 </w:t>
            </w:r>
          </w:p>
        </w:tc>
        <w:tc>
          <w:tcPr>
            <w:tcW w:w="1720" w:type="dxa"/>
            <w:tcBorders>
              <w:top w:val="nil"/>
              <w:left w:val="nil"/>
              <w:bottom w:val="nil"/>
              <w:right w:val="nil"/>
            </w:tcBorders>
            <w:shd w:val="clear" w:color="000000" w:fill="FFFFFF"/>
            <w:noWrap/>
            <w:vAlign w:val="center"/>
            <w:hideMark/>
          </w:tcPr>
          <w:p w14:paraId="148D4BE8"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12,006,678,198 </w:t>
            </w:r>
          </w:p>
        </w:tc>
        <w:tc>
          <w:tcPr>
            <w:tcW w:w="1480" w:type="dxa"/>
            <w:tcBorders>
              <w:top w:val="nil"/>
              <w:left w:val="nil"/>
              <w:bottom w:val="nil"/>
              <w:right w:val="nil"/>
            </w:tcBorders>
            <w:shd w:val="clear" w:color="auto" w:fill="auto"/>
            <w:noWrap/>
            <w:vAlign w:val="bottom"/>
            <w:hideMark/>
          </w:tcPr>
          <w:p w14:paraId="0BA5C166"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12,132,013,508</w:t>
            </w:r>
          </w:p>
        </w:tc>
        <w:tc>
          <w:tcPr>
            <w:tcW w:w="1560" w:type="dxa"/>
            <w:tcBorders>
              <w:top w:val="nil"/>
              <w:left w:val="nil"/>
              <w:bottom w:val="nil"/>
              <w:right w:val="nil"/>
            </w:tcBorders>
            <w:shd w:val="clear" w:color="auto" w:fill="auto"/>
            <w:noWrap/>
            <w:vAlign w:val="bottom"/>
            <w:hideMark/>
          </w:tcPr>
          <w:p w14:paraId="70F92FC8"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11,777,697,635</w:t>
            </w:r>
          </w:p>
        </w:tc>
      </w:tr>
      <w:tr w:rsidR="00083CA4" w:rsidRPr="002A7673" w14:paraId="3F61ED11" w14:textId="77777777" w:rsidTr="005F7139">
        <w:trPr>
          <w:trHeight w:val="300"/>
        </w:trPr>
        <w:tc>
          <w:tcPr>
            <w:tcW w:w="1580" w:type="dxa"/>
            <w:tcBorders>
              <w:top w:val="nil"/>
              <w:left w:val="nil"/>
              <w:bottom w:val="single" w:sz="8" w:space="0" w:color="1F4E78"/>
              <w:right w:val="nil"/>
            </w:tcBorders>
            <w:shd w:val="clear" w:color="000000" w:fill="FFFFFF"/>
            <w:noWrap/>
            <w:vAlign w:val="center"/>
            <w:hideMark/>
          </w:tcPr>
          <w:p w14:paraId="156BDA43"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Variación</w:t>
            </w:r>
          </w:p>
        </w:tc>
        <w:tc>
          <w:tcPr>
            <w:tcW w:w="1560" w:type="dxa"/>
            <w:tcBorders>
              <w:top w:val="nil"/>
              <w:left w:val="nil"/>
              <w:bottom w:val="single" w:sz="8" w:space="0" w:color="1F4E78"/>
              <w:right w:val="nil"/>
            </w:tcBorders>
            <w:shd w:val="clear" w:color="000000" w:fill="FFFFFF"/>
            <w:noWrap/>
            <w:vAlign w:val="center"/>
            <w:hideMark/>
          </w:tcPr>
          <w:p w14:paraId="65A0E759"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w:t>
            </w:r>
          </w:p>
        </w:tc>
        <w:tc>
          <w:tcPr>
            <w:tcW w:w="1600" w:type="dxa"/>
            <w:tcBorders>
              <w:top w:val="nil"/>
              <w:left w:val="nil"/>
              <w:bottom w:val="single" w:sz="8" w:space="0" w:color="1F4E78"/>
              <w:right w:val="nil"/>
            </w:tcBorders>
            <w:shd w:val="clear" w:color="000000" w:fill="FFFFFF"/>
            <w:noWrap/>
            <w:vAlign w:val="center"/>
            <w:hideMark/>
          </w:tcPr>
          <w:p w14:paraId="68D82536"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4%</w:t>
            </w:r>
          </w:p>
        </w:tc>
        <w:tc>
          <w:tcPr>
            <w:tcW w:w="1720" w:type="dxa"/>
            <w:tcBorders>
              <w:top w:val="nil"/>
              <w:left w:val="nil"/>
              <w:bottom w:val="single" w:sz="8" w:space="0" w:color="1F4E78"/>
              <w:right w:val="nil"/>
            </w:tcBorders>
            <w:shd w:val="clear" w:color="000000" w:fill="FFFFFF"/>
            <w:noWrap/>
            <w:vAlign w:val="center"/>
            <w:hideMark/>
          </w:tcPr>
          <w:p w14:paraId="47186754"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-6%</w:t>
            </w:r>
          </w:p>
        </w:tc>
        <w:tc>
          <w:tcPr>
            <w:tcW w:w="1480" w:type="dxa"/>
            <w:tcBorders>
              <w:top w:val="nil"/>
              <w:left w:val="nil"/>
              <w:bottom w:val="single" w:sz="8" w:space="0" w:color="1F4E78"/>
              <w:right w:val="nil"/>
            </w:tcBorders>
            <w:shd w:val="clear" w:color="000000" w:fill="FFFFFF"/>
            <w:noWrap/>
            <w:vAlign w:val="center"/>
            <w:hideMark/>
          </w:tcPr>
          <w:p w14:paraId="0E40CBC6"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1%</w:t>
            </w:r>
          </w:p>
        </w:tc>
        <w:tc>
          <w:tcPr>
            <w:tcW w:w="1560" w:type="dxa"/>
            <w:tcBorders>
              <w:top w:val="nil"/>
              <w:left w:val="nil"/>
              <w:bottom w:val="single" w:sz="8" w:space="0" w:color="1F4E78"/>
              <w:right w:val="nil"/>
            </w:tcBorders>
            <w:shd w:val="clear" w:color="000000" w:fill="FFFFFF"/>
            <w:noWrap/>
            <w:vAlign w:val="center"/>
            <w:hideMark/>
          </w:tcPr>
          <w:p w14:paraId="66D61EA1"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-3%</w:t>
            </w:r>
          </w:p>
        </w:tc>
      </w:tr>
    </w:tbl>
    <w:p w14:paraId="2AD07234" w14:textId="77777777" w:rsidR="00083CA4" w:rsidRPr="002A7673" w:rsidRDefault="00083CA4" w:rsidP="005F7139">
      <w:pPr>
        <w:spacing w:after="0" w:line="360" w:lineRule="auto"/>
        <w:ind w:right="-567"/>
        <w:jc w:val="both"/>
        <w:rPr>
          <w:rFonts w:ascii="Times New Roman" w:eastAsia="Calibri" w:hAnsi="Times New Roman" w:cs="Times New Roman"/>
          <w:sz w:val="24"/>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19BA043E" w14:textId="77777777" w:rsidR="00083CA4" w:rsidRPr="002A7673" w:rsidRDefault="00083CA4" w:rsidP="00F422DD">
      <w:pPr>
        <w:spacing w:after="0" w:line="240" w:lineRule="auto"/>
        <w:jc w:val="both"/>
        <w:rPr>
          <w:rFonts w:ascii="Times New Roman" w:eastAsia="Calibri" w:hAnsi="Times New Roman" w:cs="Times New Roman"/>
          <w:sz w:val="26"/>
          <w:szCs w:val="26"/>
        </w:rPr>
      </w:pPr>
    </w:p>
    <w:p w14:paraId="10417FB7"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la tabla anterior se muestran los montos formulados en la subpartida 10101 Alquiler de Edificios, Locales y Terrenos para los últimos 5 años, el año 2019 es el de mayor crecimiento. Para los años 2020 y 2022 la subpartida presenta una disminución con porcentajes de variación del -6% y -3% respectivamente.</w:t>
      </w:r>
    </w:p>
    <w:p w14:paraId="3BCD4401"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4CB6C0DD" w14:textId="77777777" w:rsidR="00083CA4" w:rsidRPr="002A7673" w:rsidRDefault="00083CA4" w:rsidP="00F422DD">
      <w:pPr>
        <w:spacing w:after="0" w:line="240" w:lineRule="auto"/>
        <w:ind w:left="851" w:right="851" w:firstLine="709"/>
        <w:jc w:val="both"/>
        <w:textAlignment w:val="baseline"/>
        <w:rPr>
          <w:rFonts w:ascii="Times New Roman" w:eastAsia="Times New Roman" w:hAnsi="Times New Roman" w:cs="Times New Roman"/>
          <w:sz w:val="26"/>
          <w:szCs w:val="26"/>
          <w:lang w:eastAsia="es-CR"/>
        </w:rPr>
      </w:pPr>
      <w:r w:rsidRPr="002A7673">
        <w:rPr>
          <w:rFonts w:ascii="Times New Roman" w:eastAsia="Times New Roman" w:hAnsi="Times New Roman" w:cs="Times New Roman"/>
          <w:sz w:val="26"/>
          <w:szCs w:val="26"/>
          <w:lang w:eastAsia="es-CR"/>
        </w:rPr>
        <w:t xml:space="preserve">Adicional al cuadro anterior, se muestra una gráfica que detalla el comportamiento del periodo 2018 al 2020, donde lo formulado ha sido superior a lo ejecutado y, además, entre los montos formulados del periodo 2021 al 2022 se presenta una diminución de 354,315,873: </w:t>
      </w:r>
    </w:p>
    <w:p w14:paraId="1A11CAB6" w14:textId="77777777" w:rsidR="00083CA4" w:rsidRPr="002A7673" w:rsidRDefault="00083CA4" w:rsidP="00F422DD">
      <w:pPr>
        <w:spacing w:after="0" w:line="240" w:lineRule="auto"/>
        <w:jc w:val="center"/>
        <w:textAlignment w:val="baseline"/>
        <w:rPr>
          <w:rFonts w:ascii="Times New Roman" w:eastAsia="Times New Roman" w:hAnsi="Times New Roman" w:cs="Times New Roman"/>
          <w:b/>
          <w:bCs/>
          <w:sz w:val="26"/>
          <w:szCs w:val="26"/>
          <w:lang w:eastAsia="es-CR"/>
        </w:rPr>
      </w:pPr>
    </w:p>
    <w:p w14:paraId="379A553A" w14:textId="77777777" w:rsidR="00083CA4" w:rsidRPr="002A7673" w:rsidRDefault="00083CA4" w:rsidP="00F422DD">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 xml:space="preserve">Figura N°1. Formulación y Ejecución </w:t>
      </w:r>
    </w:p>
    <w:p w14:paraId="36C452E2" w14:textId="77777777" w:rsidR="00083CA4" w:rsidRPr="002A7673" w:rsidRDefault="00083CA4" w:rsidP="00F422DD">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Subpartida 10101 Alquiler de Edificios, Locales y Terrenos</w:t>
      </w:r>
    </w:p>
    <w:p w14:paraId="24AC8683" w14:textId="77777777" w:rsidR="00083CA4" w:rsidRPr="002A7673" w:rsidRDefault="00083CA4" w:rsidP="00F422DD">
      <w:pPr>
        <w:spacing w:after="0" w:line="240" w:lineRule="auto"/>
        <w:jc w:val="center"/>
        <w:textAlignment w:val="baseline"/>
        <w:rPr>
          <w:rFonts w:ascii="Times New Roman" w:eastAsia="Times New Roman" w:hAnsi="Times New Roman" w:cs="Times New Roman"/>
          <w:sz w:val="26"/>
          <w:szCs w:val="26"/>
          <w:lang w:eastAsia="es-CR"/>
        </w:rPr>
      </w:pPr>
      <w:r w:rsidRPr="002A7673">
        <w:rPr>
          <w:rFonts w:ascii="Times New Roman" w:eastAsia="Times New Roman" w:hAnsi="Times New Roman" w:cs="Times New Roman"/>
          <w:b/>
          <w:bCs/>
          <w:sz w:val="26"/>
          <w:szCs w:val="26"/>
          <w:lang w:eastAsia="es-CR"/>
        </w:rPr>
        <w:t>Periodos 2018 - 2022</w:t>
      </w:r>
      <w:r w:rsidRPr="002A7673">
        <w:rPr>
          <w:rFonts w:ascii="Times New Roman" w:eastAsia="Times New Roman" w:hAnsi="Times New Roman" w:cs="Times New Roman"/>
          <w:sz w:val="26"/>
          <w:szCs w:val="26"/>
          <w:lang w:eastAsia="es-CR"/>
        </w:rPr>
        <w:t> </w:t>
      </w:r>
    </w:p>
    <w:p w14:paraId="09B12456" w14:textId="77777777" w:rsidR="00083CA4" w:rsidRPr="002A7673" w:rsidRDefault="00083CA4" w:rsidP="005F7139">
      <w:pPr>
        <w:spacing w:after="0" w:line="240" w:lineRule="auto"/>
        <w:jc w:val="center"/>
        <w:rPr>
          <w:rFonts w:ascii="Times New Roman" w:eastAsia="Times New Roman" w:hAnsi="Times New Roman" w:cs="Times New Roman"/>
          <w:sz w:val="24"/>
          <w:szCs w:val="24"/>
          <w:lang w:eastAsia="es-CR"/>
        </w:rPr>
      </w:pPr>
      <w:r w:rsidRPr="002A7673">
        <w:rPr>
          <w:rFonts w:ascii="Times New Roman" w:eastAsia="Calibri" w:hAnsi="Times New Roman" w:cs="Times New Roman"/>
          <w:noProof/>
          <w:lang w:eastAsia="es-CR"/>
        </w:rPr>
        <w:drawing>
          <wp:inline distT="0" distB="0" distL="0" distR="0" wp14:anchorId="6675A3D8" wp14:editId="4A1B73E1">
            <wp:extent cx="4939666" cy="2404753"/>
            <wp:effectExtent l="0" t="0" r="0" b="0"/>
            <wp:docPr id="15" name="Imagen 15"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24">
                      <a:extLst>
                        <a:ext uri="{28A0092B-C50C-407E-A947-70E740481C1C}">
                          <a14:useLocalDpi xmlns:a14="http://schemas.microsoft.com/office/drawing/2010/main" val="0"/>
                        </a:ext>
                      </a:extLst>
                    </a:blip>
                    <a:stretch>
                      <a:fillRect/>
                    </a:stretch>
                  </pic:blipFill>
                  <pic:spPr>
                    <a:xfrm>
                      <a:off x="0" y="0"/>
                      <a:ext cx="4939666" cy="2404753"/>
                    </a:xfrm>
                    <a:prstGeom prst="rect">
                      <a:avLst/>
                    </a:prstGeom>
                  </pic:spPr>
                </pic:pic>
              </a:graphicData>
            </a:graphic>
          </wp:inline>
        </w:drawing>
      </w:r>
    </w:p>
    <w:p w14:paraId="6BCBBB6D" w14:textId="77777777" w:rsidR="00083CA4" w:rsidRPr="002A7673" w:rsidRDefault="00083CA4" w:rsidP="005F7139">
      <w:pPr>
        <w:spacing w:after="0" w:line="240" w:lineRule="auto"/>
        <w:textAlignment w:val="baseline"/>
        <w:rPr>
          <w:rFonts w:ascii="Times New Roman" w:eastAsia="Times New Roman" w:hAnsi="Times New Roman" w:cs="Times New Roman"/>
          <w:bCs/>
          <w:sz w:val="14"/>
          <w:szCs w:val="14"/>
          <w:lang w:eastAsia="es-CR"/>
        </w:rPr>
      </w:pPr>
      <w:r w:rsidRPr="002A7673">
        <w:rPr>
          <w:rFonts w:ascii="Times New Roman" w:eastAsia="Times New Roman" w:hAnsi="Times New Roman" w:cs="Times New Roman"/>
          <w:bCs/>
          <w:sz w:val="14"/>
          <w:szCs w:val="14"/>
          <w:lang w:eastAsia="es-CR"/>
        </w:rPr>
        <w:t xml:space="preserve">                           Fuente: SIGA-PJ </w:t>
      </w:r>
    </w:p>
    <w:p w14:paraId="01E229AE" w14:textId="77777777" w:rsidR="00083CA4" w:rsidRPr="002A7673" w:rsidRDefault="00083CA4" w:rsidP="005F7139">
      <w:pPr>
        <w:spacing w:after="0" w:line="240" w:lineRule="auto"/>
        <w:textAlignment w:val="baseline"/>
        <w:rPr>
          <w:rFonts w:ascii="Times New Roman" w:eastAsia="Times New Roman" w:hAnsi="Times New Roman" w:cs="Times New Roman"/>
          <w:b/>
          <w:sz w:val="24"/>
          <w:szCs w:val="24"/>
          <w:lang w:eastAsia="es-CR"/>
        </w:rPr>
      </w:pPr>
    </w:p>
    <w:p w14:paraId="5C65AD09" w14:textId="77777777" w:rsidR="00083CA4" w:rsidRPr="002A7673" w:rsidRDefault="00083CA4" w:rsidP="005F7139">
      <w:pPr>
        <w:spacing w:after="0" w:line="240" w:lineRule="auto"/>
        <w:textAlignment w:val="baseline"/>
        <w:rPr>
          <w:rFonts w:ascii="Times New Roman" w:eastAsia="Times New Roman" w:hAnsi="Times New Roman" w:cs="Times New Roman"/>
          <w:b/>
          <w:sz w:val="24"/>
          <w:szCs w:val="24"/>
          <w:lang w:eastAsia="es-CR"/>
        </w:rPr>
      </w:pPr>
    </w:p>
    <w:p w14:paraId="43AC0E49" w14:textId="77777777" w:rsidR="00083CA4" w:rsidRPr="002A7673" w:rsidRDefault="00083CA4" w:rsidP="00F422DD">
      <w:pPr>
        <w:spacing w:after="0" w:line="240" w:lineRule="auto"/>
        <w:ind w:left="851" w:right="851" w:firstLine="709"/>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1.2 Análisis de la Ejecución Presupuestaria de la Subpartida 10101</w:t>
      </w:r>
    </w:p>
    <w:p w14:paraId="3AACD319" w14:textId="77777777" w:rsidR="00083CA4" w:rsidRPr="002A7673" w:rsidRDefault="00083CA4" w:rsidP="005F7139">
      <w:pPr>
        <w:spacing w:after="0" w:line="240" w:lineRule="auto"/>
        <w:rPr>
          <w:rFonts w:ascii="Times New Roman" w:eastAsia="Calibri" w:hAnsi="Times New Roman" w:cs="Times New Roman"/>
          <w:b/>
          <w:sz w:val="26"/>
          <w:szCs w:val="26"/>
        </w:rPr>
      </w:pPr>
    </w:p>
    <w:p w14:paraId="132B31FD"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Tabla 2. Subpartida 10101 Alquiler de Edificios, Locales y Terrenos</w:t>
      </w:r>
    </w:p>
    <w:tbl>
      <w:tblPr>
        <w:tblW w:w="5988" w:type="dxa"/>
        <w:jc w:val="center"/>
        <w:tblCellMar>
          <w:left w:w="70" w:type="dxa"/>
          <w:right w:w="70" w:type="dxa"/>
        </w:tblCellMar>
        <w:tblLook w:val="04A0" w:firstRow="1" w:lastRow="0" w:firstColumn="1" w:lastColumn="0" w:noHBand="0" w:noVBand="1"/>
      </w:tblPr>
      <w:tblGrid>
        <w:gridCol w:w="1007"/>
        <w:gridCol w:w="1858"/>
        <w:gridCol w:w="1836"/>
        <w:gridCol w:w="1498"/>
      </w:tblGrid>
      <w:tr w:rsidR="00083CA4" w:rsidRPr="002A7673" w14:paraId="11BC1FA8" w14:textId="77777777" w:rsidTr="005F7139">
        <w:trPr>
          <w:trHeight w:val="342"/>
          <w:jc w:val="center"/>
        </w:trPr>
        <w:tc>
          <w:tcPr>
            <w:tcW w:w="945" w:type="dxa"/>
            <w:tcBorders>
              <w:top w:val="nil"/>
              <w:left w:val="nil"/>
              <w:bottom w:val="single" w:sz="8" w:space="0" w:color="305496"/>
              <w:right w:val="nil"/>
            </w:tcBorders>
            <w:shd w:val="clear" w:color="000000" w:fill="D9D9D9"/>
            <w:noWrap/>
            <w:vAlign w:val="center"/>
            <w:hideMark/>
          </w:tcPr>
          <w:p w14:paraId="7B296A75"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Periodo</w:t>
            </w:r>
          </w:p>
        </w:tc>
        <w:tc>
          <w:tcPr>
            <w:tcW w:w="1858" w:type="dxa"/>
            <w:tcBorders>
              <w:top w:val="nil"/>
              <w:left w:val="nil"/>
              <w:bottom w:val="single" w:sz="8" w:space="0" w:color="305496"/>
              <w:right w:val="nil"/>
            </w:tcBorders>
            <w:shd w:val="clear" w:color="000000" w:fill="D9D9D9"/>
            <w:noWrap/>
            <w:vAlign w:val="center"/>
            <w:hideMark/>
          </w:tcPr>
          <w:p w14:paraId="7EE60981"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 xml:space="preserve">Formulado </w:t>
            </w:r>
          </w:p>
        </w:tc>
        <w:tc>
          <w:tcPr>
            <w:tcW w:w="1836" w:type="dxa"/>
            <w:tcBorders>
              <w:top w:val="nil"/>
              <w:left w:val="nil"/>
              <w:bottom w:val="single" w:sz="8" w:space="0" w:color="305496"/>
              <w:right w:val="nil"/>
            </w:tcBorders>
            <w:shd w:val="clear" w:color="000000" w:fill="D9D9D9"/>
            <w:noWrap/>
            <w:vAlign w:val="center"/>
            <w:hideMark/>
          </w:tcPr>
          <w:p w14:paraId="5A079592"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Ejecutado</w:t>
            </w:r>
          </w:p>
        </w:tc>
        <w:tc>
          <w:tcPr>
            <w:tcW w:w="1349" w:type="dxa"/>
            <w:tcBorders>
              <w:top w:val="nil"/>
              <w:left w:val="nil"/>
              <w:bottom w:val="single" w:sz="8" w:space="0" w:color="305496"/>
              <w:right w:val="nil"/>
            </w:tcBorders>
            <w:shd w:val="clear" w:color="000000" w:fill="D9D9D9"/>
            <w:noWrap/>
            <w:vAlign w:val="center"/>
            <w:hideMark/>
          </w:tcPr>
          <w:p w14:paraId="7001D7AE" w14:textId="77777777" w:rsidR="00083CA4" w:rsidRPr="002A7673" w:rsidRDefault="00083CA4" w:rsidP="005F7139">
            <w:pPr>
              <w:spacing w:after="0" w:line="240" w:lineRule="auto"/>
              <w:jc w:val="center"/>
              <w:rPr>
                <w:rFonts w:ascii="Times New Roman" w:eastAsia="Times New Roman" w:hAnsi="Times New Roman" w:cs="Times New Roman"/>
                <w:vanish/>
                <w:sz w:val="26"/>
                <w:szCs w:val="26"/>
                <w:lang w:eastAsia="es-CR"/>
              </w:rPr>
            </w:pPr>
            <w:r w:rsidRPr="002A7673">
              <w:rPr>
                <w:rFonts w:ascii="Times New Roman" w:eastAsia="Times New Roman" w:hAnsi="Times New Roman" w:cs="Times New Roman"/>
                <w:b/>
                <w:bCs/>
                <w:color w:val="000000"/>
                <w:sz w:val="26"/>
                <w:szCs w:val="26"/>
                <w:lang w:eastAsia="es-CR"/>
              </w:rPr>
              <w:t>%</w:t>
            </w:r>
            <w:proofErr w:type="spellStart"/>
            <w:r w:rsidRPr="002A7673">
              <w:rPr>
                <w:rFonts w:ascii="Times New Roman" w:eastAsia="Times New Roman" w:hAnsi="Times New Roman" w:cs="Times New Roman"/>
                <w:b/>
                <w:bCs/>
                <w:color w:val="000000"/>
                <w:sz w:val="26"/>
                <w:szCs w:val="26"/>
                <w:lang w:eastAsia="es-CR"/>
              </w:rPr>
              <w:t>Ejecución</w:t>
            </w:r>
            <w:r w:rsidRPr="002A7673">
              <w:rPr>
                <w:rFonts w:ascii="Times New Roman" w:eastAsia="Times New Roman" w:hAnsi="Times New Roman" w:cs="Times New Roman"/>
                <w:vanish/>
                <w:sz w:val="26"/>
                <w:szCs w:val="26"/>
                <w:lang w:eastAsia="es-CR"/>
              </w:rPr>
              <w:t>Principio</w:t>
            </w:r>
            <w:proofErr w:type="spellEnd"/>
            <w:r w:rsidRPr="002A7673">
              <w:rPr>
                <w:rFonts w:ascii="Times New Roman" w:eastAsia="Times New Roman" w:hAnsi="Times New Roman" w:cs="Times New Roman"/>
                <w:vanish/>
                <w:sz w:val="26"/>
                <w:szCs w:val="26"/>
                <w:lang w:eastAsia="es-CR"/>
              </w:rPr>
              <w:t xml:space="preserve"> del formulario</w:t>
            </w:r>
          </w:p>
        </w:tc>
      </w:tr>
      <w:tr w:rsidR="00083CA4" w:rsidRPr="002A7673" w14:paraId="23D1CB17" w14:textId="77777777" w:rsidTr="005F7139">
        <w:trPr>
          <w:trHeight w:val="328"/>
          <w:jc w:val="center"/>
        </w:trPr>
        <w:tc>
          <w:tcPr>
            <w:tcW w:w="945" w:type="dxa"/>
            <w:tcBorders>
              <w:top w:val="nil"/>
              <w:left w:val="nil"/>
              <w:bottom w:val="nil"/>
              <w:right w:val="nil"/>
            </w:tcBorders>
            <w:shd w:val="clear" w:color="auto" w:fill="auto"/>
            <w:noWrap/>
            <w:vAlign w:val="bottom"/>
            <w:hideMark/>
          </w:tcPr>
          <w:p w14:paraId="791723CE"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2018</w:t>
            </w:r>
          </w:p>
        </w:tc>
        <w:tc>
          <w:tcPr>
            <w:tcW w:w="1858" w:type="dxa"/>
            <w:tcBorders>
              <w:top w:val="nil"/>
              <w:left w:val="nil"/>
              <w:bottom w:val="nil"/>
              <w:right w:val="nil"/>
            </w:tcBorders>
            <w:shd w:val="clear" w:color="000000" w:fill="FFFFFF"/>
            <w:noWrap/>
            <w:vAlign w:val="center"/>
            <w:hideMark/>
          </w:tcPr>
          <w:p w14:paraId="07C58363"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       12,243,454,041 </w:t>
            </w:r>
          </w:p>
        </w:tc>
        <w:tc>
          <w:tcPr>
            <w:tcW w:w="1836" w:type="dxa"/>
            <w:tcBorders>
              <w:top w:val="nil"/>
              <w:left w:val="nil"/>
              <w:bottom w:val="nil"/>
              <w:right w:val="nil"/>
            </w:tcBorders>
            <w:shd w:val="clear" w:color="auto" w:fill="auto"/>
            <w:noWrap/>
            <w:vAlign w:val="bottom"/>
            <w:hideMark/>
          </w:tcPr>
          <w:p w14:paraId="3F4E0FA8"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      8,397,346,695 </w:t>
            </w:r>
          </w:p>
        </w:tc>
        <w:tc>
          <w:tcPr>
            <w:tcW w:w="1349" w:type="dxa"/>
            <w:tcBorders>
              <w:top w:val="nil"/>
              <w:left w:val="nil"/>
              <w:bottom w:val="nil"/>
              <w:right w:val="nil"/>
            </w:tcBorders>
            <w:shd w:val="clear" w:color="auto" w:fill="auto"/>
            <w:noWrap/>
            <w:vAlign w:val="bottom"/>
            <w:hideMark/>
          </w:tcPr>
          <w:p w14:paraId="30BB7DB1"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68.59%</w:t>
            </w:r>
          </w:p>
        </w:tc>
      </w:tr>
      <w:tr w:rsidR="00083CA4" w:rsidRPr="002A7673" w14:paraId="4B2466E6" w14:textId="77777777" w:rsidTr="005F7139">
        <w:trPr>
          <w:trHeight w:val="342"/>
          <w:jc w:val="center"/>
        </w:trPr>
        <w:tc>
          <w:tcPr>
            <w:tcW w:w="945" w:type="dxa"/>
            <w:tcBorders>
              <w:top w:val="nil"/>
              <w:left w:val="nil"/>
              <w:bottom w:val="nil"/>
              <w:right w:val="nil"/>
            </w:tcBorders>
            <w:shd w:val="clear" w:color="auto" w:fill="auto"/>
            <w:noWrap/>
            <w:vAlign w:val="bottom"/>
            <w:hideMark/>
          </w:tcPr>
          <w:p w14:paraId="4268F863"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2019</w:t>
            </w:r>
          </w:p>
        </w:tc>
        <w:tc>
          <w:tcPr>
            <w:tcW w:w="1858" w:type="dxa"/>
            <w:tcBorders>
              <w:top w:val="nil"/>
              <w:left w:val="nil"/>
              <w:bottom w:val="nil"/>
              <w:right w:val="nil"/>
            </w:tcBorders>
            <w:shd w:val="clear" w:color="000000" w:fill="FFFFFF"/>
            <w:noWrap/>
            <w:vAlign w:val="center"/>
            <w:hideMark/>
          </w:tcPr>
          <w:p w14:paraId="500DCF4C"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       12,775,531,151 </w:t>
            </w:r>
          </w:p>
        </w:tc>
        <w:tc>
          <w:tcPr>
            <w:tcW w:w="1836" w:type="dxa"/>
            <w:tcBorders>
              <w:top w:val="nil"/>
              <w:left w:val="nil"/>
              <w:bottom w:val="nil"/>
              <w:right w:val="nil"/>
            </w:tcBorders>
            <w:shd w:val="clear" w:color="auto" w:fill="auto"/>
            <w:noWrap/>
            <w:vAlign w:val="bottom"/>
            <w:hideMark/>
          </w:tcPr>
          <w:p w14:paraId="3CD66E93"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      9,517,780,292 </w:t>
            </w:r>
          </w:p>
        </w:tc>
        <w:tc>
          <w:tcPr>
            <w:tcW w:w="1349" w:type="dxa"/>
            <w:tcBorders>
              <w:top w:val="nil"/>
              <w:left w:val="nil"/>
              <w:bottom w:val="nil"/>
              <w:right w:val="nil"/>
            </w:tcBorders>
            <w:shd w:val="clear" w:color="auto" w:fill="auto"/>
            <w:noWrap/>
            <w:vAlign w:val="bottom"/>
            <w:hideMark/>
          </w:tcPr>
          <w:p w14:paraId="095CE0B0"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74.50%</w:t>
            </w:r>
          </w:p>
        </w:tc>
      </w:tr>
      <w:tr w:rsidR="00083CA4" w:rsidRPr="002A7673" w14:paraId="5435E0A2" w14:textId="77777777" w:rsidTr="005F7139">
        <w:trPr>
          <w:trHeight w:val="342"/>
          <w:jc w:val="center"/>
        </w:trPr>
        <w:tc>
          <w:tcPr>
            <w:tcW w:w="945" w:type="dxa"/>
            <w:tcBorders>
              <w:top w:val="nil"/>
              <w:left w:val="nil"/>
              <w:bottom w:val="single" w:sz="8" w:space="0" w:color="305496"/>
              <w:right w:val="nil"/>
            </w:tcBorders>
            <w:shd w:val="clear" w:color="auto" w:fill="auto"/>
            <w:noWrap/>
            <w:vAlign w:val="bottom"/>
            <w:hideMark/>
          </w:tcPr>
          <w:p w14:paraId="4E8C70C7"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2020</w:t>
            </w:r>
          </w:p>
        </w:tc>
        <w:tc>
          <w:tcPr>
            <w:tcW w:w="1858" w:type="dxa"/>
            <w:tcBorders>
              <w:top w:val="nil"/>
              <w:left w:val="nil"/>
              <w:bottom w:val="single" w:sz="8" w:space="0" w:color="305496"/>
              <w:right w:val="nil"/>
            </w:tcBorders>
            <w:shd w:val="clear" w:color="000000" w:fill="FFFFFF"/>
            <w:noWrap/>
            <w:vAlign w:val="center"/>
            <w:hideMark/>
          </w:tcPr>
          <w:p w14:paraId="7CCF595B"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       12,006,678,198 </w:t>
            </w:r>
          </w:p>
        </w:tc>
        <w:tc>
          <w:tcPr>
            <w:tcW w:w="1836" w:type="dxa"/>
            <w:tcBorders>
              <w:top w:val="nil"/>
              <w:left w:val="nil"/>
              <w:bottom w:val="single" w:sz="8" w:space="0" w:color="305496"/>
              <w:right w:val="nil"/>
            </w:tcBorders>
            <w:shd w:val="clear" w:color="auto" w:fill="auto"/>
            <w:noWrap/>
            <w:vAlign w:val="bottom"/>
            <w:hideMark/>
          </w:tcPr>
          <w:p w14:paraId="39A3FACF"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    11,185,660,112 </w:t>
            </w:r>
          </w:p>
        </w:tc>
        <w:tc>
          <w:tcPr>
            <w:tcW w:w="1349" w:type="dxa"/>
            <w:tcBorders>
              <w:top w:val="nil"/>
              <w:left w:val="nil"/>
              <w:bottom w:val="single" w:sz="8" w:space="0" w:color="305496"/>
              <w:right w:val="nil"/>
            </w:tcBorders>
            <w:shd w:val="clear" w:color="auto" w:fill="auto"/>
            <w:noWrap/>
            <w:vAlign w:val="bottom"/>
            <w:hideMark/>
          </w:tcPr>
          <w:p w14:paraId="62D9AFB0"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93.16%</w:t>
            </w:r>
          </w:p>
        </w:tc>
      </w:tr>
      <w:tr w:rsidR="00083CA4" w:rsidRPr="002A7673" w14:paraId="7DACCF4F" w14:textId="77777777" w:rsidTr="005F7139">
        <w:trPr>
          <w:trHeight w:val="328"/>
          <w:jc w:val="center"/>
        </w:trPr>
        <w:tc>
          <w:tcPr>
            <w:tcW w:w="945" w:type="dxa"/>
            <w:tcBorders>
              <w:top w:val="nil"/>
              <w:left w:val="nil"/>
              <w:bottom w:val="nil"/>
              <w:right w:val="nil"/>
            </w:tcBorders>
            <w:shd w:val="clear" w:color="000000" w:fill="D9D9D9"/>
            <w:noWrap/>
            <w:vAlign w:val="bottom"/>
            <w:hideMark/>
          </w:tcPr>
          <w:p w14:paraId="31F77DB2" w14:textId="77777777" w:rsidR="00083CA4" w:rsidRPr="002A7673" w:rsidRDefault="00083CA4" w:rsidP="005F7139">
            <w:pPr>
              <w:spacing w:after="0" w:line="240" w:lineRule="auto"/>
              <w:jc w:val="right"/>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Total</w:t>
            </w:r>
          </w:p>
        </w:tc>
        <w:tc>
          <w:tcPr>
            <w:tcW w:w="1858" w:type="dxa"/>
            <w:tcBorders>
              <w:top w:val="nil"/>
              <w:left w:val="nil"/>
              <w:bottom w:val="nil"/>
              <w:right w:val="nil"/>
            </w:tcBorders>
            <w:shd w:val="clear" w:color="000000" w:fill="D9D9D9"/>
            <w:noWrap/>
            <w:vAlign w:val="bottom"/>
            <w:hideMark/>
          </w:tcPr>
          <w:p w14:paraId="7E9DDD24" w14:textId="77777777" w:rsidR="00083CA4" w:rsidRPr="002A7673" w:rsidRDefault="00083CA4" w:rsidP="005F7139">
            <w:pPr>
              <w:spacing w:after="0" w:line="240" w:lineRule="auto"/>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 xml:space="preserve">   37,025,663,390 </w:t>
            </w:r>
          </w:p>
        </w:tc>
        <w:tc>
          <w:tcPr>
            <w:tcW w:w="1836" w:type="dxa"/>
            <w:tcBorders>
              <w:top w:val="nil"/>
              <w:left w:val="nil"/>
              <w:bottom w:val="nil"/>
              <w:right w:val="nil"/>
            </w:tcBorders>
            <w:shd w:val="clear" w:color="000000" w:fill="D9D9D9"/>
            <w:noWrap/>
            <w:vAlign w:val="bottom"/>
            <w:hideMark/>
          </w:tcPr>
          <w:p w14:paraId="0939B939" w14:textId="77777777" w:rsidR="00083CA4" w:rsidRPr="002A7673" w:rsidRDefault="00083CA4" w:rsidP="005F7139">
            <w:pPr>
              <w:spacing w:after="0" w:line="240" w:lineRule="auto"/>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 xml:space="preserve">   29,100,787,099 </w:t>
            </w:r>
          </w:p>
        </w:tc>
        <w:tc>
          <w:tcPr>
            <w:tcW w:w="1349" w:type="dxa"/>
            <w:tcBorders>
              <w:top w:val="nil"/>
              <w:left w:val="nil"/>
              <w:bottom w:val="nil"/>
              <w:right w:val="nil"/>
            </w:tcBorders>
            <w:shd w:val="clear" w:color="000000" w:fill="D9D9D9"/>
            <w:noWrap/>
            <w:vAlign w:val="bottom"/>
            <w:hideMark/>
          </w:tcPr>
          <w:p w14:paraId="06837F06" w14:textId="77777777" w:rsidR="00083CA4" w:rsidRPr="002A7673" w:rsidRDefault="00083CA4" w:rsidP="005F7139">
            <w:pPr>
              <w:spacing w:after="0" w:line="240" w:lineRule="auto"/>
              <w:jc w:val="right"/>
              <w:rPr>
                <w:rFonts w:ascii="Times New Roman" w:eastAsia="Times New Roman" w:hAnsi="Times New Roman" w:cs="Times New Roman"/>
                <w:b/>
                <w:bCs/>
                <w:color w:val="000000"/>
                <w:sz w:val="26"/>
                <w:szCs w:val="26"/>
                <w:lang w:eastAsia="es-CR"/>
              </w:rPr>
            </w:pPr>
            <w:r w:rsidRPr="002A7673">
              <w:rPr>
                <w:rFonts w:ascii="Times New Roman" w:eastAsia="Times New Roman" w:hAnsi="Times New Roman" w:cs="Times New Roman"/>
                <w:b/>
                <w:bCs/>
                <w:color w:val="000000"/>
                <w:sz w:val="26"/>
                <w:szCs w:val="26"/>
                <w:lang w:eastAsia="es-CR"/>
              </w:rPr>
              <w:t>78.60%</w:t>
            </w:r>
          </w:p>
        </w:tc>
      </w:tr>
    </w:tbl>
    <w:p w14:paraId="699A0A80" w14:textId="77777777" w:rsidR="00083CA4" w:rsidRPr="002A7673" w:rsidRDefault="00083CA4" w:rsidP="005F7139">
      <w:pPr>
        <w:spacing w:after="0" w:line="240" w:lineRule="auto"/>
        <w:rPr>
          <w:rFonts w:ascii="Times New Roman" w:eastAsia="Calibri" w:hAnsi="Times New Roman" w:cs="Times New Roman"/>
          <w:sz w:val="26"/>
          <w:szCs w:val="26"/>
        </w:rPr>
      </w:pPr>
      <w:r w:rsidRPr="002A7673">
        <w:rPr>
          <w:rFonts w:ascii="Times New Roman" w:eastAsia="Calibri" w:hAnsi="Times New Roman" w:cs="Times New Roman"/>
          <w:sz w:val="26"/>
          <w:szCs w:val="26"/>
        </w:rPr>
        <w:lastRenderedPageBreak/>
        <w:t xml:space="preserve">                             </w:t>
      </w:r>
      <w:r w:rsidRPr="002A7673">
        <w:rPr>
          <w:rFonts w:ascii="Times New Roman" w:eastAsia="Calibri" w:hAnsi="Times New Roman" w:cs="Times New Roman"/>
          <w:b/>
          <w:bCs/>
          <w:sz w:val="26"/>
          <w:szCs w:val="26"/>
        </w:rPr>
        <w:t>Fuente:</w:t>
      </w:r>
      <w:r w:rsidRPr="002A7673">
        <w:rPr>
          <w:rFonts w:ascii="Times New Roman" w:eastAsia="Calibri" w:hAnsi="Times New Roman" w:cs="Times New Roman"/>
          <w:sz w:val="26"/>
          <w:szCs w:val="26"/>
        </w:rPr>
        <w:t xml:space="preserve"> Sistema SIGA-PJ.</w:t>
      </w:r>
    </w:p>
    <w:p w14:paraId="5591B3A1" w14:textId="77777777" w:rsidR="00083CA4" w:rsidRPr="002A7673" w:rsidRDefault="00083CA4" w:rsidP="005F7139">
      <w:pPr>
        <w:spacing w:after="0" w:line="360" w:lineRule="auto"/>
        <w:jc w:val="both"/>
        <w:textAlignment w:val="baseline"/>
        <w:rPr>
          <w:rFonts w:ascii="Times New Roman" w:eastAsia="Times New Roman" w:hAnsi="Times New Roman" w:cs="Times New Roman"/>
          <w:sz w:val="26"/>
          <w:szCs w:val="26"/>
          <w:lang w:eastAsia="es-CR"/>
        </w:rPr>
      </w:pPr>
    </w:p>
    <w:p w14:paraId="51A50D3D" w14:textId="77777777" w:rsidR="00083CA4" w:rsidRPr="002A7673" w:rsidRDefault="00083CA4" w:rsidP="00F422DD">
      <w:pPr>
        <w:spacing w:after="0" w:line="240" w:lineRule="auto"/>
        <w:ind w:left="851" w:right="851" w:firstLine="709"/>
        <w:jc w:val="both"/>
        <w:textAlignment w:val="baseline"/>
        <w:rPr>
          <w:rFonts w:ascii="Times New Roman" w:eastAsia="Times New Roman" w:hAnsi="Times New Roman" w:cs="Times New Roman"/>
          <w:sz w:val="26"/>
          <w:szCs w:val="26"/>
          <w:lang w:eastAsia="es-CR"/>
        </w:rPr>
      </w:pPr>
      <w:r w:rsidRPr="002A7673">
        <w:rPr>
          <w:rFonts w:ascii="Times New Roman" w:eastAsia="Times New Roman" w:hAnsi="Times New Roman" w:cs="Times New Roman"/>
          <w:sz w:val="26"/>
          <w:szCs w:val="26"/>
          <w:lang w:eastAsia="es-CR"/>
        </w:rPr>
        <w:t xml:space="preserve">Durante los tres periodos presupuestarios que se muestran en la tabla se observa una ejecución presupuestaria por debajo del 100%, esto debido a que por los plazos dispuestos en la ley de Contratación Administrativa y su Reglamento, así como la complejidad de los procesos de contratación para la adquisición de inmuebles, es que éstos pueden demorar un plazo considerable, pues debe analizarse cada aspecto que se plasme en el cartel, las ofertas presentadas al concurso y demás aspectos legales y técnicos necesarios para una adecuada adjudicación. </w:t>
      </w:r>
      <w:proofErr w:type="gramStart"/>
      <w:r w:rsidRPr="002A7673">
        <w:rPr>
          <w:rFonts w:ascii="Times New Roman" w:eastAsia="Times New Roman" w:hAnsi="Times New Roman" w:cs="Times New Roman"/>
          <w:sz w:val="26"/>
          <w:szCs w:val="26"/>
          <w:lang w:eastAsia="es-CR"/>
        </w:rPr>
        <w:t>En razón de</w:t>
      </w:r>
      <w:proofErr w:type="gramEnd"/>
      <w:r w:rsidRPr="002A7673">
        <w:rPr>
          <w:rFonts w:ascii="Times New Roman" w:eastAsia="Times New Roman" w:hAnsi="Times New Roman" w:cs="Times New Roman"/>
          <w:sz w:val="26"/>
          <w:szCs w:val="26"/>
          <w:lang w:eastAsia="es-CR"/>
        </w:rPr>
        <w:t xml:space="preserve"> ello, es que se dispone a formular los recursos presupuestarios para todo el año, a fin de asegurar los compromisos económicos para tal fin.</w:t>
      </w:r>
    </w:p>
    <w:p w14:paraId="43F9D0A0" w14:textId="77777777" w:rsidR="00F422DD" w:rsidRPr="002A7673" w:rsidRDefault="00F422DD" w:rsidP="00F422DD">
      <w:pPr>
        <w:spacing w:after="0" w:line="240" w:lineRule="auto"/>
        <w:ind w:left="851" w:right="851" w:firstLine="709"/>
        <w:jc w:val="both"/>
        <w:textAlignment w:val="baseline"/>
        <w:rPr>
          <w:rFonts w:ascii="Times New Roman" w:eastAsia="Times New Roman" w:hAnsi="Times New Roman" w:cs="Times New Roman"/>
          <w:sz w:val="26"/>
          <w:szCs w:val="26"/>
          <w:lang w:eastAsia="es-CR"/>
        </w:rPr>
      </w:pPr>
    </w:p>
    <w:p w14:paraId="61C56071" w14:textId="77777777" w:rsidR="00083CA4" w:rsidRPr="002A7673" w:rsidRDefault="00083CA4" w:rsidP="00D527DE">
      <w:pPr>
        <w:numPr>
          <w:ilvl w:val="1"/>
          <w:numId w:val="12"/>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 Variación por Programa Presupuestario</w:t>
      </w:r>
    </w:p>
    <w:p w14:paraId="6C11B27A" w14:textId="77777777" w:rsidR="00083CA4" w:rsidRPr="002A7673" w:rsidRDefault="00083CA4" w:rsidP="00F422DD">
      <w:pPr>
        <w:spacing w:after="0" w:line="240" w:lineRule="auto"/>
        <w:ind w:left="851" w:right="851" w:firstLine="709"/>
        <w:rPr>
          <w:rFonts w:ascii="Times New Roman" w:eastAsia="Times New Roman" w:hAnsi="Times New Roman" w:cs="Times New Roman"/>
          <w:b/>
          <w:sz w:val="26"/>
          <w:szCs w:val="26"/>
          <w:lang w:val="es-ES" w:eastAsia="es-ES"/>
        </w:rPr>
      </w:pPr>
    </w:p>
    <w:p w14:paraId="7DF8F3F1"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términos generales para el año 2022 en la Subpartida 10101 Alquiler de Edificios, Locales y Terrenos se está formulando 354.315.873 menos en comparación con lo aprobado para el 2021, lo que representa una variación de menos 2.92%. </w:t>
      </w:r>
    </w:p>
    <w:p w14:paraId="52B36E0B"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bookmarkStart w:id="5" w:name="_Hlk35518545"/>
    </w:p>
    <w:p w14:paraId="489181D3"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Tabla 3. Formulación Presupuestaria por Programa 2020–2021</w:t>
      </w:r>
    </w:p>
    <w:p w14:paraId="112E4FBA"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Subpartida 10101 Alquiler de Edificios, Locales y Terrenos</w:t>
      </w:r>
      <w:bookmarkEnd w:id="5"/>
    </w:p>
    <w:p w14:paraId="38B53E67" w14:textId="77777777" w:rsidR="00F422DD" w:rsidRPr="002A7673" w:rsidRDefault="00F422DD" w:rsidP="005F7139">
      <w:pPr>
        <w:spacing w:after="0" w:line="240" w:lineRule="auto"/>
        <w:jc w:val="center"/>
        <w:textAlignment w:val="baseline"/>
        <w:rPr>
          <w:rFonts w:ascii="Times New Roman" w:eastAsia="Times New Roman" w:hAnsi="Times New Roman" w:cs="Times New Roman"/>
          <w:b/>
          <w:bCs/>
          <w:sz w:val="24"/>
          <w:szCs w:val="24"/>
          <w:lang w:eastAsia="es-CR"/>
        </w:rPr>
      </w:pPr>
    </w:p>
    <w:tbl>
      <w:tblPr>
        <w:tblW w:w="10200" w:type="dxa"/>
        <w:jc w:val="center"/>
        <w:tblCellMar>
          <w:left w:w="70" w:type="dxa"/>
          <w:right w:w="70" w:type="dxa"/>
        </w:tblCellMar>
        <w:tblLook w:val="04A0" w:firstRow="1" w:lastRow="0" w:firstColumn="1" w:lastColumn="0" w:noHBand="0" w:noVBand="1"/>
      </w:tblPr>
      <w:tblGrid>
        <w:gridCol w:w="2980"/>
        <w:gridCol w:w="1580"/>
        <w:gridCol w:w="1580"/>
        <w:gridCol w:w="1580"/>
        <w:gridCol w:w="1352"/>
        <w:gridCol w:w="1128"/>
      </w:tblGrid>
      <w:tr w:rsidR="00083CA4" w:rsidRPr="002A7673" w14:paraId="7B2DBA3B" w14:textId="77777777" w:rsidTr="005F7139">
        <w:trPr>
          <w:trHeight w:val="300"/>
          <w:jc w:val="center"/>
        </w:trPr>
        <w:tc>
          <w:tcPr>
            <w:tcW w:w="2980" w:type="dxa"/>
            <w:tcBorders>
              <w:top w:val="single" w:sz="8" w:space="0" w:color="1F4E78"/>
              <w:left w:val="nil"/>
              <w:bottom w:val="single" w:sz="8" w:space="0" w:color="1F4E78"/>
              <w:right w:val="nil"/>
            </w:tcBorders>
            <w:shd w:val="clear" w:color="000000" w:fill="F2F2F2"/>
            <w:vAlign w:val="center"/>
            <w:hideMark/>
          </w:tcPr>
          <w:p w14:paraId="1C27D93A"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Programa</w:t>
            </w:r>
          </w:p>
        </w:tc>
        <w:tc>
          <w:tcPr>
            <w:tcW w:w="1580" w:type="dxa"/>
            <w:tcBorders>
              <w:top w:val="single" w:sz="8" w:space="0" w:color="1F4E78"/>
              <w:left w:val="nil"/>
              <w:bottom w:val="single" w:sz="8" w:space="0" w:color="1F4E78"/>
              <w:right w:val="nil"/>
            </w:tcBorders>
            <w:shd w:val="clear" w:color="000000" w:fill="F2F2F2"/>
            <w:vAlign w:val="center"/>
            <w:hideMark/>
          </w:tcPr>
          <w:p w14:paraId="3FC53773"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Ejecución 2020</w:t>
            </w:r>
          </w:p>
        </w:tc>
        <w:tc>
          <w:tcPr>
            <w:tcW w:w="1580" w:type="dxa"/>
            <w:tcBorders>
              <w:top w:val="single" w:sz="8" w:space="0" w:color="1F4E78"/>
              <w:left w:val="nil"/>
              <w:bottom w:val="single" w:sz="8" w:space="0" w:color="1F4E78"/>
              <w:right w:val="nil"/>
            </w:tcBorders>
            <w:shd w:val="clear" w:color="000000" w:fill="F2F2F2"/>
            <w:vAlign w:val="center"/>
            <w:hideMark/>
          </w:tcPr>
          <w:p w14:paraId="0BED0528"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2021</w:t>
            </w:r>
          </w:p>
        </w:tc>
        <w:tc>
          <w:tcPr>
            <w:tcW w:w="1580" w:type="dxa"/>
            <w:tcBorders>
              <w:top w:val="single" w:sz="8" w:space="0" w:color="1F4E78"/>
              <w:left w:val="nil"/>
              <w:bottom w:val="single" w:sz="8" w:space="0" w:color="1F4E78"/>
              <w:right w:val="nil"/>
            </w:tcBorders>
            <w:shd w:val="clear" w:color="000000" w:fill="F2F2F2"/>
            <w:vAlign w:val="center"/>
            <w:hideMark/>
          </w:tcPr>
          <w:p w14:paraId="1EEB82DC"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2022</w:t>
            </w:r>
          </w:p>
        </w:tc>
        <w:tc>
          <w:tcPr>
            <w:tcW w:w="1352" w:type="dxa"/>
            <w:tcBorders>
              <w:top w:val="single" w:sz="8" w:space="0" w:color="1F4E78"/>
              <w:left w:val="nil"/>
              <w:bottom w:val="single" w:sz="8" w:space="0" w:color="1F4E78"/>
              <w:right w:val="nil"/>
            </w:tcBorders>
            <w:shd w:val="clear" w:color="000000" w:fill="F2F2F2"/>
            <w:vAlign w:val="center"/>
            <w:hideMark/>
          </w:tcPr>
          <w:p w14:paraId="4C07F5A8"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Diferencia*</w:t>
            </w:r>
          </w:p>
        </w:tc>
        <w:tc>
          <w:tcPr>
            <w:tcW w:w="1128" w:type="dxa"/>
            <w:tcBorders>
              <w:top w:val="single" w:sz="8" w:space="0" w:color="1F4E78"/>
              <w:left w:val="nil"/>
              <w:bottom w:val="single" w:sz="8" w:space="0" w:color="1F4E78"/>
              <w:right w:val="nil"/>
            </w:tcBorders>
            <w:shd w:val="clear" w:color="000000" w:fill="F2F2F2"/>
            <w:vAlign w:val="center"/>
            <w:hideMark/>
          </w:tcPr>
          <w:p w14:paraId="68680FA9"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 Variación</w:t>
            </w:r>
          </w:p>
        </w:tc>
      </w:tr>
      <w:tr w:rsidR="00083CA4" w:rsidRPr="002A7673" w14:paraId="49C67D8D" w14:textId="77777777" w:rsidTr="005F7139">
        <w:trPr>
          <w:trHeight w:val="288"/>
          <w:jc w:val="center"/>
        </w:trPr>
        <w:tc>
          <w:tcPr>
            <w:tcW w:w="2980" w:type="dxa"/>
            <w:tcBorders>
              <w:top w:val="nil"/>
              <w:left w:val="nil"/>
              <w:bottom w:val="nil"/>
              <w:right w:val="nil"/>
            </w:tcBorders>
            <w:shd w:val="clear" w:color="auto" w:fill="auto"/>
            <w:vAlign w:val="center"/>
            <w:hideMark/>
          </w:tcPr>
          <w:p w14:paraId="244E6298"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Dirección, Administración y Otros </w:t>
            </w:r>
          </w:p>
        </w:tc>
        <w:tc>
          <w:tcPr>
            <w:tcW w:w="1580" w:type="dxa"/>
            <w:tcBorders>
              <w:top w:val="nil"/>
              <w:left w:val="nil"/>
              <w:bottom w:val="nil"/>
              <w:right w:val="nil"/>
            </w:tcBorders>
            <w:shd w:val="clear" w:color="auto" w:fill="auto"/>
            <w:vAlign w:val="center"/>
            <w:hideMark/>
          </w:tcPr>
          <w:p w14:paraId="6E29301E"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421,601,143 </w:t>
            </w:r>
          </w:p>
        </w:tc>
        <w:tc>
          <w:tcPr>
            <w:tcW w:w="1580" w:type="dxa"/>
            <w:tcBorders>
              <w:top w:val="nil"/>
              <w:left w:val="nil"/>
              <w:bottom w:val="nil"/>
              <w:right w:val="nil"/>
            </w:tcBorders>
            <w:shd w:val="clear" w:color="auto" w:fill="auto"/>
            <w:vAlign w:val="center"/>
            <w:hideMark/>
          </w:tcPr>
          <w:p w14:paraId="3D27D301"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467,999,077 </w:t>
            </w:r>
          </w:p>
        </w:tc>
        <w:tc>
          <w:tcPr>
            <w:tcW w:w="1580" w:type="dxa"/>
            <w:tcBorders>
              <w:top w:val="nil"/>
              <w:left w:val="nil"/>
              <w:bottom w:val="nil"/>
              <w:right w:val="nil"/>
            </w:tcBorders>
            <w:shd w:val="clear" w:color="auto" w:fill="auto"/>
            <w:vAlign w:val="center"/>
            <w:hideMark/>
          </w:tcPr>
          <w:p w14:paraId="3BD69A9D"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490,876,095 </w:t>
            </w:r>
          </w:p>
        </w:tc>
        <w:tc>
          <w:tcPr>
            <w:tcW w:w="1352" w:type="dxa"/>
            <w:tcBorders>
              <w:top w:val="nil"/>
              <w:left w:val="nil"/>
              <w:bottom w:val="nil"/>
              <w:right w:val="nil"/>
            </w:tcBorders>
            <w:shd w:val="clear" w:color="auto" w:fill="auto"/>
            <w:vAlign w:val="center"/>
            <w:hideMark/>
          </w:tcPr>
          <w:p w14:paraId="32F65D4A"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22,877,018 </w:t>
            </w:r>
          </w:p>
        </w:tc>
        <w:tc>
          <w:tcPr>
            <w:tcW w:w="1128" w:type="dxa"/>
            <w:tcBorders>
              <w:top w:val="nil"/>
              <w:left w:val="nil"/>
              <w:bottom w:val="nil"/>
              <w:right w:val="nil"/>
            </w:tcBorders>
            <w:shd w:val="clear" w:color="auto" w:fill="auto"/>
            <w:vAlign w:val="center"/>
            <w:hideMark/>
          </w:tcPr>
          <w:p w14:paraId="3065BB12"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4.89%</w:t>
            </w:r>
          </w:p>
        </w:tc>
      </w:tr>
      <w:tr w:rsidR="00083CA4" w:rsidRPr="002A7673" w14:paraId="6191D222" w14:textId="77777777" w:rsidTr="005F7139">
        <w:trPr>
          <w:trHeight w:val="288"/>
          <w:jc w:val="center"/>
        </w:trPr>
        <w:tc>
          <w:tcPr>
            <w:tcW w:w="2980" w:type="dxa"/>
            <w:tcBorders>
              <w:top w:val="nil"/>
              <w:left w:val="nil"/>
              <w:bottom w:val="nil"/>
              <w:right w:val="nil"/>
            </w:tcBorders>
            <w:shd w:val="clear" w:color="auto" w:fill="auto"/>
            <w:vAlign w:val="center"/>
            <w:hideMark/>
          </w:tcPr>
          <w:p w14:paraId="5ECB6628"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Servicio Jurisdiccional</w:t>
            </w:r>
          </w:p>
        </w:tc>
        <w:tc>
          <w:tcPr>
            <w:tcW w:w="1580" w:type="dxa"/>
            <w:tcBorders>
              <w:top w:val="nil"/>
              <w:left w:val="nil"/>
              <w:bottom w:val="nil"/>
              <w:right w:val="nil"/>
            </w:tcBorders>
            <w:shd w:val="clear" w:color="auto" w:fill="auto"/>
            <w:vAlign w:val="center"/>
            <w:hideMark/>
          </w:tcPr>
          <w:p w14:paraId="3C1B07DD"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6,406,959,085 </w:t>
            </w:r>
          </w:p>
        </w:tc>
        <w:tc>
          <w:tcPr>
            <w:tcW w:w="1580" w:type="dxa"/>
            <w:tcBorders>
              <w:top w:val="nil"/>
              <w:left w:val="nil"/>
              <w:bottom w:val="nil"/>
              <w:right w:val="nil"/>
            </w:tcBorders>
            <w:shd w:val="clear" w:color="auto" w:fill="auto"/>
            <w:vAlign w:val="center"/>
            <w:hideMark/>
          </w:tcPr>
          <w:p w14:paraId="7409825F"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6,709,940,930 </w:t>
            </w:r>
          </w:p>
        </w:tc>
        <w:tc>
          <w:tcPr>
            <w:tcW w:w="1580" w:type="dxa"/>
            <w:tcBorders>
              <w:top w:val="nil"/>
              <w:left w:val="nil"/>
              <w:bottom w:val="nil"/>
              <w:right w:val="nil"/>
            </w:tcBorders>
            <w:shd w:val="clear" w:color="auto" w:fill="auto"/>
            <w:vAlign w:val="center"/>
            <w:hideMark/>
          </w:tcPr>
          <w:p w14:paraId="2BDB7597"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6,367,875,712 </w:t>
            </w:r>
          </w:p>
        </w:tc>
        <w:tc>
          <w:tcPr>
            <w:tcW w:w="1352" w:type="dxa"/>
            <w:tcBorders>
              <w:top w:val="nil"/>
              <w:left w:val="nil"/>
              <w:bottom w:val="nil"/>
              <w:right w:val="nil"/>
            </w:tcBorders>
            <w:shd w:val="clear" w:color="auto" w:fill="auto"/>
            <w:vAlign w:val="center"/>
            <w:hideMark/>
          </w:tcPr>
          <w:p w14:paraId="1D3AFE18"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342,065,218 </w:t>
            </w:r>
          </w:p>
        </w:tc>
        <w:tc>
          <w:tcPr>
            <w:tcW w:w="1128" w:type="dxa"/>
            <w:tcBorders>
              <w:top w:val="nil"/>
              <w:left w:val="nil"/>
              <w:bottom w:val="nil"/>
              <w:right w:val="nil"/>
            </w:tcBorders>
            <w:shd w:val="clear" w:color="auto" w:fill="auto"/>
            <w:vAlign w:val="center"/>
            <w:hideMark/>
          </w:tcPr>
          <w:p w14:paraId="7B32A932"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-5.10%</w:t>
            </w:r>
          </w:p>
        </w:tc>
      </w:tr>
      <w:tr w:rsidR="00083CA4" w:rsidRPr="002A7673" w14:paraId="04A0ED9D" w14:textId="77777777" w:rsidTr="005F7139">
        <w:trPr>
          <w:trHeight w:val="288"/>
          <w:jc w:val="center"/>
        </w:trPr>
        <w:tc>
          <w:tcPr>
            <w:tcW w:w="2980" w:type="dxa"/>
            <w:tcBorders>
              <w:top w:val="nil"/>
              <w:left w:val="nil"/>
              <w:bottom w:val="nil"/>
              <w:right w:val="nil"/>
            </w:tcBorders>
            <w:shd w:val="clear" w:color="auto" w:fill="auto"/>
            <w:vAlign w:val="center"/>
            <w:hideMark/>
          </w:tcPr>
          <w:p w14:paraId="32373CA4"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Organismo de Investigación Judicial</w:t>
            </w:r>
          </w:p>
        </w:tc>
        <w:tc>
          <w:tcPr>
            <w:tcW w:w="1580" w:type="dxa"/>
            <w:tcBorders>
              <w:top w:val="nil"/>
              <w:left w:val="nil"/>
              <w:bottom w:val="nil"/>
              <w:right w:val="nil"/>
            </w:tcBorders>
            <w:shd w:val="clear" w:color="auto" w:fill="auto"/>
            <w:vAlign w:val="center"/>
            <w:hideMark/>
          </w:tcPr>
          <w:p w14:paraId="0C1E34B3"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1,879,068,986 </w:t>
            </w:r>
          </w:p>
        </w:tc>
        <w:tc>
          <w:tcPr>
            <w:tcW w:w="1580" w:type="dxa"/>
            <w:tcBorders>
              <w:top w:val="nil"/>
              <w:left w:val="nil"/>
              <w:bottom w:val="nil"/>
              <w:right w:val="nil"/>
            </w:tcBorders>
            <w:shd w:val="clear" w:color="auto" w:fill="auto"/>
            <w:vAlign w:val="center"/>
            <w:hideMark/>
          </w:tcPr>
          <w:p w14:paraId="7DD877B0"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2,138,688,149 </w:t>
            </w:r>
          </w:p>
        </w:tc>
        <w:tc>
          <w:tcPr>
            <w:tcW w:w="1580" w:type="dxa"/>
            <w:tcBorders>
              <w:top w:val="nil"/>
              <w:left w:val="nil"/>
              <w:bottom w:val="nil"/>
              <w:right w:val="nil"/>
            </w:tcBorders>
            <w:shd w:val="clear" w:color="auto" w:fill="auto"/>
            <w:vAlign w:val="center"/>
            <w:hideMark/>
          </w:tcPr>
          <w:p w14:paraId="747491C5"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2,330,010,837 </w:t>
            </w:r>
          </w:p>
        </w:tc>
        <w:tc>
          <w:tcPr>
            <w:tcW w:w="1352" w:type="dxa"/>
            <w:tcBorders>
              <w:top w:val="nil"/>
              <w:left w:val="nil"/>
              <w:bottom w:val="nil"/>
              <w:right w:val="nil"/>
            </w:tcBorders>
            <w:shd w:val="clear" w:color="auto" w:fill="auto"/>
            <w:vAlign w:val="center"/>
            <w:hideMark/>
          </w:tcPr>
          <w:p w14:paraId="37093611"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191,322,688 </w:t>
            </w:r>
          </w:p>
        </w:tc>
        <w:tc>
          <w:tcPr>
            <w:tcW w:w="1128" w:type="dxa"/>
            <w:tcBorders>
              <w:top w:val="nil"/>
              <w:left w:val="nil"/>
              <w:bottom w:val="nil"/>
              <w:right w:val="nil"/>
            </w:tcBorders>
            <w:shd w:val="clear" w:color="auto" w:fill="auto"/>
            <w:vAlign w:val="center"/>
            <w:hideMark/>
          </w:tcPr>
          <w:p w14:paraId="776BFB9F"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8.95%</w:t>
            </w:r>
          </w:p>
        </w:tc>
      </w:tr>
      <w:tr w:rsidR="00083CA4" w:rsidRPr="002A7673" w14:paraId="5B45A1E4" w14:textId="77777777" w:rsidTr="005F7139">
        <w:trPr>
          <w:trHeight w:val="288"/>
          <w:jc w:val="center"/>
        </w:trPr>
        <w:tc>
          <w:tcPr>
            <w:tcW w:w="2980" w:type="dxa"/>
            <w:tcBorders>
              <w:top w:val="nil"/>
              <w:left w:val="nil"/>
              <w:bottom w:val="nil"/>
              <w:right w:val="nil"/>
            </w:tcBorders>
            <w:shd w:val="clear" w:color="auto" w:fill="auto"/>
            <w:vAlign w:val="center"/>
            <w:hideMark/>
          </w:tcPr>
          <w:p w14:paraId="2CC85469"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Ministerio Público</w:t>
            </w:r>
          </w:p>
        </w:tc>
        <w:tc>
          <w:tcPr>
            <w:tcW w:w="1580" w:type="dxa"/>
            <w:tcBorders>
              <w:top w:val="nil"/>
              <w:left w:val="nil"/>
              <w:bottom w:val="nil"/>
              <w:right w:val="nil"/>
            </w:tcBorders>
            <w:shd w:val="clear" w:color="auto" w:fill="auto"/>
            <w:vAlign w:val="center"/>
            <w:hideMark/>
          </w:tcPr>
          <w:p w14:paraId="1C5B18B6"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1,269,629,280 </w:t>
            </w:r>
          </w:p>
        </w:tc>
        <w:tc>
          <w:tcPr>
            <w:tcW w:w="1580" w:type="dxa"/>
            <w:tcBorders>
              <w:top w:val="nil"/>
              <w:left w:val="nil"/>
              <w:bottom w:val="nil"/>
              <w:right w:val="nil"/>
            </w:tcBorders>
            <w:shd w:val="clear" w:color="auto" w:fill="auto"/>
            <w:vAlign w:val="center"/>
            <w:hideMark/>
          </w:tcPr>
          <w:p w14:paraId="6DCFCC6A"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1,548,000,322 </w:t>
            </w:r>
          </w:p>
        </w:tc>
        <w:tc>
          <w:tcPr>
            <w:tcW w:w="1580" w:type="dxa"/>
            <w:tcBorders>
              <w:top w:val="nil"/>
              <w:left w:val="nil"/>
              <w:bottom w:val="nil"/>
              <w:right w:val="nil"/>
            </w:tcBorders>
            <w:shd w:val="clear" w:color="auto" w:fill="auto"/>
            <w:vAlign w:val="center"/>
            <w:hideMark/>
          </w:tcPr>
          <w:p w14:paraId="57E1F797"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1,428,523,376 </w:t>
            </w:r>
          </w:p>
        </w:tc>
        <w:tc>
          <w:tcPr>
            <w:tcW w:w="1352" w:type="dxa"/>
            <w:tcBorders>
              <w:top w:val="nil"/>
              <w:left w:val="nil"/>
              <w:bottom w:val="nil"/>
              <w:right w:val="nil"/>
            </w:tcBorders>
            <w:shd w:val="clear" w:color="auto" w:fill="auto"/>
            <w:vAlign w:val="center"/>
            <w:hideMark/>
          </w:tcPr>
          <w:p w14:paraId="12E44A14"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119,476,946 </w:t>
            </w:r>
          </w:p>
        </w:tc>
        <w:tc>
          <w:tcPr>
            <w:tcW w:w="1128" w:type="dxa"/>
            <w:tcBorders>
              <w:top w:val="nil"/>
              <w:left w:val="nil"/>
              <w:bottom w:val="nil"/>
              <w:right w:val="nil"/>
            </w:tcBorders>
            <w:shd w:val="clear" w:color="auto" w:fill="auto"/>
            <w:vAlign w:val="center"/>
            <w:hideMark/>
          </w:tcPr>
          <w:p w14:paraId="5AFA9C28"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-7.72%</w:t>
            </w:r>
          </w:p>
        </w:tc>
      </w:tr>
      <w:tr w:rsidR="00083CA4" w:rsidRPr="002A7673" w14:paraId="371D7DFA" w14:textId="77777777" w:rsidTr="005F7139">
        <w:trPr>
          <w:trHeight w:val="288"/>
          <w:jc w:val="center"/>
        </w:trPr>
        <w:tc>
          <w:tcPr>
            <w:tcW w:w="2980" w:type="dxa"/>
            <w:tcBorders>
              <w:top w:val="nil"/>
              <w:left w:val="nil"/>
              <w:bottom w:val="nil"/>
              <w:right w:val="nil"/>
            </w:tcBorders>
            <w:shd w:val="clear" w:color="auto" w:fill="auto"/>
            <w:vAlign w:val="center"/>
            <w:hideMark/>
          </w:tcPr>
          <w:p w14:paraId="19608F3B"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Defensa Pública</w:t>
            </w:r>
          </w:p>
        </w:tc>
        <w:tc>
          <w:tcPr>
            <w:tcW w:w="1580" w:type="dxa"/>
            <w:tcBorders>
              <w:top w:val="nil"/>
              <w:left w:val="nil"/>
              <w:bottom w:val="nil"/>
              <w:right w:val="nil"/>
            </w:tcBorders>
            <w:shd w:val="clear" w:color="auto" w:fill="auto"/>
            <w:vAlign w:val="center"/>
            <w:hideMark/>
          </w:tcPr>
          <w:p w14:paraId="28639763"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868,489,652 </w:t>
            </w:r>
          </w:p>
        </w:tc>
        <w:tc>
          <w:tcPr>
            <w:tcW w:w="1580" w:type="dxa"/>
            <w:tcBorders>
              <w:top w:val="nil"/>
              <w:left w:val="nil"/>
              <w:bottom w:val="nil"/>
              <w:right w:val="nil"/>
            </w:tcBorders>
            <w:shd w:val="clear" w:color="auto" w:fill="auto"/>
            <w:vAlign w:val="center"/>
            <w:hideMark/>
          </w:tcPr>
          <w:p w14:paraId="0FB37959"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915,313,767 </w:t>
            </w:r>
          </w:p>
        </w:tc>
        <w:tc>
          <w:tcPr>
            <w:tcW w:w="1580" w:type="dxa"/>
            <w:tcBorders>
              <w:top w:val="nil"/>
              <w:left w:val="nil"/>
              <w:bottom w:val="nil"/>
              <w:right w:val="nil"/>
            </w:tcBorders>
            <w:shd w:val="clear" w:color="auto" w:fill="auto"/>
            <w:vAlign w:val="center"/>
            <w:hideMark/>
          </w:tcPr>
          <w:p w14:paraId="734310A3"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825,400,699 </w:t>
            </w:r>
          </w:p>
        </w:tc>
        <w:tc>
          <w:tcPr>
            <w:tcW w:w="1352" w:type="dxa"/>
            <w:tcBorders>
              <w:top w:val="nil"/>
              <w:left w:val="nil"/>
              <w:bottom w:val="nil"/>
              <w:right w:val="nil"/>
            </w:tcBorders>
            <w:shd w:val="clear" w:color="auto" w:fill="auto"/>
            <w:vAlign w:val="center"/>
            <w:hideMark/>
          </w:tcPr>
          <w:p w14:paraId="6EE23E17"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89,913,068 </w:t>
            </w:r>
          </w:p>
        </w:tc>
        <w:tc>
          <w:tcPr>
            <w:tcW w:w="1128" w:type="dxa"/>
            <w:tcBorders>
              <w:top w:val="nil"/>
              <w:left w:val="nil"/>
              <w:bottom w:val="nil"/>
              <w:right w:val="nil"/>
            </w:tcBorders>
            <w:shd w:val="clear" w:color="auto" w:fill="auto"/>
            <w:vAlign w:val="center"/>
            <w:hideMark/>
          </w:tcPr>
          <w:p w14:paraId="7874E260"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-9.82%</w:t>
            </w:r>
          </w:p>
        </w:tc>
      </w:tr>
      <w:tr w:rsidR="00083CA4" w:rsidRPr="002A7673" w14:paraId="2F61664E" w14:textId="77777777" w:rsidTr="005F7139">
        <w:trPr>
          <w:trHeight w:val="300"/>
          <w:jc w:val="center"/>
        </w:trPr>
        <w:tc>
          <w:tcPr>
            <w:tcW w:w="2980" w:type="dxa"/>
            <w:tcBorders>
              <w:top w:val="nil"/>
              <w:left w:val="nil"/>
              <w:bottom w:val="nil"/>
              <w:right w:val="nil"/>
            </w:tcBorders>
            <w:shd w:val="clear" w:color="auto" w:fill="auto"/>
            <w:vAlign w:val="center"/>
            <w:hideMark/>
          </w:tcPr>
          <w:p w14:paraId="0176B877" w14:textId="77777777" w:rsidR="00083CA4" w:rsidRPr="002A7673" w:rsidRDefault="00083CA4" w:rsidP="005F7139">
            <w:pPr>
              <w:spacing w:after="0" w:line="240" w:lineRule="auto"/>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Servicio de Atención y Protección </w:t>
            </w:r>
          </w:p>
        </w:tc>
        <w:tc>
          <w:tcPr>
            <w:tcW w:w="1580" w:type="dxa"/>
            <w:tcBorders>
              <w:top w:val="nil"/>
              <w:left w:val="nil"/>
              <w:bottom w:val="nil"/>
              <w:right w:val="nil"/>
            </w:tcBorders>
            <w:shd w:val="clear" w:color="auto" w:fill="auto"/>
            <w:vAlign w:val="center"/>
            <w:hideMark/>
          </w:tcPr>
          <w:p w14:paraId="428F5C23"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339,911,966 </w:t>
            </w:r>
          </w:p>
        </w:tc>
        <w:tc>
          <w:tcPr>
            <w:tcW w:w="1580" w:type="dxa"/>
            <w:tcBorders>
              <w:top w:val="nil"/>
              <w:left w:val="nil"/>
              <w:bottom w:val="nil"/>
              <w:right w:val="nil"/>
            </w:tcBorders>
            <w:shd w:val="clear" w:color="auto" w:fill="auto"/>
            <w:vAlign w:val="center"/>
            <w:hideMark/>
          </w:tcPr>
          <w:p w14:paraId="10CE7952"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352,071,263 </w:t>
            </w:r>
          </w:p>
        </w:tc>
        <w:tc>
          <w:tcPr>
            <w:tcW w:w="1580" w:type="dxa"/>
            <w:tcBorders>
              <w:top w:val="nil"/>
              <w:left w:val="nil"/>
              <w:bottom w:val="nil"/>
              <w:right w:val="nil"/>
            </w:tcBorders>
            <w:shd w:val="clear" w:color="auto" w:fill="auto"/>
            <w:vAlign w:val="center"/>
            <w:hideMark/>
          </w:tcPr>
          <w:p w14:paraId="5C10EC1F"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335,010,916 </w:t>
            </w:r>
          </w:p>
        </w:tc>
        <w:tc>
          <w:tcPr>
            <w:tcW w:w="1352" w:type="dxa"/>
            <w:tcBorders>
              <w:top w:val="nil"/>
              <w:left w:val="nil"/>
              <w:bottom w:val="nil"/>
              <w:right w:val="nil"/>
            </w:tcBorders>
            <w:shd w:val="clear" w:color="auto" w:fill="auto"/>
            <w:vAlign w:val="center"/>
            <w:hideMark/>
          </w:tcPr>
          <w:p w14:paraId="103F36FC" w14:textId="77777777" w:rsidR="00083CA4" w:rsidRPr="002A7673" w:rsidRDefault="00083CA4" w:rsidP="005F7139">
            <w:pPr>
              <w:spacing w:after="0" w:line="240" w:lineRule="auto"/>
              <w:jc w:val="right"/>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 xml:space="preserve">-    17,060,347 </w:t>
            </w:r>
          </w:p>
        </w:tc>
        <w:tc>
          <w:tcPr>
            <w:tcW w:w="1128" w:type="dxa"/>
            <w:tcBorders>
              <w:top w:val="nil"/>
              <w:left w:val="nil"/>
              <w:bottom w:val="nil"/>
              <w:right w:val="nil"/>
            </w:tcBorders>
            <w:shd w:val="clear" w:color="auto" w:fill="auto"/>
            <w:vAlign w:val="center"/>
            <w:hideMark/>
          </w:tcPr>
          <w:p w14:paraId="642D0D3A" w14:textId="77777777" w:rsidR="00083CA4" w:rsidRPr="002A7673" w:rsidRDefault="00083CA4" w:rsidP="005F7139">
            <w:pPr>
              <w:spacing w:after="0" w:line="240" w:lineRule="auto"/>
              <w:jc w:val="center"/>
              <w:rPr>
                <w:rFonts w:ascii="Times New Roman" w:eastAsia="Times New Roman" w:hAnsi="Times New Roman" w:cs="Times New Roman"/>
                <w:color w:val="000000"/>
                <w:sz w:val="18"/>
                <w:szCs w:val="18"/>
                <w:lang w:eastAsia="es-CR"/>
              </w:rPr>
            </w:pPr>
            <w:r w:rsidRPr="002A7673">
              <w:rPr>
                <w:rFonts w:ascii="Times New Roman" w:eastAsia="Times New Roman" w:hAnsi="Times New Roman" w:cs="Times New Roman"/>
                <w:color w:val="000000"/>
                <w:sz w:val="18"/>
                <w:szCs w:val="18"/>
                <w:lang w:eastAsia="es-CR"/>
              </w:rPr>
              <w:t>-4.85%</w:t>
            </w:r>
          </w:p>
        </w:tc>
      </w:tr>
      <w:tr w:rsidR="00083CA4" w:rsidRPr="002A7673" w14:paraId="1B7AB23A" w14:textId="77777777" w:rsidTr="005F7139">
        <w:trPr>
          <w:trHeight w:val="300"/>
          <w:jc w:val="center"/>
        </w:trPr>
        <w:tc>
          <w:tcPr>
            <w:tcW w:w="2980" w:type="dxa"/>
            <w:tcBorders>
              <w:top w:val="single" w:sz="8" w:space="0" w:color="1F4E78"/>
              <w:left w:val="nil"/>
              <w:bottom w:val="single" w:sz="8" w:space="0" w:color="305496"/>
              <w:right w:val="nil"/>
            </w:tcBorders>
            <w:shd w:val="clear" w:color="000000" w:fill="F2F2F2"/>
            <w:vAlign w:val="center"/>
            <w:hideMark/>
          </w:tcPr>
          <w:p w14:paraId="469E77F5"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Total</w:t>
            </w:r>
          </w:p>
        </w:tc>
        <w:tc>
          <w:tcPr>
            <w:tcW w:w="1580" w:type="dxa"/>
            <w:tcBorders>
              <w:top w:val="single" w:sz="8" w:space="0" w:color="1F4E78"/>
              <w:left w:val="nil"/>
              <w:bottom w:val="single" w:sz="8" w:space="0" w:color="305496"/>
              <w:right w:val="nil"/>
            </w:tcBorders>
            <w:shd w:val="clear" w:color="000000" w:fill="F2F2F2"/>
            <w:vAlign w:val="center"/>
            <w:hideMark/>
          </w:tcPr>
          <w:p w14:paraId="486CBFA1" w14:textId="77777777" w:rsidR="00083CA4" w:rsidRPr="002A7673" w:rsidRDefault="00083CA4" w:rsidP="005F7139">
            <w:pPr>
              <w:spacing w:after="0" w:line="240" w:lineRule="auto"/>
              <w:jc w:val="right"/>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 xml:space="preserve">11,185,660,112 </w:t>
            </w:r>
          </w:p>
        </w:tc>
        <w:tc>
          <w:tcPr>
            <w:tcW w:w="1580" w:type="dxa"/>
            <w:tcBorders>
              <w:top w:val="single" w:sz="8" w:space="0" w:color="1F4E78"/>
              <w:left w:val="nil"/>
              <w:bottom w:val="single" w:sz="8" w:space="0" w:color="305496"/>
              <w:right w:val="nil"/>
            </w:tcBorders>
            <w:shd w:val="clear" w:color="000000" w:fill="F2F2F2"/>
            <w:vAlign w:val="center"/>
            <w:hideMark/>
          </w:tcPr>
          <w:p w14:paraId="0F006439" w14:textId="77777777" w:rsidR="00083CA4" w:rsidRPr="002A7673" w:rsidRDefault="00083CA4" w:rsidP="005F7139">
            <w:pPr>
              <w:spacing w:after="0" w:line="240" w:lineRule="auto"/>
              <w:jc w:val="right"/>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 xml:space="preserve">12,132,013,508 </w:t>
            </w:r>
          </w:p>
        </w:tc>
        <w:tc>
          <w:tcPr>
            <w:tcW w:w="1580" w:type="dxa"/>
            <w:tcBorders>
              <w:top w:val="single" w:sz="8" w:space="0" w:color="1F4E78"/>
              <w:left w:val="nil"/>
              <w:bottom w:val="single" w:sz="8" w:space="0" w:color="305496"/>
              <w:right w:val="nil"/>
            </w:tcBorders>
            <w:shd w:val="clear" w:color="000000" w:fill="F2F2F2"/>
            <w:vAlign w:val="center"/>
            <w:hideMark/>
          </w:tcPr>
          <w:p w14:paraId="1D11A54B" w14:textId="77777777" w:rsidR="00083CA4" w:rsidRPr="002A7673" w:rsidRDefault="00083CA4" w:rsidP="005F7139">
            <w:pPr>
              <w:spacing w:after="0" w:line="240" w:lineRule="auto"/>
              <w:jc w:val="right"/>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 xml:space="preserve">11,777,697,635 </w:t>
            </w:r>
          </w:p>
        </w:tc>
        <w:tc>
          <w:tcPr>
            <w:tcW w:w="1352" w:type="dxa"/>
            <w:tcBorders>
              <w:top w:val="single" w:sz="8" w:space="0" w:color="1F4E78"/>
              <w:left w:val="nil"/>
              <w:bottom w:val="single" w:sz="8" w:space="0" w:color="305496"/>
              <w:right w:val="nil"/>
            </w:tcBorders>
            <w:shd w:val="clear" w:color="000000" w:fill="F2F2F2"/>
            <w:vAlign w:val="center"/>
            <w:hideMark/>
          </w:tcPr>
          <w:p w14:paraId="48FEE5C5"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 xml:space="preserve">-  354,315,873 </w:t>
            </w:r>
          </w:p>
        </w:tc>
        <w:tc>
          <w:tcPr>
            <w:tcW w:w="1128" w:type="dxa"/>
            <w:tcBorders>
              <w:top w:val="single" w:sz="8" w:space="0" w:color="1F4E78"/>
              <w:left w:val="nil"/>
              <w:bottom w:val="single" w:sz="8" w:space="0" w:color="305496"/>
              <w:right w:val="nil"/>
            </w:tcBorders>
            <w:shd w:val="clear" w:color="000000" w:fill="F2F2F2"/>
            <w:vAlign w:val="center"/>
            <w:hideMark/>
          </w:tcPr>
          <w:p w14:paraId="75C180E4"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18"/>
                <w:szCs w:val="18"/>
                <w:lang w:eastAsia="es-CR"/>
              </w:rPr>
            </w:pPr>
            <w:r w:rsidRPr="002A7673">
              <w:rPr>
                <w:rFonts w:ascii="Times New Roman" w:eastAsia="Times New Roman" w:hAnsi="Times New Roman" w:cs="Times New Roman"/>
                <w:b/>
                <w:bCs/>
                <w:color w:val="1F4E78"/>
                <w:sz w:val="18"/>
                <w:szCs w:val="18"/>
                <w:lang w:eastAsia="es-CR"/>
              </w:rPr>
              <w:t>-2.92%</w:t>
            </w:r>
          </w:p>
        </w:tc>
      </w:tr>
    </w:tbl>
    <w:p w14:paraId="4D14173D" w14:textId="77777777" w:rsidR="00083CA4" w:rsidRPr="002A7673" w:rsidRDefault="00083CA4" w:rsidP="005F7139">
      <w:pPr>
        <w:spacing w:after="0" w:line="240" w:lineRule="auto"/>
        <w:jc w:val="both"/>
        <w:rPr>
          <w:rFonts w:ascii="Times New Roman" w:eastAsia="Times New Roman" w:hAnsi="Times New Roman" w:cs="Times New Roman"/>
          <w:b/>
          <w:bCs/>
          <w:sz w:val="16"/>
          <w:szCs w:val="16"/>
        </w:rPr>
      </w:pPr>
      <w:r w:rsidRPr="002A7673">
        <w:rPr>
          <w:rFonts w:ascii="Times New Roman" w:eastAsia="Times New Roman" w:hAnsi="Times New Roman" w:cs="Times New Roman"/>
          <w:b/>
          <w:bCs/>
          <w:sz w:val="24"/>
          <w:szCs w:val="24"/>
        </w:rPr>
        <w:t xml:space="preserve">* </w:t>
      </w:r>
      <w:r w:rsidRPr="002A7673">
        <w:rPr>
          <w:rFonts w:ascii="Times New Roman" w:eastAsia="Times New Roman" w:hAnsi="Times New Roman" w:cs="Times New Roman"/>
          <w:sz w:val="16"/>
          <w:szCs w:val="16"/>
        </w:rPr>
        <w:t>Diferencia entre lo formulado en los periodos 2021 y 2022.</w:t>
      </w:r>
    </w:p>
    <w:p w14:paraId="16CC5388" w14:textId="77777777" w:rsidR="00083CA4" w:rsidRPr="002A7673" w:rsidRDefault="00083CA4" w:rsidP="005F7139">
      <w:pPr>
        <w:spacing w:after="0" w:line="240" w:lineRule="auto"/>
        <w:jc w:val="both"/>
        <w:textAlignment w:val="baseline"/>
        <w:rPr>
          <w:rFonts w:ascii="Times New Roman" w:eastAsia="Times New Roman" w:hAnsi="Times New Roman" w:cs="Times New Roman"/>
          <w:b/>
          <w:bCs/>
          <w:sz w:val="24"/>
          <w:szCs w:val="24"/>
          <w:lang w:eastAsia="es-CR"/>
        </w:rPr>
      </w:pPr>
    </w:p>
    <w:p w14:paraId="37AD501D"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Al realizar el análisis comparativo por programa presupuestario de esta subpartida, se determina que el programa 928 Organismo de Investigación Judicial con 8.95% y el 926 Dirección, Administración y Otros Órganos de Apoyo con 4.89%, son los que presentan crecimiento </w:t>
      </w:r>
    </w:p>
    <w:p w14:paraId="0EE73BDC"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57F019CC"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lastRenderedPageBreak/>
        <w:t xml:space="preserve">El incremento que presenta el Programa 926, se debe principalmente a la inclusión de recursos para la Oficina de Trabajo Social y Psicología del PISAV de San Joaquín de Flores. El Programa 928 presenta un incremento para el 2022, debido a los aumentos correspondientes de ley en los contratos de alquiler autorizados por la Dirección Ejecutiva principalmente en la Delegación Regional de Quepos, Unidad Regional de Buenos Aires, Plataforma de Información Policial y Administración del OIJ. La disminución en el Programa 927 Servicio Jurisdiccional y 930 Defensa Pública corresponde a que para el 2022 se eliminan los alquileres del Edificio Santa Rita y Edificio Catedral los cuales albergan despachos que serán trasladados al Edificio nuevo Anexo E. </w:t>
      </w:r>
    </w:p>
    <w:p w14:paraId="311A8DC3"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62BD45D5"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No obstante, es el Programa 927 Servicio Jurisdiccional el que presenta la mayor cantidad de recursos formulados para el 2022 en la Subpartida 10101, ello por la razón sustantiva de la prestación del servicio, al brindar cercanía de la justicia a todo el país, según se muestra en la siguiente figura:</w:t>
      </w:r>
    </w:p>
    <w:p w14:paraId="122CEDF9"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sz w:val="26"/>
          <w:szCs w:val="26"/>
        </w:rPr>
        <w:t xml:space="preserve"> </w:t>
      </w:r>
    </w:p>
    <w:p w14:paraId="60B22B05"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Figura N°2 Distribución se la Subpartida 10101 Alquiler de Edificios, Locales y Terrenos por Programa Presupuestario</w:t>
      </w:r>
    </w:p>
    <w:p w14:paraId="2E29362F" w14:textId="77777777" w:rsidR="00F422DD" w:rsidRPr="002A7673" w:rsidRDefault="00F422DD" w:rsidP="005F7139">
      <w:pPr>
        <w:spacing w:after="0" w:line="240" w:lineRule="auto"/>
        <w:jc w:val="center"/>
        <w:rPr>
          <w:rFonts w:ascii="Times New Roman" w:eastAsia="Calibri" w:hAnsi="Times New Roman" w:cs="Times New Roman"/>
          <w:b/>
          <w:sz w:val="26"/>
          <w:szCs w:val="26"/>
        </w:rPr>
      </w:pPr>
    </w:p>
    <w:p w14:paraId="7E107AF8" w14:textId="77777777" w:rsidR="00083CA4" w:rsidRPr="002A7673" w:rsidRDefault="00083CA4" w:rsidP="005F7139">
      <w:pPr>
        <w:spacing w:after="0" w:line="240" w:lineRule="auto"/>
        <w:jc w:val="center"/>
        <w:rPr>
          <w:rFonts w:ascii="Times New Roman" w:eastAsia="Calibri" w:hAnsi="Times New Roman" w:cs="Times New Roman"/>
        </w:rPr>
      </w:pPr>
      <w:r w:rsidRPr="002A7673">
        <w:rPr>
          <w:rFonts w:ascii="Times New Roman" w:eastAsia="Calibri" w:hAnsi="Times New Roman" w:cs="Times New Roman"/>
          <w:noProof/>
          <w:lang w:eastAsia="es-CR"/>
        </w:rPr>
        <w:drawing>
          <wp:inline distT="0" distB="0" distL="0" distR="0" wp14:anchorId="1A39537C" wp14:editId="2444803C">
            <wp:extent cx="5454650" cy="2499756"/>
            <wp:effectExtent l="0" t="0" r="12700" b="15240"/>
            <wp:docPr id="16" name="Gráfico 16">
              <a:extLst xmlns:a="http://schemas.openxmlformats.org/drawingml/2006/main">
                <a:ext uri="{FF2B5EF4-FFF2-40B4-BE49-F238E27FC236}">
                  <a16:creationId xmlns:a16="http://schemas.microsoft.com/office/drawing/2014/main" id="{9687C196-622A-4D0F-ACC6-792E4589C0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94A6A63" w14:textId="77777777" w:rsidR="00083CA4" w:rsidRPr="002A7673" w:rsidRDefault="00083CA4" w:rsidP="005F7139">
      <w:pPr>
        <w:spacing w:after="0" w:line="240" w:lineRule="auto"/>
        <w:ind w:left="708" w:firstLine="708"/>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 xml:space="preserve">    Fuente:</w:t>
      </w:r>
      <w:r w:rsidRPr="002A7673">
        <w:rPr>
          <w:rFonts w:ascii="Times New Roman" w:eastAsia="Calibri" w:hAnsi="Times New Roman" w:cs="Times New Roman"/>
          <w:sz w:val="16"/>
          <w:szCs w:val="24"/>
        </w:rPr>
        <w:t xml:space="preserve"> Sistema SIGA-PJ.</w:t>
      </w:r>
    </w:p>
    <w:p w14:paraId="16E04031" w14:textId="77777777" w:rsidR="00083CA4" w:rsidRPr="002A7673" w:rsidRDefault="00083CA4" w:rsidP="005F7139">
      <w:pPr>
        <w:spacing w:after="0" w:line="360" w:lineRule="auto"/>
        <w:ind w:right="-851"/>
        <w:jc w:val="both"/>
        <w:rPr>
          <w:rFonts w:ascii="Times New Roman" w:eastAsia="Calibri" w:hAnsi="Times New Roman" w:cs="Times New Roman"/>
        </w:rPr>
      </w:pPr>
      <w:r w:rsidRPr="002A7673">
        <w:rPr>
          <w:rFonts w:ascii="Times New Roman" w:eastAsia="Calibri" w:hAnsi="Times New Roman" w:cs="Times New Roman"/>
        </w:rPr>
        <w:t xml:space="preserve"> </w:t>
      </w:r>
    </w:p>
    <w:p w14:paraId="340B64AE"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El Programa 927 Servicio Jurisdiccional formula un total de ¢6.367.875.712 que representa un 60%, seguido por el programa 928 Organismo de Investigación Judicial con un total de ¢2.330.010.837 y un </w:t>
      </w:r>
      <w:r w:rsidRPr="002A7673">
        <w:rPr>
          <w:rFonts w:ascii="Times New Roman" w:eastAsia="Calibri" w:hAnsi="Times New Roman" w:cs="Times New Roman"/>
          <w:sz w:val="26"/>
          <w:szCs w:val="26"/>
        </w:rPr>
        <w:lastRenderedPageBreak/>
        <w:t xml:space="preserve">porcentaje de 22% y el 929 Ministerio Público con ¢1.428.523.376 lo que representa un 13%. En un menor porcentaje los programas 930 Defensa Pública con ¢825.400.699, con un 8%, el 926 Dirección y Administración con ¢490.876.095 un 5% </w:t>
      </w:r>
      <w:proofErr w:type="gramStart"/>
      <w:r w:rsidRPr="002A7673">
        <w:rPr>
          <w:rFonts w:ascii="Times New Roman" w:eastAsia="Calibri" w:hAnsi="Times New Roman" w:cs="Times New Roman"/>
          <w:sz w:val="26"/>
          <w:szCs w:val="26"/>
        </w:rPr>
        <w:t>y</w:t>
      </w:r>
      <w:proofErr w:type="gramEnd"/>
      <w:r w:rsidRPr="002A7673">
        <w:rPr>
          <w:rFonts w:ascii="Times New Roman" w:eastAsia="Calibri" w:hAnsi="Times New Roman" w:cs="Times New Roman"/>
          <w:sz w:val="26"/>
          <w:szCs w:val="26"/>
        </w:rPr>
        <w:t xml:space="preserve"> por último, el programa 950 Servicio de Atención y Protección de Víctimas y Testigos con ¢335.010.916 y un 3%.</w:t>
      </w:r>
    </w:p>
    <w:p w14:paraId="342228A0" w14:textId="77777777" w:rsidR="00083CA4" w:rsidRPr="002A7673" w:rsidRDefault="00083CA4" w:rsidP="005F7139">
      <w:pPr>
        <w:spacing w:after="0" w:line="240" w:lineRule="auto"/>
        <w:rPr>
          <w:rFonts w:ascii="Times New Roman" w:eastAsia="Calibri" w:hAnsi="Times New Roman" w:cs="Times New Roman"/>
          <w:sz w:val="24"/>
          <w:szCs w:val="24"/>
        </w:rPr>
      </w:pPr>
    </w:p>
    <w:p w14:paraId="1D7D4B8F" w14:textId="77777777" w:rsidR="00083CA4" w:rsidRPr="002A7673" w:rsidRDefault="00083CA4" w:rsidP="00D527DE">
      <w:pPr>
        <w:numPr>
          <w:ilvl w:val="1"/>
          <w:numId w:val="12"/>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Distribución por Centro de Responsabilidad</w:t>
      </w:r>
    </w:p>
    <w:p w14:paraId="6AC860B9" w14:textId="77777777" w:rsidR="00083CA4" w:rsidRPr="002A7673" w:rsidRDefault="00083CA4" w:rsidP="00F422DD">
      <w:pPr>
        <w:spacing w:after="0" w:line="240" w:lineRule="auto"/>
        <w:ind w:left="851" w:right="851" w:firstLine="709"/>
        <w:jc w:val="both"/>
        <w:textAlignment w:val="baseline"/>
        <w:rPr>
          <w:rFonts w:ascii="Times New Roman" w:eastAsia="Times New Roman" w:hAnsi="Times New Roman" w:cs="Times New Roman"/>
          <w:sz w:val="26"/>
          <w:szCs w:val="26"/>
          <w:lang w:eastAsia="es-CR"/>
        </w:rPr>
      </w:pPr>
    </w:p>
    <w:p w14:paraId="243386C1"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la siguiente tabla se muestran los </w:t>
      </w:r>
      <w:r w:rsidRPr="002A7673">
        <w:rPr>
          <w:rFonts w:ascii="Times New Roman" w:eastAsia="Calibri" w:hAnsi="Times New Roman" w:cs="Times New Roman"/>
          <w:b/>
          <w:bCs/>
          <w:sz w:val="26"/>
          <w:szCs w:val="26"/>
        </w:rPr>
        <w:t>10 centros de responsabilidad</w:t>
      </w:r>
      <w:r w:rsidRPr="002A7673">
        <w:rPr>
          <w:rFonts w:ascii="Times New Roman" w:eastAsia="Calibri" w:hAnsi="Times New Roman" w:cs="Times New Roman"/>
          <w:sz w:val="26"/>
          <w:szCs w:val="26"/>
        </w:rPr>
        <w:t xml:space="preserve"> con más recursos formulados para el 2022 en la subpartida 10101 Alquiler de Edificios, Locales y Terrenos. </w:t>
      </w:r>
    </w:p>
    <w:p w14:paraId="67C5632B"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p>
    <w:p w14:paraId="1A7A4649"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Tabla N° 4. Distribución de la Subpartida 10101 Alquiler de Edificios, Locales y Terrenos de los 10 Centros de Responsabilidad con más recursos.</w:t>
      </w:r>
    </w:p>
    <w:p w14:paraId="5FE713F1" w14:textId="77777777" w:rsidR="00F422DD" w:rsidRPr="002A7673" w:rsidRDefault="00F422DD" w:rsidP="005F7139">
      <w:pPr>
        <w:spacing w:after="0" w:line="240" w:lineRule="auto"/>
        <w:jc w:val="center"/>
        <w:textAlignment w:val="baseline"/>
        <w:rPr>
          <w:rFonts w:ascii="Times New Roman" w:eastAsia="Times New Roman" w:hAnsi="Times New Roman" w:cs="Times New Roman"/>
          <w:b/>
          <w:bCs/>
          <w:sz w:val="24"/>
          <w:szCs w:val="24"/>
          <w:lang w:eastAsia="es-CR"/>
        </w:rPr>
      </w:pPr>
    </w:p>
    <w:tbl>
      <w:tblPr>
        <w:tblW w:w="6620" w:type="dxa"/>
        <w:jc w:val="center"/>
        <w:tblCellMar>
          <w:left w:w="70" w:type="dxa"/>
          <w:right w:w="70" w:type="dxa"/>
        </w:tblCellMar>
        <w:tblLook w:val="04A0" w:firstRow="1" w:lastRow="0" w:firstColumn="1" w:lastColumn="0" w:noHBand="0" w:noVBand="1"/>
      </w:tblPr>
      <w:tblGrid>
        <w:gridCol w:w="3820"/>
        <w:gridCol w:w="1765"/>
        <w:gridCol w:w="1339"/>
      </w:tblGrid>
      <w:tr w:rsidR="00083CA4" w:rsidRPr="002A7673" w14:paraId="37ED787A" w14:textId="77777777" w:rsidTr="005F7139">
        <w:trPr>
          <w:trHeight w:val="300"/>
          <w:jc w:val="center"/>
        </w:trPr>
        <w:tc>
          <w:tcPr>
            <w:tcW w:w="3820" w:type="dxa"/>
            <w:tcBorders>
              <w:top w:val="single" w:sz="8" w:space="0" w:color="1F4E78"/>
              <w:left w:val="nil"/>
              <w:bottom w:val="single" w:sz="8" w:space="0" w:color="1F4E78"/>
              <w:right w:val="nil"/>
            </w:tcBorders>
            <w:shd w:val="clear" w:color="000000" w:fill="F2F2F2"/>
            <w:noWrap/>
            <w:vAlign w:val="center"/>
            <w:hideMark/>
          </w:tcPr>
          <w:p w14:paraId="3EF4F1F2"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6"/>
                <w:szCs w:val="26"/>
                <w:lang w:eastAsia="es-CR"/>
              </w:rPr>
            </w:pPr>
            <w:r w:rsidRPr="002A7673">
              <w:rPr>
                <w:rFonts w:ascii="Times New Roman" w:eastAsia="Times New Roman" w:hAnsi="Times New Roman" w:cs="Times New Roman"/>
                <w:b/>
                <w:bCs/>
                <w:color w:val="1F4E78"/>
                <w:sz w:val="26"/>
                <w:szCs w:val="26"/>
                <w:lang w:eastAsia="es-CR"/>
              </w:rPr>
              <w:t>Centro de responsabilidad</w:t>
            </w:r>
          </w:p>
        </w:tc>
        <w:tc>
          <w:tcPr>
            <w:tcW w:w="1640" w:type="dxa"/>
            <w:tcBorders>
              <w:top w:val="single" w:sz="8" w:space="0" w:color="1F4E78"/>
              <w:left w:val="nil"/>
              <w:bottom w:val="single" w:sz="8" w:space="0" w:color="1F4E78"/>
              <w:right w:val="nil"/>
            </w:tcBorders>
            <w:shd w:val="clear" w:color="000000" w:fill="F2F2F2"/>
            <w:noWrap/>
            <w:vAlign w:val="center"/>
            <w:hideMark/>
          </w:tcPr>
          <w:p w14:paraId="55F2B23F"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6"/>
                <w:szCs w:val="26"/>
                <w:lang w:eastAsia="es-CR"/>
              </w:rPr>
            </w:pPr>
            <w:r w:rsidRPr="002A7673">
              <w:rPr>
                <w:rFonts w:ascii="Times New Roman" w:eastAsia="Times New Roman" w:hAnsi="Times New Roman" w:cs="Times New Roman"/>
                <w:b/>
                <w:bCs/>
                <w:color w:val="1F4E78"/>
                <w:sz w:val="26"/>
                <w:szCs w:val="26"/>
                <w:lang w:eastAsia="es-CR"/>
              </w:rPr>
              <w:t>2022</w:t>
            </w:r>
          </w:p>
        </w:tc>
        <w:tc>
          <w:tcPr>
            <w:tcW w:w="1160" w:type="dxa"/>
            <w:tcBorders>
              <w:top w:val="single" w:sz="8" w:space="0" w:color="1F4E78"/>
              <w:left w:val="nil"/>
              <w:bottom w:val="single" w:sz="8" w:space="0" w:color="1F4E78"/>
              <w:right w:val="nil"/>
            </w:tcBorders>
            <w:shd w:val="clear" w:color="000000" w:fill="F2F2F2"/>
            <w:noWrap/>
            <w:vAlign w:val="center"/>
            <w:hideMark/>
          </w:tcPr>
          <w:p w14:paraId="5AACF2DA"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6"/>
                <w:szCs w:val="26"/>
                <w:lang w:eastAsia="es-CR"/>
              </w:rPr>
            </w:pPr>
            <w:r w:rsidRPr="002A7673">
              <w:rPr>
                <w:rFonts w:ascii="Times New Roman" w:eastAsia="Times New Roman" w:hAnsi="Times New Roman" w:cs="Times New Roman"/>
                <w:b/>
                <w:bCs/>
                <w:color w:val="1F4E78"/>
                <w:sz w:val="26"/>
                <w:szCs w:val="26"/>
                <w:lang w:eastAsia="es-CR"/>
              </w:rPr>
              <w:t>Porcentaje</w:t>
            </w:r>
          </w:p>
        </w:tc>
      </w:tr>
      <w:tr w:rsidR="00083CA4" w:rsidRPr="002A7673" w14:paraId="51A2948A" w14:textId="77777777" w:rsidTr="005F7139">
        <w:trPr>
          <w:trHeight w:val="288"/>
          <w:jc w:val="center"/>
        </w:trPr>
        <w:tc>
          <w:tcPr>
            <w:tcW w:w="3820" w:type="dxa"/>
            <w:tcBorders>
              <w:top w:val="nil"/>
              <w:left w:val="nil"/>
              <w:bottom w:val="nil"/>
              <w:right w:val="nil"/>
            </w:tcBorders>
            <w:shd w:val="clear" w:color="auto" w:fill="auto"/>
            <w:noWrap/>
            <w:vAlign w:val="center"/>
            <w:hideMark/>
          </w:tcPr>
          <w:p w14:paraId="2C33ADA6"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Organismo de Investigación Judicial</w:t>
            </w:r>
          </w:p>
        </w:tc>
        <w:tc>
          <w:tcPr>
            <w:tcW w:w="1640" w:type="dxa"/>
            <w:tcBorders>
              <w:top w:val="nil"/>
              <w:left w:val="nil"/>
              <w:bottom w:val="nil"/>
              <w:right w:val="nil"/>
            </w:tcBorders>
            <w:shd w:val="clear" w:color="auto" w:fill="auto"/>
            <w:noWrap/>
            <w:vAlign w:val="center"/>
            <w:hideMark/>
          </w:tcPr>
          <w:p w14:paraId="55997E2A"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2,330,010,837 </w:t>
            </w:r>
          </w:p>
        </w:tc>
        <w:tc>
          <w:tcPr>
            <w:tcW w:w="1160" w:type="dxa"/>
            <w:tcBorders>
              <w:top w:val="nil"/>
              <w:left w:val="nil"/>
              <w:bottom w:val="nil"/>
              <w:right w:val="nil"/>
            </w:tcBorders>
            <w:shd w:val="clear" w:color="auto" w:fill="auto"/>
            <w:noWrap/>
            <w:vAlign w:val="bottom"/>
            <w:hideMark/>
          </w:tcPr>
          <w:p w14:paraId="7C89E852"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19.8%</w:t>
            </w:r>
          </w:p>
        </w:tc>
      </w:tr>
      <w:tr w:rsidR="00083CA4" w:rsidRPr="002A7673" w14:paraId="22339BE4" w14:textId="77777777" w:rsidTr="005F7139">
        <w:trPr>
          <w:trHeight w:val="288"/>
          <w:jc w:val="center"/>
        </w:trPr>
        <w:tc>
          <w:tcPr>
            <w:tcW w:w="3820" w:type="dxa"/>
            <w:tcBorders>
              <w:top w:val="nil"/>
              <w:left w:val="nil"/>
              <w:bottom w:val="nil"/>
              <w:right w:val="nil"/>
            </w:tcBorders>
            <w:shd w:val="clear" w:color="auto" w:fill="auto"/>
            <w:noWrap/>
            <w:vAlign w:val="center"/>
            <w:hideMark/>
          </w:tcPr>
          <w:p w14:paraId="65294A9F"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Ministerio Público</w:t>
            </w:r>
          </w:p>
        </w:tc>
        <w:tc>
          <w:tcPr>
            <w:tcW w:w="1640" w:type="dxa"/>
            <w:tcBorders>
              <w:top w:val="nil"/>
              <w:left w:val="nil"/>
              <w:bottom w:val="nil"/>
              <w:right w:val="nil"/>
            </w:tcBorders>
            <w:shd w:val="clear" w:color="auto" w:fill="auto"/>
            <w:noWrap/>
            <w:vAlign w:val="center"/>
            <w:hideMark/>
          </w:tcPr>
          <w:p w14:paraId="7C20A374"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1,428,523,376 </w:t>
            </w:r>
          </w:p>
        </w:tc>
        <w:tc>
          <w:tcPr>
            <w:tcW w:w="1160" w:type="dxa"/>
            <w:tcBorders>
              <w:top w:val="nil"/>
              <w:left w:val="nil"/>
              <w:bottom w:val="nil"/>
              <w:right w:val="nil"/>
            </w:tcBorders>
            <w:shd w:val="clear" w:color="auto" w:fill="auto"/>
            <w:noWrap/>
            <w:vAlign w:val="bottom"/>
            <w:hideMark/>
          </w:tcPr>
          <w:p w14:paraId="0B2B9659"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12.1%</w:t>
            </w:r>
          </w:p>
        </w:tc>
      </w:tr>
      <w:tr w:rsidR="00083CA4" w:rsidRPr="002A7673" w14:paraId="01CBEE97" w14:textId="77777777" w:rsidTr="005F7139">
        <w:trPr>
          <w:trHeight w:val="288"/>
          <w:jc w:val="center"/>
        </w:trPr>
        <w:tc>
          <w:tcPr>
            <w:tcW w:w="3820" w:type="dxa"/>
            <w:tcBorders>
              <w:top w:val="nil"/>
              <w:left w:val="nil"/>
              <w:bottom w:val="nil"/>
              <w:right w:val="nil"/>
            </w:tcBorders>
            <w:shd w:val="clear" w:color="auto" w:fill="auto"/>
            <w:noWrap/>
            <w:vAlign w:val="center"/>
            <w:hideMark/>
          </w:tcPr>
          <w:p w14:paraId="30F03F37"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Tercer Circuito Judicial San José</w:t>
            </w:r>
          </w:p>
        </w:tc>
        <w:tc>
          <w:tcPr>
            <w:tcW w:w="1640" w:type="dxa"/>
            <w:tcBorders>
              <w:top w:val="nil"/>
              <w:left w:val="nil"/>
              <w:bottom w:val="nil"/>
              <w:right w:val="nil"/>
            </w:tcBorders>
            <w:shd w:val="clear" w:color="auto" w:fill="auto"/>
            <w:noWrap/>
            <w:vAlign w:val="center"/>
            <w:hideMark/>
          </w:tcPr>
          <w:p w14:paraId="0BB5DC1A"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1,131,439,153 </w:t>
            </w:r>
          </w:p>
        </w:tc>
        <w:tc>
          <w:tcPr>
            <w:tcW w:w="1160" w:type="dxa"/>
            <w:tcBorders>
              <w:top w:val="nil"/>
              <w:left w:val="nil"/>
              <w:bottom w:val="nil"/>
              <w:right w:val="nil"/>
            </w:tcBorders>
            <w:shd w:val="clear" w:color="auto" w:fill="auto"/>
            <w:noWrap/>
            <w:vAlign w:val="bottom"/>
            <w:hideMark/>
          </w:tcPr>
          <w:p w14:paraId="5AC990FC"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9.6%</w:t>
            </w:r>
          </w:p>
        </w:tc>
      </w:tr>
      <w:tr w:rsidR="00083CA4" w:rsidRPr="002A7673" w14:paraId="37B383B6" w14:textId="77777777" w:rsidTr="005F7139">
        <w:trPr>
          <w:trHeight w:val="288"/>
          <w:jc w:val="center"/>
        </w:trPr>
        <w:tc>
          <w:tcPr>
            <w:tcW w:w="3820" w:type="dxa"/>
            <w:tcBorders>
              <w:top w:val="nil"/>
              <w:left w:val="nil"/>
              <w:bottom w:val="nil"/>
              <w:right w:val="nil"/>
            </w:tcBorders>
            <w:shd w:val="clear" w:color="auto" w:fill="auto"/>
            <w:noWrap/>
            <w:vAlign w:val="center"/>
            <w:hideMark/>
          </w:tcPr>
          <w:p w14:paraId="078CBE92"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Salas</w:t>
            </w:r>
          </w:p>
        </w:tc>
        <w:tc>
          <w:tcPr>
            <w:tcW w:w="1640" w:type="dxa"/>
            <w:tcBorders>
              <w:top w:val="nil"/>
              <w:left w:val="nil"/>
              <w:bottom w:val="nil"/>
              <w:right w:val="nil"/>
            </w:tcBorders>
            <w:shd w:val="clear" w:color="auto" w:fill="auto"/>
            <w:noWrap/>
            <w:vAlign w:val="center"/>
            <w:hideMark/>
          </w:tcPr>
          <w:p w14:paraId="3D77A4DC"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902,378,089 </w:t>
            </w:r>
          </w:p>
        </w:tc>
        <w:tc>
          <w:tcPr>
            <w:tcW w:w="1160" w:type="dxa"/>
            <w:tcBorders>
              <w:top w:val="nil"/>
              <w:left w:val="nil"/>
              <w:bottom w:val="nil"/>
              <w:right w:val="nil"/>
            </w:tcBorders>
            <w:shd w:val="clear" w:color="auto" w:fill="auto"/>
            <w:noWrap/>
            <w:vAlign w:val="bottom"/>
            <w:hideMark/>
          </w:tcPr>
          <w:p w14:paraId="31FC50C6"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7.7%</w:t>
            </w:r>
          </w:p>
        </w:tc>
      </w:tr>
      <w:tr w:rsidR="00083CA4" w:rsidRPr="002A7673" w14:paraId="30E917AE" w14:textId="77777777" w:rsidTr="005F7139">
        <w:trPr>
          <w:trHeight w:val="288"/>
          <w:jc w:val="center"/>
        </w:trPr>
        <w:tc>
          <w:tcPr>
            <w:tcW w:w="3820" w:type="dxa"/>
            <w:tcBorders>
              <w:top w:val="nil"/>
              <w:left w:val="nil"/>
              <w:bottom w:val="nil"/>
              <w:right w:val="nil"/>
            </w:tcBorders>
            <w:shd w:val="clear" w:color="auto" w:fill="auto"/>
            <w:noWrap/>
            <w:vAlign w:val="center"/>
            <w:hideMark/>
          </w:tcPr>
          <w:p w14:paraId="7CD0B767"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Defensa Pública</w:t>
            </w:r>
          </w:p>
        </w:tc>
        <w:tc>
          <w:tcPr>
            <w:tcW w:w="1640" w:type="dxa"/>
            <w:tcBorders>
              <w:top w:val="nil"/>
              <w:left w:val="nil"/>
              <w:bottom w:val="nil"/>
              <w:right w:val="nil"/>
            </w:tcBorders>
            <w:shd w:val="clear" w:color="auto" w:fill="auto"/>
            <w:vAlign w:val="center"/>
            <w:hideMark/>
          </w:tcPr>
          <w:p w14:paraId="6E18E5E6"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825,400,699 </w:t>
            </w:r>
          </w:p>
        </w:tc>
        <w:tc>
          <w:tcPr>
            <w:tcW w:w="1160" w:type="dxa"/>
            <w:tcBorders>
              <w:top w:val="nil"/>
              <w:left w:val="nil"/>
              <w:bottom w:val="nil"/>
              <w:right w:val="nil"/>
            </w:tcBorders>
            <w:shd w:val="clear" w:color="auto" w:fill="auto"/>
            <w:noWrap/>
            <w:vAlign w:val="bottom"/>
            <w:hideMark/>
          </w:tcPr>
          <w:p w14:paraId="4C388F95"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7.0%</w:t>
            </w:r>
          </w:p>
        </w:tc>
      </w:tr>
      <w:tr w:rsidR="00083CA4" w:rsidRPr="002A7673" w14:paraId="00068F49" w14:textId="77777777" w:rsidTr="005F7139">
        <w:trPr>
          <w:trHeight w:val="300"/>
          <w:jc w:val="center"/>
        </w:trPr>
        <w:tc>
          <w:tcPr>
            <w:tcW w:w="3820" w:type="dxa"/>
            <w:tcBorders>
              <w:top w:val="nil"/>
              <w:left w:val="nil"/>
              <w:bottom w:val="nil"/>
              <w:right w:val="nil"/>
            </w:tcBorders>
            <w:shd w:val="clear" w:color="auto" w:fill="auto"/>
            <w:noWrap/>
            <w:vAlign w:val="center"/>
            <w:hideMark/>
          </w:tcPr>
          <w:p w14:paraId="793E2BCD"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Primer Circuito Judicial San José</w:t>
            </w:r>
          </w:p>
        </w:tc>
        <w:tc>
          <w:tcPr>
            <w:tcW w:w="1640" w:type="dxa"/>
            <w:tcBorders>
              <w:top w:val="nil"/>
              <w:left w:val="nil"/>
              <w:bottom w:val="nil"/>
              <w:right w:val="nil"/>
            </w:tcBorders>
            <w:shd w:val="clear" w:color="auto" w:fill="auto"/>
            <w:noWrap/>
            <w:vAlign w:val="center"/>
            <w:hideMark/>
          </w:tcPr>
          <w:p w14:paraId="61233D26"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695,932,470 </w:t>
            </w:r>
          </w:p>
        </w:tc>
        <w:tc>
          <w:tcPr>
            <w:tcW w:w="1160" w:type="dxa"/>
            <w:tcBorders>
              <w:top w:val="nil"/>
              <w:left w:val="nil"/>
              <w:bottom w:val="nil"/>
              <w:right w:val="nil"/>
            </w:tcBorders>
            <w:shd w:val="clear" w:color="auto" w:fill="auto"/>
            <w:noWrap/>
            <w:vAlign w:val="bottom"/>
            <w:hideMark/>
          </w:tcPr>
          <w:p w14:paraId="1FEDC761"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5.9%</w:t>
            </w:r>
          </w:p>
        </w:tc>
      </w:tr>
      <w:tr w:rsidR="00083CA4" w:rsidRPr="002A7673" w14:paraId="602494CC" w14:textId="77777777" w:rsidTr="005F7139">
        <w:trPr>
          <w:trHeight w:val="300"/>
          <w:jc w:val="center"/>
        </w:trPr>
        <w:tc>
          <w:tcPr>
            <w:tcW w:w="3820" w:type="dxa"/>
            <w:tcBorders>
              <w:top w:val="nil"/>
              <w:left w:val="nil"/>
              <w:bottom w:val="nil"/>
              <w:right w:val="nil"/>
            </w:tcBorders>
            <w:shd w:val="clear" w:color="auto" w:fill="auto"/>
            <w:noWrap/>
            <w:vAlign w:val="center"/>
            <w:hideMark/>
          </w:tcPr>
          <w:p w14:paraId="16B39C18"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Circuito Judicial Puntarenas</w:t>
            </w:r>
          </w:p>
        </w:tc>
        <w:tc>
          <w:tcPr>
            <w:tcW w:w="1640" w:type="dxa"/>
            <w:tcBorders>
              <w:top w:val="nil"/>
              <w:left w:val="nil"/>
              <w:bottom w:val="nil"/>
              <w:right w:val="nil"/>
            </w:tcBorders>
            <w:shd w:val="clear" w:color="auto" w:fill="auto"/>
            <w:noWrap/>
            <w:vAlign w:val="center"/>
            <w:hideMark/>
          </w:tcPr>
          <w:p w14:paraId="0377FD85"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559,188,679 </w:t>
            </w:r>
          </w:p>
        </w:tc>
        <w:tc>
          <w:tcPr>
            <w:tcW w:w="1160" w:type="dxa"/>
            <w:tcBorders>
              <w:top w:val="nil"/>
              <w:left w:val="nil"/>
              <w:bottom w:val="nil"/>
              <w:right w:val="nil"/>
            </w:tcBorders>
            <w:shd w:val="clear" w:color="auto" w:fill="auto"/>
            <w:noWrap/>
            <w:vAlign w:val="bottom"/>
            <w:hideMark/>
          </w:tcPr>
          <w:p w14:paraId="2D458C50"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4.7%</w:t>
            </w:r>
          </w:p>
        </w:tc>
      </w:tr>
      <w:tr w:rsidR="00083CA4" w:rsidRPr="002A7673" w14:paraId="12EDFD7D" w14:textId="77777777" w:rsidTr="005F7139">
        <w:trPr>
          <w:trHeight w:val="288"/>
          <w:jc w:val="center"/>
        </w:trPr>
        <w:tc>
          <w:tcPr>
            <w:tcW w:w="3820" w:type="dxa"/>
            <w:tcBorders>
              <w:top w:val="nil"/>
              <w:left w:val="nil"/>
              <w:bottom w:val="nil"/>
              <w:right w:val="nil"/>
            </w:tcBorders>
            <w:shd w:val="clear" w:color="auto" w:fill="auto"/>
            <w:noWrap/>
            <w:vAlign w:val="center"/>
            <w:hideMark/>
          </w:tcPr>
          <w:p w14:paraId="766D4586"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Circuito Judicial Heredia</w:t>
            </w:r>
          </w:p>
        </w:tc>
        <w:tc>
          <w:tcPr>
            <w:tcW w:w="1640" w:type="dxa"/>
            <w:tcBorders>
              <w:top w:val="nil"/>
              <w:left w:val="nil"/>
              <w:bottom w:val="nil"/>
              <w:right w:val="nil"/>
            </w:tcBorders>
            <w:shd w:val="clear" w:color="auto" w:fill="auto"/>
            <w:noWrap/>
            <w:vAlign w:val="center"/>
            <w:hideMark/>
          </w:tcPr>
          <w:p w14:paraId="591129B4"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492,894,553 </w:t>
            </w:r>
          </w:p>
        </w:tc>
        <w:tc>
          <w:tcPr>
            <w:tcW w:w="1160" w:type="dxa"/>
            <w:tcBorders>
              <w:top w:val="nil"/>
              <w:left w:val="nil"/>
              <w:bottom w:val="nil"/>
              <w:right w:val="nil"/>
            </w:tcBorders>
            <w:shd w:val="clear" w:color="auto" w:fill="auto"/>
            <w:noWrap/>
            <w:vAlign w:val="bottom"/>
            <w:hideMark/>
          </w:tcPr>
          <w:p w14:paraId="0279BA55"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4.2%</w:t>
            </w:r>
          </w:p>
        </w:tc>
      </w:tr>
      <w:tr w:rsidR="00083CA4" w:rsidRPr="002A7673" w14:paraId="68112596" w14:textId="77777777" w:rsidTr="005F7139">
        <w:trPr>
          <w:trHeight w:val="288"/>
          <w:jc w:val="center"/>
        </w:trPr>
        <w:tc>
          <w:tcPr>
            <w:tcW w:w="3820" w:type="dxa"/>
            <w:tcBorders>
              <w:top w:val="nil"/>
              <w:left w:val="nil"/>
              <w:bottom w:val="nil"/>
              <w:right w:val="nil"/>
            </w:tcBorders>
            <w:shd w:val="clear" w:color="auto" w:fill="auto"/>
            <w:noWrap/>
            <w:vAlign w:val="center"/>
            <w:hideMark/>
          </w:tcPr>
          <w:p w14:paraId="4F225723"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Circuito Judicial Cartago</w:t>
            </w:r>
          </w:p>
        </w:tc>
        <w:tc>
          <w:tcPr>
            <w:tcW w:w="1640" w:type="dxa"/>
            <w:tcBorders>
              <w:top w:val="nil"/>
              <w:left w:val="nil"/>
              <w:bottom w:val="nil"/>
              <w:right w:val="nil"/>
            </w:tcBorders>
            <w:shd w:val="clear" w:color="auto" w:fill="auto"/>
            <w:noWrap/>
            <w:vAlign w:val="center"/>
            <w:hideMark/>
          </w:tcPr>
          <w:p w14:paraId="7375C96E"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409,935,081 </w:t>
            </w:r>
          </w:p>
        </w:tc>
        <w:tc>
          <w:tcPr>
            <w:tcW w:w="1160" w:type="dxa"/>
            <w:tcBorders>
              <w:top w:val="nil"/>
              <w:left w:val="nil"/>
              <w:bottom w:val="nil"/>
              <w:right w:val="nil"/>
            </w:tcBorders>
            <w:shd w:val="clear" w:color="auto" w:fill="auto"/>
            <w:noWrap/>
            <w:vAlign w:val="bottom"/>
            <w:hideMark/>
          </w:tcPr>
          <w:p w14:paraId="08BD7A80"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3.5%</w:t>
            </w:r>
          </w:p>
        </w:tc>
      </w:tr>
      <w:tr w:rsidR="00083CA4" w:rsidRPr="002A7673" w14:paraId="75EAACD2" w14:textId="77777777" w:rsidTr="005F7139">
        <w:trPr>
          <w:trHeight w:val="288"/>
          <w:jc w:val="center"/>
        </w:trPr>
        <w:tc>
          <w:tcPr>
            <w:tcW w:w="3820" w:type="dxa"/>
            <w:tcBorders>
              <w:top w:val="nil"/>
              <w:left w:val="nil"/>
              <w:bottom w:val="nil"/>
              <w:right w:val="nil"/>
            </w:tcBorders>
            <w:shd w:val="clear" w:color="auto" w:fill="auto"/>
            <w:vAlign w:val="center"/>
            <w:hideMark/>
          </w:tcPr>
          <w:p w14:paraId="74DBE852"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Departamento de Trabajo Social y Psicología</w:t>
            </w:r>
          </w:p>
        </w:tc>
        <w:tc>
          <w:tcPr>
            <w:tcW w:w="1640" w:type="dxa"/>
            <w:tcBorders>
              <w:top w:val="nil"/>
              <w:left w:val="nil"/>
              <w:bottom w:val="nil"/>
              <w:right w:val="nil"/>
            </w:tcBorders>
            <w:shd w:val="clear" w:color="auto" w:fill="auto"/>
            <w:noWrap/>
            <w:vAlign w:val="center"/>
            <w:hideMark/>
          </w:tcPr>
          <w:p w14:paraId="336C8328"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369,294,145 </w:t>
            </w:r>
          </w:p>
        </w:tc>
        <w:tc>
          <w:tcPr>
            <w:tcW w:w="1160" w:type="dxa"/>
            <w:tcBorders>
              <w:top w:val="nil"/>
              <w:left w:val="nil"/>
              <w:bottom w:val="nil"/>
              <w:right w:val="nil"/>
            </w:tcBorders>
            <w:shd w:val="clear" w:color="auto" w:fill="auto"/>
            <w:noWrap/>
            <w:vAlign w:val="bottom"/>
            <w:hideMark/>
          </w:tcPr>
          <w:p w14:paraId="64F068A0"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3.1%</w:t>
            </w:r>
          </w:p>
        </w:tc>
      </w:tr>
      <w:tr w:rsidR="00083CA4" w:rsidRPr="002A7673" w14:paraId="2DA1B844" w14:textId="77777777" w:rsidTr="005F7139">
        <w:trPr>
          <w:trHeight w:val="300"/>
          <w:jc w:val="center"/>
        </w:trPr>
        <w:tc>
          <w:tcPr>
            <w:tcW w:w="3820" w:type="dxa"/>
            <w:tcBorders>
              <w:top w:val="nil"/>
              <w:left w:val="nil"/>
              <w:bottom w:val="single" w:sz="8" w:space="0" w:color="44546A"/>
              <w:right w:val="nil"/>
            </w:tcBorders>
            <w:shd w:val="clear" w:color="auto" w:fill="auto"/>
            <w:noWrap/>
            <w:vAlign w:val="center"/>
            <w:hideMark/>
          </w:tcPr>
          <w:p w14:paraId="46F4E74E"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Otros</w:t>
            </w:r>
          </w:p>
        </w:tc>
        <w:tc>
          <w:tcPr>
            <w:tcW w:w="1640" w:type="dxa"/>
            <w:tcBorders>
              <w:top w:val="nil"/>
              <w:left w:val="nil"/>
              <w:bottom w:val="single" w:sz="8" w:space="0" w:color="44546A"/>
              <w:right w:val="nil"/>
            </w:tcBorders>
            <w:shd w:val="clear" w:color="auto" w:fill="auto"/>
            <w:noWrap/>
            <w:vAlign w:val="bottom"/>
            <w:hideMark/>
          </w:tcPr>
          <w:p w14:paraId="3C5A6E48"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2,632,700,553 </w:t>
            </w:r>
          </w:p>
        </w:tc>
        <w:tc>
          <w:tcPr>
            <w:tcW w:w="1160" w:type="dxa"/>
            <w:tcBorders>
              <w:top w:val="nil"/>
              <w:left w:val="nil"/>
              <w:bottom w:val="single" w:sz="8" w:space="0" w:color="44546A"/>
              <w:right w:val="nil"/>
            </w:tcBorders>
            <w:shd w:val="clear" w:color="auto" w:fill="auto"/>
            <w:noWrap/>
            <w:vAlign w:val="bottom"/>
            <w:hideMark/>
          </w:tcPr>
          <w:p w14:paraId="74459CEA"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22%</w:t>
            </w:r>
          </w:p>
        </w:tc>
      </w:tr>
      <w:tr w:rsidR="00083CA4" w:rsidRPr="002A7673" w14:paraId="14154BA3" w14:textId="77777777" w:rsidTr="005F7139">
        <w:trPr>
          <w:trHeight w:val="300"/>
          <w:jc w:val="center"/>
        </w:trPr>
        <w:tc>
          <w:tcPr>
            <w:tcW w:w="3820" w:type="dxa"/>
            <w:tcBorders>
              <w:top w:val="single" w:sz="8" w:space="0" w:color="1F4E78"/>
              <w:left w:val="nil"/>
              <w:bottom w:val="single" w:sz="8" w:space="0" w:color="1F4E78"/>
              <w:right w:val="nil"/>
            </w:tcBorders>
            <w:shd w:val="clear" w:color="000000" w:fill="F2F2F2"/>
            <w:noWrap/>
            <w:vAlign w:val="center"/>
            <w:hideMark/>
          </w:tcPr>
          <w:p w14:paraId="3026DAE7"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6"/>
                <w:szCs w:val="26"/>
                <w:lang w:eastAsia="es-CR"/>
              </w:rPr>
            </w:pPr>
            <w:r w:rsidRPr="002A7673">
              <w:rPr>
                <w:rFonts w:ascii="Times New Roman" w:eastAsia="Times New Roman" w:hAnsi="Times New Roman" w:cs="Times New Roman"/>
                <w:b/>
                <w:bCs/>
                <w:color w:val="1F4E78"/>
                <w:sz w:val="26"/>
                <w:szCs w:val="26"/>
                <w:lang w:eastAsia="es-CR"/>
              </w:rPr>
              <w:t>Total</w:t>
            </w:r>
          </w:p>
        </w:tc>
        <w:tc>
          <w:tcPr>
            <w:tcW w:w="1640" w:type="dxa"/>
            <w:tcBorders>
              <w:top w:val="single" w:sz="8" w:space="0" w:color="1F4E78"/>
              <w:left w:val="nil"/>
              <w:bottom w:val="single" w:sz="8" w:space="0" w:color="1F4E78"/>
              <w:right w:val="nil"/>
            </w:tcBorders>
            <w:shd w:val="clear" w:color="000000" w:fill="F2F2F2"/>
            <w:noWrap/>
            <w:vAlign w:val="center"/>
            <w:hideMark/>
          </w:tcPr>
          <w:p w14:paraId="5DA88D5C" w14:textId="77777777" w:rsidR="00083CA4" w:rsidRPr="002A7673" w:rsidRDefault="00083CA4" w:rsidP="005F7139">
            <w:pPr>
              <w:spacing w:after="0" w:line="240" w:lineRule="auto"/>
              <w:jc w:val="right"/>
              <w:rPr>
                <w:rFonts w:ascii="Times New Roman" w:eastAsia="Times New Roman" w:hAnsi="Times New Roman" w:cs="Times New Roman"/>
                <w:b/>
                <w:bCs/>
                <w:color w:val="1F4E78"/>
                <w:sz w:val="26"/>
                <w:szCs w:val="26"/>
                <w:lang w:eastAsia="es-CR"/>
              </w:rPr>
            </w:pPr>
            <w:r w:rsidRPr="002A7673">
              <w:rPr>
                <w:rFonts w:ascii="Times New Roman" w:eastAsia="Times New Roman" w:hAnsi="Times New Roman" w:cs="Times New Roman"/>
                <w:b/>
                <w:bCs/>
                <w:color w:val="1F4E78"/>
                <w:sz w:val="26"/>
                <w:szCs w:val="26"/>
                <w:lang w:eastAsia="es-CR"/>
              </w:rPr>
              <w:t xml:space="preserve">11,777,697,635 </w:t>
            </w:r>
          </w:p>
        </w:tc>
        <w:tc>
          <w:tcPr>
            <w:tcW w:w="1160" w:type="dxa"/>
            <w:tcBorders>
              <w:top w:val="single" w:sz="8" w:space="0" w:color="1F4E78"/>
              <w:left w:val="nil"/>
              <w:bottom w:val="single" w:sz="8" w:space="0" w:color="1F4E78"/>
              <w:right w:val="nil"/>
            </w:tcBorders>
            <w:shd w:val="clear" w:color="000000" w:fill="F2F2F2"/>
            <w:noWrap/>
            <w:vAlign w:val="center"/>
            <w:hideMark/>
          </w:tcPr>
          <w:p w14:paraId="2643DA2A"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6"/>
                <w:szCs w:val="26"/>
                <w:lang w:eastAsia="es-CR"/>
              </w:rPr>
            </w:pPr>
            <w:r w:rsidRPr="002A7673">
              <w:rPr>
                <w:rFonts w:ascii="Times New Roman" w:eastAsia="Times New Roman" w:hAnsi="Times New Roman" w:cs="Times New Roman"/>
                <w:b/>
                <w:bCs/>
                <w:color w:val="1F4E78"/>
                <w:sz w:val="26"/>
                <w:szCs w:val="26"/>
                <w:lang w:eastAsia="es-CR"/>
              </w:rPr>
              <w:t>100%</w:t>
            </w:r>
          </w:p>
        </w:tc>
      </w:tr>
    </w:tbl>
    <w:p w14:paraId="10035F8B" w14:textId="77777777" w:rsidR="00083CA4" w:rsidRPr="002A7673" w:rsidRDefault="00083CA4" w:rsidP="005F7139">
      <w:pPr>
        <w:spacing w:after="0" w:line="240" w:lineRule="auto"/>
        <w:jc w:val="center"/>
        <w:textAlignment w:val="baseline"/>
        <w:rPr>
          <w:rFonts w:ascii="Times New Roman" w:eastAsia="Times New Roman" w:hAnsi="Times New Roman" w:cs="Times New Roman"/>
          <w:sz w:val="16"/>
          <w:szCs w:val="16"/>
          <w:lang w:eastAsia="es-CR"/>
        </w:rPr>
      </w:pPr>
      <w:r w:rsidRPr="002A7673">
        <w:rPr>
          <w:rFonts w:ascii="Times New Roman" w:eastAsia="Times New Roman" w:hAnsi="Times New Roman" w:cs="Times New Roman"/>
          <w:b/>
          <w:bCs/>
          <w:sz w:val="24"/>
          <w:szCs w:val="24"/>
          <w:lang w:eastAsia="es-CR"/>
        </w:rPr>
        <w:t xml:space="preserve">            </w:t>
      </w:r>
      <w:r w:rsidRPr="002A7673">
        <w:rPr>
          <w:rFonts w:ascii="Times New Roman" w:eastAsia="Times New Roman" w:hAnsi="Times New Roman" w:cs="Times New Roman"/>
          <w:b/>
          <w:bCs/>
          <w:sz w:val="16"/>
          <w:szCs w:val="16"/>
          <w:lang w:eastAsia="es-CR"/>
        </w:rPr>
        <w:t xml:space="preserve">* </w:t>
      </w:r>
      <w:r w:rsidRPr="002A7673">
        <w:rPr>
          <w:rFonts w:ascii="Times New Roman" w:eastAsia="Times New Roman" w:hAnsi="Times New Roman" w:cs="Times New Roman"/>
          <w:sz w:val="16"/>
          <w:szCs w:val="16"/>
          <w:lang w:eastAsia="es-CR"/>
        </w:rPr>
        <w:t>Corresponde a la cantidad de Centros de Responsabilidad que presentaron un porcentaje inferior al 3%.</w:t>
      </w:r>
    </w:p>
    <w:p w14:paraId="6C751B3B" w14:textId="77777777" w:rsidR="00083CA4" w:rsidRPr="002A7673" w:rsidRDefault="00083CA4" w:rsidP="005F7139">
      <w:pPr>
        <w:spacing w:after="0" w:line="240" w:lineRule="auto"/>
        <w:rPr>
          <w:rFonts w:ascii="Times New Roman" w:eastAsia="Calibri" w:hAnsi="Times New Roman" w:cs="Times New Roman"/>
          <w:sz w:val="16"/>
          <w:szCs w:val="16"/>
        </w:rPr>
      </w:pPr>
      <w:r w:rsidRPr="002A7673">
        <w:rPr>
          <w:rFonts w:ascii="Times New Roman" w:eastAsia="Calibri" w:hAnsi="Times New Roman" w:cs="Times New Roman"/>
          <w:b/>
          <w:bCs/>
          <w:sz w:val="16"/>
          <w:szCs w:val="16"/>
        </w:rPr>
        <w:t xml:space="preserve">                        Fuente:</w:t>
      </w:r>
      <w:r w:rsidRPr="002A7673">
        <w:rPr>
          <w:rFonts w:ascii="Times New Roman" w:eastAsia="Calibri" w:hAnsi="Times New Roman" w:cs="Times New Roman"/>
          <w:sz w:val="16"/>
          <w:szCs w:val="16"/>
        </w:rPr>
        <w:t xml:space="preserve"> Sistema SIGA-PJ.</w:t>
      </w:r>
    </w:p>
    <w:p w14:paraId="63A28810" w14:textId="77777777" w:rsidR="00083CA4" w:rsidRPr="002A7673" w:rsidRDefault="00083CA4" w:rsidP="005F7139">
      <w:pPr>
        <w:spacing w:after="0" w:line="240" w:lineRule="auto"/>
        <w:rPr>
          <w:rFonts w:ascii="Times New Roman" w:eastAsia="Calibri" w:hAnsi="Times New Roman" w:cs="Times New Roman"/>
        </w:rPr>
      </w:pPr>
    </w:p>
    <w:p w14:paraId="6D4AC1B9"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Según se muestra en la tabla anterior, los centros de responsabilidad con más recursos formulados en esta subpartida para el periodo 2022 son: el Organismo de Investigación Judicial con ¢2.330.010.837, el Ministerio Público con ¢ 1.428.523.376, el Tercer Circuito Judicial de San José con ¢1.131.439.153.</w:t>
      </w:r>
    </w:p>
    <w:p w14:paraId="67F6D655" w14:textId="77777777" w:rsidR="00F422DD" w:rsidRPr="002A7673" w:rsidRDefault="00F422DD" w:rsidP="00F422DD">
      <w:pPr>
        <w:spacing w:after="0" w:line="240" w:lineRule="auto"/>
        <w:ind w:left="851" w:right="851" w:firstLine="709"/>
        <w:jc w:val="both"/>
        <w:rPr>
          <w:rFonts w:ascii="Times New Roman" w:eastAsia="Calibri" w:hAnsi="Times New Roman" w:cs="Times New Roman"/>
          <w:sz w:val="26"/>
          <w:szCs w:val="26"/>
        </w:rPr>
      </w:pPr>
    </w:p>
    <w:p w14:paraId="03896C19" w14:textId="77777777" w:rsidR="00083CA4" w:rsidRPr="002A7673" w:rsidRDefault="00083CA4" w:rsidP="00D527DE">
      <w:pPr>
        <w:numPr>
          <w:ilvl w:val="1"/>
          <w:numId w:val="12"/>
        </w:numPr>
        <w:spacing w:after="0" w:line="240" w:lineRule="auto"/>
        <w:ind w:left="851" w:right="851" w:firstLine="709"/>
        <w:contextualSpacing/>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 Otros Requerimientos Operativos.</w:t>
      </w:r>
    </w:p>
    <w:p w14:paraId="4A04C02A" w14:textId="77777777" w:rsidR="00083CA4" w:rsidRPr="002A7673" w:rsidRDefault="00083CA4" w:rsidP="00F422DD">
      <w:pPr>
        <w:spacing w:after="0" w:line="240" w:lineRule="auto"/>
        <w:ind w:left="851" w:right="851" w:firstLine="709"/>
        <w:jc w:val="both"/>
        <w:rPr>
          <w:rFonts w:ascii="Times New Roman" w:eastAsia="Calibri" w:hAnsi="Times New Roman" w:cs="Times New Roman"/>
          <w:bCs/>
          <w:sz w:val="26"/>
          <w:szCs w:val="26"/>
        </w:rPr>
      </w:pPr>
    </w:p>
    <w:p w14:paraId="334CF73B" w14:textId="77777777" w:rsidR="00083CA4" w:rsidRPr="002A7673" w:rsidRDefault="00083CA4" w:rsidP="00F422DD">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 xml:space="preserve">Mediante oficio 957-DE-2021 la Dirección Ejecutiva remitió el resultado del análisis de los requerimientos adicionales solicitados por las oficinas de los distintos centros de responsabilidad en la Subpartida 10101 Alquiler de Edificios, Locales y Terrenos y se propone la inclusión de ¢818.797.255,82, según se muestra en el siguiente cuadro: </w:t>
      </w:r>
    </w:p>
    <w:p w14:paraId="2AB56275" w14:textId="77777777" w:rsidR="00083CA4" w:rsidRPr="002A7673" w:rsidRDefault="00083CA4" w:rsidP="005F7139">
      <w:pPr>
        <w:spacing w:after="0" w:line="360" w:lineRule="auto"/>
        <w:ind w:right="-851"/>
        <w:jc w:val="both"/>
        <w:rPr>
          <w:rFonts w:ascii="Times New Roman" w:eastAsia="Calibri" w:hAnsi="Times New Roman" w:cs="Times New Roman"/>
          <w:bCs/>
          <w:sz w:val="26"/>
          <w:szCs w:val="26"/>
        </w:rPr>
      </w:pPr>
    </w:p>
    <w:p w14:paraId="0B8EFC0C" w14:textId="77777777" w:rsidR="00083CA4" w:rsidRPr="002A7673" w:rsidRDefault="00083CA4" w:rsidP="00F422DD">
      <w:pPr>
        <w:spacing w:after="0" w:line="360" w:lineRule="auto"/>
        <w:ind w:right="49"/>
        <w:jc w:val="center"/>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object w:dxaOrig="1508" w:dyaOrig="984" w14:anchorId="72F83C82">
          <v:shape id="_x0000_i1026" type="#_x0000_t75" style="width:76pt;height:49pt" o:ole="">
            <v:imagedata r:id="rId26" o:title=""/>
          </v:shape>
          <o:OLEObject Type="Embed" ProgID="AcroExch.Document.DC" ShapeID="_x0000_i1026" DrawAspect="Icon" ObjectID="_1684066969" r:id="rId27"/>
        </w:object>
      </w:r>
    </w:p>
    <w:p w14:paraId="07680E29" w14:textId="77777777" w:rsidR="00083CA4" w:rsidRPr="002A7673" w:rsidRDefault="00083CA4" w:rsidP="005F7139">
      <w:pPr>
        <w:spacing w:after="0" w:line="240" w:lineRule="auto"/>
        <w:jc w:val="center"/>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Tabla N° 5. Distribución de Requerimientos Operativos para aprobación por el Consejo Superior para la Subpartida 10101 Alquiler de Edificios, Locales y Terrenos</w:t>
      </w:r>
    </w:p>
    <w:p w14:paraId="3DF3FE68"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Periodos 2021–2022</w:t>
      </w:r>
    </w:p>
    <w:p w14:paraId="5473A882"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noProof/>
          <w:sz w:val="24"/>
          <w:szCs w:val="24"/>
          <w:lang w:eastAsia="es-CR"/>
        </w:rPr>
        <w:lastRenderedPageBreak/>
        <w:drawing>
          <wp:inline distT="0" distB="0" distL="0" distR="0" wp14:anchorId="383648B4" wp14:editId="158FF670">
            <wp:extent cx="5866411" cy="8887460"/>
            <wp:effectExtent l="0" t="0" r="127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69784" cy="8892570"/>
                    </a:xfrm>
                    <a:prstGeom prst="rect">
                      <a:avLst/>
                    </a:prstGeom>
                    <a:noFill/>
                    <a:ln>
                      <a:noFill/>
                    </a:ln>
                  </pic:spPr>
                </pic:pic>
              </a:graphicData>
            </a:graphic>
          </wp:inline>
        </w:drawing>
      </w:r>
    </w:p>
    <w:p w14:paraId="74145D10" w14:textId="77777777" w:rsidR="00083CA4" w:rsidRPr="002A7673" w:rsidRDefault="00083CA4" w:rsidP="00F422DD">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lastRenderedPageBreak/>
        <w:t>Con respecto a la inclusión de nuevos alquileres, se consultó a la Dirección Ejecutiva, acerca del resultado de readecuaciones de espacios producto del teletrabajo. Al respecto, la Licda. Maribel Araya Valverde, Profesional 2 de esa Dirección e indicó que se va a trabajar en dos etapas. En la primera, por el momento se está cumpliendo con la norma presupuestaria N°13 que solicitó el Ministerio de Hacienda sobre el estudio de costo – beneficio para definir con cuáles locales se mantendría el contrato y la segunda sería renegociar hasta que esté definido la cantidad de personal que se mantendrá en teletrabajo. Por lo tanto, hasta que se dé cumplimiento con la primera etapa el tema de las readecuaciones por el momento no se está analizando.</w:t>
      </w:r>
    </w:p>
    <w:p w14:paraId="4C4326D9" w14:textId="77777777" w:rsidR="00083CA4" w:rsidRPr="002A7673" w:rsidRDefault="00083CA4" w:rsidP="00F422DD">
      <w:pPr>
        <w:spacing w:after="0" w:line="240" w:lineRule="auto"/>
        <w:ind w:left="851" w:right="851" w:firstLine="709"/>
        <w:jc w:val="both"/>
        <w:rPr>
          <w:rFonts w:ascii="Times New Roman" w:eastAsia="Calibri" w:hAnsi="Times New Roman" w:cs="Times New Roman"/>
          <w:bCs/>
          <w:sz w:val="26"/>
          <w:szCs w:val="26"/>
        </w:rPr>
      </w:pPr>
    </w:p>
    <w:p w14:paraId="47362C5F" w14:textId="77777777" w:rsidR="00083CA4" w:rsidRPr="002A7673" w:rsidRDefault="00083CA4" w:rsidP="00F422DD">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Según se muestra en la tabla N°5 como otros requerimientos operativos para la subpartida 10101 Alquiler de Edificios, Locales y Terrenos. La Dirección Ejecutiva aprobó el monto adicional de ¢818,797,256. Estos montos corresponden a traslados a unos nuevos locales, adendum a contratos, ampliaciones y lo correspondiente al fideicomiso de Puntarenas, aumentando el total de la subpartida a ¢12,596,494,891 para el 2022, con un aumento del 4% con respecto al 2021.</w:t>
      </w:r>
    </w:p>
    <w:p w14:paraId="045114AD" w14:textId="77777777" w:rsidR="00083CA4" w:rsidRPr="002A7673" w:rsidRDefault="00083CA4" w:rsidP="00F422DD">
      <w:pPr>
        <w:spacing w:after="0" w:line="240" w:lineRule="auto"/>
        <w:ind w:left="851" w:right="851" w:firstLine="709"/>
        <w:rPr>
          <w:rFonts w:ascii="Times New Roman" w:eastAsia="Calibri" w:hAnsi="Times New Roman" w:cs="Times New Roman"/>
          <w:bCs/>
          <w:sz w:val="26"/>
          <w:szCs w:val="26"/>
        </w:rPr>
      </w:pPr>
    </w:p>
    <w:p w14:paraId="3592F45C" w14:textId="77777777" w:rsidR="00083CA4" w:rsidRPr="002A7673" w:rsidRDefault="00083CA4" w:rsidP="00F422DD">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Es oportuno señalar que en el anteproyecto de presupuesto del 2022 se generaron automáticamente los contratos N°001218 del alquiler del edificio de Santa Rita ¢592.805.866, N°011217 del alquiler del edificio Catedral ¢632.215.739 y los N°0009-02 y 005217 del Juzgado de Seguridad Social ¢84.887.717. Todos estos contratos suman un total de ¢1.309.909.322, de los cuales ¢1.126.566.758 se encuentran en programa 927 y en el programa 930 ¢183.342.564. En el presupuesto 2021 para el alquiler de todos estos edificios se dejaron solamente 7 meses, es decir 5 meses ya no se formularon para el 2021, entonces para visualizar el rebajo en el 2022 solamente se deben contar los 7 meses que fueron los que se incluyeron en el 2021. Entonces, proporcionalmente serian ¢764.113.771 en ahorro para el 2022, de los cuales en el programa 927 serian ¢657.163.942 y el programa 930 ¢106.949.829. Los rebajos se visualizan en la Tabla N°3 en los programas 927 y 930; sin embargo, este ahorro no podría verse total por cuanto a su vez se ven afectados por los incrementos anuales pactados en los contratos, además en el caso de los que están en dólares, en el 2021 se utilizó el tipo de cambio del Ministerio de Hacienda de ¢612 y en el 2022 el tipo es de ¢650,69.</w:t>
      </w:r>
    </w:p>
    <w:p w14:paraId="61B53A26" w14:textId="77777777" w:rsidR="00083CA4" w:rsidRPr="002A7673" w:rsidRDefault="00083CA4" w:rsidP="00F422DD">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 xml:space="preserve">Se debe acotar que, la Dirección Ejecutiva emitió la Circular N° 33-2021 en la que solicita a los centros de responsabilidad realizar un estudio costo-beneficio de </w:t>
      </w:r>
      <w:proofErr w:type="gramStart"/>
      <w:r w:rsidRPr="002A7673">
        <w:rPr>
          <w:rFonts w:ascii="Times New Roman" w:eastAsia="Calibri" w:hAnsi="Times New Roman" w:cs="Times New Roman"/>
          <w:bCs/>
          <w:sz w:val="26"/>
          <w:szCs w:val="26"/>
        </w:rPr>
        <w:t>los  Alquileres</w:t>
      </w:r>
      <w:proofErr w:type="gramEnd"/>
      <w:r w:rsidRPr="002A7673">
        <w:rPr>
          <w:rFonts w:ascii="Times New Roman" w:eastAsia="Calibri" w:hAnsi="Times New Roman" w:cs="Times New Roman"/>
          <w:bCs/>
          <w:sz w:val="26"/>
          <w:szCs w:val="26"/>
        </w:rPr>
        <w:t xml:space="preserve"> de Edificios, Locales y Terrenos, </w:t>
      </w:r>
      <w:r w:rsidRPr="002A7673">
        <w:rPr>
          <w:rFonts w:ascii="Times New Roman" w:eastAsia="Calibri" w:hAnsi="Times New Roman" w:cs="Times New Roman"/>
          <w:bCs/>
          <w:sz w:val="26"/>
          <w:szCs w:val="26"/>
        </w:rPr>
        <w:lastRenderedPageBreak/>
        <w:t xml:space="preserve">sufragados mediante la Subpartida 10101 esto en cumplimiento del </w:t>
      </w:r>
      <w:r w:rsidRPr="002A7673">
        <w:rPr>
          <w:rFonts w:ascii="Times New Roman" w:eastAsia="Calibri" w:hAnsi="Times New Roman" w:cs="Times New Roman"/>
          <w:sz w:val="26"/>
          <w:szCs w:val="26"/>
        </w:rPr>
        <w:t>numeral 13 del Artículo 7, Normas de Ejecución incluido en la Ley de Presupuesto Ordinario y Extraordinario de la República para el Ejercicio Económico del 2021 (N° 9926) y sus reformas. E</w:t>
      </w:r>
      <w:r w:rsidRPr="002A7673">
        <w:rPr>
          <w:rFonts w:ascii="Times New Roman" w:eastAsia="Calibri" w:hAnsi="Times New Roman" w:cs="Times New Roman"/>
          <w:bCs/>
          <w:sz w:val="26"/>
          <w:szCs w:val="26"/>
        </w:rPr>
        <w:t xml:space="preserve">s importante considerar los resultados de dicho estudio en el sentido que se podría determinar posibles reducciones en la planilla de alquiler. </w:t>
      </w:r>
    </w:p>
    <w:p w14:paraId="00849DA6" w14:textId="77777777" w:rsidR="00083CA4" w:rsidRPr="002A7673" w:rsidRDefault="00083CA4" w:rsidP="00F422DD">
      <w:pPr>
        <w:spacing w:after="0" w:line="240" w:lineRule="auto"/>
        <w:ind w:left="851" w:right="851" w:firstLine="709"/>
        <w:rPr>
          <w:rFonts w:ascii="Times New Roman" w:eastAsia="Calibri" w:hAnsi="Times New Roman" w:cs="Times New Roman"/>
          <w:bCs/>
          <w:sz w:val="26"/>
          <w:szCs w:val="26"/>
        </w:rPr>
      </w:pPr>
    </w:p>
    <w:p w14:paraId="7AA0949C" w14:textId="77777777" w:rsidR="00083CA4" w:rsidRPr="002A7673" w:rsidRDefault="00083CA4" w:rsidP="00F422DD">
      <w:pPr>
        <w:keepNext/>
        <w:keepLines/>
        <w:numPr>
          <w:ilvl w:val="0"/>
          <w:numId w:val="2"/>
        </w:numPr>
        <w:shd w:val="clear" w:color="auto" w:fill="F2F2F2"/>
        <w:spacing w:after="0" w:line="240" w:lineRule="auto"/>
        <w:ind w:left="851" w:right="851" w:firstLine="709"/>
        <w:outlineLvl w:val="0"/>
        <w:rPr>
          <w:rFonts w:ascii="Times New Roman" w:eastAsia="Calibri" w:hAnsi="Times New Roman" w:cs="Times New Roman"/>
          <w:b/>
          <w:color w:val="1F4E79"/>
          <w:sz w:val="26"/>
          <w:szCs w:val="26"/>
          <w:lang w:eastAsia="es-ES"/>
        </w:rPr>
      </w:pPr>
      <w:r w:rsidRPr="002A7673">
        <w:rPr>
          <w:rFonts w:ascii="Times New Roman" w:eastAsia="Calibri" w:hAnsi="Times New Roman" w:cs="Times New Roman"/>
          <w:b/>
          <w:color w:val="1F4E79"/>
          <w:sz w:val="26"/>
          <w:szCs w:val="26"/>
          <w:lang w:eastAsia="es-ES"/>
        </w:rPr>
        <w:t>Subpartida 1.08.01: Mantenimiento de edificios y locales</w:t>
      </w:r>
    </w:p>
    <w:p w14:paraId="7D72246C" w14:textId="77777777" w:rsidR="00083CA4" w:rsidRPr="002A7673" w:rsidRDefault="00083CA4" w:rsidP="00F422DD">
      <w:pPr>
        <w:spacing w:after="0" w:line="240" w:lineRule="auto"/>
        <w:ind w:left="851" w:right="851" w:firstLine="709"/>
        <w:jc w:val="center"/>
        <w:rPr>
          <w:rFonts w:ascii="Times New Roman" w:eastAsia="Calibri" w:hAnsi="Times New Roman" w:cs="Times New Roman"/>
          <w:b/>
          <w:sz w:val="26"/>
          <w:szCs w:val="26"/>
        </w:rPr>
      </w:pPr>
    </w:p>
    <w:p w14:paraId="1EEC4370" w14:textId="77777777" w:rsidR="00083CA4" w:rsidRPr="002A7673" w:rsidRDefault="00083CA4" w:rsidP="00F422DD">
      <w:pPr>
        <w:keepNext/>
        <w:keepLines/>
        <w:numPr>
          <w:ilvl w:val="1"/>
          <w:numId w:val="2"/>
        </w:numPr>
        <w:spacing w:after="0" w:line="240" w:lineRule="auto"/>
        <w:ind w:left="851" w:right="851" w:firstLine="709"/>
        <w:jc w:val="both"/>
        <w:outlineLvl w:val="1"/>
        <w:rPr>
          <w:rFonts w:ascii="Times New Roman" w:eastAsia="Times New Roman" w:hAnsi="Times New Roman" w:cs="Times New Roman"/>
          <w:b/>
          <w:i/>
          <w:iCs/>
          <w:sz w:val="26"/>
          <w:szCs w:val="26"/>
          <w:lang w:val="es-ES" w:eastAsia="es-ES"/>
        </w:rPr>
      </w:pPr>
      <w:r w:rsidRPr="002A7673">
        <w:rPr>
          <w:rFonts w:ascii="Times New Roman" w:eastAsia="Times New Roman" w:hAnsi="Times New Roman" w:cs="Times New Roman"/>
          <w:b/>
          <w:bCs/>
          <w:i/>
          <w:iCs/>
          <w:sz w:val="26"/>
          <w:szCs w:val="26"/>
          <w:lang w:val="es-ES" w:eastAsia="es-ES"/>
        </w:rPr>
        <w:t>Comportamiento histórico de la Subpartida</w:t>
      </w:r>
    </w:p>
    <w:p w14:paraId="68E3F16F"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0BB20FAF"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Para el 2022 </w:t>
      </w:r>
      <w:proofErr w:type="spellStart"/>
      <w:r w:rsidRPr="002A7673">
        <w:rPr>
          <w:rFonts w:ascii="Times New Roman" w:eastAsia="Calibri" w:hAnsi="Times New Roman" w:cs="Times New Roman"/>
          <w:sz w:val="26"/>
          <w:szCs w:val="26"/>
        </w:rPr>
        <w:t>esta</w:t>
      </w:r>
      <w:proofErr w:type="spellEnd"/>
      <w:r w:rsidRPr="002A7673">
        <w:rPr>
          <w:rFonts w:ascii="Times New Roman" w:eastAsia="Calibri" w:hAnsi="Times New Roman" w:cs="Times New Roman"/>
          <w:sz w:val="26"/>
          <w:szCs w:val="26"/>
        </w:rPr>
        <w:t xml:space="preserve"> subpartida presenta un crecimiento del 10% en comparación con los recursos formulados en el 2021, según se puede apreciar en la tabla 6. Este aumento se da por la inclusión de líneas con montos elevados en los siguientes despachos y oficinas:</w:t>
      </w:r>
    </w:p>
    <w:p w14:paraId="491076AE" w14:textId="77777777" w:rsidR="00F422DD" w:rsidRPr="002A7673" w:rsidRDefault="00F422DD" w:rsidP="00F422DD">
      <w:pPr>
        <w:spacing w:after="0" w:line="240" w:lineRule="auto"/>
        <w:ind w:left="851" w:right="851" w:firstLine="709"/>
        <w:jc w:val="both"/>
        <w:rPr>
          <w:rFonts w:ascii="Times New Roman" w:eastAsia="Calibri" w:hAnsi="Times New Roman" w:cs="Times New Roman"/>
          <w:sz w:val="26"/>
          <w:szCs w:val="26"/>
        </w:rPr>
      </w:pPr>
    </w:p>
    <w:p w14:paraId="17A5BD57" w14:textId="77777777" w:rsidR="00083CA4" w:rsidRPr="002A7673" w:rsidRDefault="00083CA4" w:rsidP="00D527DE">
      <w:pPr>
        <w:numPr>
          <w:ilvl w:val="0"/>
          <w:numId w:val="15"/>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Primer Circuito Judicial de San José ¢119.034.200 para anclaje de Mármol en el Edificio de Tribunales de Justicia.</w:t>
      </w:r>
    </w:p>
    <w:p w14:paraId="4C5D7B10" w14:textId="77777777" w:rsidR="00083CA4" w:rsidRPr="002A7673" w:rsidRDefault="00083CA4" w:rsidP="00D527DE">
      <w:pPr>
        <w:numPr>
          <w:ilvl w:val="0"/>
          <w:numId w:val="15"/>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 Primer Circuito Judicial de Alajuela: ¢100.200.000 debido al cambio de cobertura de techo en el Edificio de Tribunales de Alajuela.</w:t>
      </w:r>
    </w:p>
    <w:p w14:paraId="3946E117" w14:textId="77777777" w:rsidR="00083CA4" w:rsidRPr="002A7673" w:rsidRDefault="00083CA4" w:rsidP="00D527DE">
      <w:pPr>
        <w:numPr>
          <w:ilvl w:val="0"/>
          <w:numId w:val="15"/>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Primer Circuito Zona Sur: ¢75.308.235 para sustitución de cielo raso en el cuarto piso del Edificio de Tribunales de Justicia de Pérez Zeledón.</w:t>
      </w:r>
    </w:p>
    <w:p w14:paraId="6F3605BF" w14:textId="77777777" w:rsidR="00083CA4" w:rsidRPr="002A7673" w:rsidRDefault="00083CA4" w:rsidP="00D527DE">
      <w:pPr>
        <w:numPr>
          <w:ilvl w:val="0"/>
          <w:numId w:val="15"/>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Administración del Primer Circuito de la Zona Atlántica: ¢70.142.517 para cambio de enchapes de los servicios sanitarios en el Edificio de los Tribunales de Justicia de Limón.</w:t>
      </w:r>
    </w:p>
    <w:p w14:paraId="06875ACA"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p>
    <w:p w14:paraId="11B2A82A"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Tabla 6. Comportamiento histórico del presupuesto formulado para la subpartida período 2018 – 2022.</w:t>
      </w:r>
    </w:p>
    <w:p w14:paraId="0DEA1041" w14:textId="77777777" w:rsidR="00F422DD" w:rsidRPr="002A7673" w:rsidRDefault="00F422DD" w:rsidP="005F7139">
      <w:pPr>
        <w:spacing w:after="0" w:line="240" w:lineRule="auto"/>
        <w:jc w:val="center"/>
        <w:rPr>
          <w:rFonts w:ascii="Times New Roman" w:eastAsia="Times New Roman" w:hAnsi="Times New Roman" w:cs="Times New Roman"/>
          <w:b/>
          <w:bCs/>
          <w:sz w:val="26"/>
          <w:szCs w:val="26"/>
        </w:rPr>
      </w:pPr>
    </w:p>
    <w:tbl>
      <w:tblPr>
        <w:tblW w:w="8420" w:type="dxa"/>
        <w:tblCellMar>
          <w:left w:w="70" w:type="dxa"/>
          <w:right w:w="70" w:type="dxa"/>
        </w:tblCellMar>
        <w:tblLook w:val="04A0" w:firstRow="1" w:lastRow="0" w:firstColumn="1" w:lastColumn="0" w:noHBand="0" w:noVBand="1"/>
      </w:tblPr>
      <w:tblGrid>
        <w:gridCol w:w="1166"/>
        <w:gridCol w:w="1635"/>
        <w:gridCol w:w="1635"/>
        <w:gridCol w:w="1635"/>
        <w:gridCol w:w="1635"/>
        <w:gridCol w:w="1635"/>
      </w:tblGrid>
      <w:tr w:rsidR="00083CA4" w:rsidRPr="002A7673" w14:paraId="5E904227" w14:textId="77777777" w:rsidTr="005F7139">
        <w:trPr>
          <w:trHeight w:val="300"/>
        </w:trPr>
        <w:tc>
          <w:tcPr>
            <w:tcW w:w="1020" w:type="dxa"/>
            <w:tcBorders>
              <w:top w:val="nil"/>
              <w:left w:val="nil"/>
              <w:bottom w:val="single" w:sz="8" w:space="0" w:color="305496"/>
              <w:right w:val="nil"/>
            </w:tcBorders>
            <w:shd w:val="clear" w:color="auto" w:fill="auto"/>
            <w:noWrap/>
            <w:vAlign w:val="bottom"/>
            <w:hideMark/>
          </w:tcPr>
          <w:p w14:paraId="677E3B8B"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p>
        </w:tc>
        <w:tc>
          <w:tcPr>
            <w:tcW w:w="1480" w:type="dxa"/>
            <w:tcBorders>
              <w:top w:val="single" w:sz="8" w:space="0" w:color="305496"/>
              <w:left w:val="nil"/>
              <w:bottom w:val="single" w:sz="8" w:space="0" w:color="305496"/>
              <w:right w:val="nil"/>
            </w:tcBorders>
            <w:shd w:val="clear" w:color="000000" w:fill="E7E6E6"/>
            <w:noWrap/>
            <w:vAlign w:val="center"/>
            <w:hideMark/>
          </w:tcPr>
          <w:p w14:paraId="70BF2A98" w14:textId="77777777" w:rsidR="00083CA4" w:rsidRPr="002A7673" w:rsidRDefault="00083CA4" w:rsidP="005F7139">
            <w:pPr>
              <w:spacing w:after="0" w:line="240" w:lineRule="auto"/>
              <w:jc w:val="center"/>
              <w:rPr>
                <w:rFonts w:ascii="Times New Roman" w:eastAsia="Times New Roman" w:hAnsi="Times New Roman" w:cs="Times New Roman"/>
                <w:b/>
                <w:bCs/>
                <w:color w:val="203764"/>
                <w:sz w:val="26"/>
                <w:szCs w:val="26"/>
                <w:lang w:eastAsia="es-CR"/>
              </w:rPr>
            </w:pPr>
            <w:r w:rsidRPr="002A7673">
              <w:rPr>
                <w:rFonts w:ascii="Times New Roman" w:eastAsia="Times New Roman" w:hAnsi="Times New Roman" w:cs="Times New Roman"/>
                <w:b/>
                <w:bCs/>
                <w:color w:val="203764"/>
                <w:sz w:val="26"/>
                <w:szCs w:val="26"/>
                <w:lang w:eastAsia="es-CR"/>
              </w:rPr>
              <w:t>2018</w:t>
            </w:r>
          </w:p>
        </w:tc>
        <w:tc>
          <w:tcPr>
            <w:tcW w:w="1480" w:type="dxa"/>
            <w:tcBorders>
              <w:top w:val="single" w:sz="8" w:space="0" w:color="305496"/>
              <w:left w:val="nil"/>
              <w:bottom w:val="single" w:sz="8" w:space="0" w:color="305496"/>
              <w:right w:val="nil"/>
            </w:tcBorders>
            <w:shd w:val="clear" w:color="000000" w:fill="E7E6E6"/>
            <w:noWrap/>
            <w:vAlign w:val="center"/>
            <w:hideMark/>
          </w:tcPr>
          <w:p w14:paraId="70D20705" w14:textId="77777777" w:rsidR="00083CA4" w:rsidRPr="002A7673" w:rsidRDefault="00083CA4" w:rsidP="005F7139">
            <w:pPr>
              <w:spacing w:after="0" w:line="240" w:lineRule="auto"/>
              <w:jc w:val="center"/>
              <w:rPr>
                <w:rFonts w:ascii="Times New Roman" w:eastAsia="Times New Roman" w:hAnsi="Times New Roman" w:cs="Times New Roman"/>
                <w:b/>
                <w:bCs/>
                <w:color w:val="203764"/>
                <w:sz w:val="26"/>
                <w:szCs w:val="26"/>
                <w:lang w:eastAsia="es-CR"/>
              </w:rPr>
            </w:pPr>
            <w:r w:rsidRPr="002A7673">
              <w:rPr>
                <w:rFonts w:ascii="Times New Roman" w:eastAsia="Times New Roman" w:hAnsi="Times New Roman" w:cs="Times New Roman"/>
                <w:b/>
                <w:bCs/>
                <w:color w:val="203764"/>
                <w:sz w:val="26"/>
                <w:szCs w:val="26"/>
                <w:lang w:eastAsia="es-CR"/>
              </w:rPr>
              <w:t>2019</w:t>
            </w:r>
          </w:p>
        </w:tc>
        <w:tc>
          <w:tcPr>
            <w:tcW w:w="1480" w:type="dxa"/>
            <w:tcBorders>
              <w:top w:val="single" w:sz="8" w:space="0" w:color="305496"/>
              <w:left w:val="nil"/>
              <w:bottom w:val="single" w:sz="8" w:space="0" w:color="305496"/>
              <w:right w:val="nil"/>
            </w:tcBorders>
            <w:shd w:val="clear" w:color="000000" w:fill="E7E6E6"/>
            <w:noWrap/>
            <w:vAlign w:val="center"/>
            <w:hideMark/>
          </w:tcPr>
          <w:p w14:paraId="44644A1F" w14:textId="77777777" w:rsidR="00083CA4" w:rsidRPr="002A7673" w:rsidRDefault="00083CA4" w:rsidP="005F7139">
            <w:pPr>
              <w:spacing w:after="0" w:line="240" w:lineRule="auto"/>
              <w:jc w:val="center"/>
              <w:rPr>
                <w:rFonts w:ascii="Times New Roman" w:eastAsia="Times New Roman" w:hAnsi="Times New Roman" w:cs="Times New Roman"/>
                <w:b/>
                <w:bCs/>
                <w:color w:val="203764"/>
                <w:sz w:val="26"/>
                <w:szCs w:val="26"/>
                <w:lang w:eastAsia="es-CR"/>
              </w:rPr>
            </w:pPr>
            <w:r w:rsidRPr="002A7673">
              <w:rPr>
                <w:rFonts w:ascii="Times New Roman" w:eastAsia="Times New Roman" w:hAnsi="Times New Roman" w:cs="Times New Roman"/>
                <w:b/>
                <w:bCs/>
                <w:color w:val="203764"/>
                <w:sz w:val="26"/>
                <w:szCs w:val="26"/>
                <w:lang w:eastAsia="es-CR"/>
              </w:rPr>
              <w:t>2020</w:t>
            </w:r>
          </w:p>
        </w:tc>
        <w:tc>
          <w:tcPr>
            <w:tcW w:w="1480" w:type="dxa"/>
            <w:tcBorders>
              <w:top w:val="single" w:sz="8" w:space="0" w:color="305496"/>
              <w:left w:val="nil"/>
              <w:bottom w:val="single" w:sz="8" w:space="0" w:color="305496"/>
              <w:right w:val="nil"/>
            </w:tcBorders>
            <w:shd w:val="clear" w:color="000000" w:fill="E7E6E6"/>
            <w:noWrap/>
            <w:vAlign w:val="center"/>
            <w:hideMark/>
          </w:tcPr>
          <w:p w14:paraId="567C521D" w14:textId="77777777" w:rsidR="00083CA4" w:rsidRPr="002A7673" w:rsidRDefault="00083CA4" w:rsidP="005F7139">
            <w:pPr>
              <w:spacing w:after="0" w:line="240" w:lineRule="auto"/>
              <w:jc w:val="center"/>
              <w:rPr>
                <w:rFonts w:ascii="Times New Roman" w:eastAsia="Times New Roman" w:hAnsi="Times New Roman" w:cs="Times New Roman"/>
                <w:b/>
                <w:bCs/>
                <w:color w:val="203764"/>
                <w:sz w:val="26"/>
                <w:szCs w:val="26"/>
                <w:lang w:eastAsia="es-CR"/>
              </w:rPr>
            </w:pPr>
            <w:r w:rsidRPr="002A7673">
              <w:rPr>
                <w:rFonts w:ascii="Times New Roman" w:eastAsia="Times New Roman" w:hAnsi="Times New Roman" w:cs="Times New Roman"/>
                <w:b/>
                <w:bCs/>
                <w:color w:val="203764"/>
                <w:sz w:val="26"/>
                <w:szCs w:val="26"/>
                <w:lang w:eastAsia="es-CR"/>
              </w:rPr>
              <w:t>2021</w:t>
            </w:r>
          </w:p>
        </w:tc>
        <w:tc>
          <w:tcPr>
            <w:tcW w:w="1480" w:type="dxa"/>
            <w:tcBorders>
              <w:top w:val="single" w:sz="8" w:space="0" w:color="305496"/>
              <w:left w:val="nil"/>
              <w:bottom w:val="single" w:sz="8" w:space="0" w:color="305496"/>
              <w:right w:val="nil"/>
            </w:tcBorders>
            <w:shd w:val="clear" w:color="000000" w:fill="E7E6E6"/>
            <w:noWrap/>
            <w:vAlign w:val="center"/>
            <w:hideMark/>
          </w:tcPr>
          <w:p w14:paraId="7A670DFB" w14:textId="77777777" w:rsidR="00083CA4" w:rsidRPr="002A7673" w:rsidRDefault="00083CA4" w:rsidP="005F7139">
            <w:pPr>
              <w:spacing w:after="0" w:line="240" w:lineRule="auto"/>
              <w:jc w:val="center"/>
              <w:rPr>
                <w:rFonts w:ascii="Times New Roman" w:eastAsia="Times New Roman" w:hAnsi="Times New Roman" w:cs="Times New Roman"/>
                <w:b/>
                <w:bCs/>
                <w:color w:val="203764"/>
                <w:sz w:val="26"/>
                <w:szCs w:val="26"/>
                <w:lang w:eastAsia="es-CR"/>
              </w:rPr>
            </w:pPr>
            <w:r w:rsidRPr="002A7673">
              <w:rPr>
                <w:rFonts w:ascii="Times New Roman" w:eastAsia="Times New Roman" w:hAnsi="Times New Roman" w:cs="Times New Roman"/>
                <w:b/>
                <w:bCs/>
                <w:color w:val="203764"/>
                <w:sz w:val="26"/>
                <w:szCs w:val="26"/>
                <w:lang w:eastAsia="es-CR"/>
              </w:rPr>
              <w:t>2022</w:t>
            </w:r>
          </w:p>
        </w:tc>
      </w:tr>
      <w:tr w:rsidR="00083CA4" w:rsidRPr="002A7673" w14:paraId="037C2F73" w14:textId="77777777" w:rsidTr="005F7139">
        <w:trPr>
          <w:trHeight w:val="288"/>
        </w:trPr>
        <w:tc>
          <w:tcPr>
            <w:tcW w:w="1020" w:type="dxa"/>
            <w:tcBorders>
              <w:top w:val="nil"/>
              <w:left w:val="nil"/>
              <w:bottom w:val="nil"/>
              <w:right w:val="nil"/>
            </w:tcBorders>
            <w:shd w:val="clear" w:color="000000" w:fill="E7E6E6"/>
            <w:noWrap/>
            <w:vAlign w:val="bottom"/>
            <w:hideMark/>
          </w:tcPr>
          <w:p w14:paraId="5F46C8A1"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Monto</w:t>
            </w:r>
          </w:p>
        </w:tc>
        <w:tc>
          <w:tcPr>
            <w:tcW w:w="1480" w:type="dxa"/>
            <w:tcBorders>
              <w:top w:val="nil"/>
              <w:left w:val="nil"/>
              <w:bottom w:val="nil"/>
              <w:right w:val="nil"/>
            </w:tcBorders>
            <w:shd w:val="clear" w:color="auto" w:fill="auto"/>
            <w:noWrap/>
            <w:vAlign w:val="center"/>
            <w:hideMark/>
          </w:tcPr>
          <w:p w14:paraId="398BA8FF"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2,425,092,168</w:t>
            </w:r>
          </w:p>
        </w:tc>
        <w:tc>
          <w:tcPr>
            <w:tcW w:w="1480" w:type="dxa"/>
            <w:tcBorders>
              <w:top w:val="nil"/>
              <w:left w:val="nil"/>
              <w:bottom w:val="nil"/>
              <w:right w:val="nil"/>
            </w:tcBorders>
            <w:shd w:val="clear" w:color="auto" w:fill="auto"/>
            <w:noWrap/>
            <w:vAlign w:val="center"/>
            <w:hideMark/>
          </w:tcPr>
          <w:p w14:paraId="3DDF16AE"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2,611,573,587</w:t>
            </w:r>
          </w:p>
        </w:tc>
        <w:tc>
          <w:tcPr>
            <w:tcW w:w="1480" w:type="dxa"/>
            <w:tcBorders>
              <w:top w:val="nil"/>
              <w:left w:val="nil"/>
              <w:bottom w:val="nil"/>
              <w:right w:val="nil"/>
            </w:tcBorders>
            <w:shd w:val="clear" w:color="auto" w:fill="auto"/>
            <w:noWrap/>
            <w:vAlign w:val="center"/>
            <w:hideMark/>
          </w:tcPr>
          <w:p w14:paraId="3275D519"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2,243,152,565</w:t>
            </w:r>
          </w:p>
        </w:tc>
        <w:tc>
          <w:tcPr>
            <w:tcW w:w="1480" w:type="dxa"/>
            <w:tcBorders>
              <w:top w:val="nil"/>
              <w:left w:val="nil"/>
              <w:bottom w:val="nil"/>
              <w:right w:val="nil"/>
            </w:tcBorders>
            <w:shd w:val="clear" w:color="auto" w:fill="auto"/>
            <w:noWrap/>
            <w:vAlign w:val="center"/>
            <w:hideMark/>
          </w:tcPr>
          <w:p w14:paraId="6D7CE949"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1,916,561,925</w:t>
            </w:r>
          </w:p>
        </w:tc>
        <w:tc>
          <w:tcPr>
            <w:tcW w:w="1480" w:type="dxa"/>
            <w:tcBorders>
              <w:top w:val="nil"/>
              <w:left w:val="nil"/>
              <w:bottom w:val="nil"/>
              <w:right w:val="nil"/>
            </w:tcBorders>
            <w:shd w:val="clear" w:color="auto" w:fill="auto"/>
            <w:noWrap/>
            <w:vAlign w:val="center"/>
            <w:hideMark/>
          </w:tcPr>
          <w:p w14:paraId="6C0E811D" w14:textId="77777777" w:rsidR="00083CA4" w:rsidRPr="002A7673" w:rsidRDefault="00083CA4" w:rsidP="005F7139">
            <w:pPr>
              <w:spacing w:after="0" w:line="240" w:lineRule="auto"/>
              <w:jc w:val="center"/>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2,110,637,412</w:t>
            </w:r>
          </w:p>
        </w:tc>
      </w:tr>
      <w:tr w:rsidR="00083CA4" w:rsidRPr="002A7673" w14:paraId="7525EB85" w14:textId="77777777" w:rsidTr="005F7139">
        <w:trPr>
          <w:trHeight w:val="300"/>
        </w:trPr>
        <w:tc>
          <w:tcPr>
            <w:tcW w:w="1020" w:type="dxa"/>
            <w:tcBorders>
              <w:top w:val="nil"/>
              <w:left w:val="nil"/>
              <w:bottom w:val="single" w:sz="8" w:space="0" w:color="305496"/>
              <w:right w:val="nil"/>
            </w:tcBorders>
            <w:shd w:val="clear" w:color="000000" w:fill="E7E6E6"/>
            <w:noWrap/>
            <w:vAlign w:val="bottom"/>
            <w:hideMark/>
          </w:tcPr>
          <w:p w14:paraId="4E34F045"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Variación</w:t>
            </w:r>
          </w:p>
        </w:tc>
        <w:tc>
          <w:tcPr>
            <w:tcW w:w="1480" w:type="dxa"/>
            <w:tcBorders>
              <w:top w:val="nil"/>
              <w:left w:val="nil"/>
              <w:bottom w:val="single" w:sz="8" w:space="0" w:color="305496"/>
              <w:right w:val="nil"/>
            </w:tcBorders>
            <w:shd w:val="clear" w:color="auto" w:fill="auto"/>
            <w:noWrap/>
            <w:vAlign w:val="bottom"/>
            <w:hideMark/>
          </w:tcPr>
          <w:p w14:paraId="5FF26852" w14:textId="77777777" w:rsidR="00083CA4" w:rsidRPr="002A7673" w:rsidRDefault="00083CA4" w:rsidP="005F7139">
            <w:pPr>
              <w:spacing w:after="0" w:line="240" w:lineRule="auto"/>
              <w:rPr>
                <w:rFonts w:ascii="Times New Roman" w:eastAsia="Times New Roman" w:hAnsi="Times New Roman" w:cs="Times New Roman"/>
                <w:color w:val="000000"/>
                <w:sz w:val="26"/>
                <w:szCs w:val="26"/>
                <w:lang w:eastAsia="es-CR"/>
              </w:rPr>
            </w:pPr>
          </w:p>
        </w:tc>
        <w:tc>
          <w:tcPr>
            <w:tcW w:w="1480" w:type="dxa"/>
            <w:tcBorders>
              <w:top w:val="nil"/>
              <w:left w:val="nil"/>
              <w:bottom w:val="single" w:sz="8" w:space="0" w:color="305496"/>
              <w:right w:val="nil"/>
            </w:tcBorders>
            <w:shd w:val="clear" w:color="auto" w:fill="auto"/>
            <w:noWrap/>
            <w:vAlign w:val="bottom"/>
            <w:hideMark/>
          </w:tcPr>
          <w:p w14:paraId="71990926"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8%</w:t>
            </w:r>
          </w:p>
        </w:tc>
        <w:tc>
          <w:tcPr>
            <w:tcW w:w="1480" w:type="dxa"/>
            <w:tcBorders>
              <w:top w:val="nil"/>
              <w:left w:val="nil"/>
              <w:bottom w:val="single" w:sz="8" w:space="0" w:color="305496"/>
              <w:right w:val="nil"/>
            </w:tcBorders>
            <w:shd w:val="clear" w:color="auto" w:fill="auto"/>
            <w:noWrap/>
            <w:vAlign w:val="bottom"/>
            <w:hideMark/>
          </w:tcPr>
          <w:p w14:paraId="1700DE35"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-14%</w:t>
            </w:r>
          </w:p>
        </w:tc>
        <w:tc>
          <w:tcPr>
            <w:tcW w:w="1480" w:type="dxa"/>
            <w:tcBorders>
              <w:top w:val="nil"/>
              <w:left w:val="nil"/>
              <w:bottom w:val="single" w:sz="8" w:space="0" w:color="305496"/>
              <w:right w:val="nil"/>
            </w:tcBorders>
            <w:shd w:val="clear" w:color="auto" w:fill="auto"/>
            <w:noWrap/>
            <w:vAlign w:val="bottom"/>
            <w:hideMark/>
          </w:tcPr>
          <w:p w14:paraId="17596435"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-15%</w:t>
            </w:r>
          </w:p>
        </w:tc>
        <w:tc>
          <w:tcPr>
            <w:tcW w:w="1480" w:type="dxa"/>
            <w:tcBorders>
              <w:top w:val="nil"/>
              <w:left w:val="nil"/>
              <w:bottom w:val="single" w:sz="8" w:space="0" w:color="305496"/>
              <w:right w:val="nil"/>
            </w:tcBorders>
            <w:shd w:val="clear" w:color="auto" w:fill="auto"/>
            <w:noWrap/>
            <w:vAlign w:val="bottom"/>
            <w:hideMark/>
          </w:tcPr>
          <w:p w14:paraId="5B660DA2" w14:textId="77777777" w:rsidR="00083CA4" w:rsidRPr="002A7673" w:rsidRDefault="00083CA4" w:rsidP="005F7139">
            <w:pPr>
              <w:spacing w:after="0" w:line="240" w:lineRule="auto"/>
              <w:jc w:val="right"/>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10%</w:t>
            </w:r>
          </w:p>
        </w:tc>
      </w:tr>
    </w:tbl>
    <w:p w14:paraId="4AC94E31" w14:textId="77777777" w:rsidR="00083CA4" w:rsidRPr="002A7673" w:rsidRDefault="00083CA4" w:rsidP="005F7139">
      <w:pPr>
        <w:spacing w:after="0" w:line="240" w:lineRule="auto"/>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Fuente: Consulta realizada al sistema SIGA PJ el 08-3-2021.</w:t>
      </w:r>
    </w:p>
    <w:p w14:paraId="27C997D3" w14:textId="77777777" w:rsidR="00083CA4" w:rsidRPr="002A7673" w:rsidRDefault="00083CA4" w:rsidP="005F7139">
      <w:pPr>
        <w:spacing w:after="0" w:line="360" w:lineRule="auto"/>
        <w:jc w:val="both"/>
        <w:rPr>
          <w:rFonts w:ascii="Times New Roman" w:eastAsia="Calibri" w:hAnsi="Times New Roman" w:cs="Times New Roman"/>
          <w:sz w:val="26"/>
          <w:szCs w:val="26"/>
        </w:rPr>
      </w:pPr>
    </w:p>
    <w:p w14:paraId="7BD25450"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Para el caso de los años 2020 y 2021 se presentó una disminución en los montos formulados de 14% y 15% respectivamente.</w:t>
      </w:r>
    </w:p>
    <w:p w14:paraId="4EF97906"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53A4ADAD"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lastRenderedPageBreak/>
        <w:t>Según se observa en la Figura 3, en los años 2018 y 2019 los montos ejecutados en esta subpartida fueron mayores a los formulados, sólo para el 2020 se presenta una menor ejecución.</w:t>
      </w:r>
    </w:p>
    <w:p w14:paraId="6FA79F29" w14:textId="77777777" w:rsidR="00F422DD" w:rsidRPr="002A7673" w:rsidRDefault="00F422DD" w:rsidP="00F422DD">
      <w:pPr>
        <w:spacing w:after="0" w:line="240" w:lineRule="auto"/>
        <w:ind w:left="851" w:right="851"/>
        <w:rPr>
          <w:rFonts w:ascii="Times New Roman" w:eastAsia="Calibri" w:hAnsi="Times New Roman" w:cs="Times New Roman"/>
          <w:b/>
          <w:sz w:val="24"/>
        </w:rPr>
      </w:pPr>
    </w:p>
    <w:p w14:paraId="0C91D585" w14:textId="77777777" w:rsidR="00083CA4" w:rsidRPr="002A7673" w:rsidRDefault="00083CA4" w:rsidP="00F422DD">
      <w:pPr>
        <w:spacing w:after="0" w:line="240" w:lineRule="auto"/>
        <w:ind w:left="851" w:right="851"/>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Figura 3.</w:t>
      </w:r>
    </w:p>
    <w:p w14:paraId="51B8F8E7"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 xml:space="preserve">Comportamiento histórico de la subpartida </w:t>
      </w:r>
    </w:p>
    <w:p w14:paraId="4031887D"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1.08.01 Mantenimiento de edificios y locales</w:t>
      </w:r>
    </w:p>
    <w:p w14:paraId="474E03B1" w14:textId="77777777" w:rsidR="00083CA4" w:rsidRPr="002A7673" w:rsidRDefault="00083CA4" w:rsidP="005F7139">
      <w:pPr>
        <w:spacing w:after="0" w:line="240" w:lineRule="auto"/>
        <w:rPr>
          <w:rFonts w:ascii="Times New Roman" w:eastAsia="Times New Roman" w:hAnsi="Times New Roman" w:cs="Times New Roman"/>
          <w:sz w:val="24"/>
          <w:szCs w:val="24"/>
          <w:lang w:eastAsia="es-CR"/>
        </w:rPr>
      </w:pPr>
      <w:r w:rsidRPr="002A7673">
        <w:rPr>
          <w:rFonts w:ascii="Times New Roman" w:eastAsia="Calibri" w:hAnsi="Times New Roman" w:cs="Times New Roman"/>
          <w:noProof/>
          <w:lang w:eastAsia="es-CR"/>
        </w:rPr>
        <w:drawing>
          <wp:inline distT="0" distB="0" distL="0" distR="0" wp14:anchorId="4EEDE062" wp14:editId="16C5E433">
            <wp:extent cx="5948506" cy="3200400"/>
            <wp:effectExtent l="0" t="0" r="0" b="0"/>
            <wp:docPr id="18" name="Imagen 18"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pic:nvPicPr>
                  <pic:blipFill>
                    <a:blip r:embed="rId29">
                      <a:extLst>
                        <a:ext uri="{28A0092B-C50C-407E-A947-70E740481C1C}">
                          <a14:useLocalDpi xmlns:a14="http://schemas.microsoft.com/office/drawing/2010/main" val="0"/>
                        </a:ext>
                      </a:extLst>
                    </a:blip>
                    <a:stretch>
                      <a:fillRect/>
                    </a:stretch>
                  </pic:blipFill>
                  <pic:spPr>
                    <a:xfrm>
                      <a:off x="0" y="0"/>
                      <a:ext cx="5948506" cy="3200400"/>
                    </a:xfrm>
                    <a:prstGeom prst="rect">
                      <a:avLst/>
                    </a:prstGeom>
                  </pic:spPr>
                </pic:pic>
              </a:graphicData>
            </a:graphic>
          </wp:inline>
        </w:drawing>
      </w:r>
    </w:p>
    <w:p w14:paraId="16F086CD" w14:textId="77777777" w:rsidR="00083CA4" w:rsidRPr="002A7673" w:rsidRDefault="00083CA4" w:rsidP="005F7139">
      <w:pPr>
        <w:spacing w:after="0" w:line="240" w:lineRule="auto"/>
        <w:jc w:val="center"/>
        <w:rPr>
          <w:rFonts w:ascii="Times New Roman" w:eastAsia="Times New Roman" w:hAnsi="Times New Roman" w:cs="Times New Roman"/>
          <w:sz w:val="24"/>
          <w:szCs w:val="24"/>
          <w:lang w:eastAsia="es-CR"/>
        </w:rPr>
      </w:pPr>
    </w:p>
    <w:p w14:paraId="247036B9" w14:textId="77777777" w:rsidR="00083CA4" w:rsidRPr="002A7673" w:rsidRDefault="00083CA4" w:rsidP="005F7139">
      <w:pPr>
        <w:spacing w:after="0" w:line="240" w:lineRule="auto"/>
        <w:jc w:val="center"/>
        <w:rPr>
          <w:rFonts w:ascii="Times New Roman" w:eastAsia="Calibri" w:hAnsi="Times New Roman" w:cs="Times New Roman"/>
          <w:sz w:val="24"/>
          <w:szCs w:val="24"/>
        </w:rPr>
      </w:pPr>
    </w:p>
    <w:p w14:paraId="7FF01F49" w14:textId="77777777" w:rsidR="00083CA4" w:rsidRPr="002A7673" w:rsidRDefault="00083CA4" w:rsidP="00F422DD">
      <w:pPr>
        <w:keepNext/>
        <w:widowControl w:val="0"/>
        <w:autoSpaceDE w:val="0"/>
        <w:autoSpaceDN w:val="0"/>
        <w:adjustRightInd w:val="0"/>
        <w:spacing w:after="0" w:line="240" w:lineRule="auto"/>
        <w:ind w:left="851" w:right="851" w:firstLine="709"/>
        <w:outlineLvl w:val="1"/>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b/>
          <w:bCs/>
          <w:i/>
          <w:iCs/>
          <w:sz w:val="26"/>
          <w:szCs w:val="26"/>
          <w:lang w:val="es-ES" w:eastAsia="es-ES"/>
        </w:rPr>
        <w:t>2.2 Análisis de la Ejecución Presupuestaria de la Subpartida 10801</w:t>
      </w:r>
    </w:p>
    <w:p w14:paraId="39ED29AF" w14:textId="77777777" w:rsidR="00083CA4" w:rsidRPr="002A7673" w:rsidRDefault="00083CA4" w:rsidP="00EF57CF">
      <w:pPr>
        <w:pStyle w:val="AAgestin0"/>
      </w:pPr>
      <w:r w:rsidRPr="002A7673">
        <w:t xml:space="preserve"> </w:t>
      </w:r>
    </w:p>
    <w:p w14:paraId="5A64E348"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línea con lo señalado anteriormente se tiene que los porcentajes de ejecución para los años 2018 y 2019 han sido 113% y 106%, respectivamente, lo que indica que se han realizado modificaciones presupuestarias para la inyección de recursos en esta subpartida. Caso contrario sucede para el periodo 2020, donde se presenta un porcentaje menor a 100% debido a que el monto formulado es inferior al ejecutado (93%).</w:t>
      </w:r>
    </w:p>
    <w:p w14:paraId="6B7030A6" w14:textId="77777777" w:rsidR="00083CA4" w:rsidRPr="002A7673" w:rsidRDefault="00083CA4" w:rsidP="005F7139">
      <w:pPr>
        <w:spacing w:after="0" w:line="360" w:lineRule="auto"/>
        <w:jc w:val="both"/>
        <w:rPr>
          <w:rFonts w:ascii="Times New Roman" w:eastAsia="Calibri" w:hAnsi="Times New Roman" w:cs="Times New Roman"/>
          <w:sz w:val="26"/>
          <w:szCs w:val="26"/>
        </w:rPr>
      </w:pPr>
    </w:p>
    <w:p w14:paraId="4A0734EF" w14:textId="77777777" w:rsidR="00083CA4" w:rsidRPr="002A7673" w:rsidRDefault="00083CA4" w:rsidP="00F422DD">
      <w:pPr>
        <w:spacing w:after="0" w:line="240" w:lineRule="auto"/>
        <w:ind w:left="851" w:right="616"/>
        <w:jc w:val="center"/>
        <w:rPr>
          <w:rFonts w:ascii="Times New Roman" w:eastAsia="Calibri" w:hAnsi="Times New Roman" w:cs="Times New Roman"/>
          <w:sz w:val="24"/>
          <w:szCs w:val="24"/>
        </w:rPr>
      </w:pPr>
      <w:r w:rsidRPr="002A7673">
        <w:rPr>
          <w:rFonts w:ascii="Times New Roman" w:eastAsia="Calibri" w:hAnsi="Times New Roman" w:cs="Times New Roman"/>
          <w:b/>
          <w:sz w:val="26"/>
          <w:szCs w:val="26"/>
        </w:rPr>
        <w:t>Tabla 7. Ejecución presupuestaria de la subpartida 10801 períodos 2018, 2019 y 2020</w:t>
      </w:r>
    </w:p>
    <w:tbl>
      <w:tblPr>
        <w:tblW w:w="5812" w:type="dxa"/>
        <w:jc w:val="center"/>
        <w:tblCellMar>
          <w:left w:w="70" w:type="dxa"/>
          <w:right w:w="70" w:type="dxa"/>
        </w:tblCellMar>
        <w:tblLook w:val="04A0" w:firstRow="1" w:lastRow="0" w:firstColumn="1" w:lastColumn="0" w:noHBand="0" w:noVBand="1"/>
      </w:tblPr>
      <w:tblGrid>
        <w:gridCol w:w="1240"/>
        <w:gridCol w:w="1660"/>
        <w:gridCol w:w="1520"/>
        <w:gridCol w:w="1432"/>
      </w:tblGrid>
      <w:tr w:rsidR="00083CA4" w:rsidRPr="002A7673" w14:paraId="73407F06" w14:textId="77777777" w:rsidTr="005F7139">
        <w:trPr>
          <w:trHeight w:val="300"/>
          <w:jc w:val="center"/>
        </w:trPr>
        <w:tc>
          <w:tcPr>
            <w:tcW w:w="1240" w:type="dxa"/>
            <w:tcBorders>
              <w:top w:val="nil"/>
              <w:left w:val="nil"/>
              <w:bottom w:val="single" w:sz="8" w:space="0" w:color="305496"/>
              <w:right w:val="nil"/>
            </w:tcBorders>
            <w:shd w:val="clear" w:color="000000" w:fill="E7E6E6"/>
            <w:noWrap/>
            <w:vAlign w:val="center"/>
            <w:hideMark/>
          </w:tcPr>
          <w:p w14:paraId="11868C92"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Periodo</w:t>
            </w:r>
          </w:p>
        </w:tc>
        <w:tc>
          <w:tcPr>
            <w:tcW w:w="1660" w:type="dxa"/>
            <w:tcBorders>
              <w:top w:val="nil"/>
              <w:left w:val="nil"/>
              <w:bottom w:val="single" w:sz="8" w:space="0" w:color="305496"/>
              <w:right w:val="nil"/>
            </w:tcBorders>
            <w:shd w:val="clear" w:color="000000" w:fill="E7E6E6"/>
            <w:noWrap/>
            <w:vAlign w:val="center"/>
            <w:hideMark/>
          </w:tcPr>
          <w:p w14:paraId="71CB650C"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 xml:space="preserve">Formulado </w:t>
            </w:r>
          </w:p>
        </w:tc>
        <w:tc>
          <w:tcPr>
            <w:tcW w:w="1480" w:type="dxa"/>
            <w:tcBorders>
              <w:top w:val="nil"/>
              <w:left w:val="nil"/>
              <w:bottom w:val="single" w:sz="8" w:space="0" w:color="305496"/>
              <w:right w:val="nil"/>
            </w:tcBorders>
            <w:shd w:val="clear" w:color="000000" w:fill="E7E6E6"/>
            <w:noWrap/>
            <w:vAlign w:val="center"/>
            <w:hideMark/>
          </w:tcPr>
          <w:p w14:paraId="22F07D6A"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Ejecutado</w:t>
            </w:r>
          </w:p>
        </w:tc>
        <w:tc>
          <w:tcPr>
            <w:tcW w:w="1432" w:type="dxa"/>
            <w:tcBorders>
              <w:top w:val="nil"/>
              <w:left w:val="nil"/>
              <w:bottom w:val="single" w:sz="8" w:space="0" w:color="305496"/>
              <w:right w:val="nil"/>
            </w:tcBorders>
            <w:shd w:val="clear" w:color="000000" w:fill="E7E6E6"/>
            <w:noWrap/>
            <w:vAlign w:val="center"/>
            <w:hideMark/>
          </w:tcPr>
          <w:p w14:paraId="7F080F50"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 Ejecución</w:t>
            </w:r>
          </w:p>
        </w:tc>
      </w:tr>
      <w:tr w:rsidR="00083CA4" w:rsidRPr="002A7673" w14:paraId="2EABA0BB" w14:textId="77777777" w:rsidTr="005F7139">
        <w:trPr>
          <w:trHeight w:val="300"/>
          <w:jc w:val="center"/>
        </w:trPr>
        <w:tc>
          <w:tcPr>
            <w:tcW w:w="1240" w:type="dxa"/>
            <w:tcBorders>
              <w:top w:val="nil"/>
              <w:left w:val="nil"/>
              <w:bottom w:val="nil"/>
              <w:right w:val="nil"/>
            </w:tcBorders>
            <w:shd w:val="clear" w:color="auto" w:fill="auto"/>
            <w:noWrap/>
            <w:vAlign w:val="center"/>
            <w:hideMark/>
          </w:tcPr>
          <w:p w14:paraId="0C55F8E7"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lastRenderedPageBreak/>
              <w:t>2018</w:t>
            </w:r>
          </w:p>
        </w:tc>
        <w:tc>
          <w:tcPr>
            <w:tcW w:w="1660" w:type="dxa"/>
            <w:tcBorders>
              <w:top w:val="nil"/>
              <w:left w:val="nil"/>
              <w:bottom w:val="nil"/>
              <w:right w:val="nil"/>
            </w:tcBorders>
            <w:shd w:val="clear" w:color="auto" w:fill="auto"/>
            <w:noWrap/>
            <w:vAlign w:val="center"/>
            <w:hideMark/>
          </w:tcPr>
          <w:p w14:paraId="593A62CC" w14:textId="77777777" w:rsidR="00083CA4" w:rsidRPr="002A7673" w:rsidRDefault="00083CA4" w:rsidP="005F7139">
            <w:pPr>
              <w:spacing w:after="0" w:line="240" w:lineRule="auto"/>
              <w:jc w:val="center"/>
              <w:rPr>
                <w:rFonts w:ascii="Times New Roman" w:eastAsia="Times New Roman" w:hAnsi="Times New Roman" w:cs="Times New Roman"/>
                <w:sz w:val="24"/>
                <w:szCs w:val="24"/>
                <w:lang w:eastAsia="es-CR"/>
              </w:rPr>
            </w:pPr>
            <w:r w:rsidRPr="002A7673">
              <w:rPr>
                <w:rFonts w:ascii="Times New Roman" w:eastAsia="Times New Roman" w:hAnsi="Times New Roman" w:cs="Times New Roman"/>
                <w:sz w:val="24"/>
                <w:szCs w:val="24"/>
                <w:lang w:eastAsia="es-CR"/>
              </w:rPr>
              <w:t xml:space="preserve">    2,425,092,168 </w:t>
            </w:r>
          </w:p>
        </w:tc>
        <w:tc>
          <w:tcPr>
            <w:tcW w:w="1480" w:type="dxa"/>
            <w:tcBorders>
              <w:top w:val="nil"/>
              <w:left w:val="nil"/>
              <w:bottom w:val="nil"/>
              <w:right w:val="nil"/>
            </w:tcBorders>
            <w:shd w:val="clear" w:color="auto" w:fill="auto"/>
            <w:noWrap/>
            <w:vAlign w:val="bottom"/>
            <w:hideMark/>
          </w:tcPr>
          <w:p w14:paraId="2FED24BF" w14:textId="77777777" w:rsidR="00083CA4" w:rsidRPr="002A7673" w:rsidRDefault="00083CA4" w:rsidP="005F7139">
            <w:pPr>
              <w:spacing w:after="0" w:line="240" w:lineRule="auto"/>
              <w:rPr>
                <w:rFonts w:ascii="Times New Roman" w:eastAsia="Times New Roman" w:hAnsi="Times New Roman" w:cs="Times New Roman"/>
                <w:sz w:val="24"/>
                <w:szCs w:val="24"/>
                <w:lang w:eastAsia="es-CR"/>
              </w:rPr>
            </w:pPr>
            <w:r w:rsidRPr="002A7673">
              <w:rPr>
                <w:rFonts w:ascii="Times New Roman" w:eastAsia="Times New Roman" w:hAnsi="Times New Roman" w:cs="Times New Roman"/>
                <w:sz w:val="24"/>
                <w:szCs w:val="24"/>
                <w:lang w:eastAsia="es-CR"/>
              </w:rPr>
              <w:t xml:space="preserve"> 2,737,234,610 </w:t>
            </w:r>
          </w:p>
        </w:tc>
        <w:tc>
          <w:tcPr>
            <w:tcW w:w="1432" w:type="dxa"/>
            <w:tcBorders>
              <w:top w:val="nil"/>
              <w:left w:val="nil"/>
              <w:bottom w:val="nil"/>
              <w:right w:val="nil"/>
            </w:tcBorders>
            <w:shd w:val="clear" w:color="auto" w:fill="auto"/>
            <w:noWrap/>
            <w:vAlign w:val="bottom"/>
            <w:hideMark/>
          </w:tcPr>
          <w:p w14:paraId="37A777CC"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113%</w:t>
            </w:r>
          </w:p>
        </w:tc>
      </w:tr>
      <w:tr w:rsidR="00083CA4" w:rsidRPr="002A7673" w14:paraId="53E246BC" w14:textId="77777777" w:rsidTr="005F7139">
        <w:trPr>
          <w:trHeight w:val="300"/>
          <w:jc w:val="center"/>
        </w:trPr>
        <w:tc>
          <w:tcPr>
            <w:tcW w:w="1240" w:type="dxa"/>
            <w:tcBorders>
              <w:top w:val="nil"/>
              <w:left w:val="nil"/>
              <w:bottom w:val="nil"/>
              <w:right w:val="nil"/>
            </w:tcBorders>
            <w:shd w:val="clear" w:color="auto" w:fill="auto"/>
            <w:noWrap/>
            <w:vAlign w:val="center"/>
            <w:hideMark/>
          </w:tcPr>
          <w:p w14:paraId="0941F4B0"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2019</w:t>
            </w:r>
          </w:p>
        </w:tc>
        <w:tc>
          <w:tcPr>
            <w:tcW w:w="1660" w:type="dxa"/>
            <w:tcBorders>
              <w:top w:val="nil"/>
              <w:left w:val="nil"/>
              <w:bottom w:val="nil"/>
              <w:right w:val="nil"/>
            </w:tcBorders>
            <w:shd w:val="clear" w:color="auto" w:fill="auto"/>
            <w:noWrap/>
            <w:vAlign w:val="center"/>
            <w:hideMark/>
          </w:tcPr>
          <w:p w14:paraId="4254B3BE" w14:textId="77777777" w:rsidR="00083CA4" w:rsidRPr="002A7673" w:rsidRDefault="00083CA4" w:rsidP="005F7139">
            <w:pPr>
              <w:spacing w:after="0" w:line="240" w:lineRule="auto"/>
              <w:jc w:val="center"/>
              <w:rPr>
                <w:rFonts w:ascii="Times New Roman" w:eastAsia="Times New Roman" w:hAnsi="Times New Roman" w:cs="Times New Roman"/>
                <w:sz w:val="24"/>
                <w:szCs w:val="24"/>
                <w:lang w:eastAsia="es-CR"/>
              </w:rPr>
            </w:pPr>
            <w:r w:rsidRPr="002A7673">
              <w:rPr>
                <w:rFonts w:ascii="Times New Roman" w:eastAsia="Times New Roman" w:hAnsi="Times New Roman" w:cs="Times New Roman"/>
                <w:sz w:val="24"/>
                <w:szCs w:val="24"/>
                <w:lang w:eastAsia="es-CR"/>
              </w:rPr>
              <w:t xml:space="preserve">    2,611,573,587 </w:t>
            </w:r>
          </w:p>
        </w:tc>
        <w:tc>
          <w:tcPr>
            <w:tcW w:w="1480" w:type="dxa"/>
            <w:tcBorders>
              <w:top w:val="nil"/>
              <w:left w:val="nil"/>
              <w:bottom w:val="nil"/>
              <w:right w:val="nil"/>
            </w:tcBorders>
            <w:shd w:val="clear" w:color="auto" w:fill="auto"/>
            <w:noWrap/>
            <w:vAlign w:val="bottom"/>
            <w:hideMark/>
          </w:tcPr>
          <w:p w14:paraId="46805584" w14:textId="77777777" w:rsidR="00083CA4" w:rsidRPr="002A7673" w:rsidRDefault="00083CA4" w:rsidP="005F7139">
            <w:pPr>
              <w:spacing w:after="0" w:line="240" w:lineRule="auto"/>
              <w:rPr>
                <w:rFonts w:ascii="Times New Roman" w:eastAsia="Times New Roman" w:hAnsi="Times New Roman" w:cs="Times New Roman"/>
                <w:sz w:val="24"/>
                <w:szCs w:val="24"/>
                <w:lang w:eastAsia="es-CR"/>
              </w:rPr>
            </w:pPr>
            <w:r w:rsidRPr="002A7673">
              <w:rPr>
                <w:rFonts w:ascii="Times New Roman" w:eastAsia="Times New Roman" w:hAnsi="Times New Roman" w:cs="Times New Roman"/>
                <w:sz w:val="24"/>
                <w:szCs w:val="24"/>
                <w:lang w:eastAsia="es-CR"/>
              </w:rPr>
              <w:t xml:space="preserve"> 2,775,848,462 </w:t>
            </w:r>
          </w:p>
        </w:tc>
        <w:tc>
          <w:tcPr>
            <w:tcW w:w="1432" w:type="dxa"/>
            <w:tcBorders>
              <w:top w:val="nil"/>
              <w:left w:val="nil"/>
              <w:bottom w:val="nil"/>
              <w:right w:val="nil"/>
            </w:tcBorders>
            <w:shd w:val="clear" w:color="auto" w:fill="auto"/>
            <w:noWrap/>
            <w:vAlign w:val="bottom"/>
            <w:hideMark/>
          </w:tcPr>
          <w:p w14:paraId="445D8C75"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106%</w:t>
            </w:r>
          </w:p>
        </w:tc>
      </w:tr>
      <w:tr w:rsidR="00083CA4" w:rsidRPr="002A7673" w14:paraId="102591FF" w14:textId="77777777" w:rsidTr="005F7139">
        <w:trPr>
          <w:trHeight w:val="300"/>
          <w:jc w:val="center"/>
        </w:trPr>
        <w:tc>
          <w:tcPr>
            <w:tcW w:w="1240" w:type="dxa"/>
            <w:tcBorders>
              <w:top w:val="nil"/>
              <w:left w:val="nil"/>
              <w:bottom w:val="single" w:sz="8" w:space="0" w:color="305496"/>
              <w:right w:val="nil"/>
            </w:tcBorders>
            <w:shd w:val="clear" w:color="auto" w:fill="auto"/>
            <w:noWrap/>
            <w:vAlign w:val="center"/>
            <w:hideMark/>
          </w:tcPr>
          <w:p w14:paraId="2AC07928"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2020</w:t>
            </w:r>
          </w:p>
        </w:tc>
        <w:tc>
          <w:tcPr>
            <w:tcW w:w="1660" w:type="dxa"/>
            <w:tcBorders>
              <w:top w:val="nil"/>
              <w:left w:val="nil"/>
              <w:bottom w:val="single" w:sz="8" w:space="0" w:color="305496"/>
              <w:right w:val="nil"/>
            </w:tcBorders>
            <w:shd w:val="clear" w:color="auto" w:fill="auto"/>
            <w:noWrap/>
            <w:vAlign w:val="center"/>
            <w:hideMark/>
          </w:tcPr>
          <w:p w14:paraId="34F4CBB9" w14:textId="77777777" w:rsidR="00083CA4" w:rsidRPr="002A7673" w:rsidRDefault="00083CA4" w:rsidP="005F7139">
            <w:pPr>
              <w:spacing w:after="0" w:line="240" w:lineRule="auto"/>
              <w:jc w:val="center"/>
              <w:rPr>
                <w:rFonts w:ascii="Times New Roman" w:eastAsia="Times New Roman" w:hAnsi="Times New Roman" w:cs="Times New Roman"/>
                <w:sz w:val="24"/>
                <w:szCs w:val="24"/>
                <w:lang w:eastAsia="es-CR"/>
              </w:rPr>
            </w:pPr>
            <w:r w:rsidRPr="002A7673">
              <w:rPr>
                <w:rFonts w:ascii="Times New Roman" w:eastAsia="Times New Roman" w:hAnsi="Times New Roman" w:cs="Times New Roman"/>
                <w:sz w:val="24"/>
                <w:szCs w:val="24"/>
                <w:lang w:eastAsia="es-CR"/>
              </w:rPr>
              <w:t xml:space="preserve">    2,243,152,565 </w:t>
            </w:r>
          </w:p>
        </w:tc>
        <w:tc>
          <w:tcPr>
            <w:tcW w:w="1480" w:type="dxa"/>
            <w:tcBorders>
              <w:top w:val="nil"/>
              <w:left w:val="nil"/>
              <w:bottom w:val="single" w:sz="8" w:space="0" w:color="305496"/>
              <w:right w:val="nil"/>
            </w:tcBorders>
            <w:shd w:val="clear" w:color="auto" w:fill="auto"/>
            <w:noWrap/>
            <w:vAlign w:val="bottom"/>
            <w:hideMark/>
          </w:tcPr>
          <w:p w14:paraId="2E384A08" w14:textId="77777777" w:rsidR="00083CA4" w:rsidRPr="002A7673" w:rsidRDefault="00083CA4" w:rsidP="005F7139">
            <w:pPr>
              <w:spacing w:after="0" w:line="240" w:lineRule="auto"/>
              <w:rPr>
                <w:rFonts w:ascii="Times New Roman" w:eastAsia="Times New Roman" w:hAnsi="Times New Roman" w:cs="Times New Roman"/>
                <w:sz w:val="24"/>
                <w:szCs w:val="24"/>
                <w:lang w:eastAsia="es-CR"/>
              </w:rPr>
            </w:pPr>
            <w:r w:rsidRPr="002A7673">
              <w:rPr>
                <w:rFonts w:ascii="Times New Roman" w:eastAsia="Times New Roman" w:hAnsi="Times New Roman" w:cs="Times New Roman"/>
                <w:sz w:val="24"/>
                <w:szCs w:val="24"/>
                <w:lang w:eastAsia="es-CR"/>
              </w:rPr>
              <w:t xml:space="preserve"> 2,082,111,290 </w:t>
            </w:r>
          </w:p>
        </w:tc>
        <w:tc>
          <w:tcPr>
            <w:tcW w:w="1432" w:type="dxa"/>
            <w:tcBorders>
              <w:top w:val="nil"/>
              <w:left w:val="nil"/>
              <w:bottom w:val="single" w:sz="8" w:space="0" w:color="305496"/>
              <w:right w:val="nil"/>
            </w:tcBorders>
            <w:shd w:val="clear" w:color="auto" w:fill="auto"/>
            <w:noWrap/>
            <w:vAlign w:val="bottom"/>
            <w:hideMark/>
          </w:tcPr>
          <w:p w14:paraId="407CD5DF"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93%</w:t>
            </w:r>
          </w:p>
        </w:tc>
      </w:tr>
      <w:tr w:rsidR="00083CA4" w:rsidRPr="002A7673" w14:paraId="1853559F" w14:textId="77777777" w:rsidTr="005F7139">
        <w:trPr>
          <w:trHeight w:val="300"/>
          <w:jc w:val="center"/>
        </w:trPr>
        <w:tc>
          <w:tcPr>
            <w:tcW w:w="1240" w:type="dxa"/>
            <w:tcBorders>
              <w:top w:val="nil"/>
              <w:left w:val="nil"/>
              <w:bottom w:val="single" w:sz="8" w:space="0" w:color="305496"/>
              <w:right w:val="nil"/>
            </w:tcBorders>
            <w:shd w:val="clear" w:color="000000" w:fill="E7E6E6"/>
            <w:noWrap/>
            <w:vAlign w:val="center"/>
            <w:hideMark/>
          </w:tcPr>
          <w:p w14:paraId="0C5EB024" w14:textId="77777777" w:rsidR="00083CA4" w:rsidRPr="002A7673" w:rsidRDefault="00083CA4" w:rsidP="005F7139">
            <w:pPr>
              <w:spacing w:after="0" w:line="240" w:lineRule="auto"/>
              <w:jc w:val="center"/>
              <w:rPr>
                <w:rFonts w:ascii="Times New Roman" w:eastAsia="Times New Roman" w:hAnsi="Times New Roman" w:cs="Times New Roman"/>
                <w:b/>
                <w:bCs/>
                <w:color w:val="203764"/>
                <w:sz w:val="24"/>
                <w:szCs w:val="24"/>
                <w:lang w:eastAsia="es-CR"/>
              </w:rPr>
            </w:pPr>
            <w:r w:rsidRPr="002A7673">
              <w:rPr>
                <w:rFonts w:ascii="Times New Roman" w:eastAsia="Times New Roman" w:hAnsi="Times New Roman" w:cs="Times New Roman"/>
                <w:b/>
                <w:bCs/>
                <w:color w:val="203764"/>
                <w:sz w:val="24"/>
                <w:szCs w:val="24"/>
                <w:lang w:eastAsia="es-CR"/>
              </w:rPr>
              <w:t>Total</w:t>
            </w:r>
          </w:p>
        </w:tc>
        <w:tc>
          <w:tcPr>
            <w:tcW w:w="1660" w:type="dxa"/>
            <w:tcBorders>
              <w:top w:val="nil"/>
              <w:left w:val="nil"/>
              <w:bottom w:val="single" w:sz="8" w:space="0" w:color="305496"/>
              <w:right w:val="nil"/>
            </w:tcBorders>
            <w:shd w:val="clear" w:color="000000" w:fill="E7E6E6"/>
            <w:noWrap/>
            <w:vAlign w:val="bottom"/>
            <w:hideMark/>
          </w:tcPr>
          <w:p w14:paraId="27981A04"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7,279,818,320 </w:t>
            </w:r>
          </w:p>
        </w:tc>
        <w:tc>
          <w:tcPr>
            <w:tcW w:w="1480" w:type="dxa"/>
            <w:tcBorders>
              <w:top w:val="nil"/>
              <w:left w:val="nil"/>
              <w:bottom w:val="single" w:sz="8" w:space="0" w:color="305496"/>
              <w:right w:val="nil"/>
            </w:tcBorders>
            <w:shd w:val="clear" w:color="000000" w:fill="E7E6E6"/>
            <w:noWrap/>
            <w:vAlign w:val="bottom"/>
            <w:hideMark/>
          </w:tcPr>
          <w:p w14:paraId="112AC321"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7,595,194,362 </w:t>
            </w:r>
          </w:p>
        </w:tc>
        <w:tc>
          <w:tcPr>
            <w:tcW w:w="1432" w:type="dxa"/>
            <w:tcBorders>
              <w:top w:val="nil"/>
              <w:left w:val="nil"/>
              <w:bottom w:val="single" w:sz="8" w:space="0" w:color="305496"/>
              <w:right w:val="nil"/>
            </w:tcBorders>
            <w:shd w:val="clear" w:color="000000" w:fill="E7E6E6"/>
            <w:noWrap/>
            <w:vAlign w:val="bottom"/>
            <w:hideMark/>
          </w:tcPr>
          <w:p w14:paraId="308C7AE4"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104%</w:t>
            </w:r>
          </w:p>
        </w:tc>
      </w:tr>
    </w:tbl>
    <w:p w14:paraId="5008719A" w14:textId="77777777" w:rsidR="00083CA4" w:rsidRPr="002A7673" w:rsidRDefault="00083CA4" w:rsidP="005F7139">
      <w:pPr>
        <w:spacing w:after="0" w:line="240" w:lineRule="auto"/>
        <w:ind w:firstLine="708"/>
        <w:jc w:val="both"/>
        <w:rPr>
          <w:rFonts w:ascii="Times New Roman" w:eastAsia="Calibri" w:hAnsi="Times New Roman" w:cs="Times New Roman"/>
          <w:bCs/>
          <w:sz w:val="16"/>
          <w:szCs w:val="16"/>
        </w:rPr>
      </w:pPr>
      <w:r w:rsidRPr="002A7673">
        <w:rPr>
          <w:rFonts w:ascii="Times New Roman" w:eastAsia="Calibri" w:hAnsi="Times New Roman" w:cs="Times New Roman"/>
          <w:bCs/>
          <w:sz w:val="20"/>
          <w:szCs w:val="18"/>
        </w:rPr>
        <w:t xml:space="preserve">               </w:t>
      </w:r>
      <w:r w:rsidRPr="002A7673">
        <w:rPr>
          <w:rFonts w:ascii="Times New Roman" w:eastAsia="Calibri" w:hAnsi="Times New Roman" w:cs="Times New Roman"/>
          <w:bCs/>
          <w:sz w:val="16"/>
          <w:szCs w:val="16"/>
        </w:rPr>
        <w:t>Fuente: Consulta realizada al sistema SIGA PJ el 8-3-2021.</w:t>
      </w:r>
    </w:p>
    <w:p w14:paraId="6EFB0DAA" w14:textId="77777777" w:rsidR="00083CA4" w:rsidRPr="002A7673" w:rsidRDefault="00083CA4" w:rsidP="005F7139">
      <w:pPr>
        <w:spacing w:after="0" w:line="240" w:lineRule="auto"/>
        <w:jc w:val="both"/>
        <w:rPr>
          <w:rFonts w:ascii="Times New Roman" w:eastAsia="Calibri" w:hAnsi="Times New Roman" w:cs="Times New Roman"/>
          <w:sz w:val="16"/>
          <w:szCs w:val="16"/>
        </w:rPr>
      </w:pPr>
    </w:p>
    <w:p w14:paraId="3048221A" w14:textId="77777777" w:rsidR="00083CA4" w:rsidRPr="002A7673" w:rsidRDefault="00083CA4" w:rsidP="005F7139">
      <w:pPr>
        <w:spacing w:after="0" w:line="240" w:lineRule="auto"/>
        <w:jc w:val="both"/>
        <w:rPr>
          <w:rFonts w:ascii="Times New Roman" w:eastAsia="Calibri" w:hAnsi="Times New Roman" w:cs="Times New Roman"/>
          <w:sz w:val="16"/>
          <w:szCs w:val="16"/>
        </w:rPr>
      </w:pPr>
    </w:p>
    <w:p w14:paraId="5A511649" w14:textId="77777777" w:rsidR="00083CA4" w:rsidRPr="002A7673" w:rsidRDefault="00083CA4" w:rsidP="005F7139">
      <w:pPr>
        <w:spacing w:after="0" w:line="240" w:lineRule="auto"/>
        <w:jc w:val="both"/>
        <w:rPr>
          <w:rFonts w:ascii="Times New Roman" w:eastAsia="Calibri" w:hAnsi="Times New Roman" w:cs="Times New Roman"/>
          <w:sz w:val="16"/>
          <w:szCs w:val="16"/>
        </w:rPr>
      </w:pPr>
    </w:p>
    <w:p w14:paraId="73D0DC5D"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16"/>
          <w:szCs w:val="16"/>
        </w:rPr>
      </w:pPr>
    </w:p>
    <w:p w14:paraId="2EA2C091" w14:textId="77777777" w:rsidR="00083CA4" w:rsidRPr="002A7673" w:rsidRDefault="00083CA4" w:rsidP="00D527DE">
      <w:pPr>
        <w:keepNext/>
        <w:keepLines/>
        <w:numPr>
          <w:ilvl w:val="1"/>
          <w:numId w:val="13"/>
        </w:numPr>
        <w:spacing w:after="0" w:line="240" w:lineRule="auto"/>
        <w:ind w:left="851" w:right="851" w:firstLine="709"/>
        <w:outlineLvl w:val="1"/>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b/>
          <w:bCs/>
          <w:i/>
          <w:iCs/>
          <w:sz w:val="26"/>
          <w:szCs w:val="26"/>
          <w:lang w:val="es-ES" w:eastAsia="es-ES"/>
        </w:rPr>
        <w:t xml:space="preserve"> Variación por Programa Presupuestario</w:t>
      </w:r>
    </w:p>
    <w:p w14:paraId="34C239FE" w14:textId="77777777" w:rsidR="00083CA4" w:rsidRPr="002A7673" w:rsidRDefault="00083CA4" w:rsidP="00F422DD">
      <w:pPr>
        <w:spacing w:after="0" w:line="240" w:lineRule="auto"/>
        <w:ind w:left="851" w:right="851" w:firstLine="709"/>
        <w:rPr>
          <w:rFonts w:ascii="Times New Roman" w:eastAsia="Calibri" w:hAnsi="Times New Roman" w:cs="Times New Roman"/>
          <w:sz w:val="26"/>
          <w:szCs w:val="26"/>
        </w:rPr>
      </w:pPr>
    </w:p>
    <w:p w14:paraId="1A378B69"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lo que corresponde a la distribución de los recursos por programa, la mayor concentración de estos se encuentra en el 926</w:t>
      </w:r>
      <w:r w:rsidRPr="002A7673">
        <w:rPr>
          <w:rFonts w:ascii="Times New Roman" w:eastAsia="Times New Roman" w:hAnsi="Times New Roman" w:cs="Times New Roman"/>
          <w:color w:val="000000"/>
          <w:sz w:val="26"/>
          <w:szCs w:val="26"/>
          <w:lang w:eastAsia="es-CR"/>
        </w:rPr>
        <w:t xml:space="preserve"> </w:t>
      </w:r>
      <w:r w:rsidRPr="002A7673">
        <w:rPr>
          <w:rFonts w:ascii="Times New Roman" w:eastAsia="Calibri" w:hAnsi="Times New Roman" w:cs="Times New Roman"/>
          <w:sz w:val="26"/>
          <w:szCs w:val="26"/>
        </w:rPr>
        <w:t xml:space="preserve">Dirección, Administración y Otros Órganos de Apoyo, esto debido a que este tipo de servicios es formulado por las administraciones regionales, pertenecientes a este programa. Asimismo, este programa y el 930 Defensa Pública presentan un incremento en comparación con los recursos formulados en el 2021, con una variación de 30% y 57% respectivamente. Por su parte, el programa 950 Servicio de Atención y Protección de Víctimas y Testigos formuló para el 2022 el mismo monto aprobado para el 2021.   </w:t>
      </w:r>
    </w:p>
    <w:p w14:paraId="5FEBEF38"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p>
    <w:p w14:paraId="79451A65"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Tabla 8. Variación por programa presupuestario 2021 – 2022.</w:t>
      </w:r>
    </w:p>
    <w:p w14:paraId="6B1299D6" w14:textId="77777777" w:rsidR="00F422DD" w:rsidRPr="002A7673" w:rsidRDefault="00F422DD" w:rsidP="005F7139">
      <w:pPr>
        <w:spacing w:after="0" w:line="240" w:lineRule="auto"/>
        <w:jc w:val="center"/>
        <w:rPr>
          <w:rFonts w:ascii="Times New Roman" w:eastAsia="Times New Roman" w:hAnsi="Times New Roman" w:cs="Times New Roman"/>
          <w:b/>
          <w:bCs/>
          <w:sz w:val="26"/>
          <w:szCs w:val="26"/>
        </w:rPr>
      </w:pPr>
    </w:p>
    <w:tbl>
      <w:tblPr>
        <w:tblW w:w="10360" w:type="dxa"/>
        <w:jc w:val="center"/>
        <w:tblCellMar>
          <w:left w:w="70" w:type="dxa"/>
          <w:right w:w="70" w:type="dxa"/>
        </w:tblCellMar>
        <w:tblLook w:val="04A0" w:firstRow="1" w:lastRow="0" w:firstColumn="1" w:lastColumn="0" w:noHBand="0" w:noVBand="1"/>
      </w:tblPr>
      <w:tblGrid>
        <w:gridCol w:w="3760"/>
        <w:gridCol w:w="1360"/>
        <w:gridCol w:w="1380"/>
        <w:gridCol w:w="1380"/>
        <w:gridCol w:w="1240"/>
        <w:gridCol w:w="1240"/>
      </w:tblGrid>
      <w:tr w:rsidR="00083CA4" w:rsidRPr="002A7673" w14:paraId="1B6EA72E" w14:textId="77777777" w:rsidTr="00F422DD">
        <w:trPr>
          <w:trHeight w:val="300"/>
          <w:jc w:val="center"/>
        </w:trPr>
        <w:tc>
          <w:tcPr>
            <w:tcW w:w="3760" w:type="dxa"/>
            <w:tcBorders>
              <w:top w:val="nil"/>
              <w:left w:val="nil"/>
              <w:bottom w:val="single" w:sz="8" w:space="0" w:color="44546A"/>
              <w:right w:val="nil"/>
            </w:tcBorders>
            <w:shd w:val="clear" w:color="000000" w:fill="E7E6E6"/>
            <w:noWrap/>
            <w:vAlign w:val="center"/>
            <w:hideMark/>
          </w:tcPr>
          <w:p w14:paraId="43A49E67"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Programa</w:t>
            </w:r>
          </w:p>
        </w:tc>
        <w:tc>
          <w:tcPr>
            <w:tcW w:w="1360" w:type="dxa"/>
            <w:tcBorders>
              <w:top w:val="nil"/>
              <w:left w:val="nil"/>
              <w:bottom w:val="single" w:sz="8" w:space="0" w:color="44546A"/>
              <w:right w:val="nil"/>
            </w:tcBorders>
            <w:shd w:val="clear" w:color="000000" w:fill="E7E6E6"/>
            <w:noWrap/>
            <w:vAlign w:val="center"/>
            <w:hideMark/>
          </w:tcPr>
          <w:p w14:paraId="1D5DB268"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Ejecutado</w:t>
            </w:r>
          </w:p>
        </w:tc>
        <w:tc>
          <w:tcPr>
            <w:tcW w:w="1380" w:type="dxa"/>
            <w:tcBorders>
              <w:top w:val="nil"/>
              <w:left w:val="nil"/>
              <w:bottom w:val="single" w:sz="8" w:space="0" w:color="44546A"/>
              <w:right w:val="nil"/>
            </w:tcBorders>
            <w:shd w:val="clear" w:color="000000" w:fill="E7E6E6"/>
            <w:noWrap/>
            <w:vAlign w:val="center"/>
            <w:hideMark/>
          </w:tcPr>
          <w:p w14:paraId="2E920338"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2021</w:t>
            </w:r>
          </w:p>
        </w:tc>
        <w:tc>
          <w:tcPr>
            <w:tcW w:w="1380" w:type="dxa"/>
            <w:tcBorders>
              <w:top w:val="nil"/>
              <w:left w:val="nil"/>
              <w:bottom w:val="single" w:sz="8" w:space="0" w:color="44546A"/>
              <w:right w:val="nil"/>
            </w:tcBorders>
            <w:shd w:val="clear" w:color="000000" w:fill="E7E6E6"/>
            <w:noWrap/>
            <w:vAlign w:val="center"/>
            <w:hideMark/>
          </w:tcPr>
          <w:p w14:paraId="3292411A"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2022</w:t>
            </w:r>
          </w:p>
        </w:tc>
        <w:tc>
          <w:tcPr>
            <w:tcW w:w="1240" w:type="dxa"/>
            <w:tcBorders>
              <w:top w:val="nil"/>
              <w:left w:val="nil"/>
              <w:bottom w:val="single" w:sz="8" w:space="0" w:color="44546A"/>
              <w:right w:val="nil"/>
            </w:tcBorders>
            <w:shd w:val="clear" w:color="000000" w:fill="E7E6E6"/>
            <w:noWrap/>
            <w:vAlign w:val="center"/>
            <w:hideMark/>
          </w:tcPr>
          <w:p w14:paraId="2FD86068"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Diferencia</w:t>
            </w:r>
            <w:r w:rsidRPr="002A7673">
              <w:rPr>
                <w:rFonts w:ascii="Times New Roman" w:eastAsia="Times New Roman" w:hAnsi="Times New Roman" w:cs="Times New Roman"/>
                <w:b/>
                <w:bCs/>
                <w:color w:val="305496"/>
                <w:lang w:eastAsia="es-CR"/>
              </w:rPr>
              <w:t>*</w:t>
            </w:r>
          </w:p>
        </w:tc>
        <w:tc>
          <w:tcPr>
            <w:tcW w:w="1240" w:type="dxa"/>
            <w:tcBorders>
              <w:top w:val="nil"/>
              <w:left w:val="nil"/>
              <w:bottom w:val="single" w:sz="8" w:space="0" w:color="44546A"/>
              <w:right w:val="nil"/>
            </w:tcBorders>
            <w:shd w:val="clear" w:color="000000" w:fill="E7E6E6"/>
            <w:noWrap/>
            <w:vAlign w:val="center"/>
            <w:hideMark/>
          </w:tcPr>
          <w:p w14:paraId="1AF74715"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 Variación</w:t>
            </w:r>
          </w:p>
        </w:tc>
      </w:tr>
      <w:tr w:rsidR="00083CA4" w:rsidRPr="002A7673" w14:paraId="31EC5935" w14:textId="77777777" w:rsidTr="00F422DD">
        <w:trPr>
          <w:trHeight w:val="300"/>
          <w:jc w:val="center"/>
        </w:trPr>
        <w:tc>
          <w:tcPr>
            <w:tcW w:w="3760" w:type="dxa"/>
            <w:tcBorders>
              <w:top w:val="nil"/>
              <w:left w:val="nil"/>
              <w:bottom w:val="single" w:sz="8" w:space="0" w:color="44546A"/>
              <w:right w:val="nil"/>
            </w:tcBorders>
            <w:shd w:val="clear" w:color="000000" w:fill="E7E6E6"/>
            <w:noWrap/>
            <w:vAlign w:val="center"/>
            <w:hideMark/>
          </w:tcPr>
          <w:p w14:paraId="7F104C2D" w14:textId="77777777" w:rsidR="00083CA4" w:rsidRPr="002A7673" w:rsidRDefault="00083CA4" w:rsidP="005F7139">
            <w:pPr>
              <w:spacing w:after="0" w:line="240" w:lineRule="auto"/>
              <w:rPr>
                <w:rFonts w:ascii="Times New Roman" w:eastAsia="Times New Roman" w:hAnsi="Times New Roman" w:cs="Times New Roman"/>
                <w:color w:val="305496"/>
                <w:sz w:val="18"/>
                <w:szCs w:val="18"/>
                <w:lang w:eastAsia="es-CR"/>
              </w:rPr>
            </w:pPr>
            <w:proofErr w:type="spellStart"/>
            <w:r w:rsidRPr="002A7673">
              <w:rPr>
                <w:rFonts w:ascii="Times New Roman" w:eastAsia="Times New Roman" w:hAnsi="Times New Roman" w:cs="Times New Roman"/>
                <w:color w:val="305496"/>
                <w:sz w:val="18"/>
                <w:szCs w:val="18"/>
                <w:lang w:eastAsia="es-CR"/>
              </w:rPr>
              <w:t>Direc</w:t>
            </w:r>
            <w:proofErr w:type="spellEnd"/>
            <w:r w:rsidRPr="002A7673">
              <w:rPr>
                <w:rFonts w:ascii="Times New Roman" w:eastAsia="Times New Roman" w:hAnsi="Times New Roman" w:cs="Times New Roman"/>
                <w:color w:val="305496"/>
                <w:sz w:val="18"/>
                <w:szCs w:val="18"/>
                <w:lang w:eastAsia="es-CR"/>
              </w:rPr>
              <w:t xml:space="preserve">, </w:t>
            </w:r>
            <w:proofErr w:type="spellStart"/>
            <w:r w:rsidRPr="002A7673">
              <w:rPr>
                <w:rFonts w:ascii="Times New Roman" w:eastAsia="Times New Roman" w:hAnsi="Times New Roman" w:cs="Times New Roman"/>
                <w:color w:val="305496"/>
                <w:sz w:val="18"/>
                <w:szCs w:val="18"/>
                <w:lang w:eastAsia="es-CR"/>
              </w:rPr>
              <w:t>Adm</w:t>
            </w:r>
            <w:proofErr w:type="spellEnd"/>
            <w:r w:rsidRPr="002A7673">
              <w:rPr>
                <w:rFonts w:ascii="Times New Roman" w:eastAsia="Times New Roman" w:hAnsi="Times New Roman" w:cs="Times New Roman"/>
                <w:color w:val="305496"/>
                <w:sz w:val="18"/>
                <w:szCs w:val="18"/>
                <w:lang w:eastAsia="es-CR"/>
              </w:rPr>
              <w:t xml:space="preserve"> y Otros Órganos de Apoyo</w:t>
            </w:r>
          </w:p>
        </w:tc>
        <w:tc>
          <w:tcPr>
            <w:tcW w:w="1360" w:type="dxa"/>
            <w:tcBorders>
              <w:top w:val="nil"/>
              <w:left w:val="nil"/>
              <w:bottom w:val="single" w:sz="8" w:space="0" w:color="44546A"/>
              <w:right w:val="nil"/>
            </w:tcBorders>
            <w:shd w:val="clear" w:color="000000" w:fill="E7E6E6"/>
            <w:noWrap/>
            <w:vAlign w:val="center"/>
            <w:hideMark/>
          </w:tcPr>
          <w:p w14:paraId="2F474A97"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 xml:space="preserve"> 1,655,798,613 </w:t>
            </w:r>
          </w:p>
        </w:tc>
        <w:tc>
          <w:tcPr>
            <w:tcW w:w="1380" w:type="dxa"/>
            <w:tcBorders>
              <w:top w:val="nil"/>
              <w:left w:val="nil"/>
              <w:bottom w:val="single" w:sz="8" w:space="0" w:color="44546A"/>
              <w:right w:val="nil"/>
            </w:tcBorders>
            <w:shd w:val="clear" w:color="000000" w:fill="E7E6E6"/>
            <w:noWrap/>
            <w:vAlign w:val="center"/>
            <w:hideMark/>
          </w:tcPr>
          <w:p w14:paraId="5D056097"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1,493,370,663</w:t>
            </w:r>
          </w:p>
        </w:tc>
        <w:tc>
          <w:tcPr>
            <w:tcW w:w="1380" w:type="dxa"/>
            <w:tcBorders>
              <w:top w:val="nil"/>
              <w:left w:val="nil"/>
              <w:bottom w:val="single" w:sz="8" w:space="0" w:color="44546A"/>
              <w:right w:val="nil"/>
            </w:tcBorders>
            <w:shd w:val="clear" w:color="000000" w:fill="E7E6E6"/>
            <w:noWrap/>
            <w:vAlign w:val="center"/>
            <w:hideMark/>
          </w:tcPr>
          <w:p w14:paraId="3257639D"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1,910,017,530</w:t>
            </w:r>
          </w:p>
        </w:tc>
        <w:tc>
          <w:tcPr>
            <w:tcW w:w="1240" w:type="dxa"/>
            <w:tcBorders>
              <w:top w:val="nil"/>
              <w:left w:val="nil"/>
              <w:bottom w:val="single" w:sz="8" w:space="0" w:color="44546A"/>
              <w:right w:val="nil"/>
            </w:tcBorders>
            <w:shd w:val="clear" w:color="000000" w:fill="E7E6E6"/>
            <w:noWrap/>
            <w:vAlign w:val="center"/>
            <w:hideMark/>
          </w:tcPr>
          <w:p w14:paraId="5D9540F2"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416,646,867</w:t>
            </w:r>
          </w:p>
        </w:tc>
        <w:tc>
          <w:tcPr>
            <w:tcW w:w="1240" w:type="dxa"/>
            <w:tcBorders>
              <w:top w:val="nil"/>
              <w:left w:val="nil"/>
              <w:bottom w:val="single" w:sz="8" w:space="0" w:color="44546A"/>
              <w:right w:val="nil"/>
            </w:tcBorders>
            <w:shd w:val="clear" w:color="000000" w:fill="E7E6E6"/>
            <w:noWrap/>
            <w:vAlign w:val="center"/>
            <w:hideMark/>
          </w:tcPr>
          <w:p w14:paraId="41E9659F"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28%</w:t>
            </w:r>
          </w:p>
        </w:tc>
      </w:tr>
      <w:tr w:rsidR="00083CA4" w:rsidRPr="002A7673" w14:paraId="3E1CD393" w14:textId="77777777" w:rsidTr="00F422DD">
        <w:trPr>
          <w:trHeight w:val="300"/>
          <w:jc w:val="center"/>
        </w:trPr>
        <w:tc>
          <w:tcPr>
            <w:tcW w:w="3760" w:type="dxa"/>
            <w:tcBorders>
              <w:top w:val="nil"/>
              <w:left w:val="nil"/>
              <w:bottom w:val="single" w:sz="8" w:space="0" w:color="44546A"/>
              <w:right w:val="nil"/>
            </w:tcBorders>
            <w:shd w:val="clear" w:color="000000" w:fill="E7E6E6"/>
            <w:noWrap/>
            <w:vAlign w:val="center"/>
            <w:hideMark/>
          </w:tcPr>
          <w:p w14:paraId="532714EE" w14:textId="77777777" w:rsidR="00083CA4" w:rsidRPr="002A7673" w:rsidRDefault="00083CA4" w:rsidP="005F7139">
            <w:pPr>
              <w:spacing w:after="0" w:line="240" w:lineRule="auto"/>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Servicio Jurisdiccional</w:t>
            </w:r>
          </w:p>
        </w:tc>
        <w:tc>
          <w:tcPr>
            <w:tcW w:w="1360" w:type="dxa"/>
            <w:tcBorders>
              <w:top w:val="nil"/>
              <w:left w:val="nil"/>
              <w:bottom w:val="single" w:sz="8" w:space="0" w:color="44546A"/>
              <w:right w:val="nil"/>
            </w:tcBorders>
            <w:shd w:val="clear" w:color="000000" w:fill="E7E6E6"/>
            <w:noWrap/>
            <w:vAlign w:val="center"/>
            <w:hideMark/>
          </w:tcPr>
          <w:p w14:paraId="1D5ABDAA"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 xml:space="preserve">      159,641,227 </w:t>
            </w:r>
          </w:p>
        </w:tc>
        <w:tc>
          <w:tcPr>
            <w:tcW w:w="1380" w:type="dxa"/>
            <w:tcBorders>
              <w:top w:val="nil"/>
              <w:left w:val="nil"/>
              <w:bottom w:val="single" w:sz="8" w:space="0" w:color="44546A"/>
              <w:right w:val="nil"/>
            </w:tcBorders>
            <w:shd w:val="clear" w:color="000000" w:fill="E7E6E6"/>
            <w:noWrap/>
            <w:vAlign w:val="center"/>
            <w:hideMark/>
          </w:tcPr>
          <w:p w14:paraId="3D2AD602"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134,967,390</w:t>
            </w:r>
          </w:p>
        </w:tc>
        <w:tc>
          <w:tcPr>
            <w:tcW w:w="1380" w:type="dxa"/>
            <w:tcBorders>
              <w:top w:val="nil"/>
              <w:left w:val="nil"/>
              <w:bottom w:val="single" w:sz="8" w:space="0" w:color="44546A"/>
              <w:right w:val="nil"/>
            </w:tcBorders>
            <w:shd w:val="clear" w:color="000000" w:fill="E7E6E6"/>
            <w:noWrap/>
            <w:vAlign w:val="center"/>
            <w:hideMark/>
          </w:tcPr>
          <w:p w14:paraId="2F60EDDC"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39,152,120</w:t>
            </w:r>
          </w:p>
        </w:tc>
        <w:tc>
          <w:tcPr>
            <w:tcW w:w="1240" w:type="dxa"/>
            <w:tcBorders>
              <w:top w:val="nil"/>
              <w:left w:val="nil"/>
              <w:bottom w:val="single" w:sz="8" w:space="0" w:color="44546A"/>
              <w:right w:val="nil"/>
            </w:tcBorders>
            <w:shd w:val="clear" w:color="000000" w:fill="E7E6E6"/>
            <w:noWrap/>
            <w:vAlign w:val="center"/>
            <w:hideMark/>
          </w:tcPr>
          <w:p w14:paraId="3491D050"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-95,815,270</w:t>
            </w:r>
          </w:p>
        </w:tc>
        <w:tc>
          <w:tcPr>
            <w:tcW w:w="1240" w:type="dxa"/>
            <w:tcBorders>
              <w:top w:val="nil"/>
              <w:left w:val="nil"/>
              <w:bottom w:val="single" w:sz="8" w:space="0" w:color="44546A"/>
              <w:right w:val="nil"/>
            </w:tcBorders>
            <w:shd w:val="clear" w:color="000000" w:fill="E7E6E6"/>
            <w:noWrap/>
            <w:vAlign w:val="center"/>
            <w:hideMark/>
          </w:tcPr>
          <w:p w14:paraId="58F15A2A"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-71%</w:t>
            </w:r>
          </w:p>
        </w:tc>
      </w:tr>
      <w:tr w:rsidR="00083CA4" w:rsidRPr="002A7673" w14:paraId="081C5818" w14:textId="77777777" w:rsidTr="00F422DD">
        <w:trPr>
          <w:trHeight w:val="300"/>
          <w:jc w:val="center"/>
        </w:trPr>
        <w:tc>
          <w:tcPr>
            <w:tcW w:w="3760" w:type="dxa"/>
            <w:tcBorders>
              <w:top w:val="nil"/>
              <w:left w:val="nil"/>
              <w:bottom w:val="single" w:sz="8" w:space="0" w:color="44546A"/>
              <w:right w:val="nil"/>
            </w:tcBorders>
            <w:shd w:val="clear" w:color="000000" w:fill="E7E6E6"/>
            <w:noWrap/>
            <w:vAlign w:val="center"/>
            <w:hideMark/>
          </w:tcPr>
          <w:p w14:paraId="72ED91D4" w14:textId="77777777" w:rsidR="00083CA4" w:rsidRPr="002A7673" w:rsidRDefault="00083CA4" w:rsidP="005F7139">
            <w:pPr>
              <w:spacing w:after="0" w:line="240" w:lineRule="auto"/>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Organismo de Investigación Judicial</w:t>
            </w:r>
          </w:p>
        </w:tc>
        <w:tc>
          <w:tcPr>
            <w:tcW w:w="1360" w:type="dxa"/>
            <w:tcBorders>
              <w:top w:val="nil"/>
              <w:left w:val="nil"/>
              <w:bottom w:val="single" w:sz="8" w:space="0" w:color="44546A"/>
              <w:right w:val="nil"/>
            </w:tcBorders>
            <w:shd w:val="clear" w:color="000000" w:fill="E7E6E6"/>
            <w:noWrap/>
            <w:vAlign w:val="center"/>
            <w:hideMark/>
          </w:tcPr>
          <w:p w14:paraId="1F0073A5"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 xml:space="preserve">        89,691,258 </w:t>
            </w:r>
          </w:p>
        </w:tc>
        <w:tc>
          <w:tcPr>
            <w:tcW w:w="1380" w:type="dxa"/>
            <w:tcBorders>
              <w:top w:val="nil"/>
              <w:left w:val="nil"/>
              <w:bottom w:val="single" w:sz="8" w:space="0" w:color="44546A"/>
              <w:right w:val="nil"/>
            </w:tcBorders>
            <w:shd w:val="clear" w:color="000000" w:fill="E7E6E6"/>
            <w:noWrap/>
            <w:vAlign w:val="center"/>
            <w:hideMark/>
          </w:tcPr>
          <w:p w14:paraId="6F613DB5"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170,878,739</w:t>
            </w:r>
          </w:p>
        </w:tc>
        <w:tc>
          <w:tcPr>
            <w:tcW w:w="1380" w:type="dxa"/>
            <w:tcBorders>
              <w:top w:val="nil"/>
              <w:left w:val="nil"/>
              <w:bottom w:val="single" w:sz="8" w:space="0" w:color="44546A"/>
              <w:right w:val="nil"/>
            </w:tcBorders>
            <w:shd w:val="clear" w:color="000000" w:fill="E7E6E6"/>
            <w:noWrap/>
            <w:vAlign w:val="center"/>
            <w:hideMark/>
          </w:tcPr>
          <w:p w14:paraId="00892E83"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103,920,762</w:t>
            </w:r>
          </w:p>
        </w:tc>
        <w:tc>
          <w:tcPr>
            <w:tcW w:w="1240" w:type="dxa"/>
            <w:tcBorders>
              <w:top w:val="nil"/>
              <w:left w:val="nil"/>
              <w:bottom w:val="single" w:sz="8" w:space="0" w:color="44546A"/>
              <w:right w:val="nil"/>
            </w:tcBorders>
            <w:shd w:val="clear" w:color="000000" w:fill="E7E6E6"/>
            <w:noWrap/>
            <w:vAlign w:val="center"/>
            <w:hideMark/>
          </w:tcPr>
          <w:p w14:paraId="29C9FE7B"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-66,957,977</w:t>
            </w:r>
          </w:p>
        </w:tc>
        <w:tc>
          <w:tcPr>
            <w:tcW w:w="1240" w:type="dxa"/>
            <w:tcBorders>
              <w:top w:val="nil"/>
              <w:left w:val="nil"/>
              <w:bottom w:val="single" w:sz="8" w:space="0" w:color="44546A"/>
              <w:right w:val="nil"/>
            </w:tcBorders>
            <w:shd w:val="clear" w:color="000000" w:fill="E7E6E6"/>
            <w:noWrap/>
            <w:vAlign w:val="center"/>
            <w:hideMark/>
          </w:tcPr>
          <w:p w14:paraId="45347293"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-39%</w:t>
            </w:r>
          </w:p>
        </w:tc>
      </w:tr>
      <w:tr w:rsidR="00083CA4" w:rsidRPr="002A7673" w14:paraId="130533E2" w14:textId="77777777" w:rsidTr="00F422DD">
        <w:trPr>
          <w:trHeight w:val="300"/>
          <w:jc w:val="center"/>
        </w:trPr>
        <w:tc>
          <w:tcPr>
            <w:tcW w:w="3760" w:type="dxa"/>
            <w:tcBorders>
              <w:top w:val="nil"/>
              <w:left w:val="nil"/>
              <w:bottom w:val="single" w:sz="8" w:space="0" w:color="44546A"/>
              <w:right w:val="nil"/>
            </w:tcBorders>
            <w:shd w:val="clear" w:color="000000" w:fill="E7E6E6"/>
            <w:noWrap/>
            <w:vAlign w:val="center"/>
            <w:hideMark/>
          </w:tcPr>
          <w:p w14:paraId="426C550E" w14:textId="77777777" w:rsidR="00083CA4" w:rsidRPr="002A7673" w:rsidRDefault="00083CA4" w:rsidP="005F7139">
            <w:pPr>
              <w:spacing w:after="0" w:line="240" w:lineRule="auto"/>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Ministerio Público</w:t>
            </w:r>
          </w:p>
        </w:tc>
        <w:tc>
          <w:tcPr>
            <w:tcW w:w="1360" w:type="dxa"/>
            <w:tcBorders>
              <w:top w:val="nil"/>
              <w:left w:val="nil"/>
              <w:bottom w:val="single" w:sz="8" w:space="0" w:color="44546A"/>
              <w:right w:val="nil"/>
            </w:tcBorders>
            <w:shd w:val="clear" w:color="000000" w:fill="E7E6E6"/>
            <w:noWrap/>
            <w:vAlign w:val="center"/>
            <w:hideMark/>
          </w:tcPr>
          <w:p w14:paraId="5107C6BD"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 xml:space="preserve">        93,342,033 </w:t>
            </w:r>
          </w:p>
        </w:tc>
        <w:tc>
          <w:tcPr>
            <w:tcW w:w="1380" w:type="dxa"/>
            <w:tcBorders>
              <w:top w:val="nil"/>
              <w:left w:val="nil"/>
              <w:bottom w:val="single" w:sz="8" w:space="0" w:color="44546A"/>
              <w:right w:val="nil"/>
            </w:tcBorders>
            <w:shd w:val="clear" w:color="000000" w:fill="E7E6E6"/>
            <w:noWrap/>
            <w:vAlign w:val="center"/>
            <w:hideMark/>
          </w:tcPr>
          <w:p w14:paraId="32601388"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52,278,133</w:t>
            </w:r>
          </w:p>
        </w:tc>
        <w:tc>
          <w:tcPr>
            <w:tcW w:w="1380" w:type="dxa"/>
            <w:tcBorders>
              <w:top w:val="nil"/>
              <w:left w:val="nil"/>
              <w:bottom w:val="single" w:sz="8" w:space="0" w:color="44546A"/>
              <w:right w:val="nil"/>
            </w:tcBorders>
            <w:shd w:val="clear" w:color="000000" w:fill="E7E6E6"/>
            <w:noWrap/>
            <w:vAlign w:val="center"/>
            <w:hideMark/>
          </w:tcPr>
          <w:p w14:paraId="2ADA1E33"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13,900,000</w:t>
            </w:r>
          </w:p>
        </w:tc>
        <w:tc>
          <w:tcPr>
            <w:tcW w:w="1240" w:type="dxa"/>
            <w:tcBorders>
              <w:top w:val="nil"/>
              <w:left w:val="nil"/>
              <w:bottom w:val="single" w:sz="8" w:space="0" w:color="44546A"/>
              <w:right w:val="nil"/>
            </w:tcBorders>
            <w:shd w:val="clear" w:color="000000" w:fill="E7E6E6"/>
            <w:noWrap/>
            <w:vAlign w:val="center"/>
            <w:hideMark/>
          </w:tcPr>
          <w:p w14:paraId="0CC5638C"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-38,378,133</w:t>
            </w:r>
          </w:p>
        </w:tc>
        <w:tc>
          <w:tcPr>
            <w:tcW w:w="1240" w:type="dxa"/>
            <w:tcBorders>
              <w:top w:val="nil"/>
              <w:left w:val="nil"/>
              <w:bottom w:val="single" w:sz="8" w:space="0" w:color="44546A"/>
              <w:right w:val="nil"/>
            </w:tcBorders>
            <w:shd w:val="clear" w:color="000000" w:fill="E7E6E6"/>
            <w:noWrap/>
            <w:vAlign w:val="center"/>
            <w:hideMark/>
          </w:tcPr>
          <w:p w14:paraId="0B889D3F"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-73%</w:t>
            </w:r>
          </w:p>
        </w:tc>
      </w:tr>
      <w:tr w:rsidR="00083CA4" w:rsidRPr="002A7673" w14:paraId="18305D59" w14:textId="77777777" w:rsidTr="00F422DD">
        <w:trPr>
          <w:trHeight w:val="300"/>
          <w:jc w:val="center"/>
        </w:trPr>
        <w:tc>
          <w:tcPr>
            <w:tcW w:w="3760" w:type="dxa"/>
            <w:tcBorders>
              <w:top w:val="nil"/>
              <w:left w:val="nil"/>
              <w:bottom w:val="single" w:sz="8" w:space="0" w:color="44546A"/>
              <w:right w:val="nil"/>
            </w:tcBorders>
            <w:shd w:val="clear" w:color="000000" w:fill="E7E6E6"/>
            <w:noWrap/>
            <w:vAlign w:val="center"/>
            <w:hideMark/>
          </w:tcPr>
          <w:p w14:paraId="49A42F35" w14:textId="77777777" w:rsidR="00083CA4" w:rsidRPr="002A7673" w:rsidRDefault="00083CA4" w:rsidP="005F7139">
            <w:pPr>
              <w:spacing w:after="0" w:line="240" w:lineRule="auto"/>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Defensa Pública</w:t>
            </w:r>
          </w:p>
        </w:tc>
        <w:tc>
          <w:tcPr>
            <w:tcW w:w="1360" w:type="dxa"/>
            <w:tcBorders>
              <w:top w:val="nil"/>
              <w:left w:val="nil"/>
              <w:bottom w:val="single" w:sz="8" w:space="0" w:color="44546A"/>
              <w:right w:val="nil"/>
            </w:tcBorders>
            <w:shd w:val="clear" w:color="000000" w:fill="E7E6E6"/>
            <w:noWrap/>
            <w:vAlign w:val="center"/>
            <w:hideMark/>
          </w:tcPr>
          <w:p w14:paraId="3AB3D062"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 xml:space="preserve">        83,638,159 </w:t>
            </w:r>
          </w:p>
        </w:tc>
        <w:tc>
          <w:tcPr>
            <w:tcW w:w="1380" w:type="dxa"/>
            <w:tcBorders>
              <w:top w:val="nil"/>
              <w:left w:val="nil"/>
              <w:bottom w:val="single" w:sz="8" w:space="0" w:color="44546A"/>
              <w:right w:val="nil"/>
            </w:tcBorders>
            <w:shd w:val="clear" w:color="000000" w:fill="E7E6E6"/>
            <w:noWrap/>
            <w:vAlign w:val="center"/>
            <w:hideMark/>
          </w:tcPr>
          <w:p w14:paraId="1F4E080F"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64,667,000</w:t>
            </w:r>
          </w:p>
        </w:tc>
        <w:tc>
          <w:tcPr>
            <w:tcW w:w="1380" w:type="dxa"/>
            <w:tcBorders>
              <w:top w:val="nil"/>
              <w:left w:val="nil"/>
              <w:bottom w:val="single" w:sz="8" w:space="0" w:color="44546A"/>
              <w:right w:val="nil"/>
            </w:tcBorders>
            <w:shd w:val="clear" w:color="000000" w:fill="E7E6E6"/>
            <w:noWrap/>
            <w:vAlign w:val="center"/>
            <w:hideMark/>
          </w:tcPr>
          <w:p w14:paraId="0F97F3BB"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43,247,000</w:t>
            </w:r>
          </w:p>
        </w:tc>
        <w:tc>
          <w:tcPr>
            <w:tcW w:w="1240" w:type="dxa"/>
            <w:tcBorders>
              <w:top w:val="nil"/>
              <w:left w:val="nil"/>
              <w:bottom w:val="single" w:sz="8" w:space="0" w:color="44546A"/>
              <w:right w:val="nil"/>
            </w:tcBorders>
            <w:shd w:val="clear" w:color="000000" w:fill="E7E6E6"/>
            <w:noWrap/>
            <w:vAlign w:val="center"/>
            <w:hideMark/>
          </w:tcPr>
          <w:p w14:paraId="536DFCF6"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-21,420,000</w:t>
            </w:r>
          </w:p>
        </w:tc>
        <w:tc>
          <w:tcPr>
            <w:tcW w:w="1240" w:type="dxa"/>
            <w:tcBorders>
              <w:top w:val="nil"/>
              <w:left w:val="nil"/>
              <w:bottom w:val="single" w:sz="8" w:space="0" w:color="44546A"/>
              <w:right w:val="nil"/>
            </w:tcBorders>
            <w:shd w:val="clear" w:color="000000" w:fill="E7E6E6"/>
            <w:noWrap/>
            <w:vAlign w:val="center"/>
            <w:hideMark/>
          </w:tcPr>
          <w:p w14:paraId="3D8E53C4"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-33%</w:t>
            </w:r>
          </w:p>
        </w:tc>
      </w:tr>
      <w:tr w:rsidR="00083CA4" w:rsidRPr="002A7673" w14:paraId="7DDCE1D0" w14:textId="77777777" w:rsidTr="00F422DD">
        <w:trPr>
          <w:trHeight w:val="300"/>
          <w:jc w:val="center"/>
        </w:trPr>
        <w:tc>
          <w:tcPr>
            <w:tcW w:w="3760" w:type="dxa"/>
            <w:tcBorders>
              <w:top w:val="nil"/>
              <w:left w:val="nil"/>
              <w:bottom w:val="single" w:sz="8" w:space="0" w:color="44546A"/>
              <w:right w:val="nil"/>
            </w:tcBorders>
            <w:shd w:val="clear" w:color="000000" w:fill="E7E6E6"/>
            <w:noWrap/>
            <w:vAlign w:val="center"/>
            <w:hideMark/>
          </w:tcPr>
          <w:p w14:paraId="1279DC54" w14:textId="77777777" w:rsidR="00083CA4" w:rsidRPr="002A7673" w:rsidRDefault="00083CA4" w:rsidP="005F7139">
            <w:pPr>
              <w:spacing w:after="0" w:line="240" w:lineRule="auto"/>
              <w:rPr>
                <w:rFonts w:ascii="Times New Roman" w:eastAsia="Times New Roman" w:hAnsi="Times New Roman" w:cs="Times New Roman"/>
                <w:color w:val="305496"/>
                <w:sz w:val="18"/>
                <w:szCs w:val="18"/>
                <w:lang w:eastAsia="es-CR"/>
              </w:rPr>
            </w:pPr>
            <w:proofErr w:type="spellStart"/>
            <w:r w:rsidRPr="002A7673">
              <w:rPr>
                <w:rFonts w:ascii="Times New Roman" w:eastAsia="Times New Roman" w:hAnsi="Times New Roman" w:cs="Times New Roman"/>
                <w:color w:val="305496"/>
                <w:sz w:val="18"/>
                <w:szCs w:val="18"/>
                <w:lang w:eastAsia="es-CR"/>
              </w:rPr>
              <w:t>Serv</w:t>
            </w:r>
            <w:proofErr w:type="spellEnd"/>
            <w:r w:rsidRPr="002A7673">
              <w:rPr>
                <w:rFonts w:ascii="Times New Roman" w:eastAsia="Times New Roman" w:hAnsi="Times New Roman" w:cs="Times New Roman"/>
                <w:color w:val="305496"/>
                <w:sz w:val="18"/>
                <w:szCs w:val="18"/>
                <w:lang w:eastAsia="es-CR"/>
              </w:rPr>
              <w:t xml:space="preserve">. </w:t>
            </w:r>
            <w:proofErr w:type="spellStart"/>
            <w:proofErr w:type="gramStart"/>
            <w:r w:rsidRPr="002A7673">
              <w:rPr>
                <w:rFonts w:ascii="Times New Roman" w:eastAsia="Times New Roman" w:hAnsi="Times New Roman" w:cs="Times New Roman"/>
                <w:color w:val="305496"/>
                <w:sz w:val="18"/>
                <w:szCs w:val="18"/>
                <w:lang w:eastAsia="es-CR"/>
              </w:rPr>
              <w:t>Atenc</w:t>
            </w:r>
            <w:proofErr w:type="spellEnd"/>
            <w:r w:rsidRPr="002A7673">
              <w:rPr>
                <w:rFonts w:ascii="Times New Roman" w:eastAsia="Times New Roman" w:hAnsi="Times New Roman" w:cs="Times New Roman"/>
                <w:color w:val="305496"/>
                <w:sz w:val="18"/>
                <w:szCs w:val="18"/>
                <w:lang w:eastAsia="es-CR"/>
              </w:rPr>
              <w:t>.-</w:t>
            </w:r>
            <w:proofErr w:type="spellStart"/>
            <w:proofErr w:type="gramEnd"/>
            <w:r w:rsidRPr="002A7673">
              <w:rPr>
                <w:rFonts w:ascii="Times New Roman" w:eastAsia="Times New Roman" w:hAnsi="Times New Roman" w:cs="Times New Roman"/>
                <w:color w:val="305496"/>
                <w:sz w:val="18"/>
                <w:szCs w:val="18"/>
                <w:lang w:eastAsia="es-CR"/>
              </w:rPr>
              <w:t>Protec</w:t>
            </w:r>
            <w:proofErr w:type="spellEnd"/>
            <w:r w:rsidRPr="002A7673">
              <w:rPr>
                <w:rFonts w:ascii="Times New Roman" w:eastAsia="Times New Roman" w:hAnsi="Times New Roman" w:cs="Times New Roman"/>
                <w:color w:val="305496"/>
                <w:sz w:val="18"/>
                <w:szCs w:val="18"/>
                <w:lang w:eastAsia="es-CR"/>
              </w:rPr>
              <w:t>. Víctimas y Testigos</w:t>
            </w:r>
          </w:p>
        </w:tc>
        <w:tc>
          <w:tcPr>
            <w:tcW w:w="1360" w:type="dxa"/>
            <w:tcBorders>
              <w:top w:val="nil"/>
              <w:left w:val="nil"/>
              <w:bottom w:val="single" w:sz="8" w:space="0" w:color="44546A"/>
              <w:right w:val="nil"/>
            </w:tcBorders>
            <w:shd w:val="clear" w:color="000000" w:fill="E7E6E6"/>
            <w:noWrap/>
            <w:vAlign w:val="center"/>
            <w:hideMark/>
          </w:tcPr>
          <w:p w14:paraId="68063072"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 xml:space="preserve">                      -   </w:t>
            </w:r>
          </w:p>
        </w:tc>
        <w:tc>
          <w:tcPr>
            <w:tcW w:w="1380" w:type="dxa"/>
            <w:tcBorders>
              <w:top w:val="nil"/>
              <w:left w:val="nil"/>
              <w:bottom w:val="single" w:sz="8" w:space="0" w:color="44546A"/>
              <w:right w:val="nil"/>
            </w:tcBorders>
            <w:shd w:val="clear" w:color="000000" w:fill="E7E6E6"/>
            <w:noWrap/>
            <w:vAlign w:val="center"/>
            <w:hideMark/>
          </w:tcPr>
          <w:p w14:paraId="507D6C84"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400,000</w:t>
            </w:r>
          </w:p>
        </w:tc>
        <w:tc>
          <w:tcPr>
            <w:tcW w:w="1380" w:type="dxa"/>
            <w:tcBorders>
              <w:top w:val="nil"/>
              <w:left w:val="nil"/>
              <w:bottom w:val="single" w:sz="8" w:space="0" w:color="44546A"/>
              <w:right w:val="nil"/>
            </w:tcBorders>
            <w:shd w:val="clear" w:color="000000" w:fill="E7E6E6"/>
            <w:noWrap/>
            <w:vAlign w:val="center"/>
            <w:hideMark/>
          </w:tcPr>
          <w:p w14:paraId="76B8DB64"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400,000</w:t>
            </w:r>
          </w:p>
        </w:tc>
        <w:tc>
          <w:tcPr>
            <w:tcW w:w="1240" w:type="dxa"/>
            <w:tcBorders>
              <w:top w:val="nil"/>
              <w:left w:val="nil"/>
              <w:bottom w:val="single" w:sz="8" w:space="0" w:color="44546A"/>
              <w:right w:val="nil"/>
            </w:tcBorders>
            <w:shd w:val="clear" w:color="000000" w:fill="E7E6E6"/>
            <w:noWrap/>
            <w:vAlign w:val="center"/>
            <w:hideMark/>
          </w:tcPr>
          <w:p w14:paraId="2CC58A8F" w14:textId="77777777" w:rsidR="00083CA4" w:rsidRPr="002A7673" w:rsidRDefault="00083CA4" w:rsidP="005F7139">
            <w:pPr>
              <w:spacing w:after="0" w:line="240" w:lineRule="auto"/>
              <w:jc w:val="center"/>
              <w:rPr>
                <w:rFonts w:ascii="Times New Roman" w:eastAsia="Times New Roman" w:hAnsi="Times New Roman" w:cs="Times New Roman"/>
                <w:color w:val="305496"/>
                <w:sz w:val="18"/>
                <w:szCs w:val="18"/>
                <w:lang w:eastAsia="es-CR"/>
              </w:rPr>
            </w:pPr>
            <w:r w:rsidRPr="002A7673">
              <w:rPr>
                <w:rFonts w:ascii="Times New Roman" w:eastAsia="Times New Roman" w:hAnsi="Times New Roman" w:cs="Times New Roman"/>
                <w:color w:val="305496"/>
                <w:sz w:val="18"/>
                <w:szCs w:val="18"/>
                <w:lang w:eastAsia="es-CR"/>
              </w:rPr>
              <w:t>0</w:t>
            </w:r>
          </w:p>
        </w:tc>
        <w:tc>
          <w:tcPr>
            <w:tcW w:w="1240" w:type="dxa"/>
            <w:tcBorders>
              <w:top w:val="nil"/>
              <w:left w:val="nil"/>
              <w:bottom w:val="single" w:sz="8" w:space="0" w:color="44546A"/>
              <w:right w:val="nil"/>
            </w:tcBorders>
            <w:shd w:val="clear" w:color="000000" w:fill="E7E6E6"/>
            <w:noWrap/>
            <w:vAlign w:val="center"/>
            <w:hideMark/>
          </w:tcPr>
          <w:p w14:paraId="316153E9"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0%</w:t>
            </w:r>
          </w:p>
        </w:tc>
      </w:tr>
      <w:tr w:rsidR="00083CA4" w:rsidRPr="002A7673" w14:paraId="693AE267" w14:textId="77777777" w:rsidTr="00F422DD">
        <w:trPr>
          <w:trHeight w:val="300"/>
          <w:jc w:val="center"/>
        </w:trPr>
        <w:tc>
          <w:tcPr>
            <w:tcW w:w="3760" w:type="dxa"/>
            <w:tcBorders>
              <w:top w:val="nil"/>
              <w:left w:val="nil"/>
              <w:bottom w:val="single" w:sz="8" w:space="0" w:color="44546A"/>
              <w:right w:val="nil"/>
            </w:tcBorders>
            <w:shd w:val="clear" w:color="000000" w:fill="E7E6E6"/>
            <w:noWrap/>
            <w:vAlign w:val="center"/>
            <w:hideMark/>
          </w:tcPr>
          <w:p w14:paraId="1DCFF667"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Total</w:t>
            </w:r>
          </w:p>
        </w:tc>
        <w:tc>
          <w:tcPr>
            <w:tcW w:w="1360" w:type="dxa"/>
            <w:tcBorders>
              <w:top w:val="nil"/>
              <w:left w:val="nil"/>
              <w:bottom w:val="single" w:sz="8" w:space="0" w:color="44546A"/>
              <w:right w:val="nil"/>
            </w:tcBorders>
            <w:shd w:val="clear" w:color="000000" w:fill="E7E6E6"/>
            <w:noWrap/>
            <w:vAlign w:val="center"/>
            <w:hideMark/>
          </w:tcPr>
          <w:p w14:paraId="4E2CA169"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 xml:space="preserve"> 2,082,111,290 </w:t>
            </w:r>
          </w:p>
        </w:tc>
        <w:tc>
          <w:tcPr>
            <w:tcW w:w="1380" w:type="dxa"/>
            <w:tcBorders>
              <w:top w:val="nil"/>
              <w:left w:val="nil"/>
              <w:bottom w:val="single" w:sz="8" w:space="0" w:color="44546A"/>
              <w:right w:val="nil"/>
            </w:tcBorders>
            <w:shd w:val="clear" w:color="000000" w:fill="E7E6E6"/>
            <w:noWrap/>
            <w:vAlign w:val="center"/>
            <w:hideMark/>
          </w:tcPr>
          <w:p w14:paraId="21392ABD"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1,916,561,925</w:t>
            </w:r>
          </w:p>
        </w:tc>
        <w:tc>
          <w:tcPr>
            <w:tcW w:w="1380" w:type="dxa"/>
            <w:tcBorders>
              <w:top w:val="nil"/>
              <w:left w:val="nil"/>
              <w:bottom w:val="single" w:sz="8" w:space="0" w:color="44546A"/>
              <w:right w:val="nil"/>
            </w:tcBorders>
            <w:shd w:val="clear" w:color="000000" w:fill="E7E6E6"/>
            <w:noWrap/>
            <w:vAlign w:val="center"/>
            <w:hideMark/>
          </w:tcPr>
          <w:p w14:paraId="29295639"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2,110,637,412</w:t>
            </w:r>
          </w:p>
        </w:tc>
        <w:tc>
          <w:tcPr>
            <w:tcW w:w="1240" w:type="dxa"/>
            <w:tcBorders>
              <w:top w:val="nil"/>
              <w:left w:val="nil"/>
              <w:bottom w:val="single" w:sz="8" w:space="0" w:color="44546A"/>
              <w:right w:val="nil"/>
            </w:tcBorders>
            <w:shd w:val="clear" w:color="000000" w:fill="E7E6E6"/>
            <w:noWrap/>
            <w:vAlign w:val="center"/>
            <w:hideMark/>
          </w:tcPr>
          <w:p w14:paraId="31DDA013"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194,075,487</w:t>
            </w:r>
          </w:p>
        </w:tc>
        <w:tc>
          <w:tcPr>
            <w:tcW w:w="1240" w:type="dxa"/>
            <w:tcBorders>
              <w:top w:val="nil"/>
              <w:left w:val="nil"/>
              <w:bottom w:val="single" w:sz="8" w:space="0" w:color="44546A"/>
              <w:right w:val="nil"/>
            </w:tcBorders>
            <w:shd w:val="clear" w:color="000000" w:fill="E7E6E6"/>
            <w:noWrap/>
            <w:vAlign w:val="center"/>
            <w:hideMark/>
          </w:tcPr>
          <w:p w14:paraId="1E52CACD"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18"/>
                <w:szCs w:val="18"/>
                <w:lang w:eastAsia="es-CR"/>
              </w:rPr>
            </w:pPr>
            <w:r w:rsidRPr="002A7673">
              <w:rPr>
                <w:rFonts w:ascii="Times New Roman" w:eastAsia="Times New Roman" w:hAnsi="Times New Roman" w:cs="Times New Roman"/>
                <w:b/>
                <w:bCs/>
                <w:color w:val="305496"/>
                <w:sz w:val="18"/>
                <w:szCs w:val="18"/>
                <w:lang w:eastAsia="es-CR"/>
              </w:rPr>
              <w:t>10%</w:t>
            </w:r>
          </w:p>
        </w:tc>
      </w:tr>
    </w:tbl>
    <w:p w14:paraId="130C71A5" w14:textId="77777777" w:rsidR="00083CA4" w:rsidRPr="002A7673" w:rsidRDefault="00083CA4" w:rsidP="005F7139">
      <w:pPr>
        <w:spacing w:after="0" w:line="240" w:lineRule="auto"/>
        <w:jc w:val="both"/>
        <w:rPr>
          <w:rFonts w:ascii="Times New Roman" w:eastAsia="Times New Roman" w:hAnsi="Times New Roman" w:cs="Times New Roman"/>
          <w:b/>
          <w:bCs/>
          <w:sz w:val="16"/>
          <w:szCs w:val="16"/>
        </w:rPr>
      </w:pPr>
      <w:r w:rsidRPr="002A7673">
        <w:rPr>
          <w:rFonts w:ascii="Times New Roman" w:eastAsia="Times New Roman" w:hAnsi="Times New Roman" w:cs="Times New Roman"/>
          <w:b/>
          <w:bCs/>
          <w:sz w:val="24"/>
          <w:szCs w:val="24"/>
        </w:rPr>
        <w:t xml:space="preserve">* </w:t>
      </w:r>
      <w:r w:rsidRPr="002A7673">
        <w:rPr>
          <w:rFonts w:ascii="Times New Roman" w:eastAsia="Times New Roman" w:hAnsi="Times New Roman" w:cs="Times New Roman"/>
          <w:sz w:val="16"/>
          <w:szCs w:val="16"/>
        </w:rPr>
        <w:t>Diferencia entre lo formulado en los periodos 2021 y 2022.</w:t>
      </w:r>
    </w:p>
    <w:p w14:paraId="5F7093D1" w14:textId="77777777" w:rsidR="00083CA4" w:rsidRPr="002A7673" w:rsidRDefault="00083CA4" w:rsidP="005F7139">
      <w:pPr>
        <w:spacing w:after="0" w:line="240" w:lineRule="auto"/>
        <w:jc w:val="both"/>
        <w:rPr>
          <w:rFonts w:ascii="Times New Roman" w:eastAsia="Calibri" w:hAnsi="Times New Roman" w:cs="Times New Roman"/>
          <w:b/>
          <w:sz w:val="24"/>
          <w:szCs w:val="24"/>
        </w:rPr>
      </w:pPr>
    </w:p>
    <w:p w14:paraId="7CE3A0B3" w14:textId="77777777" w:rsidR="00083CA4" w:rsidRPr="002A7673" w:rsidRDefault="00083CA4" w:rsidP="005F7139">
      <w:pPr>
        <w:spacing w:after="0" w:line="360" w:lineRule="auto"/>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 xml:space="preserve">En términos generales al comparar el total de los programas de los periodos 2021 y 2022 se da un incremento del 10%. </w:t>
      </w:r>
    </w:p>
    <w:p w14:paraId="4398E2D2" w14:textId="77777777" w:rsidR="00083CA4" w:rsidRPr="002A7673" w:rsidRDefault="00083CA4" w:rsidP="005F7139">
      <w:pPr>
        <w:spacing w:after="0" w:line="360" w:lineRule="auto"/>
        <w:jc w:val="both"/>
        <w:rPr>
          <w:rFonts w:ascii="Times New Roman" w:eastAsia="Calibri" w:hAnsi="Times New Roman" w:cs="Times New Roman"/>
          <w:bCs/>
          <w:sz w:val="26"/>
          <w:szCs w:val="26"/>
        </w:rPr>
      </w:pPr>
    </w:p>
    <w:p w14:paraId="5B426C6D" w14:textId="77777777" w:rsidR="00083CA4" w:rsidRPr="002A7673" w:rsidRDefault="00083CA4" w:rsidP="00F422DD">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lastRenderedPageBreak/>
        <w:t>Es dable indicar que, lo aprobado por Corte Plena en la Subpartida 10801 para el 2021 fue de ¢2.132.672.669, posteriormente a solicitud del Ministerio de Hacienda se aplicó un rebajo de ¢99.110.744 y finalmente vía moción en la Asamblea Legislativa se rebajaron ¢117.000.000, para un saldo final de ¢1.916.561.925.</w:t>
      </w:r>
    </w:p>
    <w:p w14:paraId="1E467F25" w14:textId="77777777" w:rsidR="00083CA4" w:rsidRPr="002A7673" w:rsidRDefault="00083CA4" w:rsidP="00F422DD">
      <w:pPr>
        <w:spacing w:after="0" w:line="240" w:lineRule="auto"/>
        <w:ind w:left="851" w:right="851" w:firstLine="709"/>
        <w:jc w:val="both"/>
        <w:rPr>
          <w:rFonts w:ascii="Times New Roman" w:eastAsia="Calibri" w:hAnsi="Times New Roman" w:cs="Times New Roman"/>
          <w:bCs/>
          <w:sz w:val="26"/>
          <w:szCs w:val="26"/>
        </w:rPr>
      </w:pPr>
    </w:p>
    <w:p w14:paraId="1188775A" w14:textId="77777777" w:rsidR="00083CA4" w:rsidRPr="002A7673" w:rsidRDefault="00083CA4" w:rsidP="00D527DE">
      <w:pPr>
        <w:keepNext/>
        <w:keepLines/>
        <w:numPr>
          <w:ilvl w:val="1"/>
          <w:numId w:val="13"/>
        </w:numPr>
        <w:spacing w:after="0" w:line="240" w:lineRule="auto"/>
        <w:ind w:left="851" w:right="851" w:firstLine="709"/>
        <w:outlineLvl w:val="1"/>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b/>
          <w:bCs/>
          <w:i/>
          <w:iCs/>
          <w:sz w:val="26"/>
          <w:szCs w:val="26"/>
          <w:lang w:val="es-ES" w:eastAsia="es-ES"/>
        </w:rPr>
        <w:t xml:space="preserve"> Distribución por Centro de Responsabilidad</w:t>
      </w:r>
    </w:p>
    <w:p w14:paraId="3B57610E" w14:textId="77777777" w:rsidR="00083CA4" w:rsidRPr="002A7673" w:rsidRDefault="00083CA4" w:rsidP="00F422DD">
      <w:pPr>
        <w:spacing w:after="0" w:line="240" w:lineRule="auto"/>
        <w:ind w:left="851" w:right="851" w:firstLine="709"/>
        <w:rPr>
          <w:rFonts w:ascii="Times New Roman" w:eastAsia="Calibri" w:hAnsi="Times New Roman" w:cs="Times New Roman"/>
          <w:sz w:val="26"/>
          <w:szCs w:val="26"/>
        </w:rPr>
      </w:pPr>
    </w:p>
    <w:p w14:paraId="22333A1E"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cuanto a la distribución por Centro de Responsabilidad, en la Tabla 4 se muestran los centros con la mayor cantidad de recursos, donde se puede apreciar que los montos mayores corresponden a la Dirección Ejecutiva, Administración de San Joaquín de Flores y Organismo de Investigación Judicial.</w:t>
      </w:r>
    </w:p>
    <w:p w14:paraId="2249572F" w14:textId="77777777" w:rsidR="00083CA4" w:rsidRPr="002A7673" w:rsidRDefault="00083CA4" w:rsidP="00F422DD">
      <w:pPr>
        <w:spacing w:after="0" w:line="240" w:lineRule="auto"/>
        <w:ind w:left="851" w:right="851" w:firstLine="709"/>
        <w:jc w:val="center"/>
        <w:rPr>
          <w:rFonts w:ascii="Times New Roman" w:eastAsia="Times New Roman" w:hAnsi="Times New Roman" w:cs="Times New Roman"/>
          <w:b/>
          <w:bCs/>
          <w:sz w:val="26"/>
          <w:szCs w:val="26"/>
        </w:rPr>
      </w:pPr>
    </w:p>
    <w:p w14:paraId="72A26815" w14:textId="77777777" w:rsidR="00F422DD" w:rsidRPr="002A7673" w:rsidRDefault="00083CA4" w:rsidP="00F422DD">
      <w:pPr>
        <w:spacing w:after="0" w:line="240" w:lineRule="auto"/>
        <w:ind w:left="851" w:right="851" w:firstLine="709"/>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 xml:space="preserve">Tabla 9. Distribución de los recursos de la subpartida por Centros de Responsabilidad para el 2022   </w:t>
      </w:r>
    </w:p>
    <w:p w14:paraId="5B7FEECE" w14:textId="77777777" w:rsidR="00083CA4" w:rsidRPr="002A7673" w:rsidRDefault="00083CA4" w:rsidP="005F7139">
      <w:pPr>
        <w:spacing w:after="0" w:line="240" w:lineRule="auto"/>
        <w:jc w:val="center"/>
        <w:rPr>
          <w:rFonts w:ascii="Times New Roman" w:eastAsia="Times New Roman" w:hAnsi="Times New Roman" w:cs="Times New Roman"/>
          <w:sz w:val="26"/>
          <w:szCs w:val="26"/>
        </w:rPr>
      </w:pPr>
      <w:r w:rsidRPr="002A7673">
        <w:rPr>
          <w:rFonts w:ascii="Times New Roman" w:eastAsia="Times New Roman" w:hAnsi="Times New Roman" w:cs="Times New Roman"/>
          <w:b/>
          <w:bCs/>
          <w:sz w:val="26"/>
          <w:szCs w:val="26"/>
        </w:rPr>
        <w:t xml:space="preserve">      </w:t>
      </w:r>
    </w:p>
    <w:tbl>
      <w:tblPr>
        <w:tblW w:w="7000" w:type="dxa"/>
        <w:jc w:val="center"/>
        <w:tblCellMar>
          <w:left w:w="70" w:type="dxa"/>
          <w:right w:w="70" w:type="dxa"/>
        </w:tblCellMar>
        <w:tblLook w:val="04A0" w:firstRow="1" w:lastRow="0" w:firstColumn="1" w:lastColumn="0" w:noHBand="0" w:noVBand="1"/>
      </w:tblPr>
      <w:tblGrid>
        <w:gridCol w:w="4400"/>
        <w:gridCol w:w="1520"/>
        <w:gridCol w:w="1247"/>
      </w:tblGrid>
      <w:tr w:rsidR="00083CA4" w:rsidRPr="002A7673" w14:paraId="3FC11C64" w14:textId="77777777" w:rsidTr="005F7139">
        <w:trPr>
          <w:trHeight w:val="288"/>
          <w:jc w:val="center"/>
        </w:trPr>
        <w:tc>
          <w:tcPr>
            <w:tcW w:w="4400" w:type="dxa"/>
            <w:tcBorders>
              <w:top w:val="nil"/>
              <w:left w:val="nil"/>
              <w:bottom w:val="single" w:sz="4" w:space="0" w:color="auto"/>
              <w:right w:val="nil"/>
            </w:tcBorders>
            <w:shd w:val="clear" w:color="auto" w:fill="auto"/>
            <w:noWrap/>
            <w:vAlign w:val="center"/>
            <w:hideMark/>
          </w:tcPr>
          <w:p w14:paraId="55F9345E" w14:textId="77777777" w:rsidR="00083CA4" w:rsidRPr="002A7673" w:rsidRDefault="00083CA4" w:rsidP="005F7139">
            <w:pPr>
              <w:spacing w:after="0" w:line="240" w:lineRule="auto"/>
              <w:jc w:val="center"/>
              <w:rPr>
                <w:rFonts w:ascii="Times New Roman" w:eastAsia="Times New Roman" w:hAnsi="Times New Roman" w:cs="Times New Roman"/>
                <w:b/>
                <w:bCs/>
                <w:color w:val="1F497D"/>
                <w:sz w:val="24"/>
                <w:szCs w:val="24"/>
                <w:lang w:eastAsia="es-CR"/>
              </w:rPr>
            </w:pPr>
            <w:r w:rsidRPr="002A7673">
              <w:rPr>
                <w:rFonts w:ascii="Times New Roman" w:eastAsia="Times New Roman" w:hAnsi="Times New Roman" w:cs="Times New Roman"/>
                <w:b/>
                <w:bCs/>
                <w:color w:val="1F497D"/>
                <w:sz w:val="24"/>
                <w:szCs w:val="24"/>
                <w:lang w:eastAsia="es-CR"/>
              </w:rPr>
              <w:t>Centro de responsabilidad</w:t>
            </w:r>
          </w:p>
        </w:tc>
        <w:tc>
          <w:tcPr>
            <w:tcW w:w="1360" w:type="dxa"/>
            <w:tcBorders>
              <w:top w:val="nil"/>
              <w:left w:val="nil"/>
              <w:bottom w:val="single" w:sz="4" w:space="0" w:color="auto"/>
              <w:right w:val="nil"/>
            </w:tcBorders>
            <w:shd w:val="clear" w:color="auto" w:fill="auto"/>
            <w:noWrap/>
            <w:vAlign w:val="center"/>
            <w:hideMark/>
          </w:tcPr>
          <w:p w14:paraId="545AEAB1" w14:textId="77777777" w:rsidR="00083CA4" w:rsidRPr="002A7673" w:rsidRDefault="00083CA4" w:rsidP="005F7139">
            <w:pPr>
              <w:spacing w:after="0" w:line="240" w:lineRule="auto"/>
              <w:jc w:val="center"/>
              <w:rPr>
                <w:rFonts w:ascii="Times New Roman" w:eastAsia="Times New Roman" w:hAnsi="Times New Roman" w:cs="Times New Roman"/>
                <w:b/>
                <w:bCs/>
                <w:color w:val="1F497D"/>
                <w:sz w:val="24"/>
                <w:szCs w:val="24"/>
                <w:lang w:eastAsia="es-CR"/>
              </w:rPr>
            </w:pPr>
            <w:r w:rsidRPr="002A7673">
              <w:rPr>
                <w:rFonts w:ascii="Times New Roman" w:eastAsia="Times New Roman" w:hAnsi="Times New Roman" w:cs="Times New Roman"/>
                <w:b/>
                <w:bCs/>
                <w:color w:val="1F497D"/>
                <w:sz w:val="24"/>
                <w:szCs w:val="24"/>
                <w:lang w:eastAsia="es-CR"/>
              </w:rPr>
              <w:t>2022</w:t>
            </w:r>
          </w:p>
        </w:tc>
        <w:tc>
          <w:tcPr>
            <w:tcW w:w="1240" w:type="dxa"/>
            <w:tcBorders>
              <w:top w:val="nil"/>
              <w:left w:val="nil"/>
              <w:bottom w:val="single" w:sz="4" w:space="0" w:color="auto"/>
              <w:right w:val="nil"/>
            </w:tcBorders>
            <w:shd w:val="clear" w:color="auto" w:fill="auto"/>
            <w:noWrap/>
            <w:vAlign w:val="center"/>
            <w:hideMark/>
          </w:tcPr>
          <w:p w14:paraId="3EEA5B66" w14:textId="77777777" w:rsidR="00083CA4" w:rsidRPr="002A7673" w:rsidRDefault="00083CA4" w:rsidP="005F7139">
            <w:pPr>
              <w:spacing w:after="0" w:line="240" w:lineRule="auto"/>
              <w:jc w:val="center"/>
              <w:rPr>
                <w:rFonts w:ascii="Times New Roman" w:eastAsia="Times New Roman" w:hAnsi="Times New Roman" w:cs="Times New Roman"/>
                <w:b/>
                <w:bCs/>
                <w:color w:val="1F497D"/>
                <w:sz w:val="24"/>
                <w:szCs w:val="24"/>
                <w:lang w:eastAsia="es-CR"/>
              </w:rPr>
            </w:pPr>
            <w:r w:rsidRPr="002A7673">
              <w:rPr>
                <w:rFonts w:ascii="Times New Roman" w:eastAsia="Times New Roman" w:hAnsi="Times New Roman" w:cs="Times New Roman"/>
                <w:b/>
                <w:bCs/>
                <w:color w:val="1F497D"/>
                <w:sz w:val="24"/>
                <w:szCs w:val="24"/>
                <w:lang w:eastAsia="es-CR"/>
              </w:rPr>
              <w:t>Porcentaje</w:t>
            </w:r>
          </w:p>
        </w:tc>
      </w:tr>
      <w:tr w:rsidR="00083CA4" w:rsidRPr="002A7673" w14:paraId="20F57A7F" w14:textId="77777777" w:rsidTr="005F7139">
        <w:trPr>
          <w:trHeight w:val="312"/>
          <w:jc w:val="center"/>
        </w:trPr>
        <w:tc>
          <w:tcPr>
            <w:tcW w:w="4400" w:type="dxa"/>
            <w:tcBorders>
              <w:top w:val="nil"/>
              <w:left w:val="nil"/>
              <w:bottom w:val="nil"/>
              <w:right w:val="nil"/>
            </w:tcBorders>
            <w:shd w:val="clear" w:color="auto" w:fill="auto"/>
            <w:noWrap/>
            <w:vAlign w:val="center"/>
            <w:hideMark/>
          </w:tcPr>
          <w:p w14:paraId="6E6AF4FA"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Dirección Ejecutiva</w:t>
            </w:r>
          </w:p>
        </w:tc>
        <w:tc>
          <w:tcPr>
            <w:tcW w:w="1360" w:type="dxa"/>
            <w:tcBorders>
              <w:top w:val="nil"/>
              <w:left w:val="nil"/>
              <w:bottom w:val="nil"/>
              <w:right w:val="nil"/>
            </w:tcBorders>
            <w:shd w:val="clear" w:color="auto" w:fill="auto"/>
            <w:noWrap/>
            <w:vAlign w:val="center"/>
            <w:hideMark/>
          </w:tcPr>
          <w:p w14:paraId="1845140F"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494,274,237</w:t>
            </w:r>
          </w:p>
        </w:tc>
        <w:tc>
          <w:tcPr>
            <w:tcW w:w="1240" w:type="dxa"/>
            <w:tcBorders>
              <w:top w:val="nil"/>
              <w:left w:val="nil"/>
              <w:bottom w:val="nil"/>
              <w:right w:val="nil"/>
            </w:tcBorders>
            <w:shd w:val="clear" w:color="auto" w:fill="auto"/>
            <w:noWrap/>
            <w:vAlign w:val="center"/>
            <w:hideMark/>
          </w:tcPr>
          <w:p w14:paraId="2D1F3308"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23.42%</w:t>
            </w:r>
          </w:p>
        </w:tc>
      </w:tr>
      <w:tr w:rsidR="00083CA4" w:rsidRPr="002A7673" w14:paraId="5CE84347" w14:textId="77777777" w:rsidTr="005F7139">
        <w:trPr>
          <w:trHeight w:val="312"/>
          <w:jc w:val="center"/>
        </w:trPr>
        <w:tc>
          <w:tcPr>
            <w:tcW w:w="4400" w:type="dxa"/>
            <w:tcBorders>
              <w:top w:val="nil"/>
              <w:left w:val="nil"/>
              <w:bottom w:val="nil"/>
              <w:right w:val="nil"/>
            </w:tcBorders>
            <w:shd w:val="clear" w:color="auto" w:fill="auto"/>
            <w:noWrap/>
            <w:vAlign w:val="center"/>
            <w:hideMark/>
          </w:tcPr>
          <w:p w14:paraId="046923A5"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Primer Circuito Judicial San José</w:t>
            </w:r>
          </w:p>
        </w:tc>
        <w:tc>
          <w:tcPr>
            <w:tcW w:w="1360" w:type="dxa"/>
            <w:tcBorders>
              <w:top w:val="nil"/>
              <w:left w:val="nil"/>
              <w:bottom w:val="nil"/>
              <w:right w:val="nil"/>
            </w:tcBorders>
            <w:shd w:val="clear" w:color="auto" w:fill="auto"/>
            <w:noWrap/>
            <w:vAlign w:val="center"/>
            <w:hideMark/>
          </w:tcPr>
          <w:p w14:paraId="50892BAF"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295,887,271</w:t>
            </w:r>
          </w:p>
        </w:tc>
        <w:tc>
          <w:tcPr>
            <w:tcW w:w="1240" w:type="dxa"/>
            <w:tcBorders>
              <w:top w:val="nil"/>
              <w:left w:val="nil"/>
              <w:bottom w:val="nil"/>
              <w:right w:val="nil"/>
            </w:tcBorders>
            <w:shd w:val="clear" w:color="auto" w:fill="auto"/>
            <w:noWrap/>
            <w:vAlign w:val="center"/>
            <w:hideMark/>
          </w:tcPr>
          <w:p w14:paraId="395DC200"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14.02%</w:t>
            </w:r>
          </w:p>
        </w:tc>
      </w:tr>
      <w:tr w:rsidR="00083CA4" w:rsidRPr="002A7673" w14:paraId="494255AD" w14:textId="77777777" w:rsidTr="005F7139">
        <w:trPr>
          <w:trHeight w:val="252"/>
          <w:jc w:val="center"/>
        </w:trPr>
        <w:tc>
          <w:tcPr>
            <w:tcW w:w="4400" w:type="dxa"/>
            <w:tcBorders>
              <w:top w:val="nil"/>
              <w:left w:val="nil"/>
              <w:bottom w:val="nil"/>
              <w:right w:val="nil"/>
            </w:tcBorders>
            <w:shd w:val="clear" w:color="auto" w:fill="auto"/>
            <w:noWrap/>
            <w:vAlign w:val="center"/>
            <w:hideMark/>
          </w:tcPr>
          <w:p w14:paraId="5569ED5B"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Primer Circuito Judicial Alajuela</w:t>
            </w:r>
          </w:p>
        </w:tc>
        <w:tc>
          <w:tcPr>
            <w:tcW w:w="1360" w:type="dxa"/>
            <w:tcBorders>
              <w:top w:val="nil"/>
              <w:left w:val="nil"/>
              <w:bottom w:val="nil"/>
              <w:right w:val="nil"/>
            </w:tcBorders>
            <w:shd w:val="clear" w:color="auto" w:fill="auto"/>
            <w:noWrap/>
            <w:vAlign w:val="center"/>
            <w:hideMark/>
          </w:tcPr>
          <w:p w14:paraId="5BC3B1D8"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228,949,146</w:t>
            </w:r>
          </w:p>
        </w:tc>
        <w:tc>
          <w:tcPr>
            <w:tcW w:w="1240" w:type="dxa"/>
            <w:tcBorders>
              <w:top w:val="nil"/>
              <w:left w:val="nil"/>
              <w:bottom w:val="nil"/>
              <w:right w:val="nil"/>
            </w:tcBorders>
            <w:shd w:val="clear" w:color="auto" w:fill="auto"/>
            <w:noWrap/>
            <w:vAlign w:val="center"/>
            <w:hideMark/>
          </w:tcPr>
          <w:p w14:paraId="7D8A99FC"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10.85%</w:t>
            </w:r>
          </w:p>
        </w:tc>
      </w:tr>
      <w:tr w:rsidR="00083CA4" w:rsidRPr="002A7673" w14:paraId="100A25BA" w14:textId="77777777" w:rsidTr="005F7139">
        <w:trPr>
          <w:trHeight w:val="252"/>
          <w:jc w:val="center"/>
        </w:trPr>
        <w:tc>
          <w:tcPr>
            <w:tcW w:w="4400" w:type="dxa"/>
            <w:tcBorders>
              <w:top w:val="nil"/>
              <w:left w:val="nil"/>
              <w:bottom w:val="nil"/>
              <w:right w:val="nil"/>
            </w:tcBorders>
            <w:shd w:val="clear" w:color="auto" w:fill="auto"/>
            <w:noWrap/>
            <w:vAlign w:val="center"/>
            <w:hideMark/>
          </w:tcPr>
          <w:p w14:paraId="10DDB4E1"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Administración Ciudad Judicial San Joaquín de Flores</w:t>
            </w:r>
          </w:p>
        </w:tc>
        <w:tc>
          <w:tcPr>
            <w:tcW w:w="1360" w:type="dxa"/>
            <w:tcBorders>
              <w:top w:val="nil"/>
              <w:left w:val="nil"/>
              <w:bottom w:val="nil"/>
              <w:right w:val="nil"/>
            </w:tcBorders>
            <w:shd w:val="clear" w:color="auto" w:fill="auto"/>
            <w:noWrap/>
            <w:vAlign w:val="center"/>
            <w:hideMark/>
          </w:tcPr>
          <w:p w14:paraId="2470C5DA"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158,884,665</w:t>
            </w:r>
          </w:p>
        </w:tc>
        <w:tc>
          <w:tcPr>
            <w:tcW w:w="1240" w:type="dxa"/>
            <w:tcBorders>
              <w:top w:val="nil"/>
              <w:left w:val="nil"/>
              <w:bottom w:val="nil"/>
              <w:right w:val="nil"/>
            </w:tcBorders>
            <w:shd w:val="clear" w:color="auto" w:fill="auto"/>
            <w:noWrap/>
            <w:vAlign w:val="center"/>
            <w:hideMark/>
          </w:tcPr>
          <w:p w14:paraId="1562F2D2"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7.53%</w:t>
            </w:r>
          </w:p>
        </w:tc>
      </w:tr>
      <w:tr w:rsidR="00083CA4" w:rsidRPr="002A7673" w14:paraId="45AAE10D" w14:textId="77777777" w:rsidTr="005F7139">
        <w:trPr>
          <w:trHeight w:val="252"/>
          <w:jc w:val="center"/>
        </w:trPr>
        <w:tc>
          <w:tcPr>
            <w:tcW w:w="4400" w:type="dxa"/>
            <w:tcBorders>
              <w:top w:val="nil"/>
              <w:left w:val="nil"/>
              <w:bottom w:val="nil"/>
              <w:right w:val="nil"/>
            </w:tcBorders>
            <w:shd w:val="clear" w:color="auto" w:fill="auto"/>
            <w:noWrap/>
            <w:vAlign w:val="center"/>
            <w:hideMark/>
          </w:tcPr>
          <w:p w14:paraId="70561653"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Primer Circuito Judicial Zona Atlántica</w:t>
            </w:r>
          </w:p>
        </w:tc>
        <w:tc>
          <w:tcPr>
            <w:tcW w:w="1360" w:type="dxa"/>
            <w:tcBorders>
              <w:top w:val="nil"/>
              <w:left w:val="nil"/>
              <w:bottom w:val="nil"/>
              <w:right w:val="nil"/>
            </w:tcBorders>
            <w:shd w:val="clear" w:color="auto" w:fill="auto"/>
            <w:noWrap/>
            <w:vAlign w:val="center"/>
            <w:hideMark/>
          </w:tcPr>
          <w:p w14:paraId="31A3727A"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135,634,743</w:t>
            </w:r>
          </w:p>
        </w:tc>
        <w:tc>
          <w:tcPr>
            <w:tcW w:w="1240" w:type="dxa"/>
            <w:tcBorders>
              <w:top w:val="nil"/>
              <w:left w:val="nil"/>
              <w:bottom w:val="nil"/>
              <w:right w:val="nil"/>
            </w:tcBorders>
            <w:shd w:val="clear" w:color="auto" w:fill="auto"/>
            <w:noWrap/>
            <w:vAlign w:val="center"/>
            <w:hideMark/>
          </w:tcPr>
          <w:p w14:paraId="666B83C4"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6.43%</w:t>
            </w:r>
          </w:p>
        </w:tc>
      </w:tr>
      <w:tr w:rsidR="00083CA4" w:rsidRPr="002A7673" w14:paraId="29FB8D71" w14:textId="77777777" w:rsidTr="005F7139">
        <w:trPr>
          <w:trHeight w:val="252"/>
          <w:jc w:val="center"/>
        </w:trPr>
        <w:tc>
          <w:tcPr>
            <w:tcW w:w="4400" w:type="dxa"/>
            <w:tcBorders>
              <w:top w:val="nil"/>
              <w:left w:val="nil"/>
              <w:bottom w:val="nil"/>
              <w:right w:val="nil"/>
            </w:tcBorders>
            <w:shd w:val="clear" w:color="auto" w:fill="auto"/>
            <w:noWrap/>
            <w:vAlign w:val="center"/>
            <w:hideMark/>
          </w:tcPr>
          <w:p w14:paraId="47888A50"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Primer Circuito Judicial Guanacaste</w:t>
            </w:r>
          </w:p>
        </w:tc>
        <w:tc>
          <w:tcPr>
            <w:tcW w:w="1360" w:type="dxa"/>
            <w:tcBorders>
              <w:top w:val="nil"/>
              <w:left w:val="nil"/>
              <w:bottom w:val="nil"/>
              <w:right w:val="nil"/>
            </w:tcBorders>
            <w:shd w:val="clear" w:color="auto" w:fill="auto"/>
            <w:noWrap/>
            <w:vAlign w:val="center"/>
            <w:hideMark/>
          </w:tcPr>
          <w:p w14:paraId="5C2EE9B1"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112,747,025</w:t>
            </w:r>
          </w:p>
        </w:tc>
        <w:tc>
          <w:tcPr>
            <w:tcW w:w="1240" w:type="dxa"/>
            <w:tcBorders>
              <w:top w:val="nil"/>
              <w:left w:val="nil"/>
              <w:bottom w:val="nil"/>
              <w:right w:val="nil"/>
            </w:tcBorders>
            <w:shd w:val="clear" w:color="auto" w:fill="auto"/>
            <w:noWrap/>
            <w:vAlign w:val="center"/>
            <w:hideMark/>
          </w:tcPr>
          <w:p w14:paraId="0EC801D9"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5.34%</w:t>
            </w:r>
          </w:p>
        </w:tc>
      </w:tr>
      <w:tr w:rsidR="00083CA4" w:rsidRPr="002A7673" w14:paraId="2133A774" w14:textId="77777777" w:rsidTr="005F7139">
        <w:trPr>
          <w:trHeight w:val="252"/>
          <w:jc w:val="center"/>
        </w:trPr>
        <w:tc>
          <w:tcPr>
            <w:tcW w:w="4400" w:type="dxa"/>
            <w:tcBorders>
              <w:top w:val="nil"/>
              <w:left w:val="nil"/>
              <w:bottom w:val="nil"/>
              <w:right w:val="nil"/>
            </w:tcBorders>
            <w:shd w:val="clear" w:color="auto" w:fill="auto"/>
            <w:noWrap/>
            <w:vAlign w:val="center"/>
            <w:hideMark/>
          </w:tcPr>
          <w:p w14:paraId="326DF6F4"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Organismo de Investigación Judicial</w:t>
            </w:r>
          </w:p>
        </w:tc>
        <w:tc>
          <w:tcPr>
            <w:tcW w:w="1360" w:type="dxa"/>
            <w:tcBorders>
              <w:top w:val="nil"/>
              <w:left w:val="nil"/>
              <w:bottom w:val="nil"/>
              <w:right w:val="nil"/>
            </w:tcBorders>
            <w:shd w:val="clear" w:color="auto" w:fill="auto"/>
            <w:noWrap/>
            <w:vAlign w:val="center"/>
            <w:hideMark/>
          </w:tcPr>
          <w:p w14:paraId="3FA7AC62"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103,920,762</w:t>
            </w:r>
          </w:p>
        </w:tc>
        <w:tc>
          <w:tcPr>
            <w:tcW w:w="1240" w:type="dxa"/>
            <w:tcBorders>
              <w:top w:val="nil"/>
              <w:left w:val="nil"/>
              <w:bottom w:val="nil"/>
              <w:right w:val="nil"/>
            </w:tcBorders>
            <w:shd w:val="clear" w:color="auto" w:fill="auto"/>
            <w:noWrap/>
            <w:vAlign w:val="center"/>
            <w:hideMark/>
          </w:tcPr>
          <w:p w14:paraId="1E8CF8DB"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4.92%</w:t>
            </w:r>
          </w:p>
        </w:tc>
      </w:tr>
      <w:tr w:rsidR="00083CA4" w:rsidRPr="002A7673" w14:paraId="169B1257" w14:textId="77777777" w:rsidTr="005F7139">
        <w:trPr>
          <w:trHeight w:val="252"/>
          <w:jc w:val="center"/>
        </w:trPr>
        <w:tc>
          <w:tcPr>
            <w:tcW w:w="4400" w:type="dxa"/>
            <w:tcBorders>
              <w:top w:val="nil"/>
              <w:left w:val="nil"/>
              <w:bottom w:val="nil"/>
              <w:right w:val="nil"/>
            </w:tcBorders>
            <w:shd w:val="clear" w:color="auto" w:fill="auto"/>
            <w:noWrap/>
            <w:vAlign w:val="center"/>
            <w:hideMark/>
          </w:tcPr>
          <w:p w14:paraId="55ABC1F7"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Primer Circuito Judicial Zona Sur</w:t>
            </w:r>
          </w:p>
        </w:tc>
        <w:tc>
          <w:tcPr>
            <w:tcW w:w="1360" w:type="dxa"/>
            <w:tcBorders>
              <w:top w:val="nil"/>
              <w:left w:val="nil"/>
              <w:bottom w:val="nil"/>
              <w:right w:val="nil"/>
            </w:tcBorders>
            <w:shd w:val="clear" w:color="auto" w:fill="auto"/>
            <w:noWrap/>
            <w:vAlign w:val="center"/>
            <w:hideMark/>
          </w:tcPr>
          <w:p w14:paraId="393CFCBE"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101,785,222</w:t>
            </w:r>
          </w:p>
        </w:tc>
        <w:tc>
          <w:tcPr>
            <w:tcW w:w="1240" w:type="dxa"/>
            <w:tcBorders>
              <w:top w:val="nil"/>
              <w:left w:val="nil"/>
              <w:bottom w:val="nil"/>
              <w:right w:val="nil"/>
            </w:tcBorders>
            <w:shd w:val="clear" w:color="auto" w:fill="auto"/>
            <w:noWrap/>
            <w:vAlign w:val="center"/>
            <w:hideMark/>
          </w:tcPr>
          <w:p w14:paraId="73B8E0F5"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4.82%</w:t>
            </w:r>
          </w:p>
        </w:tc>
      </w:tr>
      <w:tr w:rsidR="00083CA4" w:rsidRPr="002A7673" w14:paraId="4C2A8576" w14:textId="77777777" w:rsidTr="005F7139">
        <w:trPr>
          <w:trHeight w:val="252"/>
          <w:jc w:val="center"/>
        </w:trPr>
        <w:tc>
          <w:tcPr>
            <w:tcW w:w="4400" w:type="dxa"/>
            <w:tcBorders>
              <w:top w:val="nil"/>
              <w:left w:val="nil"/>
              <w:bottom w:val="nil"/>
              <w:right w:val="nil"/>
            </w:tcBorders>
            <w:shd w:val="clear" w:color="auto" w:fill="auto"/>
            <w:noWrap/>
            <w:vAlign w:val="center"/>
            <w:hideMark/>
          </w:tcPr>
          <w:p w14:paraId="561B467B"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Segundo Circuito Judicial Guanacaste </w:t>
            </w:r>
          </w:p>
        </w:tc>
        <w:tc>
          <w:tcPr>
            <w:tcW w:w="1360" w:type="dxa"/>
            <w:tcBorders>
              <w:top w:val="nil"/>
              <w:left w:val="nil"/>
              <w:bottom w:val="nil"/>
              <w:right w:val="nil"/>
            </w:tcBorders>
            <w:shd w:val="clear" w:color="auto" w:fill="auto"/>
            <w:noWrap/>
            <w:vAlign w:val="center"/>
            <w:hideMark/>
          </w:tcPr>
          <w:p w14:paraId="6F6BC355"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62,279,264</w:t>
            </w:r>
          </w:p>
        </w:tc>
        <w:tc>
          <w:tcPr>
            <w:tcW w:w="1240" w:type="dxa"/>
            <w:tcBorders>
              <w:top w:val="nil"/>
              <w:left w:val="nil"/>
              <w:bottom w:val="nil"/>
              <w:right w:val="nil"/>
            </w:tcBorders>
            <w:shd w:val="clear" w:color="auto" w:fill="auto"/>
            <w:noWrap/>
            <w:vAlign w:val="center"/>
            <w:hideMark/>
          </w:tcPr>
          <w:p w14:paraId="14318E3D"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2.95%</w:t>
            </w:r>
          </w:p>
        </w:tc>
      </w:tr>
      <w:tr w:rsidR="00083CA4" w:rsidRPr="002A7673" w14:paraId="6ABFED43" w14:textId="77777777" w:rsidTr="005F7139">
        <w:trPr>
          <w:trHeight w:val="252"/>
          <w:jc w:val="center"/>
        </w:trPr>
        <w:tc>
          <w:tcPr>
            <w:tcW w:w="4400" w:type="dxa"/>
            <w:tcBorders>
              <w:top w:val="nil"/>
              <w:left w:val="nil"/>
              <w:bottom w:val="nil"/>
              <w:right w:val="nil"/>
            </w:tcBorders>
            <w:shd w:val="clear" w:color="auto" w:fill="auto"/>
            <w:noWrap/>
            <w:vAlign w:val="center"/>
            <w:hideMark/>
          </w:tcPr>
          <w:p w14:paraId="164EEEC4"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Administración Golfito</w:t>
            </w:r>
          </w:p>
        </w:tc>
        <w:tc>
          <w:tcPr>
            <w:tcW w:w="1360" w:type="dxa"/>
            <w:tcBorders>
              <w:top w:val="nil"/>
              <w:left w:val="nil"/>
              <w:bottom w:val="nil"/>
              <w:right w:val="nil"/>
            </w:tcBorders>
            <w:shd w:val="clear" w:color="auto" w:fill="auto"/>
            <w:noWrap/>
            <w:vAlign w:val="center"/>
            <w:hideMark/>
          </w:tcPr>
          <w:p w14:paraId="6D2A8215"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62,813,262</w:t>
            </w:r>
          </w:p>
        </w:tc>
        <w:tc>
          <w:tcPr>
            <w:tcW w:w="1240" w:type="dxa"/>
            <w:tcBorders>
              <w:top w:val="nil"/>
              <w:left w:val="nil"/>
              <w:bottom w:val="nil"/>
              <w:right w:val="nil"/>
            </w:tcBorders>
            <w:shd w:val="clear" w:color="auto" w:fill="auto"/>
            <w:noWrap/>
            <w:vAlign w:val="center"/>
            <w:hideMark/>
          </w:tcPr>
          <w:p w14:paraId="12CD5844"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2.98%</w:t>
            </w:r>
          </w:p>
        </w:tc>
      </w:tr>
      <w:tr w:rsidR="00083CA4" w:rsidRPr="002A7673" w14:paraId="4C8D6262" w14:textId="77777777" w:rsidTr="005F7139">
        <w:trPr>
          <w:trHeight w:val="252"/>
          <w:jc w:val="center"/>
        </w:trPr>
        <w:tc>
          <w:tcPr>
            <w:tcW w:w="4400" w:type="dxa"/>
            <w:tcBorders>
              <w:top w:val="nil"/>
              <w:left w:val="nil"/>
              <w:bottom w:val="single" w:sz="4" w:space="0" w:color="auto"/>
              <w:right w:val="nil"/>
            </w:tcBorders>
            <w:shd w:val="clear" w:color="auto" w:fill="auto"/>
            <w:noWrap/>
            <w:vAlign w:val="center"/>
            <w:hideMark/>
          </w:tcPr>
          <w:p w14:paraId="5FFE04E5" w14:textId="77777777" w:rsidR="00083CA4" w:rsidRPr="002A7673" w:rsidRDefault="00083CA4" w:rsidP="005F7139">
            <w:pPr>
              <w:spacing w:after="0" w:line="240" w:lineRule="auto"/>
              <w:jc w:val="both"/>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Otros</w:t>
            </w:r>
          </w:p>
        </w:tc>
        <w:tc>
          <w:tcPr>
            <w:tcW w:w="1360" w:type="dxa"/>
            <w:tcBorders>
              <w:top w:val="nil"/>
              <w:left w:val="nil"/>
              <w:bottom w:val="single" w:sz="4" w:space="0" w:color="auto"/>
              <w:right w:val="nil"/>
            </w:tcBorders>
            <w:shd w:val="clear" w:color="auto" w:fill="auto"/>
            <w:noWrap/>
            <w:vAlign w:val="center"/>
            <w:hideMark/>
          </w:tcPr>
          <w:p w14:paraId="2F0EB210"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353,461,815</w:t>
            </w:r>
          </w:p>
        </w:tc>
        <w:tc>
          <w:tcPr>
            <w:tcW w:w="1240" w:type="dxa"/>
            <w:tcBorders>
              <w:top w:val="nil"/>
              <w:left w:val="nil"/>
              <w:bottom w:val="nil"/>
              <w:right w:val="nil"/>
            </w:tcBorders>
            <w:shd w:val="clear" w:color="auto" w:fill="auto"/>
            <w:noWrap/>
            <w:vAlign w:val="center"/>
            <w:hideMark/>
          </w:tcPr>
          <w:p w14:paraId="61D1E6BA"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16.75%</w:t>
            </w:r>
          </w:p>
        </w:tc>
      </w:tr>
      <w:tr w:rsidR="00083CA4" w:rsidRPr="002A7673" w14:paraId="4335B742" w14:textId="77777777" w:rsidTr="005F7139">
        <w:trPr>
          <w:trHeight w:val="288"/>
          <w:jc w:val="center"/>
        </w:trPr>
        <w:tc>
          <w:tcPr>
            <w:tcW w:w="4400" w:type="dxa"/>
            <w:tcBorders>
              <w:top w:val="nil"/>
              <w:left w:val="nil"/>
              <w:bottom w:val="single" w:sz="4" w:space="0" w:color="auto"/>
              <w:right w:val="nil"/>
            </w:tcBorders>
            <w:shd w:val="clear" w:color="auto" w:fill="auto"/>
            <w:noWrap/>
            <w:vAlign w:val="center"/>
            <w:hideMark/>
          </w:tcPr>
          <w:p w14:paraId="67042A42" w14:textId="77777777" w:rsidR="00083CA4" w:rsidRPr="002A7673" w:rsidRDefault="00083CA4" w:rsidP="005F7139">
            <w:pPr>
              <w:spacing w:after="0" w:line="240" w:lineRule="auto"/>
              <w:jc w:val="center"/>
              <w:rPr>
                <w:rFonts w:ascii="Times New Roman" w:eastAsia="Times New Roman" w:hAnsi="Times New Roman" w:cs="Times New Roman"/>
                <w:b/>
                <w:bCs/>
                <w:color w:val="1F497D"/>
                <w:sz w:val="24"/>
                <w:szCs w:val="24"/>
                <w:lang w:eastAsia="es-CR"/>
              </w:rPr>
            </w:pPr>
            <w:r w:rsidRPr="002A7673">
              <w:rPr>
                <w:rFonts w:ascii="Times New Roman" w:eastAsia="Times New Roman" w:hAnsi="Times New Roman" w:cs="Times New Roman"/>
                <w:b/>
                <w:bCs/>
                <w:color w:val="1F497D"/>
                <w:sz w:val="24"/>
                <w:szCs w:val="24"/>
                <w:lang w:eastAsia="es-CR"/>
              </w:rPr>
              <w:t>Total</w:t>
            </w:r>
          </w:p>
        </w:tc>
        <w:tc>
          <w:tcPr>
            <w:tcW w:w="1360" w:type="dxa"/>
            <w:tcBorders>
              <w:top w:val="nil"/>
              <w:left w:val="nil"/>
              <w:bottom w:val="single" w:sz="4" w:space="0" w:color="auto"/>
              <w:right w:val="nil"/>
            </w:tcBorders>
            <w:shd w:val="clear" w:color="auto" w:fill="auto"/>
            <w:noWrap/>
            <w:vAlign w:val="center"/>
            <w:hideMark/>
          </w:tcPr>
          <w:p w14:paraId="25D60BF5" w14:textId="77777777" w:rsidR="00083CA4" w:rsidRPr="002A7673" w:rsidRDefault="00083CA4" w:rsidP="005F7139">
            <w:pPr>
              <w:spacing w:after="0" w:line="240" w:lineRule="auto"/>
              <w:jc w:val="center"/>
              <w:rPr>
                <w:rFonts w:ascii="Times New Roman" w:eastAsia="Times New Roman" w:hAnsi="Times New Roman" w:cs="Times New Roman"/>
                <w:b/>
                <w:bCs/>
                <w:color w:val="1F497D"/>
                <w:sz w:val="24"/>
                <w:szCs w:val="24"/>
                <w:lang w:eastAsia="es-CR"/>
              </w:rPr>
            </w:pPr>
            <w:r w:rsidRPr="002A7673">
              <w:rPr>
                <w:rFonts w:ascii="Times New Roman" w:eastAsia="Times New Roman" w:hAnsi="Times New Roman" w:cs="Times New Roman"/>
                <w:b/>
                <w:bCs/>
                <w:color w:val="1F497D"/>
                <w:sz w:val="24"/>
                <w:szCs w:val="24"/>
                <w:lang w:eastAsia="es-CR"/>
              </w:rPr>
              <w:t>2,110,637,412</w:t>
            </w:r>
          </w:p>
        </w:tc>
        <w:tc>
          <w:tcPr>
            <w:tcW w:w="1240" w:type="dxa"/>
            <w:tcBorders>
              <w:top w:val="single" w:sz="4" w:space="0" w:color="auto"/>
              <w:left w:val="nil"/>
              <w:bottom w:val="single" w:sz="4" w:space="0" w:color="auto"/>
              <w:right w:val="nil"/>
            </w:tcBorders>
            <w:shd w:val="clear" w:color="auto" w:fill="auto"/>
            <w:noWrap/>
            <w:vAlign w:val="center"/>
            <w:hideMark/>
          </w:tcPr>
          <w:p w14:paraId="1F9571A6" w14:textId="77777777" w:rsidR="00083CA4" w:rsidRPr="002A7673" w:rsidRDefault="00083CA4" w:rsidP="005F7139">
            <w:pPr>
              <w:spacing w:after="0" w:line="240" w:lineRule="auto"/>
              <w:jc w:val="center"/>
              <w:rPr>
                <w:rFonts w:ascii="Times New Roman" w:eastAsia="Times New Roman" w:hAnsi="Times New Roman" w:cs="Times New Roman"/>
                <w:b/>
                <w:bCs/>
                <w:color w:val="1F497D"/>
                <w:sz w:val="24"/>
                <w:szCs w:val="24"/>
                <w:lang w:eastAsia="es-CR"/>
              </w:rPr>
            </w:pPr>
            <w:r w:rsidRPr="002A7673">
              <w:rPr>
                <w:rFonts w:ascii="Times New Roman" w:eastAsia="Times New Roman" w:hAnsi="Times New Roman" w:cs="Times New Roman"/>
                <w:b/>
                <w:bCs/>
                <w:color w:val="1F497D"/>
                <w:sz w:val="24"/>
                <w:szCs w:val="24"/>
                <w:lang w:eastAsia="es-CR"/>
              </w:rPr>
              <w:t>100%</w:t>
            </w:r>
          </w:p>
        </w:tc>
      </w:tr>
    </w:tbl>
    <w:p w14:paraId="7EC44387" w14:textId="77777777" w:rsidR="00083CA4" w:rsidRPr="002A7673" w:rsidRDefault="00083CA4" w:rsidP="005F7139">
      <w:pPr>
        <w:spacing w:after="0" w:line="240" w:lineRule="auto"/>
        <w:rPr>
          <w:rFonts w:ascii="Times New Roman" w:eastAsia="Times New Roman" w:hAnsi="Times New Roman" w:cs="Times New Roman"/>
          <w:sz w:val="14"/>
          <w:szCs w:val="14"/>
        </w:rPr>
      </w:pPr>
      <w:r w:rsidRPr="002A7673">
        <w:rPr>
          <w:rFonts w:ascii="Times New Roman" w:eastAsia="Times New Roman" w:hAnsi="Times New Roman" w:cs="Times New Roman"/>
          <w:sz w:val="14"/>
          <w:szCs w:val="14"/>
        </w:rPr>
        <w:t xml:space="preserve">                        Fuente: SIGA-PJ reporte generado el 05-04-21     </w:t>
      </w:r>
    </w:p>
    <w:p w14:paraId="4A5F891B" w14:textId="77777777" w:rsidR="00083CA4" w:rsidRPr="002A7673" w:rsidRDefault="00083CA4" w:rsidP="005F7139">
      <w:pPr>
        <w:spacing w:after="0" w:line="240" w:lineRule="auto"/>
        <w:jc w:val="both"/>
        <w:rPr>
          <w:rFonts w:ascii="Times New Roman" w:eastAsia="Calibri" w:hAnsi="Times New Roman" w:cs="Times New Roman"/>
          <w:sz w:val="24"/>
          <w:szCs w:val="24"/>
        </w:rPr>
      </w:pPr>
    </w:p>
    <w:p w14:paraId="4E1B9C69"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144C4C8D"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Es importante indicar, que la razón del crecimiento por la cual la Dirección Ejecutiva presenta la mayor cantidad de recursos en esta </w:t>
      </w:r>
      <w:proofErr w:type="gramStart"/>
      <w:r w:rsidRPr="002A7673">
        <w:rPr>
          <w:rFonts w:ascii="Times New Roman" w:eastAsia="Calibri" w:hAnsi="Times New Roman" w:cs="Times New Roman"/>
          <w:sz w:val="26"/>
          <w:szCs w:val="26"/>
        </w:rPr>
        <w:t>subpartida,</w:t>
      </w:r>
      <w:proofErr w:type="gramEnd"/>
      <w:r w:rsidRPr="002A7673">
        <w:rPr>
          <w:rFonts w:ascii="Times New Roman" w:eastAsia="Calibri" w:hAnsi="Times New Roman" w:cs="Times New Roman"/>
          <w:sz w:val="26"/>
          <w:szCs w:val="26"/>
        </w:rPr>
        <w:t xml:space="preserve"> se debe a que es por medio del Departamento de Servicios Generales que incluyen los recursos de mantenimiento, formulados por medio del Área de Construcciones. </w:t>
      </w:r>
    </w:p>
    <w:p w14:paraId="4E217FFC"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7637BA50"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lastRenderedPageBreak/>
        <w:t>La Dirección Ejecutiva para el 2022 en la subpartida 10801 incluye recursos de los diferentes departamentos y secciones que conforman esta Dirección, dentro de los requerimientos más representativos se tienen:</w:t>
      </w:r>
    </w:p>
    <w:p w14:paraId="52F3921C" w14:textId="77777777" w:rsidR="003534AF" w:rsidRPr="002A7673" w:rsidRDefault="003534AF" w:rsidP="00F422DD">
      <w:pPr>
        <w:spacing w:after="0" w:line="240" w:lineRule="auto"/>
        <w:ind w:left="851" w:right="851" w:firstLine="709"/>
        <w:jc w:val="both"/>
        <w:rPr>
          <w:rFonts w:ascii="Times New Roman" w:eastAsia="Calibri" w:hAnsi="Times New Roman" w:cs="Times New Roman"/>
          <w:sz w:val="26"/>
          <w:szCs w:val="26"/>
        </w:rPr>
      </w:pPr>
    </w:p>
    <w:p w14:paraId="65393089" w14:textId="77777777" w:rsidR="00083CA4" w:rsidRPr="002A7673" w:rsidRDefault="00083CA4" w:rsidP="00D527DE">
      <w:pPr>
        <w:numPr>
          <w:ilvl w:val="0"/>
          <w:numId w:val="17"/>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Artículo 19545 Mantenimiento de Edificios y Locales</w:t>
      </w:r>
    </w:p>
    <w:p w14:paraId="5E07D4FB" w14:textId="77777777" w:rsidR="003534AF" w:rsidRPr="002A7673" w:rsidRDefault="003534AF" w:rsidP="003534AF">
      <w:pPr>
        <w:spacing w:after="0" w:line="240" w:lineRule="auto"/>
        <w:ind w:left="1560" w:right="851"/>
        <w:jc w:val="both"/>
        <w:rPr>
          <w:rFonts w:ascii="Times New Roman" w:eastAsia="Times New Roman" w:hAnsi="Times New Roman" w:cs="Times New Roman"/>
          <w:sz w:val="26"/>
          <w:szCs w:val="26"/>
          <w:lang w:val="es-ES" w:eastAsia="es-ES"/>
        </w:rPr>
      </w:pPr>
    </w:p>
    <w:p w14:paraId="6D827986" w14:textId="77777777" w:rsidR="00083CA4" w:rsidRPr="002A7673" w:rsidRDefault="00083CA4" w:rsidP="00D527DE">
      <w:pPr>
        <w:numPr>
          <w:ilvl w:val="0"/>
          <w:numId w:val="18"/>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Oficina 152 Sección de Mantenimiento y Construcción incluyen ¢173.000.000 para el contrato de los ascensores de los Edificios del Organismo de Investigación Judicial, Anexos A, B y C del Primer Circuito Judicial de San José.</w:t>
      </w:r>
    </w:p>
    <w:p w14:paraId="417CE970" w14:textId="77777777" w:rsidR="003534AF" w:rsidRPr="002A7673" w:rsidRDefault="003534AF" w:rsidP="003534AF">
      <w:pPr>
        <w:spacing w:after="0" w:line="240" w:lineRule="auto"/>
        <w:ind w:left="1560" w:right="851"/>
        <w:jc w:val="both"/>
        <w:rPr>
          <w:rFonts w:ascii="Times New Roman" w:eastAsia="Times New Roman" w:hAnsi="Times New Roman" w:cs="Times New Roman"/>
          <w:sz w:val="26"/>
          <w:szCs w:val="26"/>
          <w:lang w:val="es-ES" w:eastAsia="es-ES"/>
        </w:rPr>
      </w:pPr>
    </w:p>
    <w:p w14:paraId="70144CEB" w14:textId="77777777" w:rsidR="00083CA4" w:rsidRPr="002A7673" w:rsidRDefault="00083CA4" w:rsidP="00D527DE">
      <w:pPr>
        <w:numPr>
          <w:ilvl w:val="0"/>
          <w:numId w:val="18"/>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Oficina 149 Departamento de Servicios Generales incluye ¢16.850.424 para cubrir el contrato 025120 para el Mantenimiento Preventivo y correctivo con atención de llamadas de Emergencia, del Sistema de Presurización y Detección de Incendios la Corte Suprema de Justicia.</w:t>
      </w:r>
    </w:p>
    <w:p w14:paraId="55D7CE67" w14:textId="77777777" w:rsidR="003534AF" w:rsidRPr="002A7673" w:rsidRDefault="003534AF" w:rsidP="003534AF">
      <w:pPr>
        <w:spacing w:after="0" w:line="240" w:lineRule="auto"/>
        <w:ind w:left="1560" w:right="851"/>
        <w:jc w:val="both"/>
        <w:rPr>
          <w:rFonts w:ascii="Times New Roman" w:eastAsia="Times New Roman" w:hAnsi="Times New Roman" w:cs="Times New Roman"/>
          <w:sz w:val="26"/>
          <w:szCs w:val="26"/>
          <w:lang w:val="es-ES" w:eastAsia="es-ES"/>
        </w:rPr>
      </w:pPr>
    </w:p>
    <w:p w14:paraId="53162926" w14:textId="77777777" w:rsidR="00083CA4" w:rsidRPr="002A7673" w:rsidRDefault="00083CA4" w:rsidP="00D527DE">
      <w:pPr>
        <w:numPr>
          <w:ilvl w:val="0"/>
          <w:numId w:val="17"/>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Artículo 07171 Servicio mano de obra mantenimiento de edificios y locales. La oficina 152 Sección de mantenimiento y Construcción requiere ¢18.482.356 para pago de los contratos de Presurización de la Corte Suprema y del sistema Gas LP Monumento al oficial caído.</w:t>
      </w:r>
    </w:p>
    <w:p w14:paraId="14356795" w14:textId="77777777" w:rsidR="003534AF" w:rsidRPr="002A7673" w:rsidRDefault="003534AF" w:rsidP="003534AF">
      <w:pPr>
        <w:spacing w:after="0" w:line="240" w:lineRule="auto"/>
        <w:ind w:left="1560" w:right="851"/>
        <w:jc w:val="both"/>
        <w:rPr>
          <w:rFonts w:ascii="Times New Roman" w:eastAsia="Times New Roman" w:hAnsi="Times New Roman" w:cs="Times New Roman"/>
          <w:sz w:val="26"/>
          <w:szCs w:val="26"/>
          <w:lang w:val="es-ES" w:eastAsia="es-ES"/>
        </w:rPr>
      </w:pPr>
    </w:p>
    <w:p w14:paraId="5FD36B43" w14:textId="77777777" w:rsidR="00083CA4" w:rsidRPr="002A7673" w:rsidRDefault="00083CA4" w:rsidP="00D527DE">
      <w:pPr>
        <w:numPr>
          <w:ilvl w:val="0"/>
          <w:numId w:val="17"/>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Artículo 21765 Mantenimiento de Edificios y Locales (Presupuesto Contrato).</w:t>
      </w:r>
    </w:p>
    <w:p w14:paraId="4CC6C2A7" w14:textId="77777777" w:rsidR="003534AF" w:rsidRPr="002A7673" w:rsidRDefault="003534AF" w:rsidP="003534AF">
      <w:pPr>
        <w:spacing w:after="0" w:line="240" w:lineRule="auto"/>
        <w:ind w:right="851"/>
        <w:jc w:val="both"/>
        <w:rPr>
          <w:rFonts w:ascii="Times New Roman" w:eastAsia="Times New Roman" w:hAnsi="Times New Roman" w:cs="Times New Roman"/>
          <w:sz w:val="26"/>
          <w:szCs w:val="26"/>
          <w:lang w:val="es-ES" w:eastAsia="es-ES"/>
        </w:rPr>
      </w:pPr>
    </w:p>
    <w:p w14:paraId="00266E4B" w14:textId="77777777" w:rsidR="00083CA4" w:rsidRPr="002A7673" w:rsidRDefault="00083CA4" w:rsidP="00F422DD">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Se solicitan ¢70.000.000 por parte del Departamento de Servicios Generales (¢30.900.000) y Sección de Mantenimiento Construcción (¢40.000.000) para cubrir estos contratos de mantenimiento.</w:t>
      </w:r>
    </w:p>
    <w:p w14:paraId="5D61DCC1" w14:textId="77777777" w:rsidR="003534AF" w:rsidRPr="002A7673" w:rsidRDefault="003534AF" w:rsidP="00F422DD">
      <w:pPr>
        <w:spacing w:after="0" w:line="240" w:lineRule="auto"/>
        <w:ind w:left="851" w:right="851" w:firstLine="709"/>
        <w:jc w:val="both"/>
        <w:rPr>
          <w:rFonts w:ascii="Times New Roman" w:eastAsia="Times New Roman" w:hAnsi="Times New Roman" w:cs="Times New Roman"/>
          <w:sz w:val="26"/>
          <w:szCs w:val="26"/>
          <w:lang w:val="es-ES" w:eastAsia="es-ES"/>
        </w:rPr>
      </w:pPr>
    </w:p>
    <w:p w14:paraId="0E5ECA16" w14:textId="77777777" w:rsidR="00083CA4" w:rsidRPr="002A7673" w:rsidRDefault="00083CA4" w:rsidP="00D527DE">
      <w:pPr>
        <w:numPr>
          <w:ilvl w:val="0"/>
          <w:numId w:val="17"/>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Artículo 18712 Servicio mantenimiento correctivo y preventivo de ascensores.</w:t>
      </w:r>
    </w:p>
    <w:p w14:paraId="657B540E" w14:textId="77777777" w:rsidR="003534AF" w:rsidRPr="002A7673" w:rsidRDefault="003534AF" w:rsidP="00F422DD">
      <w:pPr>
        <w:spacing w:after="0" w:line="240" w:lineRule="auto"/>
        <w:ind w:left="851" w:right="851" w:firstLine="709"/>
        <w:jc w:val="both"/>
        <w:rPr>
          <w:rFonts w:ascii="Times New Roman" w:eastAsia="Calibri" w:hAnsi="Times New Roman" w:cs="Times New Roman"/>
          <w:sz w:val="26"/>
          <w:szCs w:val="26"/>
        </w:rPr>
      </w:pPr>
    </w:p>
    <w:p w14:paraId="4754816A"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Se requieren ¢107.524.870 solicitados por el Departamento de Servicios Generales y Sección de Mantenimiento y Construcción para atender el contrato nuevo de los ascensores del OIJ, Anexo A, Anexo B, Anexo C.</w:t>
      </w:r>
    </w:p>
    <w:p w14:paraId="0FF5A1AB"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5D47CEA6"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Asimismo, en lo formulado por la Dirección Ejecutiva, se contemplan los requerimientos de servicio de mano de obra por mantenimiento de edificio y locales, así como el mantenimiento correctivo básico de edificios </w:t>
      </w:r>
      <w:r w:rsidRPr="002A7673">
        <w:rPr>
          <w:rFonts w:ascii="Times New Roman" w:eastAsia="Calibri" w:hAnsi="Times New Roman" w:cs="Times New Roman"/>
          <w:sz w:val="26"/>
          <w:szCs w:val="26"/>
        </w:rPr>
        <w:lastRenderedPageBreak/>
        <w:t xml:space="preserve">(reparación de techos, reparaciones eléctricas, instalación de vidrios, reparación aleros y canoas, reparaciones de fontanería, entre otros). </w:t>
      </w:r>
    </w:p>
    <w:p w14:paraId="26CF929E"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043888D9"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 solicitud de la Dirección Ejecutiva excluyó del anteproyecto las solicitudes por parte del Departamento de Seguridad y el Archivo Judicial relacionadas con pinturas, reparación de goteras y remodelación de oficinas administrativas, por limitaciones presupuestarias y lo plantearán ante el Consejo Superior como un requerimiento adicional. </w:t>
      </w:r>
    </w:p>
    <w:p w14:paraId="07E6B152"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382D4B04" w14:textId="77777777" w:rsidR="00083CA4" w:rsidRPr="002A7673" w:rsidRDefault="00083CA4" w:rsidP="00D527DE">
      <w:pPr>
        <w:numPr>
          <w:ilvl w:val="1"/>
          <w:numId w:val="13"/>
        </w:numPr>
        <w:spacing w:after="0" w:line="240" w:lineRule="auto"/>
        <w:ind w:left="851" w:right="851" w:firstLine="709"/>
        <w:contextualSpacing/>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Requerimientos Adicionales</w:t>
      </w:r>
    </w:p>
    <w:p w14:paraId="3CA3A315" w14:textId="77777777" w:rsidR="00083CA4" w:rsidRPr="002A7673" w:rsidRDefault="00083CA4" w:rsidP="00F422DD">
      <w:pPr>
        <w:spacing w:after="0" w:line="240" w:lineRule="auto"/>
        <w:ind w:left="851" w:right="851" w:firstLine="709"/>
        <w:jc w:val="both"/>
        <w:rPr>
          <w:rFonts w:ascii="Times New Roman" w:eastAsia="Calibri" w:hAnsi="Times New Roman" w:cs="Times New Roman"/>
          <w:b/>
          <w:bCs/>
          <w:sz w:val="26"/>
          <w:szCs w:val="26"/>
        </w:rPr>
      </w:pPr>
    </w:p>
    <w:p w14:paraId="6CB4332B"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Por otra parte, se excluyeron por las limitaciones presupuestarias del anteproyecto de presupuesto un monto de ¢14.000.000 de la subpartida 10801 "Mantenimiento de edificios y locales solicitados para realizar labores de pintura de las siguientes oficinas:</w:t>
      </w:r>
    </w:p>
    <w:p w14:paraId="581BF0F4" w14:textId="77777777" w:rsidR="003534AF" w:rsidRPr="002A7673" w:rsidRDefault="003534AF" w:rsidP="00F422DD">
      <w:pPr>
        <w:spacing w:after="0" w:line="240" w:lineRule="auto"/>
        <w:ind w:left="851" w:right="851" w:firstLine="709"/>
        <w:jc w:val="both"/>
        <w:rPr>
          <w:rFonts w:ascii="Times New Roman" w:eastAsia="Calibri" w:hAnsi="Times New Roman" w:cs="Times New Roman"/>
          <w:sz w:val="26"/>
          <w:szCs w:val="26"/>
        </w:rPr>
      </w:pPr>
    </w:p>
    <w:p w14:paraId="42F7B60E" w14:textId="77777777" w:rsidR="00083CA4" w:rsidRPr="002A7673" w:rsidRDefault="00083CA4" w:rsidP="00F422DD">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a. ¢4.000.000 del Departamento de Artes Gráficas solicitados para realizar pintura interna del Departamento </w:t>
      </w:r>
      <w:proofErr w:type="spellStart"/>
      <w:r w:rsidRPr="002A7673">
        <w:rPr>
          <w:rFonts w:ascii="Times New Roman" w:eastAsia="Times New Roman" w:hAnsi="Times New Roman" w:cs="Times New Roman"/>
          <w:sz w:val="26"/>
          <w:szCs w:val="26"/>
          <w:lang w:val="es-ES" w:eastAsia="es-ES"/>
        </w:rPr>
        <w:t>por que</w:t>
      </w:r>
      <w:proofErr w:type="spellEnd"/>
      <w:r w:rsidRPr="002A7673">
        <w:rPr>
          <w:rFonts w:ascii="Times New Roman" w:eastAsia="Times New Roman" w:hAnsi="Times New Roman" w:cs="Times New Roman"/>
          <w:sz w:val="26"/>
          <w:szCs w:val="26"/>
          <w:lang w:val="es-ES" w:eastAsia="es-ES"/>
        </w:rPr>
        <w:t xml:space="preserve"> hace 5 años no se pinta. Adicionalmente se indicó que se presupuesta amparados a la circular número 121-2019 de la Dirección Ejecutiva que se indica que los edificios de la gran área metropolitana deben ser pintados cada 5 años.</w:t>
      </w:r>
    </w:p>
    <w:p w14:paraId="341002C4" w14:textId="77777777" w:rsidR="00083CA4" w:rsidRPr="002A7673" w:rsidRDefault="00083CA4" w:rsidP="00F422DD">
      <w:pPr>
        <w:spacing w:after="0" w:line="240" w:lineRule="auto"/>
        <w:ind w:left="851" w:right="851" w:firstLine="709"/>
        <w:jc w:val="both"/>
        <w:rPr>
          <w:rFonts w:ascii="Times New Roman" w:eastAsia="Times New Roman" w:hAnsi="Times New Roman" w:cs="Times New Roman"/>
          <w:sz w:val="26"/>
          <w:szCs w:val="26"/>
          <w:lang w:val="es-ES" w:eastAsia="es-ES"/>
        </w:rPr>
      </w:pPr>
    </w:p>
    <w:p w14:paraId="6546DE36" w14:textId="77777777" w:rsidR="00083CA4" w:rsidRPr="002A7673" w:rsidRDefault="00083CA4" w:rsidP="00F422DD">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b. ¢10.000.000 del Departamento de Seguridad requeridos para la pintura del área administrativa del departamento y otras áreas dígase COSE, cuartos de oficiales del personal de seguridad, y para imprevistos relacionados con mantenimientos en edificios.</w:t>
      </w:r>
    </w:p>
    <w:p w14:paraId="6AC7A29E"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br w:type="page"/>
      </w:r>
    </w:p>
    <w:p w14:paraId="07B681E9" w14:textId="77777777" w:rsidR="00083CA4" w:rsidRPr="002A7673" w:rsidRDefault="00083CA4" w:rsidP="00F422DD">
      <w:pPr>
        <w:keepNext/>
        <w:keepLines/>
        <w:numPr>
          <w:ilvl w:val="0"/>
          <w:numId w:val="2"/>
        </w:numPr>
        <w:shd w:val="clear" w:color="auto" w:fill="F2F2F2"/>
        <w:spacing w:after="0" w:line="240" w:lineRule="auto"/>
        <w:ind w:left="851" w:right="851" w:firstLine="709"/>
        <w:outlineLvl w:val="0"/>
        <w:rPr>
          <w:rFonts w:ascii="Times New Roman" w:eastAsia="Calibri" w:hAnsi="Times New Roman" w:cs="Times New Roman"/>
          <w:b/>
          <w:color w:val="1F4E79"/>
          <w:sz w:val="26"/>
          <w:szCs w:val="26"/>
          <w:lang w:eastAsia="es-ES"/>
        </w:rPr>
      </w:pPr>
      <w:r w:rsidRPr="002A7673">
        <w:rPr>
          <w:rFonts w:ascii="Times New Roman" w:eastAsia="Calibri" w:hAnsi="Times New Roman" w:cs="Times New Roman"/>
          <w:b/>
          <w:color w:val="1F4E79"/>
          <w:sz w:val="26"/>
          <w:szCs w:val="26"/>
          <w:lang w:eastAsia="es-ES"/>
        </w:rPr>
        <w:lastRenderedPageBreak/>
        <w:t>Subpartida 5.02.01: Edificios</w:t>
      </w:r>
    </w:p>
    <w:p w14:paraId="7FA27A84" w14:textId="77777777" w:rsidR="00083CA4" w:rsidRPr="002A7673" w:rsidRDefault="00083CA4" w:rsidP="00F422DD">
      <w:pPr>
        <w:spacing w:after="0" w:line="240" w:lineRule="auto"/>
        <w:ind w:left="851" w:right="851" w:firstLine="709"/>
        <w:jc w:val="center"/>
        <w:rPr>
          <w:rFonts w:ascii="Times New Roman" w:eastAsia="Calibri" w:hAnsi="Times New Roman" w:cs="Times New Roman"/>
          <w:b/>
          <w:sz w:val="26"/>
          <w:szCs w:val="26"/>
        </w:rPr>
      </w:pPr>
    </w:p>
    <w:p w14:paraId="174326F9" w14:textId="77777777" w:rsidR="00083CA4" w:rsidRPr="002A7673" w:rsidRDefault="00083CA4" w:rsidP="00F422DD">
      <w:pPr>
        <w:keepNext/>
        <w:keepLines/>
        <w:numPr>
          <w:ilvl w:val="1"/>
          <w:numId w:val="2"/>
        </w:numPr>
        <w:spacing w:after="0" w:line="240" w:lineRule="auto"/>
        <w:ind w:left="851" w:right="851" w:firstLine="709"/>
        <w:jc w:val="both"/>
        <w:outlineLvl w:val="1"/>
        <w:rPr>
          <w:rFonts w:ascii="Times New Roman" w:eastAsia="Times New Roman" w:hAnsi="Times New Roman" w:cs="Times New Roman"/>
          <w:b/>
          <w:i/>
          <w:iCs/>
          <w:sz w:val="26"/>
          <w:szCs w:val="26"/>
          <w:lang w:val="es-ES" w:eastAsia="es-ES"/>
        </w:rPr>
      </w:pPr>
      <w:r w:rsidRPr="002A7673">
        <w:rPr>
          <w:rFonts w:ascii="Times New Roman" w:eastAsia="Times New Roman" w:hAnsi="Times New Roman" w:cs="Times New Roman"/>
          <w:b/>
          <w:bCs/>
          <w:i/>
          <w:iCs/>
          <w:sz w:val="26"/>
          <w:szCs w:val="26"/>
          <w:lang w:val="es-ES" w:eastAsia="es-ES"/>
        </w:rPr>
        <w:t>Comportamiento histórico de la subpartida</w:t>
      </w:r>
    </w:p>
    <w:p w14:paraId="063ACC3E"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p>
    <w:p w14:paraId="18BA1954" w14:textId="77777777" w:rsidR="00083CA4" w:rsidRPr="002A7673" w:rsidRDefault="00083CA4" w:rsidP="00F422DD">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El comportamiento de esta subpartida ha decrecido significativamente en el periodo del 2019 al 2021, tal como se observa en la tabla 1. </w:t>
      </w:r>
    </w:p>
    <w:p w14:paraId="366A64D6"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p>
    <w:p w14:paraId="2AAB3DDC"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Tabla 10. Comportamiento histórico de la subpartida período 2018 – 2022.</w:t>
      </w:r>
    </w:p>
    <w:p w14:paraId="0670EBC7" w14:textId="77777777" w:rsidR="003534AF" w:rsidRPr="002A7673" w:rsidRDefault="003534AF" w:rsidP="005F7139">
      <w:pPr>
        <w:spacing w:after="0" w:line="240" w:lineRule="auto"/>
        <w:jc w:val="center"/>
        <w:rPr>
          <w:rFonts w:ascii="Times New Roman" w:eastAsia="Times New Roman" w:hAnsi="Times New Roman" w:cs="Times New Roman"/>
          <w:b/>
          <w:bCs/>
          <w:sz w:val="26"/>
          <w:szCs w:val="26"/>
        </w:rPr>
      </w:pPr>
    </w:p>
    <w:tbl>
      <w:tblPr>
        <w:tblW w:w="9080" w:type="dxa"/>
        <w:jc w:val="center"/>
        <w:tblCellMar>
          <w:left w:w="70" w:type="dxa"/>
          <w:right w:w="70" w:type="dxa"/>
        </w:tblCellMar>
        <w:tblLook w:val="04A0" w:firstRow="1" w:lastRow="0" w:firstColumn="1" w:lastColumn="0" w:noHBand="0" w:noVBand="1"/>
      </w:tblPr>
      <w:tblGrid>
        <w:gridCol w:w="1240"/>
        <w:gridCol w:w="1680"/>
        <w:gridCol w:w="1540"/>
        <w:gridCol w:w="1540"/>
        <w:gridCol w:w="1540"/>
        <w:gridCol w:w="1540"/>
      </w:tblGrid>
      <w:tr w:rsidR="00083CA4" w:rsidRPr="002A7673" w14:paraId="251E3DAD" w14:textId="77777777" w:rsidTr="005F7139">
        <w:trPr>
          <w:trHeight w:val="300"/>
          <w:jc w:val="center"/>
        </w:trPr>
        <w:tc>
          <w:tcPr>
            <w:tcW w:w="1240" w:type="dxa"/>
            <w:tcBorders>
              <w:top w:val="nil"/>
              <w:left w:val="nil"/>
              <w:bottom w:val="single" w:sz="8" w:space="0" w:color="auto"/>
              <w:right w:val="nil"/>
            </w:tcBorders>
            <w:shd w:val="clear" w:color="auto" w:fill="auto"/>
            <w:vAlign w:val="center"/>
            <w:hideMark/>
          </w:tcPr>
          <w:p w14:paraId="3511F661"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w:t>
            </w:r>
          </w:p>
        </w:tc>
        <w:tc>
          <w:tcPr>
            <w:tcW w:w="1680" w:type="dxa"/>
            <w:tcBorders>
              <w:top w:val="single" w:sz="8" w:space="0" w:color="1F4E78"/>
              <w:left w:val="nil"/>
              <w:bottom w:val="single" w:sz="8" w:space="0" w:color="1F4E78"/>
              <w:right w:val="nil"/>
            </w:tcBorders>
            <w:shd w:val="clear" w:color="000000" w:fill="F2F2F2"/>
            <w:vAlign w:val="center"/>
            <w:hideMark/>
          </w:tcPr>
          <w:p w14:paraId="0D25ACDA"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2018</w:t>
            </w:r>
          </w:p>
        </w:tc>
        <w:tc>
          <w:tcPr>
            <w:tcW w:w="1540" w:type="dxa"/>
            <w:tcBorders>
              <w:top w:val="single" w:sz="8" w:space="0" w:color="1F4E78"/>
              <w:left w:val="nil"/>
              <w:bottom w:val="single" w:sz="8" w:space="0" w:color="1F4E78"/>
              <w:right w:val="nil"/>
            </w:tcBorders>
            <w:shd w:val="clear" w:color="000000" w:fill="F2F2F2"/>
            <w:vAlign w:val="center"/>
            <w:hideMark/>
          </w:tcPr>
          <w:p w14:paraId="7964D0DA"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2019</w:t>
            </w:r>
          </w:p>
        </w:tc>
        <w:tc>
          <w:tcPr>
            <w:tcW w:w="1540" w:type="dxa"/>
            <w:tcBorders>
              <w:top w:val="single" w:sz="8" w:space="0" w:color="1F4E78"/>
              <w:left w:val="nil"/>
              <w:bottom w:val="single" w:sz="8" w:space="0" w:color="1F4E78"/>
              <w:right w:val="nil"/>
            </w:tcBorders>
            <w:shd w:val="clear" w:color="000000" w:fill="F2F2F2"/>
            <w:vAlign w:val="center"/>
            <w:hideMark/>
          </w:tcPr>
          <w:p w14:paraId="2BAD3B19"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2020</w:t>
            </w:r>
          </w:p>
        </w:tc>
        <w:tc>
          <w:tcPr>
            <w:tcW w:w="1540" w:type="dxa"/>
            <w:tcBorders>
              <w:top w:val="single" w:sz="8" w:space="0" w:color="1F4E78"/>
              <w:left w:val="nil"/>
              <w:bottom w:val="single" w:sz="8" w:space="0" w:color="1F4E78"/>
              <w:right w:val="nil"/>
            </w:tcBorders>
            <w:shd w:val="clear" w:color="000000" w:fill="F2F2F2"/>
            <w:vAlign w:val="center"/>
            <w:hideMark/>
          </w:tcPr>
          <w:p w14:paraId="2FC10A52"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2021</w:t>
            </w:r>
          </w:p>
        </w:tc>
        <w:tc>
          <w:tcPr>
            <w:tcW w:w="1540" w:type="dxa"/>
            <w:tcBorders>
              <w:top w:val="single" w:sz="8" w:space="0" w:color="1F4E78"/>
              <w:left w:val="nil"/>
              <w:bottom w:val="single" w:sz="8" w:space="0" w:color="1F4E78"/>
              <w:right w:val="nil"/>
            </w:tcBorders>
            <w:shd w:val="clear" w:color="000000" w:fill="F2F2F2"/>
            <w:vAlign w:val="center"/>
            <w:hideMark/>
          </w:tcPr>
          <w:p w14:paraId="1BB5B645"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2022</w:t>
            </w:r>
          </w:p>
        </w:tc>
      </w:tr>
      <w:tr w:rsidR="00083CA4" w:rsidRPr="002A7673" w14:paraId="6BB0E232" w14:textId="77777777" w:rsidTr="005F7139">
        <w:trPr>
          <w:trHeight w:val="288"/>
          <w:jc w:val="center"/>
        </w:trPr>
        <w:tc>
          <w:tcPr>
            <w:tcW w:w="1240" w:type="dxa"/>
            <w:tcBorders>
              <w:top w:val="nil"/>
              <w:left w:val="nil"/>
              <w:bottom w:val="nil"/>
              <w:right w:val="nil"/>
            </w:tcBorders>
            <w:shd w:val="clear" w:color="000000" w:fill="F2F2F2"/>
            <w:noWrap/>
            <w:vAlign w:val="center"/>
            <w:hideMark/>
          </w:tcPr>
          <w:p w14:paraId="1430C9B3" w14:textId="77777777" w:rsidR="00083CA4" w:rsidRPr="002A7673" w:rsidRDefault="00083CA4" w:rsidP="005F7139">
            <w:pPr>
              <w:spacing w:after="0" w:line="240" w:lineRule="auto"/>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Monto</w:t>
            </w:r>
          </w:p>
        </w:tc>
        <w:tc>
          <w:tcPr>
            <w:tcW w:w="1680" w:type="dxa"/>
            <w:tcBorders>
              <w:top w:val="nil"/>
              <w:left w:val="nil"/>
              <w:bottom w:val="nil"/>
              <w:right w:val="nil"/>
            </w:tcBorders>
            <w:shd w:val="clear" w:color="000000" w:fill="FFFFFF"/>
            <w:noWrap/>
            <w:vAlign w:val="center"/>
            <w:hideMark/>
          </w:tcPr>
          <w:p w14:paraId="2EB6A62E"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10,805,458,415</w:t>
            </w:r>
          </w:p>
        </w:tc>
        <w:tc>
          <w:tcPr>
            <w:tcW w:w="1540" w:type="dxa"/>
            <w:tcBorders>
              <w:top w:val="nil"/>
              <w:left w:val="nil"/>
              <w:bottom w:val="nil"/>
              <w:right w:val="nil"/>
            </w:tcBorders>
            <w:shd w:val="clear" w:color="000000" w:fill="FFFFFF"/>
            <w:noWrap/>
            <w:vAlign w:val="center"/>
            <w:hideMark/>
          </w:tcPr>
          <w:p w14:paraId="3011F77F"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8,715,981,578</w:t>
            </w:r>
          </w:p>
        </w:tc>
        <w:tc>
          <w:tcPr>
            <w:tcW w:w="1540" w:type="dxa"/>
            <w:tcBorders>
              <w:top w:val="nil"/>
              <w:left w:val="nil"/>
              <w:bottom w:val="nil"/>
              <w:right w:val="nil"/>
            </w:tcBorders>
            <w:shd w:val="clear" w:color="000000" w:fill="FFFFFF"/>
            <w:noWrap/>
            <w:vAlign w:val="center"/>
            <w:hideMark/>
          </w:tcPr>
          <w:p w14:paraId="3C50933C"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7,669,497,490</w:t>
            </w:r>
          </w:p>
        </w:tc>
        <w:tc>
          <w:tcPr>
            <w:tcW w:w="1540" w:type="dxa"/>
            <w:tcBorders>
              <w:top w:val="nil"/>
              <w:left w:val="nil"/>
              <w:bottom w:val="nil"/>
              <w:right w:val="nil"/>
            </w:tcBorders>
            <w:shd w:val="clear" w:color="000000" w:fill="FFFFFF"/>
            <w:noWrap/>
            <w:vAlign w:val="center"/>
            <w:hideMark/>
          </w:tcPr>
          <w:p w14:paraId="7A2D454D"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5,433,742,069</w:t>
            </w:r>
          </w:p>
        </w:tc>
        <w:tc>
          <w:tcPr>
            <w:tcW w:w="1540" w:type="dxa"/>
            <w:tcBorders>
              <w:top w:val="nil"/>
              <w:left w:val="nil"/>
              <w:bottom w:val="nil"/>
              <w:right w:val="nil"/>
            </w:tcBorders>
            <w:shd w:val="clear" w:color="000000" w:fill="FFFFFF"/>
            <w:noWrap/>
            <w:vAlign w:val="center"/>
            <w:hideMark/>
          </w:tcPr>
          <w:p w14:paraId="35C89961"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6,908,944,990</w:t>
            </w:r>
          </w:p>
        </w:tc>
      </w:tr>
      <w:tr w:rsidR="00083CA4" w:rsidRPr="002A7673" w14:paraId="0391B28F" w14:textId="77777777" w:rsidTr="005F7139">
        <w:trPr>
          <w:trHeight w:val="300"/>
          <w:jc w:val="center"/>
        </w:trPr>
        <w:tc>
          <w:tcPr>
            <w:tcW w:w="1240" w:type="dxa"/>
            <w:tcBorders>
              <w:top w:val="nil"/>
              <w:left w:val="nil"/>
              <w:bottom w:val="single" w:sz="8" w:space="0" w:color="1F4E78"/>
              <w:right w:val="nil"/>
            </w:tcBorders>
            <w:shd w:val="clear" w:color="000000" w:fill="F2F2F2"/>
            <w:noWrap/>
            <w:vAlign w:val="center"/>
            <w:hideMark/>
          </w:tcPr>
          <w:p w14:paraId="7BE28EB3" w14:textId="77777777" w:rsidR="00083CA4" w:rsidRPr="002A7673" w:rsidRDefault="00083CA4" w:rsidP="005F7139">
            <w:pPr>
              <w:spacing w:after="0" w:line="240" w:lineRule="auto"/>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Variación</w:t>
            </w:r>
          </w:p>
        </w:tc>
        <w:tc>
          <w:tcPr>
            <w:tcW w:w="1680" w:type="dxa"/>
            <w:tcBorders>
              <w:top w:val="nil"/>
              <w:left w:val="nil"/>
              <w:bottom w:val="single" w:sz="8" w:space="0" w:color="1F4E78"/>
              <w:right w:val="nil"/>
            </w:tcBorders>
            <w:shd w:val="clear" w:color="000000" w:fill="FFFFFF"/>
            <w:noWrap/>
            <w:vAlign w:val="center"/>
            <w:hideMark/>
          </w:tcPr>
          <w:p w14:paraId="3D8950A7"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w:t>
            </w:r>
          </w:p>
        </w:tc>
        <w:tc>
          <w:tcPr>
            <w:tcW w:w="1540" w:type="dxa"/>
            <w:tcBorders>
              <w:top w:val="nil"/>
              <w:left w:val="nil"/>
              <w:bottom w:val="single" w:sz="8" w:space="0" w:color="1F4E78"/>
              <w:right w:val="nil"/>
            </w:tcBorders>
            <w:shd w:val="clear" w:color="000000" w:fill="FFFFFF"/>
            <w:noWrap/>
            <w:vAlign w:val="center"/>
            <w:hideMark/>
          </w:tcPr>
          <w:p w14:paraId="57E7F899"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-19%</w:t>
            </w:r>
          </w:p>
        </w:tc>
        <w:tc>
          <w:tcPr>
            <w:tcW w:w="1540" w:type="dxa"/>
            <w:tcBorders>
              <w:top w:val="nil"/>
              <w:left w:val="nil"/>
              <w:bottom w:val="single" w:sz="8" w:space="0" w:color="1F4E78"/>
              <w:right w:val="nil"/>
            </w:tcBorders>
            <w:shd w:val="clear" w:color="000000" w:fill="FFFFFF"/>
            <w:noWrap/>
            <w:vAlign w:val="center"/>
            <w:hideMark/>
          </w:tcPr>
          <w:p w14:paraId="7938EEEE"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-12%</w:t>
            </w:r>
          </w:p>
        </w:tc>
        <w:tc>
          <w:tcPr>
            <w:tcW w:w="1540" w:type="dxa"/>
            <w:tcBorders>
              <w:top w:val="nil"/>
              <w:left w:val="nil"/>
              <w:bottom w:val="single" w:sz="8" w:space="0" w:color="1F4E78"/>
              <w:right w:val="nil"/>
            </w:tcBorders>
            <w:shd w:val="clear" w:color="000000" w:fill="FFFFFF"/>
            <w:noWrap/>
            <w:vAlign w:val="center"/>
            <w:hideMark/>
          </w:tcPr>
          <w:p w14:paraId="18330923"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-29%</w:t>
            </w:r>
          </w:p>
        </w:tc>
        <w:tc>
          <w:tcPr>
            <w:tcW w:w="1540" w:type="dxa"/>
            <w:tcBorders>
              <w:top w:val="nil"/>
              <w:left w:val="nil"/>
              <w:bottom w:val="single" w:sz="8" w:space="0" w:color="305496"/>
              <w:right w:val="nil"/>
            </w:tcBorders>
            <w:shd w:val="clear" w:color="auto" w:fill="auto"/>
            <w:noWrap/>
            <w:vAlign w:val="bottom"/>
            <w:hideMark/>
          </w:tcPr>
          <w:p w14:paraId="78F2541C"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27%</w:t>
            </w:r>
          </w:p>
        </w:tc>
      </w:tr>
    </w:tbl>
    <w:p w14:paraId="077BB925" w14:textId="77777777" w:rsidR="00083CA4" w:rsidRPr="002A7673" w:rsidRDefault="00083CA4" w:rsidP="005F7139">
      <w:pPr>
        <w:spacing w:after="0" w:line="240" w:lineRule="auto"/>
        <w:jc w:val="both"/>
        <w:rPr>
          <w:rFonts w:ascii="Times New Roman" w:eastAsia="Calibri" w:hAnsi="Times New Roman" w:cs="Times New Roman"/>
          <w:bCs/>
          <w:sz w:val="16"/>
          <w:szCs w:val="16"/>
        </w:rPr>
      </w:pPr>
      <w:r w:rsidRPr="002A7673">
        <w:rPr>
          <w:rFonts w:ascii="Times New Roman" w:eastAsia="Calibri" w:hAnsi="Times New Roman" w:cs="Times New Roman"/>
          <w:bCs/>
          <w:sz w:val="16"/>
          <w:szCs w:val="16"/>
        </w:rPr>
        <w:t>Fuente: Consulta realizada al sistema SIGA PJ el 9-3-2021.</w:t>
      </w:r>
    </w:p>
    <w:p w14:paraId="307A85D4" w14:textId="77777777" w:rsidR="00083CA4" w:rsidRPr="002A7673" w:rsidRDefault="00083CA4" w:rsidP="005F7139">
      <w:pPr>
        <w:spacing w:after="0" w:line="240" w:lineRule="auto"/>
        <w:jc w:val="both"/>
        <w:rPr>
          <w:rFonts w:ascii="Times New Roman" w:eastAsia="Calibri" w:hAnsi="Times New Roman" w:cs="Times New Roman"/>
          <w:sz w:val="24"/>
          <w:szCs w:val="24"/>
        </w:rPr>
      </w:pPr>
    </w:p>
    <w:p w14:paraId="676CD122"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549FEB41"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Al analizar el comportamiento de esta subpartida durante el quinquenio del 2018 al 2022 se muestra un decrecimiento, esto ya que a pesar de que en el 2022 se muestra un crecimiento, esto se debe a que para el 2021 como parte de las restricciones presupuestarias impuestas por el Ministerio de Hacienda, el monto formulado fue rebajado significativamente. </w:t>
      </w:r>
    </w:p>
    <w:p w14:paraId="1610F7A7"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p>
    <w:p w14:paraId="23F98FBF" w14:textId="77777777" w:rsidR="00083CA4" w:rsidRPr="002A7673" w:rsidRDefault="00083CA4" w:rsidP="003534AF">
      <w:pPr>
        <w:spacing w:after="0" w:line="240" w:lineRule="auto"/>
        <w:ind w:left="851" w:right="851" w:firstLine="709"/>
        <w:jc w:val="both"/>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 xml:space="preserve">El monto aprobado por Corte Plena en esta subpartida para el 2021 fue de ¢7.081.692.861, en el Ministerio de Hacienda se aplicaron recortes por ¢1.539.058.096 y en la Asamblea Legislativa ¢110.892.695 quedando finalmente el monto de ¢5.433.742.069. Si se compara el monto del 2022 con lo formulado en los periodos 2018, 2019 y 2020, se evidencia que dicho monto es menor a todos los formulados en dichos periodos. </w:t>
      </w:r>
    </w:p>
    <w:p w14:paraId="380C5034"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p>
    <w:p w14:paraId="4B6DAF1C"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Además, se muestra una gráfica que detalla el comportamiento de lo formulado con lo ejecutado durante el periodo 2018 al 2022: </w:t>
      </w:r>
    </w:p>
    <w:p w14:paraId="49E3A54E" w14:textId="77777777" w:rsidR="00083CA4" w:rsidRPr="002A7673" w:rsidRDefault="00083CA4" w:rsidP="005F7139">
      <w:pPr>
        <w:spacing w:after="0" w:line="360" w:lineRule="auto"/>
        <w:jc w:val="both"/>
        <w:rPr>
          <w:rFonts w:ascii="Times New Roman" w:eastAsia="Calibri" w:hAnsi="Times New Roman" w:cs="Times New Roman"/>
          <w:sz w:val="26"/>
          <w:szCs w:val="26"/>
        </w:rPr>
      </w:pPr>
    </w:p>
    <w:p w14:paraId="3D497CE6" w14:textId="77777777" w:rsidR="00083CA4" w:rsidRPr="002A7673" w:rsidRDefault="00083CA4" w:rsidP="005F7139">
      <w:pPr>
        <w:spacing w:after="0" w:line="240" w:lineRule="auto"/>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br w:type="page"/>
      </w:r>
    </w:p>
    <w:p w14:paraId="47495C0B" w14:textId="77777777" w:rsidR="00083CA4" w:rsidRPr="002A7673" w:rsidRDefault="00083CA4" w:rsidP="005F7139">
      <w:pPr>
        <w:spacing w:after="0" w:line="240" w:lineRule="auto"/>
        <w:jc w:val="center"/>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lastRenderedPageBreak/>
        <w:t>Figura N°4. Formulación y Ejecución</w:t>
      </w:r>
    </w:p>
    <w:p w14:paraId="645CFFB0" w14:textId="77777777" w:rsidR="00083CA4" w:rsidRPr="002A7673" w:rsidRDefault="00083CA4" w:rsidP="005F7139">
      <w:pPr>
        <w:spacing w:after="0" w:line="240" w:lineRule="auto"/>
        <w:jc w:val="center"/>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Subpartida 50201 Edificios</w:t>
      </w:r>
    </w:p>
    <w:p w14:paraId="5ECA0024" w14:textId="77777777" w:rsidR="00083CA4" w:rsidRPr="002A7673" w:rsidRDefault="00083CA4" w:rsidP="005F7139">
      <w:pPr>
        <w:spacing w:after="0" w:line="240" w:lineRule="auto"/>
        <w:jc w:val="center"/>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 xml:space="preserve">Periodos 2018 </w:t>
      </w:r>
      <w:r w:rsidR="003534AF" w:rsidRPr="002A7673">
        <w:rPr>
          <w:rFonts w:ascii="Times New Roman" w:eastAsia="Calibri" w:hAnsi="Times New Roman" w:cs="Times New Roman"/>
          <w:b/>
          <w:bCs/>
          <w:sz w:val="26"/>
          <w:szCs w:val="26"/>
        </w:rPr>
        <w:t>–</w:t>
      </w:r>
      <w:r w:rsidRPr="002A7673">
        <w:rPr>
          <w:rFonts w:ascii="Times New Roman" w:eastAsia="Calibri" w:hAnsi="Times New Roman" w:cs="Times New Roman"/>
          <w:b/>
          <w:bCs/>
          <w:sz w:val="26"/>
          <w:szCs w:val="26"/>
        </w:rPr>
        <w:t xml:space="preserve"> 2022</w:t>
      </w:r>
    </w:p>
    <w:p w14:paraId="067452ED" w14:textId="77777777" w:rsidR="003534AF" w:rsidRPr="002A7673" w:rsidRDefault="003534AF" w:rsidP="005F7139">
      <w:pPr>
        <w:spacing w:after="0" w:line="240" w:lineRule="auto"/>
        <w:jc w:val="center"/>
        <w:rPr>
          <w:rFonts w:ascii="Times New Roman" w:eastAsia="Calibri" w:hAnsi="Times New Roman" w:cs="Times New Roman"/>
          <w:b/>
          <w:bCs/>
          <w:sz w:val="26"/>
          <w:szCs w:val="26"/>
        </w:rPr>
      </w:pPr>
    </w:p>
    <w:p w14:paraId="379E0C84" w14:textId="77777777" w:rsidR="00083CA4" w:rsidRPr="002A7673" w:rsidRDefault="00083CA4" w:rsidP="005F7139">
      <w:pPr>
        <w:spacing w:after="0" w:line="360" w:lineRule="auto"/>
        <w:jc w:val="center"/>
        <w:rPr>
          <w:rFonts w:ascii="Times New Roman" w:eastAsia="Calibri" w:hAnsi="Times New Roman" w:cs="Times New Roman"/>
          <w:sz w:val="24"/>
          <w:szCs w:val="24"/>
        </w:rPr>
      </w:pPr>
      <w:r w:rsidRPr="002A7673">
        <w:rPr>
          <w:rFonts w:ascii="Times New Roman" w:eastAsia="Calibri" w:hAnsi="Times New Roman" w:cs="Times New Roman"/>
          <w:noProof/>
          <w:lang w:eastAsia="es-CR"/>
        </w:rPr>
        <w:drawing>
          <wp:inline distT="0" distB="0" distL="0" distR="0" wp14:anchorId="40D02EC7" wp14:editId="0D9F4F41">
            <wp:extent cx="5721350" cy="2303813"/>
            <wp:effectExtent l="0" t="0" r="0" b="1270"/>
            <wp:docPr id="19" name="Imagen 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30">
                      <a:extLst>
                        <a:ext uri="{FF2B5EF4-FFF2-40B4-BE49-F238E27FC236}">
                          <a16:creationId xmlns:arto="http://schemas.microsoft.com/office/word/2006/arto"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id="{3F37094F-D73D-477C-805B-4F1A08B9E41B}"/>
                        </a:ext>
                      </a:extLst>
                    </a:blip>
                    <a:stretch>
                      <a:fillRect/>
                    </a:stretch>
                  </pic:blipFill>
                  <pic:spPr>
                    <a:xfrm>
                      <a:off x="0" y="0"/>
                      <a:ext cx="5721350" cy="2303813"/>
                    </a:xfrm>
                    <a:prstGeom prst="rect">
                      <a:avLst/>
                    </a:prstGeom>
                  </pic:spPr>
                </pic:pic>
              </a:graphicData>
            </a:graphic>
          </wp:inline>
        </w:drawing>
      </w:r>
    </w:p>
    <w:p w14:paraId="4552E331"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Según se detalla en la gráfica anterior los periodos 2018 y 2019 muestra que lo ejecutado ha sido superior a lo formulado, lo que implica tomar medidas para hacer frente a los incrementos presentados en dichos periodos.  </w:t>
      </w:r>
    </w:p>
    <w:p w14:paraId="17E2B455" w14:textId="77777777" w:rsidR="00083CA4" w:rsidRPr="002A7673" w:rsidRDefault="00083CA4" w:rsidP="003534AF">
      <w:pPr>
        <w:spacing w:after="0" w:line="240" w:lineRule="auto"/>
        <w:ind w:left="851" w:right="851" w:firstLine="709"/>
        <w:jc w:val="both"/>
        <w:rPr>
          <w:rFonts w:ascii="Times New Roman" w:eastAsia="Calibri" w:hAnsi="Times New Roman" w:cs="Times New Roman"/>
          <w:b/>
          <w:sz w:val="26"/>
          <w:szCs w:val="26"/>
        </w:rPr>
      </w:pPr>
    </w:p>
    <w:p w14:paraId="6F2CD913" w14:textId="77777777" w:rsidR="00083CA4" w:rsidRPr="002A7673" w:rsidRDefault="00083CA4" w:rsidP="003534AF">
      <w:pPr>
        <w:numPr>
          <w:ilvl w:val="1"/>
          <w:numId w:val="2"/>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sz w:val="26"/>
          <w:szCs w:val="26"/>
          <w:lang w:val="es-ES" w:eastAsia="es-ES"/>
        </w:rPr>
        <w:t xml:space="preserve">Análisis de la </w:t>
      </w:r>
      <w:r w:rsidRPr="002A7673">
        <w:rPr>
          <w:rFonts w:ascii="Times New Roman" w:eastAsia="Times New Roman" w:hAnsi="Times New Roman" w:cs="Times New Roman"/>
          <w:b/>
          <w:bCs/>
          <w:sz w:val="26"/>
          <w:szCs w:val="26"/>
          <w:lang w:val="es-ES" w:eastAsia="es-ES"/>
        </w:rPr>
        <w:t>Ejecución Presupuestaria de la Subpartida 5.02.01</w:t>
      </w:r>
    </w:p>
    <w:p w14:paraId="26909096"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p>
    <w:p w14:paraId="13078683" w14:textId="77777777" w:rsidR="00083CA4" w:rsidRPr="002A7673" w:rsidRDefault="00083CA4" w:rsidP="003534AF">
      <w:pPr>
        <w:spacing w:after="0" w:line="240" w:lineRule="auto"/>
        <w:ind w:left="851" w:right="851" w:firstLine="709"/>
        <w:jc w:val="both"/>
        <w:rPr>
          <w:rFonts w:ascii="Times New Roman" w:eastAsia="Calibri" w:hAnsi="Times New Roman" w:cs="Times New Roman"/>
          <w:bCs/>
          <w:sz w:val="26"/>
          <w:szCs w:val="26"/>
        </w:rPr>
      </w:pPr>
      <w:r w:rsidRPr="002A7673">
        <w:rPr>
          <w:rFonts w:ascii="Times New Roman" w:eastAsia="Calibri" w:hAnsi="Times New Roman" w:cs="Times New Roman"/>
          <w:bCs/>
          <w:sz w:val="26"/>
          <w:szCs w:val="26"/>
        </w:rPr>
        <w:t>En cuanto a los porcentajes de ejecución para los periodos del 2018 al 2020 se muestra un comportamiento decreciente, donde el 2018 obtuvo un 117% de ejecución y el 2020 presentó un 83% de ejecución.</w:t>
      </w:r>
    </w:p>
    <w:p w14:paraId="22C01606" w14:textId="77777777" w:rsidR="00083CA4" w:rsidRPr="002A7673" w:rsidRDefault="00083CA4" w:rsidP="005F7139">
      <w:pPr>
        <w:spacing w:after="0" w:line="360" w:lineRule="auto"/>
        <w:jc w:val="both"/>
        <w:rPr>
          <w:rFonts w:ascii="Times New Roman" w:eastAsia="Calibri" w:hAnsi="Times New Roman" w:cs="Times New Roman"/>
          <w:bCs/>
          <w:sz w:val="26"/>
          <w:szCs w:val="26"/>
        </w:rPr>
      </w:pPr>
    </w:p>
    <w:p w14:paraId="3E19B421"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 xml:space="preserve">Tabla 11. Ejecución presupuestaria de la subpartida 50201 </w:t>
      </w:r>
    </w:p>
    <w:p w14:paraId="7B20288E" w14:textId="77777777" w:rsidR="00083CA4" w:rsidRPr="002A7673" w:rsidRDefault="00083CA4" w:rsidP="005F7139">
      <w:pPr>
        <w:spacing w:after="0" w:line="240" w:lineRule="auto"/>
        <w:jc w:val="center"/>
        <w:rPr>
          <w:rFonts w:ascii="Times New Roman" w:eastAsia="Calibri" w:hAnsi="Times New Roman" w:cs="Times New Roman"/>
          <w:b/>
          <w:sz w:val="26"/>
          <w:szCs w:val="26"/>
        </w:rPr>
      </w:pPr>
      <w:r w:rsidRPr="002A7673">
        <w:rPr>
          <w:rFonts w:ascii="Times New Roman" w:eastAsia="Calibri" w:hAnsi="Times New Roman" w:cs="Times New Roman"/>
          <w:b/>
          <w:sz w:val="26"/>
          <w:szCs w:val="26"/>
        </w:rPr>
        <w:t>Períodos 2018, 2019 y 2020</w:t>
      </w:r>
    </w:p>
    <w:p w14:paraId="1BC0D63C" w14:textId="77777777" w:rsidR="003534AF" w:rsidRPr="002A7673" w:rsidRDefault="003534AF" w:rsidP="005F7139">
      <w:pPr>
        <w:spacing w:after="0" w:line="240" w:lineRule="auto"/>
        <w:jc w:val="center"/>
        <w:rPr>
          <w:rFonts w:ascii="Times New Roman" w:eastAsia="Calibri" w:hAnsi="Times New Roman" w:cs="Times New Roman"/>
          <w:sz w:val="26"/>
          <w:szCs w:val="26"/>
        </w:rPr>
      </w:pPr>
    </w:p>
    <w:tbl>
      <w:tblPr>
        <w:tblW w:w="5940" w:type="dxa"/>
        <w:jc w:val="center"/>
        <w:tblCellMar>
          <w:left w:w="70" w:type="dxa"/>
          <w:right w:w="70" w:type="dxa"/>
        </w:tblCellMar>
        <w:tblLook w:val="04A0" w:firstRow="1" w:lastRow="0" w:firstColumn="1" w:lastColumn="0" w:noHBand="0" w:noVBand="1"/>
      </w:tblPr>
      <w:tblGrid>
        <w:gridCol w:w="1240"/>
        <w:gridCol w:w="1640"/>
        <w:gridCol w:w="1680"/>
        <w:gridCol w:w="1540"/>
      </w:tblGrid>
      <w:tr w:rsidR="00083CA4" w:rsidRPr="002A7673" w14:paraId="05BEDC36" w14:textId="77777777" w:rsidTr="005F7139">
        <w:trPr>
          <w:trHeight w:val="300"/>
          <w:jc w:val="center"/>
        </w:trPr>
        <w:tc>
          <w:tcPr>
            <w:tcW w:w="1240" w:type="dxa"/>
            <w:tcBorders>
              <w:top w:val="nil"/>
              <w:left w:val="nil"/>
              <w:bottom w:val="single" w:sz="8" w:space="0" w:color="305496"/>
              <w:right w:val="nil"/>
            </w:tcBorders>
            <w:shd w:val="clear" w:color="000000" w:fill="D9D9D9"/>
            <w:noWrap/>
            <w:vAlign w:val="center"/>
            <w:hideMark/>
          </w:tcPr>
          <w:p w14:paraId="4FE77F02"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Periodo</w:t>
            </w:r>
          </w:p>
        </w:tc>
        <w:tc>
          <w:tcPr>
            <w:tcW w:w="1480" w:type="dxa"/>
            <w:tcBorders>
              <w:top w:val="nil"/>
              <w:left w:val="nil"/>
              <w:bottom w:val="single" w:sz="8" w:space="0" w:color="305496"/>
              <w:right w:val="nil"/>
            </w:tcBorders>
            <w:shd w:val="clear" w:color="000000" w:fill="D9D9D9"/>
            <w:noWrap/>
            <w:vAlign w:val="center"/>
            <w:hideMark/>
          </w:tcPr>
          <w:p w14:paraId="7F0046F1"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Formulado</w:t>
            </w:r>
          </w:p>
        </w:tc>
        <w:tc>
          <w:tcPr>
            <w:tcW w:w="1680" w:type="dxa"/>
            <w:tcBorders>
              <w:top w:val="nil"/>
              <w:left w:val="nil"/>
              <w:bottom w:val="single" w:sz="8" w:space="0" w:color="305496"/>
              <w:right w:val="nil"/>
            </w:tcBorders>
            <w:shd w:val="clear" w:color="000000" w:fill="D9D9D9"/>
            <w:noWrap/>
            <w:vAlign w:val="center"/>
            <w:hideMark/>
          </w:tcPr>
          <w:p w14:paraId="48AE75E0"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Ejecutado</w:t>
            </w:r>
          </w:p>
        </w:tc>
        <w:tc>
          <w:tcPr>
            <w:tcW w:w="1540" w:type="dxa"/>
            <w:tcBorders>
              <w:top w:val="nil"/>
              <w:left w:val="nil"/>
              <w:bottom w:val="single" w:sz="8" w:space="0" w:color="305496"/>
              <w:right w:val="nil"/>
            </w:tcBorders>
            <w:shd w:val="clear" w:color="000000" w:fill="D9D9D9"/>
            <w:noWrap/>
            <w:vAlign w:val="center"/>
            <w:hideMark/>
          </w:tcPr>
          <w:p w14:paraId="67ECE29F" w14:textId="77777777" w:rsidR="00083CA4" w:rsidRPr="002A7673" w:rsidRDefault="00083CA4" w:rsidP="005F7139">
            <w:pPr>
              <w:spacing w:after="0" w:line="240" w:lineRule="auto"/>
              <w:jc w:val="center"/>
              <w:rPr>
                <w:rFonts w:ascii="Times New Roman" w:eastAsia="Times New Roman" w:hAnsi="Times New Roman" w:cs="Times New Roman"/>
                <w:b/>
                <w:bCs/>
                <w:color w:val="000000"/>
                <w:sz w:val="24"/>
                <w:szCs w:val="24"/>
                <w:lang w:eastAsia="es-CR"/>
              </w:rPr>
            </w:pPr>
            <w:r w:rsidRPr="002A7673">
              <w:rPr>
                <w:rFonts w:ascii="Times New Roman" w:eastAsia="Times New Roman" w:hAnsi="Times New Roman" w:cs="Times New Roman"/>
                <w:b/>
                <w:bCs/>
                <w:color w:val="000000"/>
                <w:sz w:val="24"/>
                <w:szCs w:val="24"/>
                <w:lang w:eastAsia="es-CR"/>
              </w:rPr>
              <w:t>% Ejecución</w:t>
            </w:r>
          </w:p>
        </w:tc>
      </w:tr>
      <w:tr w:rsidR="00083CA4" w:rsidRPr="002A7673" w14:paraId="5415B5D8" w14:textId="77777777" w:rsidTr="005F7139">
        <w:trPr>
          <w:trHeight w:val="288"/>
          <w:jc w:val="center"/>
        </w:trPr>
        <w:tc>
          <w:tcPr>
            <w:tcW w:w="1240" w:type="dxa"/>
            <w:tcBorders>
              <w:top w:val="nil"/>
              <w:left w:val="nil"/>
              <w:bottom w:val="nil"/>
              <w:right w:val="nil"/>
            </w:tcBorders>
            <w:shd w:val="clear" w:color="000000" w:fill="E7E6E6"/>
            <w:vAlign w:val="center"/>
            <w:hideMark/>
          </w:tcPr>
          <w:p w14:paraId="0612AD0E"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2018</w:t>
            </w:r>
          </w:p>
        </w:tc>
        <w:tc>
          <w:tcPr>
            <w:tcW w:w="1480" w:type="dxa"/>
            <w:tcBorders>
              <w:top w:val="nil"/>
              <w:left w:val="nil"/>
              <w:bottom w:val="nil"/>
              <w:right w:val="nil"/>
            </w:tcBorders>
            <w:shd w:val="clear" w:color="auto" w:fill="auto"/>
            <w:noWrap/>
            <w:vAlign w:val="center"/>
            <w:hideMark/>
          </w:tcPr>
          <w:p w14:paraId="1585B6B9"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10,805,458,415</w:t>
            </w:r>
          </w:p>
        </w:tc>
        <w:tc>
          <w:tcPr>
            <w:tcW w:w="1680" w:type="dxa"/>
            <w:tcBorders>
              <w:top w:val="nil"/>
              <w:left w:val="nil"/>
              <w:bottom w:val="nil"/>
              <w:right w:val="nil"/>
            </w:tcBorders>
            <w:shd w:val="clear" w:color="auto" w:fill="auto"/>
            <w:noWrap/>
            <w:vAlign w:val="bottom"/>
            <w:hideMark/>
          </w:tcPr>
          <w:p w14:paraId="45BF995E"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12,650,004,569 </w:t>
            </w:r>
          </w:p>
        </w:tc>
        <w:tc>
          <w:tcPr>
            <w:tcW w:w="1540" w:type="dxa"/>
            <w:tcBorders>
              <w:top w:val="nil"/>
              <w:left w:val="nil"/>
              <w:bottom w:val="nil"/>
              <w:right w:val="nil"/>
            </w:tcBorders>
            <w:shd w:val="clear" w:color="auto" w:fill="auto"/>
            <w:noWrap/>
            <w:vAlign w:val="center"/>
            <w:hideMark/>
          </w:tcPr>
          <w:p w14:paraId="626B93E5"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117%</w:t>
            </w:r>
          </w:p>
        </w:tc>
      </w:tr>
      <w:tr w:rsidR="00083CA4" w:rsidRPr="002A7673" w14:paraId="04F2F3B2" w14:textId="77777777" w:rsidTr="005F7139">
        <w:trPr>
          <w:trHeight w:val="288"/>
          <w:jc w:val="center"/>
        </w:trPr>
        <w:tc>
          <w:tcPr>
            <w:tcW w:w="1240" w:type="dxa"/>
            <w:tcBorders>
              <w:top w:val="nil"/>
              <w:left w:val="nil"/>
              <w:bottom w:val="nil"/>
              <w:right w:val="nil"/>
            </w:tcBorders>
            <w:shd w:val="clear" w:color="000000" w:fill="E7E6E6"/>
            <w:vAlign w:val="center"/>
            <w:hideMark/>
          </w:tcPr>
          <w:p w14:paraId="5FEE10C2"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2019</w:t>
            </w:r>
          </w:p>
        </w:tc>
        <w:tc>
          <w:tcPr>
            <w:tcW w:w="1480" w:type="dxa"/>
            <w:tcBorders>
              <w:top w:val="nil"/>
              <w:left w:val="nil"/>
              <w:bottom w:val="nil"/>
              <w:right w:val="nil"/>
            </w:tcBorders>
            <w:shd w:val="clear" w:color="auto" w:fill="auto"/>
            <w:noWrap/>
            <w:vAlign w:val="center"/>
            <w:hideMark/>
          </w:tcPr>
          <w:p w14:paraId="4B05D4E4"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8,715,981,578</w:t>
            </w:r>
          </w:p>
        </w:tc>
        <w:tc>
          <w:tcPr>
            <w:tcW w:w="1680" w:type="dxa"/>
            <w:tcBorders>
              <w:top w:val="nil"/>
              <w:left w:val="nil"/>
              <w:bottom w:val="nil"/>
              <w:right w:val="nil"/>
            </w:tcBorders>
            <w:shd w:val="clear" w:color="auto" w:fill="auto"/>
            <w:noWrap/>
            <w:vAlign w:val="bottom"/>
            <w:hideMark/>
          </w:tcPr>
          <w:p w14:paraId="39C516AE"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9,951,636,958 </w:t>
            </w:r>
          </w:p>
        </w:tc>
        <w:tc>
          <w:tcPr>
            <w:tcW w:w="1540" w:type="dxa"/>
            <w:tcBorders>
              <w:top w:val="nil"/>
              <w:left w:val="nil"/>
              <w:bottom w:val="nil"/>
              <w:right w:val="nil"/>
            </w:tcBorders>
            <w:shd w:val="clear" w:color="auto" w:fill="auto"/>
            <w:noWrap/>
            <w:vAlign w:val="center"/>
            <w:hideMark/>
          </w:tcPr>
          <w:p w14:paraId="5903E19C"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114%</w:t>
            </w:r>
          </w:p>
        </w:tc>
      </w:tr>
      <w:tr w:rsidR="00083CA4" w:rsidRPr="002A7673" w14:paraId="4E46CCD6" w14:textId="77777777" w:rsidTr="005F7139">
        <w:trPr>
          <w:trHeight w:val="300"/>
          <w:jc w:val="center"/>
        </w:trPr>
        <w:tc>
          <w:tcPr>
            <w:tcW w:w="1240" w:type="dxa"/>
            <w:tcBorders>
              <w:top w:val="nil"/>
              <w:left w:val="nil"/>
              <w:bottom w:val="single" w:sz="8" w:space="0" w:color="305496"/>
              <w:right w:val="nil"/>
            </w:tcBorders>
            <w:shd w:val="clear" w:color="000000" w:fill="E7E6E6"/>
            <w:vAlign w:val="center"/>
            <w:hideMark/>
          </w:tcPr>
          <w:p w14:paraId="777B94DB"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2020</w:t>
            </w:r>
          </w:p>
        </w:tc>
        <w:tc>
          <w:tcPr>
            <w:tcW w:w="1480" w:type="dxa"/>
            <w:tcBorders>
              <w:top w:val="nil"/>
              <w:left w:val="nil"/>
              <w:bottom w:val="single" w:sz="8" w:space="0" w:color="305496"/>
              <w:right w:val="nil"/>
            </w:tcBorders>
            <w:shd w:val="clear" w:color="auto" w:fill="auto"/>
            <w:noWrap/>
            <w:vAlign w:val="center"/>
            <w:hideMark/>
          </w:tcPr>
          <w:p w14:paraId="5B0A814E"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7,669,497,490</w:t>
            </w:r>
          </w:p>
        </w:tc>
        <w:tc>
          <w:tcPr>
            <w:tcW w:w="1680" w:type="dxa"/>
            <w:tcBorders>
              <w:top w:val="nil"/>
              <w:left w:val="nil"/>
              <w:bottom w:val="single" w:sz="8" w:space="0" w:color="305496"/>
              <w:right w:val="nil"/>
            </w:tcBorders>
            <w:shd w:val="clear" w:color="auto" w:fill="auto"/>
            <w:noWrap/>
            <w:vAlign w:val="bottom"/>
            <w:hideMark/>
          </w:tcPr>
          <w:p w14:paraId="3D0F6EF8"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6,393,518,671 </w:t>
            </w:r>
          </w:p>
        </w:tc>
        <w:tc>
          <w:tcPr>
            <w:tcW w:w="1540" w:type="dxa"/>
            <w:tcBorders>
              <w:top w:val="nil"/>
              <w:left w:val="nil"/>
              <w:bottom w:val="single" w:sz="8" w:space="0" w:color="305496"/>
              <w:right w:val="nil"/>
            </w:tcBorders>
            <w:shd w:val="clear" w:color="auto" w:fill="auto"/>
            <w:noWrap/>
            <w:vAlign w:val="center"/>
            <w:hideMark/>
          </w:tcPr>
          <w:p w14:paraId="1420ED93"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83%</w:t>
            </w:r>
          </w:p>
        </w:tc>
      </w:tr>
      <w:tr w:rsidR="00083CA4" w:rsidRPr="002A7673" w14:paraId="66E8C719" w14:textId="77777777" w:rsidTr="005F7139">
        <w:trPr>
          <w:trHeight w:val="300"/>
          <w:jc w:val="center"/>
        </w:trPr>
        <w:tc>
          <w:tcPr>
            <w:tcW w:w="1240" w:type="dxa"/>
            <w:tcBorders>
              <w:top w:val="nil"/>
              <w:left w:val="nil"/>
              <w:bottom w:val="single" w:sz="8" w:space="0" w:color="305496"/>
              <w:right w:val="nil"/>
            </w:tcBorders>
            <w:shd w:val="clear" w:color="000000" w:fill="D9D9D9"/>
            <w:vAlign w:val="center"/>
            <w:hideMark/>
          </w:tcPr>
          <w:p w14:paraId="0D2CFC92"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Total</w:t>
            </w:r>
          </w:p>
        </w:tc>
        <w:tc>
          <w:tcPr>
            <w:tcW w:w="1480" w:type="dxa"/>
            <w:tcBorders>
              <w:top w:val="nil"/>
              <w:left w:val="nil"/>
              <w:bottom w:val="single" w:sz="8" w:space="0" w:color="305496"/>
              <w:right w:val="nil"/>
            </w:tcBorders>
            <w:shd w:val="clear" w:color="000000" w:fill="D9D9D9"/>
            <w:noWrap/>
            <w:vAlign w:val="center"/>
            <w:hideMark/>
          </w:tcPr>
          <w:p w14:paraId="11E223D1"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27,190,937,483</w:t>
            </w:r>
          </w:p>
        </w:tc>
        <w:tc>
          <w:tcPr>
            <w:tcW w:w="1680" w:type="dxa"/>
            <w:tcBorders>
              <w:top w:val="nil"/>
              <w:left w:val="nil"/>
              <w:bottom w:val="single" w:sz="8" w:space="0" w:color="305496"/>
              <w:right w:val="nil"/>
            </w:tcBorders>
            <w:shd w:val="clear" w:color="000000" w:fill="D9D9D9"/>
            <w:noWrap/>
            <w:vAlign w:val="center"/>
            <w:hideMark/>
          </w:tcPr>
          <w:p w14:paraId="2B84B3F0"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28,995,160,198</w:t>
            </w:r>
          </w:p>
        </w:tc>
        <w:tc>
          <w:tcPr>
            <w:tcW w:w="1540" w:type="dxa"/>
            <w:tcBorders>
              <w:top w:val="nil"/>
              <w:left w:val="nil"/>
              <w:bottom w:val="single" w:sz="8" w:space="0" w:color="305496"/>
              <w:right w:val="nil"/>
            </w:tcBorders>
            <w:shd w:val="clear" w:color="000000" w:fill="D9D9D9"/>
            <w:noWrap/>
            <w:vAlign w:val="center"/>
            <w:hideMark/>
          </w:tcPr>
          <w:p w14:paraId="1CF7BBB5"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107%</w:t>
            </w:r>
          </w:p>
        </w:tc>
      </w:tr>
    </w:tbl>
    <w:p w14:paraId="0B2AFAB4" w14:textId="77777777" w:rsidR="00083CA4" w:rsidRPr="002A7673" w:rsidRDefault="00083CA4" w:rsidP="005F7139">
      <w:pPr>
        <w:spacing w:after="0" w:line="360" w:lineRule="auto"/>
        <w:jc w:val="both"/>
        <w:rPr>
          <w:rFonts w:ascii="Times New Roman" w:eastAsia="Calibri" w:hAnsi="Times New Roman" w:cs="Times New Roman"/>
          <w:bCs/>
          <w:sz w:val="24"/>
          <w:szCs w:val="24"/>
          <w:highlight w:val="yellow"/>
        </w:rPr>
      </w:pPr>
    </w:p>
    <w:p w14:paraId="0AE07F18" w14:textId="77777777" w:rsidR="00083CA4" w:rsidRPr="002A7673" w:rsidRDefault="00083CA4" w:rsidP="00D527DE">
      <w:pPr>
        <w:keepNext/>
        <w:keepLines/>
        <w:numPr>
          <w:ilvl w:val="1"/>
          <w:numId w:val="14"/>
        </w:numPr>
        <w:spacing w:after="0" w:line="240" w:lineRule="auto"/>
        <w:ind w:left="851" w:right="851" w:firstLine="709"/>
        <w:outlineLvl w:val="1"/>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b/>
          <w:bCs/>
          <w:i/>
          <w:iCs/>
          <w:sz w:val="24"/>
          <w:szCs w:val="24"/>
          <w:lang w:val="es-ES" w:eastAsia="es-ES"/>
        </w:rPr>
        <w:t xml:space="preserve"> </w:t>
      </w:r>
      <w:r w:rsidRPr="002A7673">
        <w:rPr>
          <w:rFonts w:ascii="Times New Roman" w:eastAsia="Times New Roman" w:hAnsi="Times New Roman" w:cs="Times New Roman"/>
          <w:b/>
          <w:bCs/>
          <w:i/>
          <w:iCs/>
          <w:sz w:val="26"/>
          <w:szCs w:val="26"/>
          <w:lang w:val="es-ES" w:eastAsia="es-ES"/>
        </w:rPr>
        <w:t>Variación por Programa Presupuestario</w:t>
      </w:r>
    </w:p>
    <w:p w14:paraId="61787BEE" w14:textId="77777777" w:rsidR="003534AF" w:rsidRPr="002A7673" w:rsidRDefault="003534AF" w:rsidP="003534AF">
      <w:pPr>
        <w:spacing w:after="0" w:line="240" w:lineRule="auto"/>
        <w:ind w:left="851" w:right="851" w:firstLine="709"/>
        <w:jc w:val="both"/>
        <w:rPr>
          <w:rFonts w:ascii="Times New Roman" w:eastAsia="Calibri" w:hAnsi="Times New Roman" w:cs="Times New Roman"/>
          <w:sz w:val="26"/>
          <w:szCs w:val="26"/>
        </w:rPr>
      </w:pPr>
    </w:p>
    <w:p w14:paraId="66374CD9"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lo que corresponde a la distribución de los recursos por Programa, la mayor concentración se encuentra en el Programa 926 </w:t>
      </w:r>
      <w:r w:rsidRPr="002A7673">
        <w:rPr>
          <w:rFonts w:ascii="Times New Roman" w:eastAsia="Times New Roman" w:hAnsi="Times New Roman" w:cs="Times New Roman"/>
          <w:color w:val="000000"/>
          <w:sz w:val="26"/>
          <w:szCs w:val="26"/>
          <w:lang w:eastAsia="es-CR"/>
        </w:rPr>
        <w:t>Dirección, Administración y Otros Órganos de Apoyo</w:t>
      </w:r>
      <w:r w:rsidRPr="002A7673">
        <w:rPr>
          <w:rFonts w:ascii="Times New Roman" w:eastAsia="Calibri" w:hAnsi="Times New Roman" w:cs="Times New Roman"/>
          <w:sz w:val="26"/>
          <w:szCs w:val="26"/>
        </w:rPr>
        <w:t xml:space="preserve">, seguido del Programa 928 Organismo de Investigación Judicial. </w:t>
      </w:r>
    </w:p>
    <w:p w14:paraId="728C168B"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p>
    <w:p w14:paraId="0349BA0D" w14:textId="77777777" w:rsidR="00083CA4" w:rsidRPr="002A7673" w:rsidRDefault="00083CA4" w:rsidP="003534AF">
      <w:pPr>
        <w:spacing w:after="0" w:line="240" w:lineRule="auto"/>
        <w:ind w:left="851" w:right="851" w:firstLine="709"/>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el Programa 927 Servicio Jurisdiccional para el año 2022 se presenta un incremento en comparación con el 2021 de ¢530.000. Asimismo, según se puede apreciar en la tabla 12, en los programas 930 Defensa Pública y 950 Servicio de Atención y Protección Víctimas y Testigos no se formularon </w:t>
      </w:r>
    </w:p>
    <w:p w14:paraId="3E733966" w14:textId="77777777" w:rsidR="00083CA4" w:rsidRPr="002A7673" w:rsidRDefault="00083CA4" w:rsidP="005F7139">
      <w:pPr>
        <w:spacing w:after="0" w:line="360" w:lineRule="auto"/>
        <w:jc w:val="both"/>
        <w:rPr>
          <w:rFonts w:ascii="Times New Roman" w:eastAsia="Calibri" w:hAnsi="Times New Roman" w:cs="Times New Roman"/>
          <w:sz w:val="26"/>
          <w:szCs w:val="26"/>
        </w:rPr>
      </w:pPr>
    </w:p>
    <w:p w14:paraId="656DCC21"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Tabla 12. Variación por programa presupuestario 2021 – 2022.</w:t>
      </w:r>
    </w:p>
    <w:p w14:paraId="403D092C" w14:textId="77777777" w:rsidR="003534AF" w:rsidRPr="002A7673" w:rsidRDefault="003534AF" w:rsidP="005F7139">
      <w:pPr>
        <w:spacing w:after="0" w:line="240" w:lineRule="auto"/>
        <w:jc w:val="center"/>
        <w:rPr>
          <w:rFonts w:ascii="Times New Roman" w:eastAsia="Times New Roman" w:hAnsi="Times New Roman" w:cs="Times New Roman"/>
          <w:b/>
          <w:bCs/>
          <w:sz w:val="24"/>
          <w:szCs w:val="24"/>
        </w:rPr>
      </w:pPr>
    </w:p>
    <w:tbl>
      <w:tblPr>
        <w:tblW w:w="10161" w:type="dxa"/>
        <w:jc w:val="center"/>
        <w:tblCellMar>
          <w:left w:w="70" w:type="dxa"/>
          <w:right w:w="70" w:type="dxa"/>
        </w:tblCellMar>
        <w:tblLook w:val="04A0" w:firstRow="1" w:lastRow="0" w:firstColumn="1" w:lastColumn="0" w:noHBand="0" w:noVBand="1"/>
      </w:tblPr>
      <w:tblGrid>
        <w:gridCol w:w="3100"/>
        <w:gridCol w:w="1520"/>
        <w:gridCol w:w="1820"/>
        <w:gridCol w:w="1820"/>
        <w:gridCol w:w="1820"/>
        <w:gridCol w:w="1240"/>
      </w:tblGrid>
      <w:tr w:rsidR="00083CA4" w:rsidRPr="002A7673" w14:paraId="341E80A6" w14:textId="77777777" w:rsidTr="005F7139">
        <w:trPr>
          <w:trHeight w:val="300"/>
          <w:jc w:val="center"/>
        </w:trPr>
        <w:tc>
          <w:tcPr>
            <w:tcW w:w="3100" w:type="dxa"/>
            <w:tcBorders>
              <w:top w:val="single" w:sz="8" w:space="0" w:color="1F4E78"/>
              <w:left w:val="nil"/>
              <w:bottom w:val="single" w:sz="8" w:space="0" w:color="1F4E78"/>
              <w:right w:val="nil"/>
            </w:tcBorders>
            <w:shd w:val="clear" w:color="000000" w:fill="F2F2F2"/>
            <w:noWrap/>
            <w:vAlign w:val="center"/>
            <w:hideMark/>
          </w:tcPr>
          <w:p w14:paraId="0095A824"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Programa</w:t>
            </w:r>
          </w:p>
        </w:tc>
        <w:tc>
          <w:tcPr>
            <w:tcW w:w="1401" w:type="dxa"/>
            <w:tcBorders>
              <w:top w:val="single" w:sz="8" w:space="0" w:color="1F4E78"/>
              <w:left w:val="nil"/>
              <w:bottom w:val="single" w:sz="8" w:space="0" w:color="1F4E78"/>
              <w:right w:val="nil"/>
            </w:tcBorders>
            <w:shd w:val="clear" w:color="000000" w:fill="F2F2F2"/>
            <w:noWrap/>
            <w:vAlign w:val="center"/>
            <w:hideMark/>
          </w:tcPr>
          <w:p w14:paraId="086027AD"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Ejecutado 2020</w:t>
            </w:r>
          </w:p>
        </w:tc>
        <w:tc>
          <w:tcPr>
            <w:tcW w:w="1620" w:type="dxa"/>
            <w:tcBorders>
              <w:top w:val="single" w:sz="8" w:space="0" w:color="1F4E78"/>
              <w:left w:val="nil"/>
              <w:bottom w:val="single" w:sz="8" w:space="0" w:color="1F4E78"/>
              <w:right w:val="nil"/>
            </w:tcBorders>
            <w:shd w:val="clear" w:color="000000" w:fill="F2F2F2"/>
            <w:noWrap/>
            <w:vAlign w:val="center"/>
            <w:hideMark/>
          </w:tcPr>
          <w:p w14:paraId="6BDECCF8"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2021</w:t>
            </w:r>
          </w:p>
        </w:tc>
        <w:tc>
          <w:tcPr>
            <w:tcW w:w="1400" w:type="dxa"/>
            <w:tcBorders>
              <w:top w:val="single" w:sz="8" w:space="0" w:color="1F4E78"/>
              <w:left w:val="nil"/>
              <w:bottom w:val="single" w:sz="8" w:space="0" w:color="1F4E78"/>
              <w:right w:val="nil"/>
            </w:tcBorders>
            <w:shd w:val="clear" w:color="000000" w:fill="F2F2F2"/>
            <w:noWrap/>
            <w:vAlign w:val="center"/>
            <w:hideMark/>
          </w:tcPr>
          <w:p w14:paraId="5D6A497B"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2022</w:t>
            </w:r>
          </w:p>
        </w:tc>
        <w:tc>
          <w:tcPr>
            <w:tcW w:w="1400" w:type="dxa"/>
            <w:tcBorders>
              <w:top w:val="single" w:sz="8" w:space="0" w:color="1F4E78"/>
              <w:left w:val="nil"/>
              <w:bottom w:val="single" w:sz="8" w:space="0" w:color="1F4E78"/>
              <w:right w:val="nil"/>
            </w:tcBorders>
            <w:shd w:val="clear" w:color="000000" w:fill="F2F2F2"/>
            <w:noWrap/>
            <w:vAlign w:val="center"/>
            <w:hideMark/>
          </w:tcPr>
          <w:p w14:paraId="5191CDD2"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Diferencia*</w:t>
            </w:r>
          </w:p>
        </w:tc>
        <w:tc>
          <w:tcPr>
            <w:tcW w:w="1240" w:type="dxa"/>
            <w:tcBorders>
              <w:top w:val="single" w:sz="8" w:space="0" w:color="1F4E78"/>
              <w:left w:val="nil"/>
              <w:bottom w:val="single" w:sz="8" w:space="0" w:color="1F4E78"/>
              <w:right w:val="nil"/>
            </w:tcBorders>
            <w:shd w:val="clear" w:color="000000" w:fill="F2F2F2"/>
            <w:noWrap/>
            <w:vAlign w:val="center"/>
            <w:hideMark/>
          </w:tcPr>
          <w:p w14:paraId="6191DED5" w14:textId="77777777" w:rsidR="00083CA4" w:rsidRPr="002A7673" w:rsidRDefault="00083CA4" w:rsidP="005F7139">
            <w:pPr>
              <w:spacing w:after="0" w:line="240" w:lineRule="auto"/>
              <w:jc w:val="center"/>
              <w:rPr>
                <w:rFonts w:ascii="Times New Roman" w:eastAsia="Times New Roman" w:hAnsi="Times New Roman" w:cs="Times New Roman"/>
                <w:b/>
                <w:bCs/>
                <w:color w:val="1F4E78"/>
                <w:sz w:val="24"/>
                <w:szCs w:val="24"/>
                <w:lang w:eastAsia="es-CR"/>
              </w:rPr>
            </w:pPr>
            <w:r w:rsidRPr="002A7673">
              <w:rPr>
                <w:rFonts w:ascii="Times New Roman" w:eastAsia="Times New Roman" w:hAnsi="Times New Roman" w:cs="Times New Roman"/>
                <w:b/>
                <w:bCs/>
                <w:color w:val="1F4E78"/>
                <w:sz w:val="24"/>
                <w:szCs w:val="24"/>
                <w:lang w:eastAsia="es-CR"/>
              </w:rPr>
              <w:t>% Variación</w:t>
            </w:r>
          </w:p>
        </w:tc>
      </w:tr>
      <w:tr w:rsidR="00083CA4" w:rsidRPr="002A7673" w14:paraId="27D7DC17" w14:textId="77777777" w:rsidTr="005F7139">
        <w:trPr>
          <w:trHeight w:val="288"/>
          <w:jc w:val="center"/>
        </w:trPr>
        <w:tc>
          <w:tcPr>
            <w:tcW w:w="3100" w:type="dxa"/>
            <w:tcBorders>
              <w:top w:val="nil"/>
              <w:left w:val="nil"/>
              <w:bottom w:val="nil"/>
              <w:right w:val="nil"/>
            </w:tcBorders>
            <w:shd w:val="clear" w:color="auto" w:fill="auto"/>
            <w:vAlign w:val="center"/>
            <w:hideMark/>
          </w:tcPr>
          <w:p w14:paraId="113A3008"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proofErr w:type="spellStart"/>
            <w:r w:rsidRPr="002A7673">
              <w:rPr>
                <w:rFonts w:ascii="Times New Roman" w:eastAsia="Times New Roman" w:hAnsi="Times New Roman" w:cs="Times New Roman"/>
                <w:color w:val="000000"/>
                <w:sz w:val="24"/>
                <w:szCs w:val="24"/>
                <w:lang w:eastAsia="es-CR"/>
              </w:rPr>
              <w:t>Direc</w:t>
            </w:r>
            <w:proofErr w:type="spellEnd"/>
            <w:r w:rsidRPr="002A7673">
              <w:rPr>
                <w:rFonts w:ascii="Times New Roman" w:eastAsia="Times New Roman" w:hAnsi="Times New Roman" w:cs="Times New Roman"/>
                <w:color w:val="000000"/>
                <w:sz w:val="24"/>
                <w:szCs w:val="24"/>
                <w:lang w:eastAsia="es-CR"/>
              </w:rPr>
              <w:t xml:space="preserve">, </w:t>
            </w:r>
            <w:proofErr w:type="spellStart"/>
            <w:r w:rsidRPr="002A7673">
              <w:rPr>
                <w:rFonts w:ascii="Times New Roman" w:eastAsia="Times New Roman" w:hAnsi="Times New Roman" w:cs="Times New Roman"/>
                <w:color w:val="000000"/>
                <w:sz w:val="24"/>
                <w:szCs w:val="24"/>
                <w:lang w:eastAsia="es-CR"/>
              </w:rPr>
              <w:t>Adm</w:t>
            </w:r>
            <w:proofErr w:type="spellEnd"/>
            <w:r w:rsidRPr="002A7673">
              <w:rPr>
                <w:rFonts w:ascii="Times New Roman" w:eastAsia="Times New Roman" w:hAnsi="Times New Roman" w:cs="Times New Roman"/>
                <w:color w:val="000000"/>
                <w:sz w:val="24"/>
                <w:szCs w:val="24"/>
                <w:lang w:eastAsia="es-CR"/>
              </w:rPr>
              <w:t xml:space="preserve"> y Otros Órganos </w:t>
            </w:r>
          </w:p>
        </w:tc>
        <w:tc>
          <w:tcPr>
            <w:tcW w:w="1401" w:type="dxa"/>
            <w:tcBorders>
              <w:top w:val="nil"/>
              <w:left w:val="nil"/>
              <w:bottom w:val="nil"/>
              <w:right w:val="nil"/>
            </w:tcBorders>
            <w:shd w:val="clear" w:color="auto" w:fill="auto"/>
            <w:vAlign w:val="center"/>
            <w:hideMark/>
          </w:tcPr>
          <w:p w14:paraId="00516094"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4,508,066,653 </w:t>
            </w:r>
          </w:p>
        </w:tc>
        <w:tc>
          <w:tcPr>
            <w:tcW w:w="1620" w:type="dxa"/>
            <w:tcBorders>
              <w:top w:val="nil"/>
              <w:left w:val="nil"/>
              <w:bottom w:val="nil"/>
              <w:right w:val="nil"/>
            </w:tcBorders>
            <w:shd w:val="clear" w:color="auto" w:fill="auto"/>
            <w:hideMark/>
          </w:tcPr>
          <w:p w14:paraId="4CF2ADAF"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3,306,693,008.00</w:t>
            </w:r>
          </w:p>
        </w:tc>
        <w:tc>
          <w:tcPr>
            <w:tcW w:w="1400" w:type="dxa"/>
            <w:tcBorders>
              <w:top w:val="nil"/>
              <w:left w:val="nil"/>
              <w:bottom w:val="nil"/>
              <w:right w:val="nil"/>
            </w:tcBorders>
            <w:shd w:val="clear" w:color="auto" w:fill="auto"/>
            <w:hideMark/>
          </w:tcPr>
          <w:p w14:paraId="14FDFAF4"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4,632,833,284.00</w:t>
            </w:r>
          </w:p>
        </w:tc>
        <w:tc>
          <w:tcPr>
            <w:tcW w:w="1400" w:type="dxa"/>
            <w:tcBorders>
              <w:top w:val="nil"/>
              <w:left w:val="nil"/>
              <w:bottom w:val="nil"/>
              <w:right w:val="nil"/>
            </w:tcBorders>
            <w:shd w:val="clear" w:color="auto" w:fill="auto"/>
            <w:hideMark/>
          </w:tcPr>
          <w:p w14:paraId="6E912579"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3,600,251,982.00</w:t>
            </w:r>
          </w:p>
        </w:tc>
        <w:tc>
          <w:tcPr>
            <w:tcW w:w="1240" w:type="dxa"/>
            <w:tcBorders>
              <w:top w:val="nil"/>
              <w:left w:val="nil"/>
              <w:bottom w:val="nil"/>
              <w:right w:val="nil"/>
            </w:tcBorders>
            <w:shd w:val="clear" w:color="auto" w:fill="auto"/>
            <w:vAlign w:val="center"/>
            <w:hideMark/>
          </w:tcPr>
          <w:p w14:paraId="5157940F"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40%</w:t>
            </w:r>
          </w:p>
        </w:tc>
      </w:tr>
      <w:tr w:rsidR="00083CA4" w:rsidRPr="002A7673" w14:paraId="7DE274F7" w14:textId="77777777" w:rsidTr="005F7139">
        <w:trPr>
          <w:trHeight w:val="288"/>
          <w:jc w:val="center"/>
        </w:trPr>
        <w:tc>
          <w:tcPr>
            <w:tcW w:w="3100" w:type="dxa"/>
            <w:tcBorders>
              <w:top w:val="nil"/>
              <w:left w:val="nil"/>
              <w:bottom w:val="nil"/>
              <w:right w:val="nil"/>
            </w:tcBorders>
            <w:shd w:val="clear" w:color="auto" w:fill="auto"/>
            <w:vAlign w:val="center"/>
            <w:hideMark/>
          </w:tcPr>
          <w:p w14:paraId="1F2333A0"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p>
          <w:p w14:paraId="24804FBA"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Servicio Jurisdiccional</w:t>
            </w:r>
          </w:p>
        </w:tc>
        <w:tc>
          <w:tcPr>
            <w:tcW w:w="1401" w:type="dxa"/>
            <w:tcBorders>
              <w:top w:val="nil"/>
              <w:left w:val="nil"/>
              <w:bottom w:val="nil"/>
              <w:right w:val="nil"/>
            </w:tcBorders>
            <w:shd w:val="clear" w:color="auto" w:fill="auto"/>
            <w:vAlign w:val="center"/>
            <w:hideMark/>
          </w:tcPr>
          <w:p w14:paraId="697F5ACD"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9,855,935 </w:t>
            </w:r>
          </w:p>
        </w:tc>
        <w:tc>
          <w:tcPr>
            <w:tcW w:w="1620" w:type="dxa"/>
            <w:tcBorders>
              <w:top w:val="nil"/>
              <w:left w:val="nil"/>
              <w:bottom w:val="nil"/>
              <w:right w:val="nil"/>
            </w:tcBorders>
            <w:shd w:val="clear" w:color="auto" w:fill="auto"/>
            <w:hideMark/>
          </w:tcPr>
          <w:p w14:paraId="55CB4835"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p>
          <w:p w14:paraId="729DFC02"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1,470,000.00</w:t>
            </w:r>
          </w:p>
        </w:tc>
        <w:tc>
          <w:tcPr>
            <w:tcW w:w="1400" w:type="dxa"/>
            <w:tcBorders>
              <w:top w:val="nil"/>
              <w:left w:val="nil"/>
              <w:bottom w:val="nil"/>
              <w:right w:val="nil"/>
            </w:tcBorders>
            <w:shd w:val="clear" w:color="auto" w:fill="auto"/>
            <w:hideMark/>
          </w:tcPr>
          <w:p w14:paraId="31D9C201"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p>
          <w:p w14:paraId="09F45BC9"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11,000,000.00</w:t>
            </w:r>
          </w:p>
        </w:tc>
        <w:tc>
          <w:tcPr>
            <w:tcW w:w="1400" w:type="dxa"/>
            <w:tcBorders>
              <w:top w:val="nil"/>
              <w:left w:val="nil"/>
              <w:bottom w:val="nil"/>
              <w:right w:val="nil"/>
            </w:tcBorders>
            <w:shd w:val="clear" w:color="auto" w:fill="auto"/>
            <w:hideMark/>
          </w:tcPr>
          <w:p w14:paraId="7E71E311"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p>
          <w:p w14:paraId="7220F417"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530,000.00</w:t>
            </w:r>
          </w:p>
        </w:tc>
        <w:tc>
          <w:tcPr>
            <w:tcW w:w="1240" w:type="dxa"/>
            <w:tcBorders>
              <w:top w:val="nil"/>
              <w:left w:val="nil"/>
              <w:bottom w:val="nil"/>
              <w:right w:val="nil"/>
            </w:tcBorders>
            <w:shd w:val="clear" w:color="auto" w:fill="auto"/>
            <w:vAlign w:val="center"/>
            <w:hideMark/>
          </w:tcPr>
          <w:p w14:paraId="75410C5D"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p>
          <w:p w14:paraId="5B844F48"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648%</w:t>
            </w:r>
          </w:p>
        </w:tc>
      </w:tr>
      <w:tr w:rsidR="00083CA4" w:rsidRPr="002A7673" w14:paraId="7856A0D8" w14:textId="77777777" w:rsidTr="005F7139">
        <w:trPr>
          <w:trHeight w:val="288"/>
          <w:jc w:val="center"/>
        </w:trPr>
        <w:tc>
          <w:tcPr>
            <w:tcW w:w="3100" w:type="dxa"/>
            <w:tcBorders>
              <w:top w:val="nil"/>
              <w:left w:val="nil"/>
              <w:bottom w:val="nil"/>
              <w:right w:val="nil"/>
            </w:tcBorders>
            <w:shd w:val="clear" w:color="auto" w:fill="auto"/>
            <w:vAlign w:val="center"/>
            <w:hideMark/>
          </w:tcPr>
          <w:p w14:paraId="73AE1293"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p>
          <w:p w14:paraId="780B9280"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Organismo de Investigación Judicial</w:t>
            </w:r>
          </w:p>
        </w:tc>
        <w:tc>
          <w:tcPr>
            <w:tcW w:w="1401" w:type="dxa"/>
            <w:tcBorders>
              <w:top w:val="nil"/>
              <w:left w:val="nil"/>
              <w:bottom w:val="nil"/>
              <w:right w:val="nil"/>
            </w:tcBorders>
            <w:shd w:val="clear" w:color="auto" w:fill="auto"/>
            <w:vAlign w:val="center"/>
            <w:hideMark/>
          </w:tcPr>
          <w:p w14:paraId="6F003780"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1,869,960,142 </w:t>
            </w:r>
          </w:p>
        </w:tc>
        <w:tc>
          <w:tcPr>
            <w:tcW w:w="1620" w:type="dxa"/>
            <w:tcBorders>
              <w:top w:val="nil"/>
              <w:left w:val="nil"/>
              <w:bottom w:val="nil"/>
              <w:right w:val="nil"/>
            </w:tcBorders>
            <w:shd w:val="clear" w:color="auto" w:fill="auto"/>
            <w:hideMark/>
          </w:tcPr>
          <w:p w14:paraId="765E2534"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p>
          <w:p w14:paraId="14C637E6"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2,125,579,061.00</w:t>
            </w:r>
          </w:p>
        </w:tc>
        <w:tc>
          <w:tcPr>
            <w:tcW w:w="1400" w:type="dxa"/>
            <w:tcBorders>
              <w:top w:val="nil"/>
              <w:left w:val="nil"/>
              <w:bottom w:val="nil"/>
              <w:right w:val="nil"/>
            </w:tcBorders>
            <w:shd w:val="clear" w:color="auto" w:fill="auto"/>
            <w:hideMark/>
          </w:tcPr>
          <w:p w14:paraId="135B3DB6"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p>
          <w:p w14:paraId="2E5B29B6"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2,150,111,706.00</w:t>
            </w:r>
          </w:p>
        </w:tc>
        <w:tc>
          <w:tcPr>
            <w:tcW w:w="1400" w:type="dxa"/>
            <w:tcBorders>
              <w:top w:val="nil"/>
              <w:left w:val="nil"/>
              <w:bottom w:val="nil"/>
              <w:right w:val="nil"/>
            </w:tcBorders>
            <w:shd w:val="clear" w:color="auto" w:fill="auto"/>
            <w:hideMark/>
          </w:tcPr>
          <w:p w14:paraId="7A5C069A"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-2,125,579,061.00</w:t>
            </w:r>
          </w:p>
        </w:tc>
        <w:tc>
          <w:tcPr>
            <w:tcW w:w="1240" w:type="dxa"/>
            <w:tcBorders>
              <w:top w:val="nil"/>
              <w:left w:val="nil"/>
              <w:bottom w:val="nil"/>
              <w:right w:val="nil"/>
            </w:tcBorders>
            <w:shd w:val="clear" w:color="auto" w:fill="auto"/>
            <w:vAlign w:val="center"/>
            <w:hideMark/>
          </w:tcPr>
          <w:p w14:paraId="377639D5"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p>
          <w:p w14:paraId="4D956BD5"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w:t>
            </w:r>
          </w:p>
        </w:tc>
      </w:tr>
      <w:tr w:rsidR="00083CA4" w:rsidRPr="002A7673" w14:paraId="540F1A65" w14:textId="77777777" w:rsidTr="005F7139">
        <w:trPr>
          <w:trHeight w:val="288"/>
          <w:jc w:val="center"/>
        </w:trPr>
        <w:tc>
          <w:tcPr>
            <w:tcW w:w="3100" w:type="dxa"/>
            <w:tcBorders>
              <w:top w:val="nil"/>
              <w:left w:val="nil"/>
              <w:bottom w:val="nil"/>
              <w:right w:val="nil"/>
            </w:tcBorders>
            <w:shd w:val="clear" w:color="auto" w:fill="auto"/>
            <w:vAlign w:val="center"/>
            <w:hideMark/>
          </w:tcPr>
          <w:p w14:paraId="2E656FD6"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p>
          <w:p w14:paraId="048037D7"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Ministerio Público</w:t>
            </w:r>
          </w:p>
        </w:tc>
        <w:tc>
          <w:tcPr>
            <w:tcW w:w="1401" w:type="dxa"/>
            <w:tcBorders>
              <w:top w:val="nil"/>
              <w:left w:val="nil"/>
              <w:bottom w:val="nil"/>
              <w:right w:val="nil"/>
            </w:tcBorders>
            <w:shd w:val="clear" w:color="auto" w:fill="auto"/>
            <w:vAlign w:val="center"/>
            <w:hideMark/>
          </w:tcPr>
          <w:p w14:paraId="45EAF771"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5,635,941 </w:t>
            </w:r>
          </w:p>
        </w:tc>
        <w:tc>
          <w:tcPr>
            <w:tcW w:w="1620" w:type="dxa"/>
            <w:tcBorders>
              <w:top w:val="nil"/>
              <w:left w:val="nil"/>
              <w:bottom w:val="nil"/>
              <w:right w:val="nil"/>
            </w:tcBorders>
            <w:shd w:val="clear" w:color="auto" w:fill="auto"/>
            <w:noWrap/>
            <w:vAlign w:val="center"/>
            <w:hideMark/>
          </w:tcPr>
          <w:p w14:paraId="622376B3"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p>
          <w:p w14:paraId="058DAA44"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0</w:t>
            </w:r>
          </w:p>
        </w:tc>
        <w:tc>
          <w:tcPr>
            <w:tcW w:w="1400" w:type="dxa"/>
            <w:tcBorders>
              <w:top w:val="nil"/>
              <w:left w:val="nil"/>
              <w:bottom w:val="nil"/>
              <w:right w:val="nil"/>
            </w:tcBorders>
            <w:shd w:val="clear" w:color="auto" w:fill="auto"/>
            <w:noWrap/>
            <w:vAlign w:val="center"/>
            <w:hideMark/>
          </w:tcPr>
          <w:p w14:paraId="26C9A222"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p>
          <w:p w14:paraId="205DCB5E"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115,000,000</w:t>
            </w:r>
          </w:p>
        </w:tc>
        <w:tc>
          <w:tcPr>
            <w:tcW w:w="1400" w:type="dxa"/>
            <w:tcBorders>
              <w:top w:val="nil"/>
              <w:left w:val="nil"/>
              <w:bottom w:val="nil"/>
              <w:right w:val="nil"/>
            </w:tcBorders>
            <w:shd w:val="clear" w:color="auto" w:fill="auto"/>
            <w:noWrap/>
            <w:vAlign w:val="center"/>
            <w:hideMark/>
          </w:tcPr>
          <w:p w14:paraId="494FA6E5"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p>
          <w:p w14:paraId="0FC27F8D"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115,000,000</w:t>
            </w:r>
          </w:p>
        </w:tc>
        <w:tc>
          <w:tcPr>
            <w:tcW w:w="1240" w:type="dxa"/>
            <w:tcBorders>
              <w:top w:val="nil"/>
              <w:left w:val="nil"/>
              <w:bottom w:val="nil"/>
              <w:right w:val="nil"/>
            </w:tcBorders>
            <w:shd w:val="clear" w:color="auto" w:fill="auto"/>
            <w:noWrap/>
            <w:vAlign w:val="center"/>
            <w:hideMark/>
          </w:tcPr>
          <w:p w14:paraId="33A40E54"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p>
          <w:p w14:paraId="37C678A5"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100%</w:t>
            </w:r>
          </w:p>
        </w:tc>
      </w:tr>
      <w:tr w:rsidR="00083CA4" w:rsidRPr="002A7673" w14:paraId="53828665" w14:textId="77777777" w:rsidTr="005F7139">
        <w:trPr>
          <w:trHeight w:val="288"/>
          <w:jc w:val="center"/>
        </w:trPr>
        <w:tc>
          <w:tcPr>
            <w:tcW w:w="3100" w:type="dxa"/>
            <w:tcBorders>
              <w:top w:val="nil"/>
              <w:left w:val="nil"/>
              <w:bottom w:val="nil"/>
              <w:right w:val="nil"/>
            </w:tcBorders>
            <w:shd w:val="clear" w:color="auto" w:fill="auto"/>
            <w:vAlign w:val="center"/>
            <w:hideMark/>
          </w:tcPr>
          <w:p w14:paraId="62748754"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Defensa Pública</w:t>
            </w:r>
          </w:p>
        </w:tc>
        <w:tc>
          <w:tcPr>
            <w:tcW w:w="1401" w:type="dxa"/>
            <w:tcBorders>
              <w:top w:val="nil"/>
              <w:left w:val="nil"/>
              <w:bottom w:val="nil"/>
              <w:right w:val="nil"/>
            </w:tcBorders>
            <w:shd w:val="clear" w:color="auto" w:fill="auto"/>
            <w:vAlign w:val="center"/>
            <w:hideMark/>
          </w:tcPr>
          <w:p w14:paraId="2B789E46"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   </w:t>
            </w:r>
          </w:p>
        </w:tc>
        <w:tc>
          <w:tcPr>
            <w:tcW w:w="1620" w:type="dxa"/>
            <w:tcBorders>
              <w:top w:val="nil"/>
              <w:left w:val="nil"/>
              <w:bottom w:val="nil"/>
              <w:right w:val="nil"/>
            </w:tcBorders>
            <w:shd w:val="clear" w:color="auto" w:fill="auto"/>
            <w:noWrap/>
            <w:vAlign w:val="center"/>
            <w:hideMark/>
          </w:tcPr>
          <w:p w14:paraId="4D5CA777"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0</w:t>
            </w:r>
          </w:p>
        </w:tc>
        <w:tc>
          <w:tcPr>
            <w:tcW w:w="1400" w:type="dxa"/>
            <w:tcBorders>
              <w:top w:val="nil"/>
              <w:left w:val="nil"/>
              <w:bottom w:val="nil"/>
              <w:right w:val="nil"/>
            </w:tcBorders>
            <w:shd w:val="clear" w:color="auto" w:fill="auto"/>
            <w:noWrap/>
            <w:vAlign w:val="center"/>
            <w:hideMark/>
          </w:tcPr>
          <w:p w14:paraId="7691575E"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0</w:t>
            </w:r>
          </w:p>
        </w:tc>
        <w:tc>
          <w:tcPr>
            <w:tcW w:w="1400" w:type="dxa"/>
            <w:tcBorders>
              <w:top w:val="nil"/>
              <w:left w:val="nil"/>
              <w:bottom w:val="nil"/>
              <w:right w:val="nil"/>
            </w:tcBorders>
            <w:shd w:val="clear" w:color="auto" w:fill="auto"/>
            <w:noWrap/>
            <w:vAlign w:val="center"/>
            <w:hideMark/>
          </w:tcPr>
          <w:p w14:paraId="40D1BADE"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0</w:t>
            </w:r>
          </w:p>
        </w:tc>
        <w:tc>
          <w:tcPr>
            <w:tcW w:w="1240" w:type="dxa"/>
            <w:tcBorders>
              <w:top w:val="nil"/>
              <w:left w:val="nil"/>
              <w:bottom w:val="nil"/>
              <w:right w:val="nil"/>
            </w:tcBorders>
            <w:shd w:val="clear" w:color="auto" w:fill="auto"/>
            <w:noWrap/>
            <w:vAlign w:val="center"/>
            <w:hideMark/>
          </w:tcPr>
          <w:p w14:paraId="48FAAB18"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0%</w:t>
            </w:r>
          </w:p>
        </w:tc>
      </w:tr>
      <w:tr w:rsidR="00083CA4" w:rsidRPr="002A7673" w14:paraId="3B629607" w14:textId="77777777" w:rsidTr="005F7139">
        <w:trPr>
          <w:trHeight w:val="468"/>
          <w:jc w:val="center"/>
        </w:trPr>
        <w:tc>
          <w:tcPr>
            <w:tcW w:w="3100" w:type="dxa"/>
            <w:tcBorders>
              <w:top w:val="nil"/>
              <w:left w:val="nil"/>
              <w:bottom w:val="single" w:sz="8" w:space="0" w:color="1F4E78"/>
              <w:right w:val="nil"/>
            </w:tcBorders>
            <w:shd w:val="clear" w:color="auto" w:fill="auto"/>
            <w:vAlign w:val="center"/>
            <w:hideMark/>
          </w:tcPr>
          <w:p w14:paraId="516A9FE4"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proofErr w:type="spellStart"/>
            <w:r w:rsidRPr="002A7673">
              <w:rPr>
                <w:rFonts w:ascii="Times New Roman" w:eastAsia="Times New Roman" w:hAnsi="Times New Roman" w:cs="Times New Roman"/>
                <w:color w:val="000000"/>
                <w:sz w:val="24"/>
                <w:szCs w:val="24"/>
                <w:lang w:eastAsia="es-CR"/>
              </w:rPr>
              <w:t>Serv</w:t>
            </w:r>
            <w:proofErr w:type="spellEnd"/>
            <w:r w:rsidRPr="002A7673">
              <w:rPr>
                <w:rFonts w:ascii="Times New Roman" w:eastAsia="Times New Roman" w:hAnsi="Times New Roman" w:cs="Times New Roman"/>
                <w:color w:val="000000"/>
                <w:sz w:val="24"/>
                <w:szCs w:val="24"/>
                <w:lang w:eastAsia="es-CR"/>
              </w:rPr>
              <w:t>. Atención-Protección Víctimas y Testigos</w:t>
            </w:r>
          </w:p>
        </w:tc>
        <w:tc>
          <w:tcPr>
            <w:tcW w:w="1401" w:type="dxa"/>
            <w:tcBorders>
              <w:top w:val="nil"/>
              <w:left w:val="nil"/>
              <w:bottom w:val="single" w:sz="8" w:space="0" w:color="1F4E78"/>
              <w:right w:val="nil"/>
            </w:tcBorders>
            <w:shd w:val="clear" w:color="auto" w:fill="auto"/>
            <w:vAlign w:val="center"/>
            <w:hideMark/>
          </w:tcPr>
          <w:p w14:paraId="0284C772" w14:textId="77777777" w:rsidR="00083CA4" w:rsidRPr="002A7673" w:rsidRDefault="00083CA4" w:rsidP="005F7139">
            <w:pPr>
              <w:spacing w:after="0" w:line="240" w:lineRule="auto"/>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 xml:space="preserve">                       -   </w:t>
            </w:r>
          </w:p>
        </w:tc>
        <w:tc>
          <w:tcPr>
            <w:tcW w:w="1620" w:type="dxa"/>
            <w:tcBorders>
              <w:top w:val="nil"/>
              <w:left w:val="nil"/>
              <w:bottom w:val="single" w:sz="8" w:space="0" w:color="1F4E78"/>
              <w:right w:val="nil"/>
            </w:tcBorders>
            <w:shd w:val="clear" w:color="auto" w:fill="auto"/>
            <w:noWrap/>
            <w:vAlign w:val="center"/>
            <w:hideMark/>
          </w:tcPr>
          <w:p w14:paraId="3AE41D2E"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0</w:t>
            </w:r>
          </w:p>
        </w:tc>
        <w:tc>
          <w:tcPr>
            <w:tcW w:w="1400" w:type="dxa"/>
            <w:tcBorders>
              <w:top w:val="nil"/>
              <w:left w:val="nil"/>
              <w:bottom w:val="single" w:sz="8" w:space="0" w:color="305496"/>
              <w:right w:val="nil"/>
            </w:tcBorders>
            <w:shd w:val="clear" w:color="auto" w:fill="auto"/>
            <w:noWrap/>
            <w:vAlign w:val="center"/>
            <w:hideMark/>
          </w:tcPr>
          <w:p w14:paraId="5C405377"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0</w:t>
            </w:r>
          </w:p>
        </w:tc>
        <w:tc>
          <w:tcPr>
            <w:tcW w:w="1400" w:type="dxa"/>
            <w:tcBorders>
              <w:top w:val="nil"/>
              <w:left w:val="nil"/>
              <w:bottom w:val="single" w:sz="8" w:space="0" w:color="305496"/>
              <w:right w:val="nil"/>
            </w:tcBorders>
            <w:shd w:val="clear" w:color="auto" w:fill="auto"/>
            <w:noWrap/>
            <w:vAlign w:val="center"/>
            <w:hideMark/>
          </w:tcPr>
          <w:p w14:paraId="2ACEE056" w14:textId="77777777" w:rsidR="00083CA4" w:rsidRPr="002A7673" w:rsidRDefault="00083CA4" w:rsidP="005F7139">
            <w:pPr>
              <w:spacing w:after="0" w:line="240" w:lineRule="auto"/>
              <w:jc w:val="right"/>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0</w:t>
            </w:r>
          </w:p>
        </w:tc>
        <w:tc>
          <w:tcPr>
            <w:tcW w:w="1240" w:type="dxa"/>
            <w:tcBorders>
              <w:top w:val="nil"/>
              <w:left w:val="nil"/>
              <w:bottom w:val="single" w:sz="8" w:space="0" w:color="305496"/>
              <w:right w:val="nil"/>
            </w:tcBorders>
            <w:shd w:val="clear" w:color="auto" w:fill="auto"/>
            <w:noWrap/>
            <w:vAlign w:val="center"/>
            <w:hideMark/>
          </w:tcPr>
          <w:p w14:paraId="5D81107E" w14:textId="77777777" w:rsidR="00083CA4" w:rsidRPr="002A7673" w:rsidRDefault="00083CA4" w:rsidP="005F7139">
            <w:pPr>
              <w:spacing w:after="0" w:line="240" w:lineRule="auto"/>
              <w:jc w:val="center"/>
              <w:rPr>
                <w:rFonts w:ascii="Times New Roman" w:eastAsia="Times New Roman" w:hAnsi="Times New Roman" w:cs="Times New Roman"/>
                <w:color w:val="000000"/>
                <w:sz w:val="24"/>
                <w:szCs w:val="24"/>
                <w:lang w:eastAsia="es-CR"/>
              </w:rPr>
            </w:pPr>
            <w:r w:rsidRPr="002A7673">
              <w:rPr>
                <w:rFonts w:ascii="Times New Roman" w:eastAsia="Times New Roman" w:hAnsi="Times New Roman" w:cs="Times New Roman"/>
                <w:color w:val="000000"/>
                <w:sz w:val="24"/>
                <w:szCs w:val="24"/>
                <w:lang w:eastAsia="es-CR"/>
              </w:rPr>
              <w:t>0%</w:t>
            </w:r>
          </w:p>
        </w:tc>
      </w:tr>
      <w:tr w:rsidR="00083CA4" w:rsidRPr="002A7673" w14:paraId="571DF898" w14:textId="77777777" w:rsidTr="005F7139">
        <w:trPr>
          <w:trHeight w:val="300"/>
          <w:jc w:val="center"/>
        </w:trPr>
        <w:tc>
          <w:tcPr>
            <w:tcW w:w="3100" w:type="dxa"/>
            <w:tcBorders>
              <w:top w:val="nil"/>
              <w:left w:val="nil"/>
              <w:bottom w:val="single" w:sz="8" w:space="0" w:color="44546A"/>
              <w:right w:val="nil"/>
            </w:tcBorders>
            <w:shd w:val="clear" w:color="000000" w:fill="E7E6E6"/>
            <w:noWrap/>
            <w:vAlign w:val="center"/>
            <w:hideMark/>
          </w:tcPr>
          <w:p w14:paraId="502265BB"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24"/>
                <w:szCs w:val="24"/>
                <w:lang w:eastAsia="es-CR"/>
              </w:rPr>
            </w:pPr>
            <w:r w:rsidRPr="002A7673">
              <w:rPr>
                <w:rFonts w:ascii="Times New Roman" w:eastAsia="Times New Roman" w:hAnsi="Times New Roman" w:cs="Times New Roman"/>
                <w:b/>
                <w:bCs/>
                <w:color w:val="305496"/>
                <w:sz w:val="24"/>
                <w:szCs w:val="24"/>
                <w:lang w:eastAsia="es-CR"/>
              </w:rPr>
              <w:t>Total</w:t>
            </w:r>
          </w:p>
        </w:tc>
        <w:tc>
          <w:tcPr>
            <w:tcW w:w="1401" w:type="dxa"/>
            <w:tcBorders>
              <w:top w:val="nil"/>
              <w:left w:val="nil"/>
              <w:bottom w:val="single" w:sz="8" w:space="0" w:color="44546A"/>
              <w:right w:val="nil"/>
            </w:tcBorders>
            <w:shd w:val="clear" w:color="000000" w:fill="E7E6E6"/>
            <w:noWrap/>
            <w:vAlign w:val="center"/>
            <w:hideMark/>
          </w:tcPr>
          <w:p w14:paraId="52A592F2"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24"/>
                <w:szCs w:val="24"/>
                <w:lang w:eastAsia="es-CR"/>
              </w:rPr>
            </w:pPr>
            <w:r w:rsidRPr="002A7673">
              <w:rPr>
                <w:rFonts w:ascii="Times New Roman" w:eastAsia="Times New Roman" w:hAnsi="Times New Roman" w:cs="Times New Roman"/>
                <w:b/>
                <w:bCs/>
                <w:color w:val="305496"/>
                <w:sz w:val="24"/>
                <w:szCs w:val="24"/>
                <w:lang w:eastAsia="es-CR"/>
              </w:rPr>
              <w:t xml:space="preserve">6,393,518,671 </w:t>
            </w:r>
          </w:p>
        </w:tc>
        <w:tc>
          <w:tcPr>
            <w:tcW w:w="1620" w:type="dxa"/>
            <w:tcBorders>
              <w:top w:val="nil"/>
              <w:left w:val="nil"/>
              <w:bottom w:val="single" w:sz="8" w:space="0" w:color="44546A"/>
              <w:right w:val="nil"/>
            </w:tcBorders>
            <w:shd w:val="clear" w:color="000000" w:fill="E7E6E6"/>
            <w:noWrap/>
            <w:vAlign w:val="center"/>
            <w:hideMark/>
          </w:tcPr>
          <w:p w14:paraId="350329DA" w14:textId="77777777" w:rsidR="00083CA4" w:rsidRPr="002A7673" w:rsidRDefault="00083CA4" w:rsidP="005F7139">
            <w:pPr>
              <w:spacing w:after="0" w:line="240" w:lineRule="auto"/>
              <w:jc w:val="right"/>
              <w:rPr>
                <w:rFonts w:ascii="Times New Roman" w:eastAsia="Times New Roman" w:hAnsi="Times New Roman" w:cs="Times New Roman"/>
                <w:b/>
                <w:bCs/>
                <w:color w:val="305496"/>
                <w:sz w:val="24"/>
                <w:szCs w:val="24"/>
                <w:lang w:eastAsia="es-CR"/>
              </w:rPr>
            </w:pPr>
            <w:r w:rsidRPr="002A7673">
              <w:rPr>
                <w:rFonts w:ascii="Times New Roman" w:eastAsia="Times New Roman" w:hAnsi="Times New Roman" w:cs="Times New Roman"/>
                <w:b/>
                <w:bCs/>
                <w:color w:val="305496"/>
                <w:sz w:val="24"/>
                <w:szCs w:val="24"/>
                <w:lang w:eastAsia="es-CR"/>
              </w:rPr>
              <w:t>5,433,742,069</w:t>
            </w:r>
          </w:p>
        </w:tc>
        <w:tc>
          <w:tcPr>
            <w:tcW w:w="1400" w:type="dxa"/>
            <w:tcBorders>
              <w:top w:val="nil"/>
              <w:left w:val="nil"/>
              <w:bottom w:val="single" w:sz="8" w:space="0" w:color="44546A"/>
              <w:right w:val="nil"/>
            </w:tcBorders>
            <w:shd w:val="clear" w:color="000000" w:fill="E7E6E6"/>
            <w:noWrap/>
            <w:vAlign w:val="center"/>
            <w:hideMark/>
          </w:tcPr>
          <w:p w14:paraId="5569652A" w14:textId="77777777" w:rsidR="00083CA4" w:rsidRPr="002A7673" w:rsidRDefault="00083CA4" w:rsidP="005F7139">
            <w:pPr>
              <w:spacing w:after="0" w:line="240" w:lineRule="auto"/>
              <w:jc w:val="right"/>
              <w:rPr>
                <w:rFonts w:ascii="Times New Roman" w:eastAsia="Times New Roman" w:hAnsi="Times New Roman" w:cs="Times New Roman"/>
                <w:b/>
                <w:bCs/>
                <w:color w:val="305496"/>
                <w:sz w:val="24"/>
                <w:szCs w:val="24"/>
                <w:lang w:eastAsia="es-CR"/>
              </w:rPr>
            </w:pPr>
            <w:r w:rsidRPr="002A7673">
              <w:rPr>
                <w:rFonts w:ascii="Times New Roman" w:eastAsia="Times New Roman" w:hAnsi="Times New Roman" w:cs="Times New Roman"/>
                <w:b/>
                <w:bCs/>
                <w:color w:val="305496"/>
                <w:sz w:val="24"/>
                <w:szCs w:val="24"/>
                <w:lang w:eastAsia="es-CR"/>
              </w:rPr>
              <w:t>6,908,944,990</w:t>
            </w:r>
          </w:p>
        </w:tc>
        <w:tc>
          <w:tcPr>
            <w:tcW w:w="1400" w:type="dxa"/>
            <w:tcBorders>
              <w:top w:val="nil"/>
              <w:left w:val="nil"/>
              <w:bottom w:val="single" w:sz="8" w:space="0" w:color="44546A"/>
              <w:right w:val="nil"/>
            </w:tcBorders>
            <w:shd w:val="clear" w:color="000000" w:fill="E7E6E6"/>
            <w:noWrap/>
            <w:vAlign w:val="center"/>
            <w:hideMark/>
          </w:tcPr>
          <w:p w14:paraId="475AD559" w14:textId="77777777" w:rsidR="00083CA4" w:rsidRPr="002A7673" w:rsidRDefault="00083CA4" w:rsidP="005F7139">
            <w:pPr>
              <w:spacing w:after="0" w:line="240" w:lineRule="auto"/>
              <w:jc w:val="right"/>
              <w:rPr>
                <w:rFonts w:ascii="Times New Roman" w:eastAsia="Times New Roman" w:hAnsi="Times New Roman" w:cs="Times New Roman"/>
                <w:b/>
                <w:bCs/>
                <w:color w:val="305496"/>
                <w:sz w:val="24"/>
                <w:szCs w:val="24"/>
                <w:lang w:eastAsia="es-CR"/>
              </w:rPr>
            </w:pPr>
            <w:r w:rsidRPr="002A7673">
              <w:rPr>
                <w:rFonts w:ascii="Times New Roman" w:eastAsia="Times New Roman" w:hAnsi="Times New Roman" w:cs="Times New Roman"/>
                <w:b/>
                <w:bCs/>
                <w:color w:val="305496"/>
                <w:sz w:val="24"/>
                <w:szCs w:val="24"/>
                <w:lang w:eastAsia="es-CR"/>
              </w:rPr>
              <w:t>1,475,202,921</w:t>
            </w:r>
          </w:p>
        </w:tc>
        <w:tc>
          <w:tcPr>
            <w:tcW w:w="1240" w:type="dxa"/>
            <w:tcBorders>
              <w:top w:val="nil"/>
              <w:left w:val="nil"/>
              <w:bottom w:val="single" w:sz="8" w:space="0" w:color="44546A"/>
              <w:right w:val="nil"/>
            </w:tcBorders>
            <w:shd w:val="clear" w:color="000000" w:fill="E7E6E6"/>
            <w:noWrap/>
            <w:vAlign w:val="center"/>
            <w:hideMark/>
          </w:tcPr>
          <w:p w14:paraId="02B7900D" w14:textId="77777777" w:rsidR="00083CA4" w:rsidRPr="002A7673" w:rsidRDefault="00083CA4" w:rsidP="005F7139">
            <w:pPr>
              <w:spacing w:after="0" w:line="240" w:lineRule="auto"/>
              <w:jc w:val="center"/>
              <w:rPr>
                <w:rFonts w:ascii="Times New Roman" w:eastAsia="Times New Roman" w:hAnsi="Times New Roman" w:cs="Times New Roman"/>
                <w:b/>
                <w:bCs/>
                <w:color w:val="305496"/>
                <w:sz w:val="24"/>
                <w:szCs w:val="24"/>
                <w:lang w:eastAsia="es-CR"/>
              </w:rPr>
            </w:pPr>
            <w:r w:rsidRPr="002A7673">
              <w:rPr>
                <w:rFonts w:ascii="Times New Roman" w:eastAsia="Times New Roman" w:hAnsi="Times New Roman" w:cs="Times New Roman"/>
                <w:b/>
                <w:bCs/>
                <w:color w:val="305496"/>
                <w:sz w:val="24"/>
                <w:szCs w:val="24"/>
                <w:lang w:eastAsia="es-CR"/>
              </w:rPr>
              <w:t>27%</w:t>
            </w:r>
          </w:p>
        </w:tc>
      </w:tr>
    </w:tbl>
    <w:p w14:paraId="33D6D010" w14:textId="77777777" w:rsidR="00083CA4" w:rsidRPr="002A7673" w:rsidRDefault="00083CA4" w:rsidP="005F7139">
      <w:pPr>
        <w:spacing w:after="0" w:line="240" w:lineRule="auto"/>
        <w:rPr>
          <w:rFonts w:ascii="Times New Roman" w:eastAsia="Times New Roman" w:hAnsi="Times New Roman" w:cs="Times New Roman"/>
          <w:b/>
          <w:bCs/>
          <w:sz w:val="24"/>
          <w:szCs w:val="24"/>
        </w:rPr>
      </w:pPr>
      <w:r w:rsidRPr="002A7673">
        <w:rPr>
          <w:rFonts w:ascii="Times New Roman" w:eastAsia="Times New Roman" w:hAnsi="Times New Roman" w:cs="Times New Roman"/>
          <w:b/>
          <w:bCs/>
          <w:sz w:val="24"/>
          <w:szCs w:val="24"/>
        </w:rPr>
        <w:t xml:space="preserve">* </w:t>
      </w:r>
      <w:r w:rsidRPr="002A7673">
        <w:rPr>
          <w:rFonts w:ascii="Times New Roman" w:eastAsia="Times New Roman" w:hAnsi="Times New Roman" w:cs="Times New Roman"/>
          <w:sz w:val="24"/>
          <w:szCs w:val="24"/>
        </w:rPr>
        <w:t>Diferencia entre lo formulado en los periodos 2021 y 2022.</w:t>
      </w:r>
    </w:p>
    <w:p w14:paraId="52F8D56C" w14:textId="77777777" w:rsidR="00083CA4" w:rsidRPr="002A7673" w:rsidRDefault="00083CA4" w:rsidP="005F7139">
      <w:pPr>
        <w:spacing w:after="0" w:line="240" w:lineRule="auto"/>
        <w:jc w:val="both"/>
        <w:rPr>
          <w:rFonts w:ascii="Times New Roman" w:eastAsia="Calibri" w:hAnsi="Times New Roman" w:cs="Times New Roman"/>
          <w:b/>
          <w:sz w:val="24"/>
          <w:szCs w:val="24"/>
        </w:rPr>
      </w:pPr>
    </w:p>
    <w:p w14:paraId="2F206162"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El mayor incremento para el 2022 se presenta por la inclusión de líneas con montos elevados en los siguientes despachos y oficinas: </w:t>
      </w:r>
    </w:p>
    <w:p w14:paraId="0844BB94" w14:textId="77777777" w:rsidR="003534AF" w:rsidRPr="002A7673" w:rsidRDefault="003534AF" w:rsidP="003534AF">
      <w:pPr>
        <w:spacing w:after="0" w:line="240" w:lineRule="auto"/>
        <w:ind w:left="851" w:right="851" w:firstLine="709"/>
        <w:jc w:val="both"/>
        <w:rPr>
          <w:rFonts w:ascii="Times New Roman" w:eastAsia="Calibri" w:hAnsi="Times New Roman" w:cs="Times New Roman"/>
          <w:sz w:val="26"/>
          <w:szCs w:val="26"/>
        </w:rPr>
      </w:pPr>
    </w:p>
    <w:p w14:paraId="4FDCE179" w14:textId="77777777" w:rsidR="003534AF" w:rsidRPr="002A7673" w:rsidRDefault="00083CA4" w:rsidP="00D527DE">
      <w:pPr>
        <w:numPr>
          <w:ilvl w:val="0"/>
          <w:numId w:val="16"/>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Organismo de Investigación Judicial, Morgue auxiliar en San Joaquín de Flores por ¢423.942.824, para construir los pisos faltantes del Edificio de Toma de Muestras para así poder trasladar toda la Sección de </w:t>
      </w:r>
      <w:r w:rsidRPr="002A7673">
        <w:rPr>
          <w:rFonts w:ascii="Times New Roman" w:eastAsia="Times New Roman" w:hAnsi="Times New Roman" w:cs="Times New Roman"/>
          <w:sz w:val="26"/>
          <w:szCs w:val="26"/>
          <w:lang w:val="es-ES" w:eastAsia="es-ES"/>
        </w:rPr>
        <w:lastRenderedPageBreak/>
        <w:t>Bioquímica a ese edificio, incluyendo toda la Unidad de Genética Forense por ¢1.100.000.000 y sustituir el sistema de detección y supresión de incendios del edificio de Ciencias Forenses pues el actual se encuentra obsoleto por ¢626.168.882.</w:t>
      </w:r>
    </w:p>
    <w:p w14:paraId="67C2CE73" w14:textId="77777777" w:rsidR="003534AF" w:rsidRPr="002A7673" w:rsidRDefault="003534AF" w:rsidP="003534AF">
      <w:pPr>
        <w:spacing w:after="0" w:line="240" w:lineRule="auto"/>
        <w:ind w:left="1560" w:right="851"/>
        <w:contextualSpacing/>
        <w:jc w:val="both"/>
        <w:rPr>
          <w:rFonts w:ascii="Times New Roman" w:eastAsia="Times New Roman" w:hAnsi="Times New Roman" w:cs="Times New Roman"/>
          <w:sz w:val="26"/>
          <w:szCs w:val="26"/>
          <w:lang w:val="es-ES" w:eastAsia="es-ES"/>
        </w:rPr>
      </w:pPr>
    </w:p>
    <w:p w14:paraId="3776F668" w14:textId="77777777" w:rsidR="00083CA4" w:rsidRPr="002A7673" w:rsidRDefault="00083CA4" w:rsidP="00D527DE">
      <w:pPr>
        <w:numPr>
          <w:ilvl w:val="0"/>
          <w:numId w:val="16"/>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 Tercer Circuito Judicial de Alajuela, Construcción Nueva Torre Anexa Tribunales de Justicia de San Ramón por ¢2.097.576.345 y Reacondicionamiento Eléctrico Edificio Existente Tribunales de Justicia de San Ramón por ¢144.787.500.</w:t>
      </w:r>
    </w:p>
    <w:p w14:paraId="69D7CB72" w14:textId="77777777" w:rsidR="003534AF" w:rsidRPr="002A7673" w:rsidRDefault="003534AF" w:rsidP="003534AF">
      <w:pPr>
        <w:spacing w:after="0" w:line="240" w:lineRule="auto"/>
        <w:ind w:right="851"/>
        <w:contextualSpacing/>
        <w:jc w:val="both"/>
        <w:rPr>
          <w:rFonts w:ascii="Times New Roman" w:eastAsia="Times New Roman" w:hAnsi="Times New Roman" w:cs="Times New Roman"/>
          <w:sz w:val="26"/>
          <w:szCs w:val="26"/>
          <w:lang w:val="es-ES" w:eastAsia="es-ES"/>
        </w:rPr>
      </w:pPr>
    </w:p>
    <w:p w14:paraId="16A4C230" w14:textId="77777777" w:rsidR="00083CA4" w:rsidRPr="002A7673" w:rsidRDefault="00083CA4" w:rsidP="00D527DE">
      <w:pPr>
        <w:numPr>
          <w:ilvl w:val="0"/>
          <w:numId w:val="16"/>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Administración de Turrialba, Construcción III Nivel Tribunales de Justicia de Turrialba por ¢557.504.185</w:t>
      </w:r>
    </w:p>
    <w:p w14:paraId="49BA62E2" w14:textId="77777777" w:rsidR="003534AF" w:rsidRPr="002A7673" w:rsidRDefault="003534AF" w:rsidP="003534AF">
      <w:pPr>
        <w:spacing w:after="0" w:line="240" w:lineRule="auto"/>
        <w:ind w:right="851"/>
        <w:contextualSpacing/>
        <w:jc w:val="both"/>
        <w:rPr>
          <w:rFonts w:ascii="Times New Roman" w:eastAsia="Times New Roman" w:hAnsi="Times New Roman" w:cs="Times New Roman"/>
          <w:sz w:val="26"/>
          <w:szCs w:val="26"/>
          <w:lang w:val="es-ES" w:eastAsia="es-ES"/>
        </w:rPr>
      </w:pPr>
    </w:p>
    <w:p w14:paraId="0E7061D4" w14:textId="77777777" w:rsidR="00083CA4" w:rsidRPr="002A7673" w:rsidRDefault="00083CA4" w:rsidP="00D527DE">
      <w:pPr>
        <w:numPr>
          <w:ilvl w:val="0"/>
          <w:numId w:val="16"/>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Segundo Circuito Judicial de Alajuela, Reacondicionamiento Eléctrico Edificio de Tribunales San Carlos por ¢528.423.803</w:t>
      </w:r>
    </w:p>
    <w:p w14:paraId="0865C0CF" w14:textId="77777777" w:rsidR="003534AF" w:rsidRPr="002A7673" w:rsidRDefault="003534AF" w:rsidP="003534AF">
      <w:pPr>
        <w:spacing w:after="0" w:line="240" w:lineRule="auto"/>
        <w:ind w:right="851"/>
        <w:contextualSpacing/>
        <w:jc w:val="both"/>
        <w:rPr>
          <w:rFonts w:ascii="Times New Roman" w:eastAsia="Times New Roman" w:hAnsi="Times New Roman" w:cs="Times New Roman"/>
          <w:sz w:val="26"/>
          <w:szCs w:val="26"/>
          <w:lang w:val="es-ES" w:eastAsia="es-ES"/>
        </w:rPr>
      </w:pPr>
    </w:p>
    <w:p w14:paraId="42A280EB" w14:textId="77777777" w:rsidR="00083CA4" w:rsidRPr="002A7673" w:rsidRDefault="00083CA4" w:rsidP="00D527DE">
      <w:pPr>
        <w:numPr>
          <w:ilvl w:val="0"/>
          <w:numId w:val="16"/>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Primer Circuito Judicial de San José, II etapa de reacondicionamiento eléctrico del Edificio de Tribunales del I Circuito Judicial de San José.</w:t>
      </w:r>
    </w:p>
    <w:p w14:paraId="6F38884B" w14:textId="77777777" w:rsidR="003534AF" w:rsidRPr="002A7673" w:rsidRDefault="003534AF" w:rsidP="003534AF">
      <w:pPr>
        <w:spacing w:after="0" w:line="240" w:lineRule="auto"/>
        <w:ind w:right="851"/>
        <w:contextualSpacing/>
        <w:jc w:val="both"/>
        <w:rPr>
          <w:rFonts w:ascii="Times New Roman" w:eastAsia="Times New Roman" w:hAnsi="Times New Roman" w:cs="Times New Roman"/>
          <w:sz w:val="26"/>
          <w:szCs w:val="26"/>
          <w:lang w:val="es-ES" w:eastAsia="es-ES"/>
        </w:rPr>
      </w:pPr>
    </w:p>
    <w:p w14:paraId="66D185AD" w14:textId="77777777" w:rsidR="00083CA4" w:rsidRPr="002A7673" w:rsidRDefault="00083CA4" w:rsidP="00D527DE">
      <w:pPr>
        <w:numPr>
          <w:ilvl w:val="0"/>
          <w:numId w:val="16"/>
        </w:numPr>
        <w:spacing w:after="0" w:line="240" w:lineRule="auto"/>
        <w:ind w:left="851" w:right="851" w:firstLine="709"/>
        <w:contextualSpacing/>
        <w:jc w:val="both"/>
        <w:rPr>
          <w:rFonts w:ascii="Times New Roman" w:eastAsia="Times New Roman" w:hAnsi="Times New Roman" w:cs="Times New Roman"/>
          <w:bCs/>
          <w:sz w:val="26"/>
          <w:szCs w:val="26"/>
          <w:lang w:val="es-ES" w:eastAsia="es-ES"/>
        </w:rPr>
      </w:pPr>
      <w:r w:rsidRPr="002A7673">
        <w:rPr>
          <w:rFonts w:ascii="Times New Roman" w:eastAsia="Times New Roman" w:hAnsi="Times New Roman" w:cs="Times New Roman"/>
          <w:sz w:val="26"/>
          <w:szCs w:val="26"/>
          <w:lang w:val="es-ES" w:eastAsia="es-ES"/>
        </w:rPr>
        <w:t xml:space="preserve">Segundo Circuito Judicial de San José, II Etapa del reacondicionamiento del sistema de detección de incendios para el edificio Anexo A por ¢220.000.000 y sustitución de 2 elevadores del edificio principal de los Tribunales de Justicia por ¢106.317.500. </w:t>
      </w:r>
    </w:p>
    <w:p w14:paraId="0F02355D" w14:textId="77777777" w:rsidR="00083CA4" w:rsidRPr="002A7673" w:rsidRDefault="00083CA4" w:rsidP="003534AF">
      <w:pPr>
        <w:spacing w:after="0" w:line="240" w:lineRule="auto"/>
        <w:ind w:left="851" w:right="851" w:firstLine="709"/>
        <w:jc w:val="both"/>
        <w:rPr>
          <w:rFonts w:ascii="Times New Roman" w:eastAsia="Calibri" w:hAnsi="Times New Roman" w:cs="Times New Roman"/>
          <w:b/>
          <w:sz w:val="26"/>
          <w:szCs w:val="26"/>
        </w:rPr>
      </w:pPr>
    </w:p>
    <w:p w14:paraId="62C5D965" w14:textId="77777777" w:rsidR="00083CA4" w:rsidRPr="002A7673" w:rsidRDefault="00083CA4" w:rsidP="00D527DE">
      <w:pPr>
        <w:keepNext/>
        <w:keepLines/>
        <w:numPr>
          <w:ilvl w:val="1"/>
          <w:numId w:val="14"/>
        </w:numPr>
        <w:spacing w:after="0" w:line="240" w:lineRule="auto"/>
        <w:ind w:left="851" w:right="851" w:firstLine="709"/>
        <w:jc w:val="both"/>
        <w:outlineLvl w:val="1"/>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b/>
          <w:bCs/>
          <w:i/>
          <w:iCs/>
          <w:sz w:val="26"/>
          <w:szCs w:val="26"/>
          <w:lang w:val="es-ES" w:eastAsia="es-ES"/>
        </w:rPr>
        <w:t xml:space="preserve"> Distribución por Centro de Responsabilidad</w:t>
      </w:r>
    </w:p>
    <w:p w14:paraId="5B31E2C3" w14:textId="77777777" w:rsidR="003534AF" w:rsidRPr="002A7673" w:rsidRDefault="003534AF" w:rsidP="003534AF">
      <w:pPr>
        <w:spacing w:after="0" w:line="240" w:lineRule="auto"/>
        <w:ind w:left="851" w:right="851" w:firstLine="709"/>
        <w:jc w:val="both"/>
        <w:rPr>
          <w:rFonts w:ascii="Times New Roman" w:eastAsia="Calibri" w:hAnsi="Times New Roman" w:cs="Times New Roman"/>
          <w:sz w:val="26"/>
          <w:szCs w:val="26"/>
        </w:rPr>
      </w:pPr>
    </w:p>
    <w:p w14:paraId="23D54256" w14:textId="77777777" w:rsidR="00083CA4" w:rsidRPr="002A7673" w:rsidRDefault="00083CA4" w:rsidP="003534AF">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cuanto a la distribución por Centro de Responsabilidad en la Tabla 13 se muestran los centros con la mayor cantidad de recursos, donde se puede apreciar que los montos mayores corresponden al Tercer Circuito Judicial de Alajuela con un 33.46%, le sigue el Organismo de Investigación Judicial con 32.28% y la Administración de Turrialba con 8.07%. </w:t>
      </w:r>
    </w:p>
    <w:p w14:paraId="475E9B82"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p>
    <w:p w14:paraId="1380A1E5" w14:textId="77777777" w:rsidR="00083CA4" w:rsidRPr="002A7673" w:rsidRDefault="00083CA4" w:rsidP="005F7139">
      <w:pPr>
        <w:spacing w:after="0" w:line="240" w:lineRule="auto"/>
        <w:jc w:val="center"/>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rPr>
        <w:t>Tabla 13. Distribución de los recursos de la subpartida por Centros de Responsabilidad para el 2022</w:t>
      </w:r>
    </w:p>
    <w:p w14:paraId="48CF9599" w14:textId="77777777" w:rsidR="003534AF" w:rsidRPr="002A7673" w:rsidRDefault="003534AF" w:rsidP="005F7139">
      <w:pPr>
        <w:spacing w:after="0" w:line="240" w:lineRule="auto"/>
        <w:jc w:val="center"/>
        <w:rPr>
          <w:rFonts w:ascii="Times New Roman" w:eastAsia="Times New Roman" w:hAnsi="Times New Roman" w:cs="Times New Roman"/>
          <w:b/>
          <w:bCs/>
          <w:sz w:val="26"/>
          <w:szCs w:val="26"/>
        </w:rPr>
      </w:pPr>
    </w:p>
    <w:tbl>
      <w:tblPr>
        <w:tblW w:w="6521" w:type="dxa"/>
        <w:jc w:val="center"/>
        <w:tblCellMar>
          <w:left w:w="70" w:type="dxa"/>
          <w:right w:w="70" w:type="dxa"/>
        </w:tblCellMar>
        <w:tblLook w:val="04A0" w:firstRow="1" w:lastRow="0" w:firstColumn="1" w:lastColumn="0" w:noHBand="0" w:noVBand="1"/>
      </w:tblPr>
      <w:tblGrid>
        <w:gridCol w:w="3828"/>
        <w:gridCol w:w="1559"/>
        <w:gridCol w:w="1154"/>
      </w:tblGrid>
      <w:tr w:rsidR="00083CA4" w:rsidRPr="002A7673" w14:paraId="04E8C076"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5EAAEC64" w14:textId="77777777" w:rsidR="00083CA4" w:rsidRPr="002A7673" w:rsidRDefault="00083CA4" w:rsidP="005F7139">
            <w:pPr>
              <w:spacing w:after="0" w:line="360" w:lineRule="auto"/>
              <w:jc w:val="center"/>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Centro de responsabilidad</w:t>
            </w:r>
          </w:p>
        </w:tc>
        <w:tc>
          <w:tcPr>
            <w:tcW w:w="1559" w:type="dxa"/>
            <w:tcBorders>
              <w:top w:val="single" w:sz="8" w:space="0" w:color="1F4E78"/>
              <w:left w:val="nil"/>
              <w:bottom w:val="single" w:sz="8" w:space="0" w:color="1F4E78"/>
              <w:right w:val="nil"/>
            </w:tcBorders>
            <w:shd w:val="clear" w:color="000000" w:fill="F2F2F2"/>
            <w:noWrap/>
            <w:vAlign w:val="center"/>
            <w:hideMark/>
          </w:tcPr>
          <w:p w14:paraId="5E3BA20D" w14:textId="77777777" w:rsidR="00083CA4" w:rsidRPr="002A7673" w:rsidRDefault="00083CA4" w:rsidP="005F7139">
            <w:pPr>
              <w:spacing w:after="0" w:line="360" w:lineRule="auto"/>
              <w:jc w:val="center"/>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Formulado 2022</w:t>
            </w:r>
          </w:p>
        </w:tc>
        <w:tc>
          <w:tcPr>
            <w:tcW w:w="1134" w:type="dxa"/>
            <w:tcBorders>
              <w:top w:val="single" w:sz="8" w:space="0" w:color="1F4E78"/>
              <w:left w:val="nil"/>
              <w:bottom w:val="single" w:sz="8" w:space="0" w:color="1F4E78"/>
              <w:right w:val="nil"/>
            </w:tcBorders>
            <w:shd w:val="clear" w:color="000000" w:fill="F2F2F2"/>
            <w:noWrap/>
            <w:vAlign w:val="center"/>
            <w:hideMark/>
          </w:tcPr>
          <w:p w14:paraId="30C4B1E1" w14:textId="77777777" w:rsidR="00083CA4" w:rsidRPr="002A7673" w:rsidRDefault="00083CA4" w:rsidP="005F7139">
            <w:pPr>
              <w:spacing w:after="0" w:line="360" w:lineRule="auto"/>
              <w:jc w:val="center"/>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Porcentaje</w:t>
            </w:r>
          </w:p>
        </w:tc>
      </w:tr>
      <w:tr w:rsidR="00083CA4" w:rsidRPr="002A7673" w14:paraId="67F03F0F" w14:textId="77777777" w:rsidTr="005F7139">
        <w:trPr>
          <w:trHeight w:val="349"/>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702C196D"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lastRenderedPageBreak/>
              <w:t>Tercer Circuito Judicial Alajuela</w:t>
            </w:r>
          </w:p>
        </w:tc>
        <w:tc>
          <w:tcPr>
            <w:tcW w:w="1559" w:type="dxa"/>
            <w:tcBorders>
              <w:top w:val="single" w:sz="8" w:space="0" w:color="1F4E78"/>
              <w:left w:val="nil"/>
              <w:bottom w:val="single" w:sz="8" w:space="0" w:color="1F4E78"/>
              <w:right w:val="nil"/>
            </w:tcBorders>
            <w:shd w:val="clear" w:color="000000" w:fill="F2F2F2"/>
            <w:noWrap/>
            <w:vAlign w:val="center"/>
            <w:hideMark/>
          </w:tcPr>
          <w:p w14:paraId="66D84B07"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2,311,806,573 </w:t>
            </w:r>
          </w:p>
        </w:tc>
        <w:tc>
          <w:tcPr>
            <w:tcW w:w="1134" w:type="dxa"/>
            <w:tcBorders>
              <w:top w:val="single" w:sz="8" w:space="0" w:color="1F4E78"/>
              <w:left w:val="nil"/>
              <w:bottom w:val="single" w:sz="8" w:space="0" w:color="1F4E78"/>
              <w:right w:val="nil"/>
            </w:tcBorders>
            <w:shd w:val="clear" w:color="000000" w:fill="F2F2F2"/>
            <w:noWrap/>
            <w:vAlign w:val="center"/>
            <w:hideMark/>
          </w:tcPr>
          <w:p w14:paraId="12C3430F"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33.46%</w:t>
            </w:r>
          </w:p>
        </w:tc>
      </w:tr>
      <w:tr w:rsidR="00083CA4" w:rsidRPr="002A7673" w14:paraId="544507AE"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06B00D87"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Organismo de Investigación Judicial</w:t>
            </w:r>
          </w:p>
        </w:tc>
        <w:tc>
          <w:tcPr>
            <w:tcW w:w="1559" w:type="dxa"/>
            <w:tcBorders>
              <w:top w:val="single" w:sz="8" w:space="0" w:color="1F4E78"/>
              <w:left w:val="nil"/>
              <w:bottom w:val="single" w:sz="8" w:space="0" w:color="1F4E78"/>
              <w:right w:val="nil"/>
            </w:tcBorders>
            <w:shd w:val="clear" w:color="000000" w:fill="F2F2F2"/>
            <w:noWrap/>
            <w:vAlign w:val="center"/>
            <w:hideMark/>
          </w:tcPr>
          <w:p w14:paraId="2B0396D0"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2,150,111,706 </w:t>
            </w:r>
          </w:p>
        </w:tc>
        <w:tc>
          <w:tcPr>
            <w:tcW w:w="1134" w:type="dxa"/>
            <w:tcBorders>
              <w:top w:val="single" w:sz="8" w:space="0" w:color="1F4E78"/>
              <w:left w:val="nil"/>
              <w:bottom w:val="single" w:sz="8" w:space="0" w:color="1F4E78"/>
              <w:right w:val="nil"/>
            </w:tcBorders>
            <w:shd w:val="clear" w:color="000000" w:fill="F2F2F2"/>
            <w:noWrap/>
            <w:vAlign w:val="center"/>
            <w:hideMark/>
          </w:tcPr>
          <w:p w14:paraId="43BD67D4"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31.12%</w:t>
            </w:r>
          </w:p>
        </w:tc>
      </w:tr>
      <w:tr w:rsidR="00083CA4" w:rsidRPr="002A7673" w14:paraId="245011CB"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77448BFA"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Administración de Turrialba</w:t>
            </w:r>
          </w:p>
        </w:tc>
        <w:tc>
          <w:tcPr>
            <w:tcW w:w="1559" w:type="dxa"/>
            <w:tcBorders>
              <w:top w:val="single" w:sz="8" w:space="0" w:color="1F4E78"/>
              <w:left w:val="nil"/>
              <w:bottom w:val="single" w:sz="8" w:space="0" w:color="1F4E78"/>
              <w:right w:val="nil"/>
            </w:tcBorders>
            <w:shd w:val="clear" w:color="000000" w:fill="F2F2F2"/>
            <w:noWrap/>
            <w:vAlign w:val="center"/>
            <w:hideMark/>
          </w:tcPr>
          <w:p w14:paraId="1BBAF9FF"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557,504,185 </w:t>
            </w:r>
          </w:p>
        </w:tc>
        <w:tc>
          <w:tcPr>
            <w:tcW w:w="1134" w:type="dxa"/>
            <w:tcBorders>
              <w:top w:val="single" w:sz="8" w:space="0" w:color="1F4E78"/>
              <w:left w:val="nil"/>
              <w:bottom w:val="single" w:sz="8" w:space="0" w:color="1F4E78"/>
              <w:right w:val="nil"/>
            </w:tcBorders>
            <w:shd w:val="clear" w:color="000000" w:fill="F2F2F2"/>
            <w:noWrap/>
            <w:vAlign w:val="center"/>
            <w:hideMark/>
          </w:tcPr>
          <w:p w14:paraId="6F156EFF"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8.07%</w:t>
            </w:r>
          </w:p>
        </w:tc>
      </w:tr>
      <w:tr w:rsidR="00083CA4" w:rsidRPr="002A7673" w14:paraId="63FC576C"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2EC7549D"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Segundo Circuito Judicial Alajuela</w:t>
            </w:r>
          </w:p>
        </w:tc>
        <w:tc>
          <w:tcPr>
            <w:tcW w:w="1559" w:type="dxa"/>
            <w:tcBorders>
              <w:top w:val="single" w:sz="8" w:space="0" w:color="1F4E78"/>
              <w:left w:val="nil"/>
              <w:bottom w:val="single" w:sz="8" w:space="0" w:color="1F4E78"/>
              <w:right w:val="nil"/>
            </w:tcBorders>
            <w:shd w:val="clear" w:color="000000" w:fill="F2F2F2"/>
            <w:noWrap/>
            <w:vAlign w:val="center"/>
            <w:hideMark/>
          </w:tcPr>
          <w:p w14:paraId="3005E9E5"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552,195,053 </w:t>
            </w:r>
          </w:p>
        </w:tc>
        <w:tc>
          <w:tcPr>
            <w:tcW w:w="1134" w:type="dxa"/>
            <w:tcBorders>
              <w:top w:val="single" w:sz="8" w:space="0" w:color="1F4E78"/>
              <w:left w:val="nil"/>
              <w:bottom w:val="single" w:sz="8" w:space="0" w:color="1F4E78"/>
              <w:right w:val="nil"/>
            </w:tcBorders>
            <w:shd w:val="clear" w:color="000000" w:fill="F2F2F2"/>
            <w:noWrap/>
            <w:vAlign w:val="center"/>
            <w:hideMark/>
          </w:tcPr>
          <w:p w14:paraId="6DEACE61"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7.99%</w:t>
            </w:r>
          </w:p>
        </w:tc>
      </w:tr>
      <w:tr w:rsidR="00083CA4" w:rsidRPr="002A7673" w14:paraId="452AAC8B"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62B2B18F"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Primer Circuito Judicial de San José</w:t>
            </w:r>
          </w:p>
        </w:tc>
        <w:tc>
          <w:tcPr>
            <w:tcW w:w="1559" w:type="dxa"/>
            <w:tcBorders>
              <w:top w:val="single" w:sz="8" w:space="0" w:color="1F4E78"/>
              <w:left w:val="nil"/>
              <w:bottom w:val="single" w:sz="8" w:space="0" w:color="1F4E78"/>
              <w:right w:val="nil"/>
            </w:tcBorders>
            <w:shd w:val="clear" w:color="000000" w:fill="F2F2F2"/>
            <w:noWrap/>
            <w:vAlign w:val="center"/>
            <w:hideMark/>
          </w:tcPr>
          <w:p w14:paraId="7C52A74B"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250,000,000 </w:t>
            </w:r>
          </w:p>
        </w:tc>
        <w:tc>
          <w:tcPr>
            <w:tcW w:w="1134" w:type="dxa"/>
            <w:tcBorders>
              <w:top w:val="single" w:sz="8" w:space="0" w:color="1F4E78"/>
              <w:left w:val="nil"/>
              <w:bottom w:val="single" w:sz="8" w:space="0" w:color="1F4E78"/>
              <w:right w:val="nil"/>
            </w:tcBorders>
            <w:shd w:val="clear" w:color="000000" w:fill="F2F2F2"/>
            <w:noWrap/>
            <w:vAlign w:val="center"/>
            <w:hideMark/>
          </w:tcPr>
          <w:p w14:paraId="09E8DB1D"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3.62%</w:t>
            </w:r>
          </w:p>
        </w:tc>
      </w:tr>
      <w:tr w:rsidR="00083CA4" w:rsidRPr="002A7673" w14:paraId="755FED7D"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112A3581"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Segundo Circuito Judicial San José</w:t>
            </w:r>
          </w:p>
        </w:tc>
        <w:tc>
          <w:tcPr>
            <w:tcW w:w="1559" w:type="dxa"/>
            <w:tcBorders>
              <w:top w:val="single" w:sz="8" w:space="0" w:color="1F4E78"/>
              <w:left w:val="nil"/>
              <w:bottom w:val="single" w:sz="8" w:space="0" w:color="1F4E78"/>
              <w:right w:val="nil"/>
            </w:tcBorders>
            <w:shd w:val="clear" w:color="000000" w:fill="F2F2F2"/>
            <w:noWrap/>
            <w:vAlign w:val="center"/>
            <w:hideMark/>
          </w:tcPr>
          <w:p w14:paraId="1B5343A6"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326,317,500 </w:t>
            </w:r>
          </w:p>
        </w:tc>
        <w:tc>
          <w:tcPr>
            <w:tcW w:w="1134" w:type="dxa"/>
            <w:tcBorders>
              <w:top w:val="single" w:sz="8" w:space="0" w:color="1F4E78"/>
              <w:left w:val="nil"/>
              <w:bottom w:val="single" w:sz="8" w:space="0" w:color="1F4E78"/>
              <w:right w:val="nil"/>
            </w:tcBorders>
            <w:shd w:val="clear" w:color="000000" w:fill="F2F2F2"/>
            <w:noWrap/>
            <w:vAlign w:val="center"/>
            <w:hideMark/>
          </w:tcPr>
          <w:p w14:paraId="6456EA1B"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4.72%</w:t>
            </w:r>
          </w:p>
        </w:tc>
      </w:tr>
      <w:tr w:rsidR="00083CA4" w:rsidRPr="002A7673" w14:paraId="6698B5F2"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7C26D2E3"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Dirección de Tecnología de la Información</w:t>
            </w:r>
          </w:p>
        </w:tc>
        <w:tc>
          <w:tcPr>
            <w:tcW w:w="1559" w:type="dxa"/>
            <w:tcBorders>
              <w:top w:val="single" w:sz="8" w:space="0" w:color="1F4E78"/>
              <w:left w:val="nil"/>
              <w:bottom w:val="single" w:sz="8" w:space="0" w:color="1F4E78"/>
              <w:right w:val="nil"/>
            </w:tcBorders>
            <w:shd w:val="clear" w:color="000000" w:fill="F2F2F2"/>
            <w:noWrap/>
            <w:vAlign w:val="center"/>
            <w:hideMark/>
          </w:tcPr>
          <w:p w14:paraId="78753FAE"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300,000,000 </w:t>
            </w:r>
          </w:p>
        </w:tc>
        <w:tc>
          <w:tcPr>
            <w:tcW w:w="1134" w:type="dxa"/>
            <w:tcBorders>
              <w:top w:val="single" w:sz="8" w:space="0" w:color="1F4E78"/>
              <w:left w:val="nil"/>
              <w:bottom w:val="single" w:sz="8" w:space="0" w:color="1F4E78"/>
              <w:right w:val="nil"/>
            </w:tcBorders>
            <w:shd w:val="clear" w:color="000000" w:fill="F2F2F2"/>
            <w:noWrap/>
            <w:vAlign w:val="center"/>
            <w:hideMark/>
          </w:tcPr>
          <w:p w14:paraId="4518E1BC"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4.34%</w:t>
            </w:r>
          </w:p>
        </w:tc>
      </w:tr>
      <w:tr w:rsidR="00083CA4" w:rsidRPr="002A7673" w14:paraId="08DAA255"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0B88FE27"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Ministerio Público</w:t>
            </w:r>
          </w:p>
        </w:tc>
        <w:tc>
          <w:tcPr>
            <w:tcW w:w="1559" w:type="dxa"/>
            <w:tcBorders>
              <w:top w:val="single" w:sz="8" w:space="0" w:color="1F4E78"/>
              <w:left w:val="nil"/>
              <w:bottom w:val="single" w:sz="8" w:space="0" w:color="1F4E78"/>
              <w:right w:val="nil"/>
            </w:tcBorders>
            <w:shd w:val="clear" w:color="000000" w:fill="F2F2F2"/>
            <w:noWrap/>
            <w:vAlign w:val="center"/>
            <w:hideMark/>
          </w:tcPr>
          <w:p w14:paraId="218ACD9A"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115,000,000 </w:t>
            </w:r>
          </w:p>
        </w:tc>
        <w:tc>
          <w:tcPr>
            <w:tcW w:w="1134" w:type="dxa"/>
            <w:tcBorders>
              <w:top w:val="single" w:sz="8" w:space="0" w:color="1F4E78"/>
              <w:left w:val="nil"/>
              <w:bottom w:val="single" w:sz="8" w:space="0" w:color="1F4E78"/>
              <w:right w:val="nil"/>
            </w:tcBorders>
            <w:shd w:val="clear" w:color="000000" w:fill="F2F2F2"/>
            <w:noWrap/>
            <w:vAlign w:val="center"/>
            <w:hideMark/>
          </w:tcPr>
          <w:p w14:paraId="64FE3F98"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1.66%</w:t>
            </w:r>
          </w:p>
        </w:tc>
      </w:tr>
      <w:tr w:rsidR="00083CA4" w:rsidRPr="002A7673" w14:paraId="2D100905"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469250E0"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Primer Circuito Judicial Zona Sur</w:t>
            </w:r>
          </w:p>
        </w:tc>
        <w:tc>
          <w:tcPr>
            <w:tcW w:w="1559" w:type="dxa"/>
            <w:tcBorders>
              <w:top w:val="single" w:sz="8" w:space="0" w:color="1F4E78"/>
              <w:left w:val="nil"/>
              <w:bottom w:val="single" w:sz="8" w:space="0" w:color="1F4E78"/>
              <w:right w:val="nil"/>
            </w:tcBorders>
            <w:shd w:val="clear" w:color="000000" w:fill="F2F2F2"/>
            <w:noWrap/>
            <w:vAlign w:val="center"/>
            <w:hideMark/>
          </w:tcPr>
          <w:p w14:paraId="76356B7A"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109,879,645 </w:t>
            </w:r>
          </w:p>
        </w:tc>
        <w:tc>
          <w:tcPr>
            <w:tcW w:w="1134" w:type="dxa"/>
            <w:tcBorders>
              <w:top w:val="single" w:sz="8" w:space="0" w:color="1F4E78"/>
              <w:left w:val="nil"/>
              <w:bottom w:val="single" w:sz="8" w:space="0" w:color="1F4E78"/>
              <w:right w:val="nil"/>
            </w:tcBorders>
            <w:shd w:val="clear" w:color="000000" w:fill="F2F2F2"/>
            <w:noWrap/>
            <w:vAlign w:val="center"/>
            <w:hideMark/>
          </w:tcPr>
          <w:p w14:paraId="7A6919CF"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1.59%</w:t>
            </w:r>
          </w:p>
        </w:tc>
      </w:tr>
      <w:tr w:rsidR="00083CA4" w:rsidRPr="002A7673" w14:paraId="0F027063"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5B36D12B"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Circuito Judicial Heredia</w:t>
            </w:r>
          </w:p>
        </w:tc>
        <w:tc>
          <w:tcPr>
            <w:tcW w:w="1559" w:type="dxa"/>
            <w:tcBorders>
              <w:top w:val="single" w:sz="8" w:space="0" w:color="1F4E78"/>
              <w:left w:val="nil"/>
              <w:bottom w:val="single" w:sz="8" w:space="0" w:color="1F4E78"/>
              <w:right w:val="nil"/>
            </w:tcBorders>
            <w:shd w:val="clear" w:color="000000" w:fill="F2F2F2"/>
            <w:noWrap/>
            <w:vAlign w:val="center"/>
            <w:hideMark/>
          </w:tcPr>
          <w:p w14:paraId="61033BFB"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106,470,000 </w:t>
            </w:r>
          </w:p>
        </w:tc>
        <w:tc>
          <w:tcPr>
            <w:tcW w:w="1134" w:type="dxa"/>
            <w:tcBorders>
              <w:top w:val="single" w:sz="8" w:space="0" w:color="1F4E78"/>
              <w:left w:val="nil"/>
              <w:bottom w:val="single" w:sz="8" w:space="0" w:color="1F4E78"/>
              <w:right w:val="nil"/>
            </w:tcBorders>
            <w:shd w:val="clear" w:color="000000" w:fill="F2F2F2"/>
            <w:noWrap/>
            <w:vAlign w:val="center"/>
            <w:hideMark/>
          </w:tcPr>
          <w:p w14:paraId="5420F276"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1.54%</w:t>
            </w:r>
          </w:p>
        </w:tc>
      </w:tr>
      <w:tr w:rsidR="00083CA4" w:rsidRPr="002A7673" w14:paraId="392672C5"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6B9E3F6F"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Otros</w:t>
            </w:r>
          </w:p>
        </w:tc>
        <w:tc>
          <w:tcPr>
            <w:tcW w:w="1559" w:type="dxa"/>
            <w:tcBorders>
              <w:top w:val="single" w:sz="8" w:space="0" w:color="1F4E78"/>
              <w:left w:val="nil"/>
              <w:bottom w:val="single" w:sz="8" w:space="0" w:color="1F4E78"/>
              <w:right w:val="nil"/>
            </w:tcBorders>
            <w:shd w:val="clear" w:color="000000" w:fill="F2F2F2"/>
            <w:noWrap/>
            <w:vAlign w:val="center"/>
            <w:hideMark/>
          </w:tcPr>
          <w:p w14:paraId="30F46B61"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 xml:space="preserve">       129,660,328 </w:t>
            </w:r>
          </w:p>
        </w:tc>
        <w:tc>
          <w:tcPr>
            <w:tcW w:w="1134" w:type="dxa"/>
            <w:tcBorders>
              <w:top w:val="single" w:sz="8" w:space="0" w:color="1F4E78"/>
              <w:left w:val="nil"/>
              <w:bottom w:val="single" w:sz="8" w:space="0" w:color="1F4E78"/>
              <w:right w:val="nil"/>
            </w:tcBorders>
            <w:shd w:val="clear" w:color="000000" w:fill="F2F2F2"/>
            <w:noWrap/>
            <w:vAlign w:val="center"/>
            <w:hideMark/>
          </w:tcPr>
          <w:p w14:paraId="2BC82B00"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1.88%</w:t>
            </w:r>
          </w:p>
        </w:tc>
      </w:tr>
      <w:tr w:rsidR="00083CA4" w:rsidRPr="002A7673" w14:paraId="58D75256" w14:textId="77777777" w:rsidTr="005F7139">
        <w:trPr>
          <w:trHeight w:val="300"/>
          <w:jc w:val="center"/>
        </w:trPr>
        <w:tc>
          <w:tcPr>
            <w:tcW w:w="3828" w:type="dxa"/>
            <w:tcBorders>
              <w:top w:val="single" w:sz="8" w:space="0" w:color="1F4E78"/>
              <w:left w:val="nil"/>
              <w:bottom w:val="single" w:sz="8" w:space="0" w:color="1F4E78"/>
              <w:right w:val="nil"/>
            </w:tcBorders>
            <w:shd w:val="clear" w:color="000000" w:fill="F2F2F2"/>
            <w:noWrap/>
            <w:vAlign w:val="center"/>
            <w:hideMark/>
          </w:tcPr>
          <w:p w14:paraId="130DCC41" w14:textId="77777777" w:rsidR="00083CA4" w:rsidRPr="002A7673" w:rsidRDefault="00083CA4" w:rsidP="005F7139">
            <w:pPr>
              <w:spacing w:after="0" w:line="360" w:lineRule="auto"/>
              <w:jc w:val="both"/>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Total</w:t>
            </w:r>
          </w:p>
        </w:tc>
        <w:tc>
          <w:tcPr>
            <w:tcW w:w="1559" w:type="dxa"/>
            <w:tcBorders>
              <w:top w:val="single" w:sz="8" w:space="0" w:color="1F4E78"/>
              <w:left w:val="nil"/>
              <w:bottom w:val="single" w:sz="8" w:space="0" w:color="1F4E78"/>
              <w:right w:val="nil"/>
            </w:tcBorders>
            <w:shd w:val="clear" w:color="000000" w:fill="F2F2F2"/>
            <w:noWrap/>
            <w:vAlign w:val="center"/>
            <w:hideMark/>
          </w:tcPr>
          <w:p w14:paraId="1361A78B"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6,908,944,990</w:t>
            </w:r>
          </w:p>
        </w:tc>
        <w:tc>
          <w:tcPr>
            <w:tcW w:w="1134" w:type="dxa"/>
            <w:tcBorders>
              <w:top w:val="single" w:sz="8" w:space="0" w:color="1F4E78"/>
              <w:left w:val="nil"/>
              <w:bottom w:val="single" w:sz="8" w:space="0" w:color="1F4E78"/>
              <w:right w:val="nil"/>
            </w:tcBorders>
            <w:shd w:val="clear" w:color="000000" w:fill="F2F2F2"/>
            <w:noWrap/>
            <w:vAlign w:val="center"/>
            <w:hideMark/>
          </w:tcPr>
          <w:p w14:paraId="24652F61" w14:textId="77777777" w:rsidR="00083CA4" w:rsidRPr="002A7673" w:rsidRDefault="00083CA4" w:rsidP="005F7139">
            <w:pPr>
              <w:spacing w:after="0" w:line="360" w:lineRule="auto"/>
              <w:jc w:val="right"/>
              <w:rPr>
                <w:rFonts w:ascii="Times New Roman" w:eastAsia="Times New Roman" w:hAnsi="Times New Roman" w:cs="Times New Roman"/>
                <w:b/>
                <w:bCs/>
                <w:color w:val="1F4E78"/>
                <w:lang w:eastAsia="es-CR"/>
              </w:rPr>
            </w:pPr>
            <w:r w:rsidRPr="002A7673">
              <w:rPr>
                <w:rFonts w:ascii="Times New Roman" w:eastAsia="Times New Roman" w:hAnsi="Times New Roman" w:cs="Times New Roman"/>
                <w:b/>
                <w:bCs/>
                <w:color w:val="1F4E78"/>
                <w:lang w:eastAsia="es-CR"/>
              </w:rPr>
              <w:t>100%</w:t>
            </w:r>
          </w:p>
        </w:tc>
      </w:tr>
    </w:tbl>
    <w:p w14:paraId="577E8CA0" w14:textId="77777777" w:rsidR="00083CA4" w:rsidRPr="002A7673" w:rsidRDefault="00083CA4" w:rsidP="005F7139">
      <w:pPr>
        <w:spacing w:after="0" w:line="360" w:lineRule="auto"/>
        <w:jc w:val="both"/>
        <w:rPr>
          <w:rFonts w:ascii="Times New Roman" w:eastAsia="Calibri" w:hAnsi="Times New Roman" w:cs="Times New Roman"/>
          <w:b/>
          <w:sz w:val="28"/>
          <w:szCs w:val="28"/>
        </w:rPr>
      </w:pPr>
    </w:p>
    <w:p w14:paraId="2CE5B8BB" w14:textId="77777777" w:rsidR="00083CA4" w:rsidRPr="002A7673" w:rsidRDefault="003534AF" w:rsidP="003534AF">
      <w:pPr>
        <w:spacing w:line="360" w:lineRule="auto"/>
        <w:jc w:val="center"/>
        <w:rPr>
          <w:rFonts w:ascii="Times New Roman" w:eastAsia="Calibri" w:hAnsi="Times New Roman" w:cs="Times New Roman"/>
          <w:b/>
          <w:sz w:val="28"/>
          <w:szCs w:val="28"/>
        </w:rPr>
      </w:pPr>
      <w:r w:rsidRPr="002A7673">
        <w:rPr>
          <w:rFonts w:ascii="Times New Roman" w:eastAsia="Calibri" w:hAnsi="Times New Roman" w:cs="Times New Roman"/>
          <w:b/>
          <w:sz w:val="28"/>
          <w:szCs w:val="28"/>
        </w:rPr>
        <w:t xml:space="preserve">- 0 -    </w:t>
      </w:r>
    </w:p>
    <w:p w14:paraId="03ECB946" w14:textId="4D756B27" w:rsidR="003534AF" w:rsidRPr="002A7673" w:rsidRDefault="00083CA4" w:rsidP="003534AF">
      <w:pPr>
        <w:spacing w:after="0" w:line="360" w:lineRule="auto"/>
        <w:ind w:firstLine="708"/>
        <w:jc w:val="both"/>
        <w:rPr>
          <w:rFonts w:ascii="Times New Roman" w:eastAsia="Calibri" w:hAnsi="Times New Roman" w:cs="Times New Roman"/>
          <w:sz w:val="28"/>
          <w:szCs w:val="28"/>
        </w:rPr>
      </w:pPr>
      <w:r w:rsidRPr="002A7673">
        <w:rPr>
          <w:rFonts w:ascii="Times New Roman" w:eastAsia="Calibri" w:hAnsi="Times New Roman" w:cs="Times New Roman"/>
          <w:b/>
          <w:bCs/>
          <w:sz w:val="28"/>
          <w:szCs w:val="28"/>
        </w:rPr>
        <w:t>Se acordó</w:t>
      </w:r>
      <w:r w:rsidRPr="002A7673">
        <w:rPr>
          <w:rFonts w:ascii="Times New Roman" w:eastAsia="Calibri" w:hAnsi="Times New Roman" w:cs="Times New Roman"/>
          <w:sz w:val="28"/>
          <w:szCs w:val="28"/>
        </w:rPr>
        <w:t xml:space="preserve">: Se dan por conocidos los recursos formulados en las subpartidas 10101 Alquiler de edificios, locales y terrenos; 10801 Mantenimiento de edificios y locales; 50201 Edificios, considerando: </w:t>
      </w:r>
      <w:r w:rsidRPr="002A7673">
        <w:rPr>
          <w:rFonts w:ascii="Times New Roman" w:eastAsia="Calibri" w:hAnsi="Times New Roman" w:cs="Times New Roman"/>
          <w:b/>
          <w:sz w:val="28"/>
          <w:szCs w:val="28"/>
        </w:rPr>
        <w:t>a</w:t>
      </w:r>
      <w:r w:rsidR="00E37699" w:rsidRPr="002A7673">
        <w:rPr>
          <w:rFonts w:ascii="Times New Roman" w:eastAsia="Calibri" w:hAnsi="Times New Roman" w:cs="Times New Roman"/>
          <w:b/>
          <w:sz w:val="28"/>
          <w:szCs w:val="28"/>
        </w:rPr>
        <w:t>.</w:t>
      </w:r>
      <w:r w:rsidRPr="002A7673">
        <w:rPr>
          <w:rFonts w:ascii="Times New Roman" w:eastAsia="Calibri" w:hAnsi="Times New Roman" w:cs="Times New Roman"/>
          <w:b/>
          <w:sz w:val="28"/>
          <w:szCs w:val="28"/>
        </w:rPr>
        <w:t xml:space="preserve">) </w:t>
      </w:r>
      <w:r w:rsidR="00E37699" w:rsidRPr="002A7673">
        <w:rPr>
          <w:rFonts w:ascii="Times New Roman" w:eastAsia="Calibri" w:hAnsi="Times New Roman" w:cs="Times New Roman"/>
          <w:sz w:val="28"/>
          <w:szCs w:val="28"/>
        </w:rPr>
        <w:t>E</w:t>
      </w:r>
      <w:r w:rsidRPr="002A7673">
        <w:rPr>
          <w:rFonts w:ascii="Times New Roman" w:eastAsia="Calibri" w:hAnsi="Times New Roman" w:cs="Times New Roman"/>
          <w:sz w:val="28"/>
          <w:szCs w:val="28"/>
        </w:rPr>
        <w:t xml:space="preserve">l gran esfuerzo institucional realizado para absorber el pago del IVA sin aumentar su presupuesto; </w:t>
      </w:r>
      <w:r w:rsidRPr="002A7673">
        <w:rPr>
          <w:rFonts w:ascii="Times New Roman" w:eastAsia="Calibri" w:hAnsi="Times New Roman" w:cs="Times New Roman"/>
          <w:b/>
          <w:sz w:val="28"/>
          <w:szCs w:val="28"/>
        </w:rPr>
        <w:t>b</w:t>
      </w:r>
      <w:r w:rsidR="00E37699" w:rsidRPr="002A7673">
        <w:rPr>
          <w:rFonts w:ascii="Times New Roman" w:eastAsia="Calibri" w:hAnsi="Times New Roman" w:cs="Times New Roman"/>
          <w:b/>
          <w:sz w:val="28"/>
          <w:szCs w:val="28"/>
        </w:rPr>
        <w:t>.</w:t>
      </w:r>
      <w:r w:rsidRPr="002A7673">
        <w:rPr>
          <w:rFonts w:ascii="Times New Roman" w:eastAsia="Calibri" w:hAnsi="Times New Roman" w:cs="Times New Roman"/>
          <w:b/>
          <w:sz w:val="28"/>
          <w:szCs w:val="28"/>
        </w:rPr>
        <w:t xml:space="preserve">) </w:t>
      </w:r>
      <w:r w:rsidR="00E37699" w:rsidRPr="002A7673">
        <w:rPr>
          <w:rFonts w:ascii="Times New Roman" w:eastAsia="Calibri" w:hAnsi="Times New Roman" w:cs="Times New Roman"/>
          <w:sz w:val="28"/>
          <w:szCs w:val="28"/>
        </w:rPr>
        <w:t>N</w:t>
      </w:r>
      <w:r w:rsidRPr="002A7673">
        <w:rPr>
          <w:rFonts w:ascii="Times New Roman" w:eastAsia="Calibri" w:hAnsi="Times New Roman" w:cs="Times New Roman"/>
          <w:sz w:val="28"/>
          <w:szCs w:val="28"/>
        </w:rPr>
        <w:t xml:space="preserve">o se incluyen nuevos </w:t>
      </w:r>
      <w:r w:rsidRPr="002A7673">
        <w:rPr>
          <w:rFonts w:ascii="Times New Roman" w:eastAsia="Calibri" w:hAnsi="Times New Roman" w:cs="Times New Roman"/>
          <w:sz w:val="28"/>
          <w:szCs w:val="28"/>
        </w:rPr>
        <w:lastRenderedPageBreak/>
        <w:t xml:space="preserve">alquileres de cara al 2022 y el incremento que se aprueba de los recursos adicionales solicitados por ¢818,797,256 </w:t>
      </w:r>
      <w:r w:rsidR="003534AF" w:rsidRPr="002A7673">
        <w:rPr>
          <w:rFonts w:ascii="Times New Roman" w:eastAsia="Calibri" w:hAnsi="Times New Roman" w:cs="Times New Roman"/>
          <w:sz w:val="28"/>
          <w:szCs w:val="28"/>
        </w:rPr>
        <w:t>(ochocientos dieciocho millones, setecientos noventa y siete mil doscientos cincuenta y seis c</w:t>
      </w:r>
      <w:r w:rsidR="00EB5021" w:rsidRPr="002A7673">
        <w:rPr>
          <w:rFonts w:ascii="Times New Roman" w:eastAsia="Calibri" w:hAnsi="Times New Roman" w:cs="Times New Roman"/>
          <w:sz w:val="28"/>
          <w:szCs w:val="28"/>
        </w:rPr>
        <w:t>olones</w:t>
      </w:r>
      <w:r w:rsidR="0073220E" w:rsidRPr="002A7673">
        <w:rPr>
          <w:rFonts w:ascii="Times New Roman" w:eastAsia="Calibri" w:hAnsi="Times New Roman" w:cs="Times New Roman"/>
          <w:sz w:val="28"/>
          <w:szCs w:val="28"/>
        </w:rPr>
        <w:t xml:space="preserve"> exactos.</w:t>
      </w:r>
      <w:r w:rsidR="003534AF" w:rsidRPr="002A7673">
        <w:rPr>
          <w:rFonts w:ascii="Times New Roman" w:eastAsia="Calibri" w:hAnsi="Times New Roman" w:cs="Times New Roman"/>
          <w:sz w:val="28"/>
          <w:szCs w:val="28"/>
        </w:rPr>
        <w:t xml:space="preserve">)  </w:t>
      </w:r>
      <w:r w:rsidRPr="002A7673">
        <w:rPr>
          <w:rFonts w:ascii="Times New Roman" w:eastAsia="Calibri" w:hAnsi="Times New Roman" w:cs="Times New Roman"/>
          <w:sz w:val="28"/>
          <w:szCs w:val="28"/>
        </w:rPr>
        <w:t xml:space="preserve">responde sólo al aumento natural de los contratos vigentes por ajustes de precios, pago del IVA o por remodelaciones urgentes en el espacio físico ocupado, </w:t>
      </w:r>
      <w:r w:rsidRPr="002A7673">
        <w:rPr>
          <w:rFonts w:ascii="Times New Roman" w:eastAsia="Calibri" w:hAnsi="Times New Roman" w:cs="Times New Roman"/>
          <w:b/>
          <w:sz w:val="28"/>
          <w:szCs w:val="28"/>
        </w:rPr>
        <w:t>c</w:t>
      </w:r>
      <w:r w:rsidR="00E37699" w:rsidRPr="002A7673">
        <w:rPr>
          <w:rFonts w:ascii="Times New Roman" w:eastAsia="Calibri" w:hAnsi="Times New Roman" w:cs="Times New Roman"/>
          <w:b/>
          <w:sz w:val="28"/>
          <w:szCs w:val="28"/>
        </w:rPr>
        <w:t>.</w:t>
      </w:r>
      <w:r w:rsidRPr="002A7673">
        <w:rPr>
          <w:rFonts w:ascii="Times New Roman" w:eastAsia="Calibri" w:hAnsi="Times New Roman" w:cs="Times New Roman"/>
          <w:b/>
          <w:sz w:val="28"/>
          <w:szCs w:val="28"/>
        </w:rPr>
        <w:t>)</w:t>
      </w:r>
      <w:r w:rsidRPr="002A7673">
        <w:rPr>
          <w:rFonts w:ascii="Times New Roman" w:eastAsia="Calibri" w:hAnsi="Times New Roman" w:cs="Times New Roman"/>
          <w:sz w:val="28"/>
          <w:szCs w:val="28"/>
        </w:rPr>
        <w:t xml:space="preserve"> </w:t>
      </w:r>
      <w:r w:rsidR="00E37699" w:rsidRPr="002A7673">
        <w:rPr>
          <w:rFonts w:ascii="Times New Roman" w:eastAsia="Calibri" w:hAnsi="Times New Roman" w:cs="Times New Roman"/>
          <w:sz w:val="28"/>
          <w:szCs w:val="28"/>
        </w:rPr>
        <w:t>E</w:t>
      </w:r>
      <w:r w:rsidRPr="002A7673">
        <w:rPr>
          <w:rFonts w:ascii="Times New Roman" w:eastAsia="Calibri" w:hAnsi="Times New Roman" w:cs="Times New Roman"/>
          <w:sz w:val="28"/>
          <w:szCs w:val="28"/>
        </w:rPr>
        <w:t>n los casos que corresponde, se cuenta con el respaldo técnico de Salud Ocupacional</w:t>
      </w:r>
      <w:r w:rsidR="00D46C20" w:rsidRPr="002A7673">
        <w:rPr>
          <w:rFonts w:ascii="Times New Roman" w:eastAsia="Calibri" w:hAnsi="Times New Roman" w:cs="Times New Roman"/>
          <w:sz w:val="28"/>
          <w:szCs w:val="28"/>
        </w:rPr>
        <w:t xml:space="preserve"> </w:t>
      </w:r>
      <w:r w:rsidRPr="002A7673">
        <w:rPr>
          <w:rFonts w:ascii="Times New Roman" w:eastAsia="Calibri" w:hAnsi="Times New Roman" w:cs="Times New Roman"/>
          <w:b/>
          <w:sz w:val="28"/>
          <w:szCs w:val="28"/>
        </w:rPr>
        <w:t>d</w:t>
      </w:r>
      <w:r w:rsidR="00E37699" w:rsidRPr="002A7673">
        <w:rPr>
          <w:rFonts w:ascii="Times New Roman" w:eastAsia="Calibri" w:hAnsi="Times New Roman" w:cs="Times New Roman"/>
          <w:b/>
          <w:sz w:val="28"/>
          <w:szCs w:val="28"/>
        </w:rPr>
        <w:t>.</w:t>
      </w:r>
      <w:r w:rsidRPr="002A7673">
        <w:rPr>
          <w:rFonts w:ascii="Times New Roman" w:eastAsia="Calibri" w:hAnsi="Times New Roman" w:cs="Times New Roman"/>
          <w:b/>
          <w:sz w:val="28"/>
          <w:szCs w:val="28"/>
        </w:rPr>
        <w:t xml:space="preserve">) </w:t>
      </w:r>
      <w:r w:rsidRPr="002A7673">
        <w:rPr>
          <w:rFonts w:ascii="Times New Roman" w:eastAsia="Calibri" w:hAnsi="Times New Roman" w:cs="Times New Roman"/>
          <w:sz w:val="28"/>
          <w:szCs w:val="28"/>
        </w:rPr>
        <w:t xml:space="preserve">En el caso de la Defensa Pública de Batán se cuenta con el criterio del Administrador y el aval de la Dirección Ejecutiva, ya que el local actual está en muy malas condiciones </w:t>
      </w:r>
      <w:r w:rsidRPr="002A7673">
        <w:rPr>
          <w:rFonts w:ascii="Times New Roman" w:eastAsia="Calibri" w:hAnsi="Times New Roman" w:cs="Times New Roman"/>
          <w:b/>
          <w:sz w:val="28"/>
          <w:szCs w:val="28"/>
        </w:rPr>
        <w:t>e)</w:t>
      </w:r>
      <w:r w:rsidRPr="002A7673">
        <w:rPr>
          <w:rFonts w:ascii="Times New Roman" w:eastAsia="Calibri" w:hAnsi="Times New Roman" w:cs="Times New Roman"/>
          <w:sz w:val="28"/>
          <w:szCs w:val="28"/>
        </w:rPr>
        <w:t xml:space="preserve"> Se incluyen adicionalmente los recursos por primera vez para dar contenido a los primeros pagos de la cuota de arrendamiento del Fideicomiso de Construcción, por las nuevas instalaciones de los Tribunales de Justicia en Puntarenas, dado que se espera que para el año 2023, ya se cuente con las instalaciones ocupadas para los últimos meses del año. </w:t>
      </w:r>
    </w:p>
    <w:p w14:paraId="2C9C937B" w14:textId="367A4282" w:rsidR="008E58CD" w:rsidRPr="002A7673" w:rsidRDefault="008E58CD" w:rsidP="008E58CD">
      <w:pPr>
        <w:spacing w:after="0" w:line="480" w:lineRule="auto"/>
        <w:ind w:firstLine="708"/>
        <w:jc w:val="both"/>
        <w:rPr>
          <w:rFonts w:ascii="Times New Roman" w:eastAsia="Calibri" w:hAnsi="Times New Roman" w:cs="Times New Roman"/>
          <w:sz w:val="28"/>
          <w:szCs w:val="28"/>
        </w:rPr>
      </w:pPr>
      <w:r w:rsidRPr="002A7673">
        <w:rPr>
          <w:rFonts w:ascii="Times New Roman" w:eastAsia="Calibri" w:hAnsi="Times New Roman" w:cs="Times New Roman"/>
          <w:sz w:val="28"/>
          <w:szCs w:val="28"/>
        </w:rPr>
        <w:t>La máster Dinorah Álvarez Acosta, Subdirectora Ejecutiva, se abstiene de votar.</w:t>
      </w:r>
    </w:p>
    <w:p w14:paraId="2B8C7604" w14:textId="77777777" w:rsidR="00083CA4" w:rsidRPr="002A7673" w:rsidRDefault="003534AF" w:rsidP="003534AF">
      <w:pPr>
        <w:spacing w:after="0" w:line="360" w:lineRule="auto"/>
        <w:ind w:firstLine="708"/>
        <w:jc w:val="both"/>
        <w:rPr>
          <w:rFonts w:ascii="Times New Roman" w:eastAsia="Calibri" w:hAnsi="Times New Roman" w:cs="Times New Roman"/>
          <w:sz w:val="28"/>
          <w:szCs w:val="28"/>
        </w:rPr>
      </w:pPr>
      <w:r w:rsidRPr="002A7673">
        <w:rPr>
          <w:rFonts w:ascii="Times New Roman" w:eastAsia="Calibri" w:hAnsi="Times New Roman" w:cs="Times New Roman"/>
          <w:sz w:val="28"/>
          <w:szCs w:val="28"/>
        </w:rPr>
        <w:t xml:space="preserve">Las Direcciones Ejecutiva, de Planificación, la Defensa Pública, la Defensa Pública de Batán y la Administración de Puntarenas, tomarán nota para lo que corresponda. </w:t>
      </w:r>
      <w:r w:rsidRPr="002A7673">
        <w:rPr>
          <w:rFonts w:ascii="Times New Roman" w:eastAsia="Calibri" w:hAnsi="Times New Roman" w:cs="Times New Roman"/>
          <w:b/>
          <w:sz w:val="28"/>
          <w:szCs w:val="28"/>
        </w:rPr>
        <w:t>Se declara acuerdo firme.</w:t>
      </w:r>
    </w:p>
    <w:p w14:paraId="46984B26" w14:textId="77777777" w:rsidR="00083CA4" w:rsidRPr="002A7673" w:rsidRDefault="00083CA4" w:rsidP="005F7139">
      <w:pPr>
        <w:spacing w:after="0"/>
        <w:rPr>
          <w:rFonts w:ascii="Times New Roman" w:eastAsia="Times New Roman" w:hAnsi="Times New Roman" w:cs="Times New Roman"/>
          <w:b/>
          <w:bCs/>
          <w:color w:val="000000"/>
          <w:kern w:val="36"/>
          <w:sz w:val="28"/>
          <w:szCs w:val="28"/>
          <w:u w:val="single"/>
          <w:lang w:eastAsia="es-ES"/>
        </w:rPr>
      </w:pPr>
    </w:p>
    <w:p w14:paraId="6983D433" w14:textId="2B10AB69" w:rsidR="00AE01C4" w:rsidRPr="00EF57CF" w:rsidRDefault="00083CA4" w:rsidP="00EF57CF">
      <w:pPr>
        <w:keepNext/>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III</w:t>
      </w:r>
    </w:p>
    <w:p w14:paraId="0170964D" w14:textId="77777777" w:rsidR="00083CA4" w:rsidRPr="002A7673" w:rsidRDefault="00083CA4" w:rsidP="005F7139">
      <w:pPr>
        <w:autoSpaceDE w:val="0"/>
        <w:autoSpaceDN w:val="0"/>
        <w:adjustRightInd w:val="0"/>
        <w:spacing w:after="0" w:line="480" w:lineRule="auto"/>
        <w:ind w:firstLine="302"/>
        <w:jc w:val="both"/>
        <w:rPr>
          <w:rFonts w:ascii="Times New Roman" w:eastAsia="Calibri" w:hAnsi="Times New Roman" w:cs="Times New Roman"/>
          <w:b/>
          <w:bCs/>
          <w:color w:val="00B050"/>
          <w:sz w:val="28"/>
          <w:szCs w:val="28"/>
        </w:rPr>
      </w:pPr>
      <w:r w:rsidRPr="002A7673">
        <w:rPr>
          <w:rFonts w:ascii="Times New Roman" w:eastAsia="Calibri" w:hAnsi="Times New Roman" w:cs="Times New Roman"/>
          <w:b/>
          <w:bCs/>
          <w:sz w:val="28"/>
          <w:szCs w:val="28"/>
        </w:rPr>
        <w:t xml:space="preserve">Documento N° </w:t>
      </w:r>
      <w:r w:rsidRPr="002A7673">
        <w:rPr>
          <w:rFonts w:ascii="Times New Roman" w:eastAsia="Calibri" w:hAnsi="Times New Roman" w:cs="Times New Roman"/>
          <w:b/>
          <w:bCs/>
          <w:color w:val="00B050"/>
          <w:sz w:val="28"/>
          <w:szCs w:val="28"/>
        </w:rPr>
        <w:t>4389-2021</w:t>
      </w:r>
    </w:p>
    <w:p w14:paraId="5742BF6B" w14:textId="77777777" w:rsidR="00083CA4" w:rsidRPr="002A7673" w:rsidRDefault="00083CA4" w:rsidP="002B6FA6">
      <w:pPr>
        <w:spacing w:after="0" w:line="480" w:lineRule="auto"/>
        <w:ind w:firstLine="709"/>
        <w:jc w:val="both"/>
        <w:rPr>
          <w:rFonts w:ascii="Times New Roman" w:eastAsia="Calibri" w:hAnsi="Times New Roman" w:cs="Times New Roman"/>
          <w:sz w:val="28"/>
          <w:szCs w:val="28"/>
        </w:rPr>
      </w:pPr>
      <w:r w:rsidRPr="002A7673">
        <w:rPr>
          <w:rFonts w:ascii="Times New Roman" w:eastAsia="Calibri" w:hAnsi="Times New Roman" w:cs="Times New Roman"/>
          <w:sz w:val="28"/>
          <w:szCs w:val="28"/>
        </w:rPr>
        <w:t>En reunión de trabajo del pasado 16 de abril, la Licenciada Nacira Valverde Bermúdez presentó la estimación de requerimientos para el 2022 en las Subpartidas 20102 Productos Farmacéuticos y Medicinales, 29905 Útiles y Materiales de Limpieza y 29906 Útiles y Mate</w:t>
      </w:r>
      <w:r w:rsidR="002B6FA6" w:rsidRPr="002A7673">
        <w:rPr>
          <w:rFonts w:ascii="Times New Roman" w:eastAsia="Calibri" w:hAnsi="Times New Roman" w:cs="Times New Roman"/>
          <w:sz w:val="28"/>
          <w:szCs w:val="28"/>
        </w:rPr>
        <w:t>riales de Resguardo y Seguridad, que literalmente dice:</w:t>
      </w:r>
    </w:p>
    <w:p w14:paraId="36B65599" w14:textId="77777777" w:rsidR="00083CA4" w:rsidRPr="002A7673" w:rsidRDefault="002B6FA6"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lastRenderedPageBreak/>
        <w:t>“</w:t>
      </w:r>
      <w:r w:rsidR="00083CA4" w:rsidRPr="002A7673">
        <w:rPr>
          <w:rFonts w:ascii="Times New Roman" w:eastAsia="Times New Roman" w:hAnsi="Times New Roman" w:cs="Times New Roman"/>
          <w:b/>
          <w:sz w:val="26"/>
          <w:szCs w:val="26"/>
          <w:lang w:eastAsia="es-CR"/>
        </w:rPr>
        <w:t>Cuadro N°1</w:t>
      </w:r>
    </w:p>
    <w:p w14:paraId="0BFE98D7"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Subpartidas 20102 Productos Farmacéuticos y Medicinales,</w:t>
      </w:r>
    </w:p>
    <w:p w14:paraId="413A23CE"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29905 Útiles y Materiales de Limpieza y 29906 Útiles y Materiales de</w:t>
      </w:r>
    </w:p>
    <w:p w14:paraId="6E7C7C69"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Resguardo y Seguridad, Periodo 2021-2022</w:t>
      </w:r>
    </w:p>
    <w:p w14:paraId="38BDBB89" w14:textId="77777777" w:rsidR="00083CA4" w:rsidRPr="002A7673" w:rsidRDefault="00083CA4" w:rsidP="005F7139">
      <w:pPr>
        <w:spacing w:after="0" w:line="240" w:lineRule="auto"/>
        <w:rPr>
          <w:rFonts w:ascii="Times New Roman" w:eastAsia="Calibri" w:hAnsi="Times New Roman" w:cs="Times New Roman"/>
          <w:noProof/>
        </w:rPr>
      </w:pPr>
    </w:p>
    <w:p w14:paraId="61D0461E" w14:textId="77777777" w:rsidR="00083CA4" w:rsidRPr="002A7673" w:rsidRDefault="00083CA4" w:rsidP="005F7139">
      <w:pPr>
        <w:spacing w:after="0" w:line="240" w:lineRule="auto"/>
        <w:jc w:val="center"/>
        <w:rPr>
          <w:rFonts w:ascii="Times New Roman" w:eastAsia="Calibri" w:hAnsi="Times New Roman" w:cs="Times New Roman"/>
          <w:noProof/>
        </w:rPr>
      </w:pPr>
      <w:r w:rsidRPr="002A7673">
        <w:rPr>
          <w:rFonts w:ascii="Times New Roman" w:eastAsia="Calibri" w:hAnsi="Times New Roman" w:cs="Times New Roman"/>
          <w:noProof/>
          <w:sz w:val="24"/>
          <w:szCs w:val="24"/>
          <w:lang w:eastAsia="es-CR"/>
        </w:rPr>
        <w:drawing>
          <wp:inline distT="0" distB="0" distL="0" distR="0" wp14:anchorId="33B0249D" wp14:editId="07797720">
            <wp:extent cx="6030595" cy="887730"/>
            <wp:effectExtent l="0" t="0" r="8255"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0595" cy="887730"/>
                    </a:xfrm>
                    <a:prstGeom prst="rect">
                      <a:avLst/>
                    </a:prstGeom>
                    <a:noFill/>
                    <a:ln>
                      <a:noFill/>
                    </a:ln>
                  </pic:spPr>
                </pic:pic>
              </a:graphicData>
            </a:graphic>
          </wp:inline>
        </w:drawing>
      </w:r>
    </w:p>
    <w:p w14:paraId="0E1ED474" w14:textId="77777777" w:rsidR="00083CA4" w:rsidRPr="002A7673" w:rsidRDefault="00083CA4" w:rsidP="005F7139">
      <w:pPr>
        <w:spacing w:after="0" w:line="240" w:lineRule="auto"/>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 xml:space="preserve">    Fuente:</w:t>
      </w:r>
      <w:r w:rsidRPr="002A7673">
        <w:rPr>
          <w:rFonts w:ascii="Times New Roman" w:eastAsia="Calibri" w:hAnsi="Times New Roman" w:cs="Times New Roman"/>
          <w:sz w:val="16"/>
          <w:szCs w:val="24"/>
        </w:rPr>
        <w:t xml:space="preserve"> Sistema SIGA-PJ.</w:t>
      </w:r>
    </w:p>
    <w:p w14:paraId="4FC91AAA" w14:textId="77777777" w:rsidR="00083CA4" w:rsidRPr="002A7673" w:rsidRDefault="00083CA4" w:rsidP="005F7139">
      <w:pPr>
        <w:spacing w:after="0" w:line="240" w:lineRule="auto"/>
        <w:rPr>
          <w:rFonts w:ascii="Times New Roman" w:eastAsia="Calibri" w:hAnsi="Times New Roman" w:cs="Times New Roman"/>
          <w:sz w:val="24"/>
          <w:szCs w:val="24"/>
        </w:rPr>
      </w:pPr>
    </w:p>
    <w:p w14:paraId="7110D242"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cuanto a estas tres subpartidas relacionadas con artículos que se incrementaron en el anteproyecto de presupuesto 2022 debido a la pandemia del Covid-19, según se muestra en el cuadro anterior, de manera general se presenta un incremento del 33,27% con respecto a lo formulado en el 2021, es decir, una diferencia de ¢368.604.537. </w:t>
      </w:r>
    </w:p>
    <w:p w14:paraId="2D5F1A66" w14:textId="77777777" w:rsidR="00083CA4" w:rsidRPr="002A7673" w:rsidRDefault="00083CA4" w:rsidP="002B6FA6">
      <w:pPr>
        <w:spacing w:after="0" w:line="240" w:lineRule="auto"/>
        <w:ind w:left="851" w:right="851" w:firstLine="709"/>
        <w:rPr>
          <w:rFonts w:ascii="Times New Roman" w:eastAsia="Calibri" w:hAnsi="Times New Roman" w:cs="Times New Roman"/>
          <w:sz w:val="26"/>
          <w:szCs w:val="26"/>
        </w:rPr>
      </w:pPr>
    </w:p>
    <w:p w14:paraId="34848E9A"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Las Directrices Técnicas para la Programación Anual y Formulación del Anteproyecto de Presupuesto 2022, establecen para estas subpartidas lo siguiente:</w:t>
      </w:r>
    </w:p>
    <w:p w14:paraId="5C5F71BA"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p>
    <w:p w14:paraId="549AC6DC" w14:textId="77777777" w:rsidR="00083CA4" w:rsidRPr="002A7673" w:rsidRDefault="00083CA4" w:rsidP="002B6FA6">
      <w:pPr>
        <w:numPr>
          <w:ilvl w:val="0"/>
          <w:numId w:val="6"/>
        </w:numPr>
        <w:tabs>
          <w:tab w:val="left" w:pos="360"/>
        </w:tabs>
        <w:suppressAutoHyphens/>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t>Directriz presupuestaria N°59.</w:t>
      </w:r>
      <w:r w:rsidRPr="002A7673">
        <w:rPr>
          <w:rFonts w:ascii="Times New Roman" w:eastAsia="Times New Roman" w:hAnsi="Times New Roman" w:cs="Times New Roman"/>
          <w:sz w:val="26"/>
          <w:szCs w:val="26"/>
          <w:lang w:val="es-ES" w:eastAsia="es-ES"/>
        </w:rPr>
        <w:t xml:space="preserve"> Como parte de las medidas adoptadas para hacer frente a la emergencia de salud que se origina por la enfermedad Covid-19, las oficinas deben considerar la formulación de artículos que se están incorporando al inventario de materiales y suministros. Tal es el caso de mascarillas quirúrgicas, solución alcohólica en diferentes presentaciones, alcohol en espray, guantes descartables y basureros con tapa en las subpartidas correspondientes requerimientos que deben de ser incluidos dentro del límite presupuestario autorizado.</w:t>
      </w:r>
    </w:p>
    <w:p w14:paraId="50CBBB0A" w14:textId="77777777" w:rsidR="00083CA4" w:rsidRPr="002A7673" w:rsidRDefault="00083CA4" w:rsidP="002B6FA6">
      <w:pPr>
        <w:tabs>
          <w:tab w:val="left" w:pos="360"/>
        </w:tabs>
        <w:suppressAutoHyphens/>
        <w:spacing w:after="0" w:line="240" w:lineRule="auto"/>
        <w:ind w:left="851" w:right="851" w:firstLine="709"/>
        <w:jc w:val="both"/>
        <w:rPr>
          <w:rFonts w:ascii="Times New Roman" w:eastAsia="Times New Roman" w:hAnsi="Times New Roman" w:cs="Times New Roman"/>
          <w:sz w:val="26"/>
          <w:szCs w:val="26"/>
          <w:lang w:val="es-ES" w:eastAsia="es-ES"/>
        </w:rPr>
      </w:pPr>
    </w:p>
    <w:p w14:paraId="32D355A9" w14:textId="77777777" w:rsidR="00083CA4" w:rsidRPr="002A7673" w:rsidRDefault="00083CA4" w:rsidP="002B6FA6">
      <w:pPr>
        <w:numPr>
          <w:ilvl w:val="0"/>
          <w:numId w:val="6"/>
        </w:numPr>
        <w:tabs>
          <w:tab w:val="left" w:pos="360"/>
        </w:tabs>
        <w:suppressAutoHyphens/>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t>Directriz presupuestaria N°134.</w:t>
      </w:r>
      <w:r w:rsidRPr="002A7673">
        <w:rPr>
          <w:rFonts w:ascii="Times New Roman" w:eastAsia="Times New Roman" w:hAnsi="Times New Roman" w:cs="Times New Roman"/>
          <w:sz w:val="26"/>
          <w:szCs w:val="26"/>
          <w:lang w:val="es-ES" w:eastAsia="es-ES"/>
        </w:rPr>
        <w:t xml:space="preserve"> </w:t>
      </w:r>
      <w:r w:rsidRPr="002A7673">
        <w:rPr>
          <w:rFonts w:ascii="Times New Roman" w:eastAsia="Times New Roman" w:hAnsi="Times New Roman" w:cs="Times New Roman"/>
          <w:color w:val="000000"/>
          <w:sz w:val="26"/>
          <w:szCs w:val="26"/>
          <w:lang w:val="es-ES" w:eastAsia="es-ES"/>
        </w:rPr>
        <w:t>Brindar prioridad en el proceso de elaboración del presupuesto institucional a la formulación de recursos suficientes, principalmente en las subpartidas 20102 “Productos Farmacéuticos y Medicinales”, 29902 “Útiles y Materiales Médicos, Hospitalarios y de Investigación”, 29905 “Útiles y Materiales de Limpieza”, 29906 “Útiles y materiales de resguardo y seguridad” y 59903 “Bienes Intangibles” (para adquisición de licencias).</w:t>
      </w:r>
    </w:p>
    <w:p w14:paraId="708A04DD" w14:textId="77777777" w:rsidR="00083CA4" w:rsidRPr="002A7673" w:rsidRDefault="00083CA4" w:rsidP="002B6FA6">
      <w:pPr>
        <w:tabs>
          <w:tab w:val="left" w:pos="360"/>
        </w:tabs>
        <w:suppressAutoHyphens/>
        <w:spacing w:after="0" w:line="240" w:lineRule="auto"/>
        <w:ind w:left="851" w:right="851" w:firstLine="709"/>
        <w:jc w:val="both"/>
        <w:rPr>
          <w:rFonts w:ascii="Times New Roman" w:eastAsia="Calibri" w:hAnsi="Times New Roman" w:cs="Times New Roman"/>
          <w:sz w:val="26"/>
          <w:szCs w:val="26"/>
        </w:rPr>
      </w:pPr>
    </w:p>
    <w:p w14:paraId="79E995A2" w14:textId="77777777" w:rsidR="00083CA4" w:rsidRPr="002A7673" w:rsidRDefault="00083CA4" w:rsidP="002B6FA6">
      <w:pPr>
        <w:numPr>
          <w:ilvl w:val="0"/>
          <w:numId w:val="6"/>
        </w:numPr>
        <w:tabs>
          <w:tab w:val="left" w:pos="360"/>
        </w:tabs>
        <w:suppressAutoHyphens/>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lastRenderedPageBreak/>
        <w:t>Directriz presupuestaria N°136.</w:t>
      </w:r>
      <w:r w:rsidRPr="002A7673">
        <w:rPr>
          <w:rFonts w:ascii="Times New Roman" w:eastAsia="Times New Roman" w:hAnsi="Times New Roman" w:cs="Times New Roman"/>
          <w:sz w:val="26"/>
          <w:szCs w:val="26"/>
          <w:lang w:val="es-ES" w:eastAsia="es-ES"/>
        </w:rPr>
        <w:t xml:space="preserve"> Los Centros de Responsabilidad para la formulación del Anteproyecto de Presupuesto de 2022, deben incluir de manera prioritaria los recursos para atender esta nueva realidad, como parte del límite presupuestario de cada centro.</w:t>
      </w:r>
    </w:p>
    <w:p w14:paraId="111E51BA" w14:textId="77777777" w:rsidR="00083CA4" w:rsidRPr="002A7673" w:rsidRDefault="00083CA4" w:rsidP="002B6FA6">
      <w:pPr>
        <w:tabs>
          <w:tab w:val="left" w:pos="360"/>
        </w:tabs>
        <w:suppressAutoHyphens/>
        <w:spacing w:after="0" w:line="240" w:lineRule="auto"/>
        <w:ind w:left="851" w:right="851" w:firstLine="709"/>
        <w:jc w:val="both"/>
        <w:rPr>
          <w:rFonts w:ascii="Times New Roman" w:eastAsia="Calibri" w:hAnsi="Times New Roman" w:cs="Times New Roman"/>
          <w:sz w:val="26"/>
          <w:szCs w:val="26"/>
        </w:rPr>
      </w:pPr>
    </w:p>
    <w:p w14:paraId="5332195F" w14:textId="77777777" w:rsidR="00083CA4" w:rsidRPr="002A7673" w:rsidRDefault="00083CA4" w:rsidP="002B6FA6">
      <w:pPr>
        <w:numPr>
          <w:ilvl w:val="0"/>
          <w:numId w:val="3"/>
        </w:numPr>
        <w:shd w:val="clear" w:color="auto" w:fill="2F5496"/>
        <w:spacing w:after="0" w:line="240" w:lineRule="auto"/>
        <w:ind w:left="851" w:right="851" w:firstLine="709"/>
        <w:contextualSpacing/>
        <w:rPr>
          <w:rFonts w:ascii="Times New Roman" w:eastAsia="Times New Roman" w:hAnsi="Times New Roman" w:cs="Times New Roman"/>
          <w:b/>
          <w:color w:val="FFFFFF"/>
          <w:sz w:val="26"/>
          <w:szCs w:val="26"/>
          <w:lang w:val="es-ES" w:eastAsia="es-ES"/>
        </w:rPr>
      </w:pPr>
      <w:r w:rsidRPr="002A7673">
        <w:rPr>
          <w:rFonts w:ascii="Times New Roman" w:eastAsia="Times New Roman" w:hAnsi="Times New Roman" w:cs="Times New Roman"/>
          <w:b/>
          <w:color w:val="FFFFFF"/>
          <w:sz w:val="26"/>
          <w:szCs w:val="26"/>
          <w:lang w:val="es-ES" w:eastAsia="es-ES"/>
        </w:rPr>
        <w:t>Subpartida 20102 Productos Farmacéuticos y Medicinales</w:t>
      </w:r>
    </w:p>
    <w:p w14:paraId="44043252" w14:textId="77777777" w:rsidR="00083CA4" w:rsidRPr="002A7673" w:rsidRDefault="00083CA4" w:rsidP="002B6FA6">
      <w:pPr>
        <w:spacing w:after="0" w:line="240" w:lineRule="auto"/>
        <w:ind w:left="851" w:right="851" w:firstLine="709"/>
        <w:rPr>
          <w:rFonts w:ascii="Times New Roman" w:eastAsia="Times New Roman" w:hAnsi="Times New Roman" w:cs="Times New Roman"/>
          <w:b/>
          <w:sz w:val="26"/>
          <w:szCs w:val="26"/>
          <w:lang w:val="es-ES" w:eastAsia="es-ES"/>
        </w:rPr>
      </w:pPr>
    </w:p>
    <w:p w14:paraId="700B4156" w14:textId="77777777" w:rsidR="00083CA4" w:rsidRPr="002A7673" w:rsidRDefault="00083CA4" w:rsidP="002B6FA6">
      <w:pPr>
        <w:numPr>
          <w:ilvl w:val="0"/>
          <w:numId w:val="2"/>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Comportamiento de la Subpartida</w:t>
      </w:r>
    </w:p>
    <w:p w14:paraId="7AD6805E" w14:textId="77777777" w:rsidR="00083CA4" w:rsidRPr="002A7673" w:rsidRDefault="00083CA4" w:rsidP="002B6FA6">
      <w:pPr>
        <w:spacing w:after="0" w:line="240" w:lineRule="auto"/>
        <w:ind w:left="851" w:right="851" w:firstLine="709"/>
        <w:rPr>
          <w:rFonts w:ascii="Times New Roman" w:eastAsia="Calibri" w:hAnsi="Times New Roman" w:cs="Times New Roman"/>
          <w:b/>
          <w:sz w:val="26"/>
          <w:szCs w:val="26"/>
        </w:rPr>
      </w:pPr>
    </w:p>
    <w:p w14:paraId="1207875E"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Los recursos formulados en la subpartida 20102 Productos Farmacéuticos y Medicinales, responden a las necesidades de los Servicios de Salud para Empleados para presupuestar los medicamentos que requieren para la atención, por el Departamento de Medicina Legal y sus Unidades Médico Legales en todo el país para la atención de personas usuarias y por el Departamento Laboratorio de Ciencias Forenses, la Unidad de Salud Ocupacional formula los medicamentos para el equipamiento de los botiquines y también se incluyen bloqueadores y filtros solares.</w:t>
      </w:r>
    </w:p>
    <w:p w14:paraId="45E0E64F" w14:textId="77777777" w:rsidR="00083CA4" w:rsidRPr="002A7673" w:rsidRDefault="00083CA4" w:rsidP="005F7139">
      <w:pPr>
        <w:spacing w:after="0" w:line="360" w:lineRule="auto"/>
        <w:jc w:val="both"/>
        <w:rPr>
          <w:rFonts w:ascii="Times New Roman" w:eastAsia="Calibri" w:hAnsi="Times New Roman" w:cs="Times New Roman"/>
          <w:sz w:val="26"/>
          <w:szCs w:val="26"/>
        </w:rPr>
      </w:pPr>
    </w:p>
    <w:p w14:paraId="5FF03146"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Cuadro N°2</w:t>
      </w:r>
    </w:p>
    <w:p w14:paraId="1C9F3CB3"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Comportamiento de la Subpartida 20102 Productos Farmacéuticos y</w:t>
      </w:r>
    </w:p>
    <w:p w14:paraId="23E85294"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sz w:val="26"/>
          <w:szCs w:val="26"/>
          <w:lang w:eastAsia="es-CR"/>
        </w:rPr>
      </w:pPr>
      <w:r w:rsidRPr="002A7673">
        <w:rPr>
          <w:rFonts w:ascii="Times New Roman" w:eastAsia="Times New Roman" w:hAnsi="Times New Roman" w:cs="Times New Roman"/>
          <w:b/>
          <w:sz w:val="26"/>
          <w:szCs w:val="26"/>
          <w:lang w:eastAsia="es-CR"/>
        </w:rPr>
        <w:t>Medicinales, Periodo 2021-2022</w:t>
      </w:r>
    </w:p>
    <w:p w14:paraId="22B4D068" w14:textId="77777777" w:rsidR="00083CA4" w:rsidRPr="002A7673" w:rsidRDefault="00083CA4" w:rsidP="005F7139">
      <w:pPr>
        <w:spacing w:after="0" w:line="240" w:lineRule="auto"/>
        <w:jc w:val="center"/>
        <w:rPr>
          <w:rFonts w:ascii="Times New Roman" w:eastAsia="Calibri" w:hAnsi="Times New Roman" w:cs="Times New Roman"/>
          <w:b/>
          <w:sz w:val="24"/>
          <w:szCs w:val="24"/>
        </w:rPr>
      </w:pPr>
    </w:p>
    <w:p w14:paraId="0DABFB0E" w14:textId="77777777" w:rsidR="00083CA4" w:rsidRPr="002A7673" w:rsidRDefault="00083CA4" w:rsidP="005F7139">
      <w:pPr>
        <w:spacing w:after="0" w:line="240" w:lineRule="auto"/>
        <w:jc w:val="center"/>
        <w:rPr>
          <w:rFonts w:ascii="Times New Roman" w:eastAsia="Calibri" w:hAnsi="Times New Roman" w:cs="Times New Roman"/>
          <w:b/>
          <w:sz w:val="24"/>
          <w:szCs w:val="24"/>
        </w:rPr>
      </w:pPr>
      <w:r w:rsidRPr="002A7673">
        <w:rPr>
          <w:rFonts w:ascii="Times New Roman" w:eastAsia="Calibri" w:hAnsi="Times New Roman" w:cs="Times New Roman"/>
          <w:noProof/>
          <w:lang w:eastAsia="es-CR"/>
        </w:rPr>
        <w:drawing>
          <wp:inline distT="0" distB="0" distL="0" distR="0" wp14:anchorId="59DBC32A" wp14:editId="5EDB1978">
            <wp:extent cx="6030595" cy="712520"/>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49039" cy="714699"/>
                    </a:xfrm>
                    <a:prstGeom prst="rect">
                      <a:avLst/>
                    </a:prstGeom>
                    <a:noFill/>
                    <a:ln>
                      <a:noFill/>
                    </a:ln>
                  </pic:spPr>
                </pic:pic>
              </a:graphicData>
            </a:graphic>
          </wp:inline>
        </w:drawing>
      </w:r>
    </w:p>
    <w:p w14:paraId="19CAF053" w14:textId="77777777" w:rsidR="00083CA4" w:rsidRPr="002A7673" w:rsidRDefault="00083CA4" w:rsidP="005F7139">
      <w:pPr>
        <w:spacing w:after="0" w:line="240" w:lineRule="auto"/>
        <w:jc w:val="center"/>
        <w:rPr>
          <w:rFonts w:ascii="Times New Roman" w:eastAsia="Calibri" w:hAnsi="Times New Roman" w:cs="Times New Roman"/>
          <w:b/>
          <w:sz w:val="24"/>
          <w:szCs w:val="24"/>
        </w:rPr>
      </w:pPr>
    </w:p>
    <w:p w14:paraId="19726863" w14:textId="77777777" w:rsidR="00083CA4" w:rsidRPr="002A7673" w:rsidRDefault="00083CA4" w:rsidP="005F7139">
      <w:pPr>
        <w:spacing w:after="0" w:line="240" w:lineRule="auto"/>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 xml:space="preserve">    Fuente:</w:t>
      </w:r>
      <w:r w:rsidRPr="002A7673">
        <w:rPr>
          <w:rFonts w:ascii="Times New Roman" w:eastAsia="Calibri" w:hAnsi="Times New Roman" w:cs="Times New Roman"/>
          <w:sz w:val="16"/>
          <w:szCs w:val="24"/>
        </w:rPr>
        <w:t xml:space="preserve"> Sistema SIGA-PJ.</w:t>
      </w:r>
    </w:p>
    <w:p w14:paraId="551B5556"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14A5A700"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4"/>
          <w:szCs w:val="24"/>
        </w:rPr>
      </w:pPr>
      <w:r w:rsidRPr="002A7673">
        <w:rPr>
          <w:rFonts w:ascii="Times New Roman" w:eastAsia="Calibri" w:hAnsi="Times New Roman" w:cs="Times New Roman"/>
          <w:sz w:val="26"/>
          <w:szCs w:val="26"/>
        </w:rPr>
        <w:t xml:space="preserve">En el cuadro anterior se muestran los montos formulados en la subpartida 20102 Productos Farmacéuticos y Medicinales, presentando un crecimiento para el 2022 de un 86,51%, es decir </w:t>
      </w:r>
      <w:r w:rsidRPr="002A7673">
        <w:rPr>
          <w:rFonts w:ascii="Times New Roman" w:eastAsia="Calibri" w:hAnsi="Times New Roman" w:cs="Times New Roman"/>
          <w:b/>
          <w:bCs/>
          <w:sz w:val="26"/>
          <w:szCs w:val="26"/>
        </w:rPr>
        <w:t xml:space="preserve">¢103.650.460 </w:t>
      </w:r>
      <w:r w:rsidRPr="002A7673">
        <w:rPr>
          <w:rFonts w:ascii="Times New Roman" w:eastAsia="Calibri" w:hAnsi="Times New Roman" w:cs="Times New Roman"/>
          <w:sz w:val="26"/>
          <w:szCs w:val="26"/>
        </w:rPr>
        <w:t>más que los recursos aprobados para el 2021</w:t>
      </w:r>
      <w:r w:rsidRPr="002A7673">
        <w:rPr>
          <w:rFonts w:ascii="Times New Roman" w:eastAsia="Calibri" w:hAnsi="Times New Roman" w:cs="Times New Roman"/>
          <w:sz w:val="24"/>
          <w:szCs w:val="24"/>
        </w:rPr>
        <w:t>.</w:t>
      </w:r>
    </w:p>
    <w:p w14:paraId="32046DEA" w14:textId="77777777" w:rsidR="00083CA4" w:rsidRPr="002A7673" w:rsidRDefault="00083CA4" w:rsidP="005F7139">
      <w:pPr>
        <w:spacing w:after="0" w:line="240" w:lineRule="auto"/>
        <w:rPr>
          <w:rFonts w:ascii="Times New Roman" w:eastAsia="Times New Roman" w:hAnsi="Times New Roman" w:cs="Times New Roman"/>
          <w:b/>
          <w:bCs/>
          <w:sz w:val="24"/>
          <w:szCs w:val="24"/>
          <w:lang w:eastAsia="es-CR"/>
        </w:rPr>
      </w:pPr>
    </w:p>
    <w:p w14:paraId="6EF96559"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Gráfico N°1</w:t>
      </w:r>
    </w:p>
    <w:p w14:paraId="70B20223"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sz w:val="26"/>
          <w:szCs w:val="26"/>
          <w:lang w:eastAsia="es-CR"/>
        </w:rPr>
      </w:pPr>
      <w:r w:rsidRPr="002A7673">
        <w:rPr>
          <w:rFonts w:ascii="Times New Roman" w:eastAsia="Times New Roman" w:hAnsi="Times New Roman" w:cs="Times New Roman"/>
          <w:b/>
          <w:sz w:val="26"/>
          <w:szCs w:val="26"/>
          <w:lang w:eastAsia="es-CR"/>
        </w:rPr>
        <w:t>Formulación y Ejecución Subpartida 20102 Productos Farmacéuticos y Medicinales, Periodo 2018-2022 </w:t>
      </w:r>
    </w:p>
    <w:p w14:paraId="7808EDD3" w14:textId="77777777" w:rsidR="00083CA4" w:rsidRPr="002A7673" w:rsidRDefault="00083CA4" w:rsidP="005F7139">
      <w:pPr>
        <w:spacing w:after="0" w:line="240" w:lineRule="auto"/>
        <w:jc w:val="center"/>
        <w:rPr>
          <w:rFonts w:ascii="Times New Roman" w:eastAsia="Calibri" w:hAnsi="Times New Roman" w:cs="Times New Roman"/>
          <w:b/>
          <w:sz w:val="24"/>
          <w:szCs w:val="24"/>
        </w:rPr>
      </w:pPr>
    </w:p>
    <w:p w14:paraId="0998B443" w14:textId="77777777" w:rsidR="00083CA4" w:rsidRPr="002A7673" w:rsidRDefault="00083CA4" w:rsidP="005F7139">
      <w:pPr>
        <w:spacing w:after="0" w:line="240" w:lineRule="auto"/>
        <w:jc w:val="center"/>
        <w:rPr>
          <w:rFonts w:ascii="Times New Roman" w:eastAsia="Times New Roman" w:hAnsi="Times New Roman" w:cs="Times New Roman"/>
          <w:sz w:val="24"/>
          <w:szCs w:val="24"/>
          <w:lang w:eastAsia="es-CR"/>
        </w:rPr>
      </w:pPr>
      <w:r w:rsidRPr="002A7673">
        <w:rPr>
          <w:rFonts w:ascii="Times New Roman" w:eastAsia="Calibri" w:hAnsi="Times New Roman" w:cs="Times New Roman"/>
          <w:noProof/>
          <w:lang w:eastAsia="es-CR"/>
        </w:rPr>
        <w:lastRenderedPageBreak/>
        <w:drawing>
          <wp:inline distT="0" distB="0" distL="0" distR="0" wp14:anchorId="166CEA10" wp14:editId="6B5C16A4">
            <wp:extent cx="6030596" cy="2622550"/>
            <wp:effectExtent l="0" t="0" r="8255" b="6350"/>
            <wp:docPr id="22" name="Imagen 2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061"/>
                    <pic:cNvPicPr/>
                  </pic:nvPicPr>
                  <pic:blipFill>
                    <a:blip r:embed="rId33">
                      <a:extLst>
                        <a:ext uri="{28A0092B-C50C-407E-A947-70E740481C1C}">
                          <a14:useLocalDpi xmlns:a14="http://schemas.microsoft.com/office/drawing/2010/main" val="0"/>
                        </a:ext>
                      </a:extLst>
                    </a:blip>
                    <a:stretch>
                      <a:fillRect/>
                    </a:stretch>
                  </pic:blipFill>
                  <pic:spPr>
                    <a:xfrm>
                      <a:off x="0" y="0"/>
                      <a:ext cx="6030596" cy="2622550"/>
                    </a:xfrm>
                    <a:prstGeom prst="rect">
                      <a:avLst/>
                    </a:prstGeom>
                  </pic:spPr>
                </pic:pic>
              </a:graphicData>
            </a:graphic>
          </wp:inline>
        </w:drawing>
      </w:r>
    </w:p>
    <w:p w14:paraId="42482483" w14:textId="77777777" w:rsidR="00083CA4" w:rsidRPr="002A7673" w:rsidRDefault="00083CA4" w:rsidP="005F7139">
      <w:pPr>
        <w:spacing w:after="0" w:line="240" w:lineRule="auto"/>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64AD9BF1"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73444B08"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el gráfico anterior se representa la formulación y ejecución presupuestaria de la subpartida 20102 Productos Farmacéuticos y Medicinales del 2018 al 2022. Para el 2018 y 2019 se observa una ejecución presupuestaria menor a la formulación; sin embargo, para el 2020 debido a la pandemia del Covid-19, la ejecución se incrementó de manera significativa a un 341,63%. Para el 2022 de manera preventiva y considerando que aún se van a mantener las medidas sanitarias, se presupuesta a nivel institucional un monto considerablemente mayor a los años anteriores. </w:t>
      </w:r>
    </w:p>
    <w:p w14:paraId="1DFF73FC" w14:textId="77777777" w:rsidR="00083CA4" w:rsidRPr="002A7673" w:rsidRDefault="00083CA4" w:rsidP="002B6FA6">
      <w:pPr>
        <w:spacing w:after="0" w:line="240" w:lineRule="auto"/>
        <w:ind w:right="851"/>
        <w:rPr>
          <w:rFonts w:ascii="Times New Roman" w:eastAsia="Calibri" w:hAnsi="Times New Roman" w:cs="Times New Roman"/>
          <w:b/>
          <w:sz w:val="26"/>
          <w:szCs w:val="26"/>
        </w:rPr>
      </w:pPr>
    </w:p>
    <w:p w14:paraId="6C114A9C" w14:textId="77777777" w:rsidR="00083CA4" w:rsidRPr="002A7673" w:rsidRDefault="00083CA4" w:rsidP="002B6FA6">
      <w:pPr>
        <w:numPr>
          <w:ilvl w:val="0"/>
          <w:numId w:val="2"/>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Análisis de la Ejecución Presupuestaria de la Subpartida</w:t>
      </w:r>
    </w:p>
    <w:p w14:paraId="6E68281F" w14:textId="77777777" w:rsidR="00083CA4" w:rsidRPr="002A7673" w:rsidRDefault="00083CA4" w:rsidP="005F7139">
      <w:pPr>
        <w:spacing w:after="0" w:line="240" w:lineRule="auto"/>
        <w:rPr>
          <w:rFonts w:ascii="Times New Roman" w:eastAsia="Calibri" w:hAnsi="Times New Roman" w:cs="Times New Roman"/>
          <w:b/>
          <w:sz w:val="26"/>
          <w:szCs w:val="26"/>
        </w:rPr>
      </w:pPr>
    </w:p>
    <w:p w14:paraId="2CD82B5E"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Cuadro N°3</w:t>
      </w:r>
    </w:p>
    <w:p w14:paraId="7C048398"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Ejecución Presupuestaria Subpartida 20102 Productos Farmacéuticos y Medicinales, Periodo 2018-2020</w:t>
      </w:r>
    </w:p>
    <w:p w14:paraId="5439653D"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p>
    <w:p w14:paraId="38EDBB4A"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noProof/>
          <w:sz w:val="24"/>
          <w:szCs w:val="24"/>
          <w:lang w:eastAsia="es-CR"/>
        </w:rPr>
        <w:drawing>
          <wp:inline distT="0" distB="0" distL="0" distR="0" wp14:anchorId="46DD7F93" wp14:editId="3A73F6C1">
            <wp:extent cx="4124325" cy="92392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24325" cy="923925"/>
                    </a:xfrm>
                    <a:prstGeom prst="rect">
                      <a:avLst/>
                    </a:prstGeom>
                    <a:noFill/>
                    <a:ln>
                      <a:noFill/>
                    </a:ln>
                  </pic:spPr>
                </pic:pic>
              </a:graphicData>
            </a:graphic>
          </wp:inline>
        </w:drawing>
      </w:r>
    </w:p>
    <w:p w14:paraId="1336CF77" w14:textId="77777777" w:rsidR="00083CA4" w:rsidRPr="002A7673" w:rsidRDefault="00083CA4" w:rsidP="005F7139">
      <w:pPr>
        <w:spacing w:after="0" w:line="240" w:lineRule="auto"/>
        <w:jc w:val="center"/>
        <w:rPr>
          <w:rFonts w:ascii="Times New Roman" w:eastAsia="Calibri" w:hAnsi="Times New Roman" w:cs="Times New Roman"/>
          <w:b/>
          <w:sz w:val="24"/>
          <w:szCs w:val="24"/>
        </w:rPr>
      </w:pPr>
    </w:p>
    <w:p w14:paraId="38C1C9F1" w14:textId="77777777" w:rsidR="00083CA4" w:rsidRPr="002A7673" w:rsidRDefault="00083CA4" w:rsidP="005F7139">
      <w:pPr>
        <w:spacing w:after="0" w:line="240" w:lineRule="auto"/>
        <w:ind w:firstLine="708"/>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7D6D07DA"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5AD32636"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lastRenderedPageBreak/>
        <w:t>En el 2018 y 2019 en la subpartida 20102 Productos Farmacéuticos y Medicinales se observa una ejecución presupuestaria por debajo del 100%. Para el 2020 se muestra una ejecución del 341,63% con respecto al monto formulado, mostrando lo que se tuvo que reforzar la subpartida para poder cumplir con las necesidades extraordinarias producto de la pandemia por el Covid-19, lo que representa una diferencia de ¢241.215.732.</w:t>
      </w:r>
    </w:p>
    <w:p w14:paraId="716DD4BC" w14:textId="77777777" w:rsidR="00083CA4" w:rsidRPr="002A7673" w:rsidRDefault="00083CA4" w:rsidP="002B6FA6">
      <w:pPr>
        <w:spacing w:after="0" w:line="240" w:lineRule="auto"/>
        <w:ind w:left="851" w:right="851" w:firstLine="709"/>
        <w:jc w:val="both"/>
        <w:rPr>
          <w:rFonts w:ascii="Times New Roman" w:eastAsia="Calibri" w:hAnsi="Times New Roman" w:cs="Times New Roman"/>
          <w:b/>
          <w:sz w:val="26"/>
          <w:szCs w:val="26"/>
        </w:rPr>
      </w:pPr>
    </w:p>
    <w:p w14:paraId="1D871873" w14:textId="77777777" w:rsidR="00083CA4" w:rsidRPr="002A7673" w:rsidRDefault="00083CA4" w:rsidP="002B6FA6">
      <w:pPr>
        <w:numPr>
          <w:ilvl w:val="0"/>
          <w:numId w:val="2"/>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Variación por Programa Presupuestario 2021-2022</w:t>
      </w:r>
    </w:p>
    <w:p w14:paraId="62C1B9D5" w14:textId="77777777" w:rsidR="00083CA4" w:rsidRPr="002A7673" w:rsidRDefault="00083CA4" w:rsidP="002B6FA6">
      <w:pPr>
        <w:spacing w:after="0" w:line="240" w:lineRule="auto"/>
        <w:ind w:left="851" w:right="851" w:firstLine="709"/>
        <w:rPr>
          <w:rFonts w:ascii="Times New Roman" w:eastAsia="Calibri" w:hAnsi="Times New Roman" w:cs="Times New Roman"/>
          <w:b/>
          <w:sz w:val="26"/>
          <w:szCs w:val="26"/>
        </w:rPr>
      </w:pPr>
    </w:p>
    <w:p w14:paraId="3D031A36"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Al realizar el análisis comparativo por programa presupuestario de lo formulado en el 2021 y 2022, en la subpartida 20102 Productos Farmacéuticos y Medicinales, se observa que todos los programas presupuestarios crecen de manera significativa, siendo los que presentan porcentajes más altos: el 930 Defensa Pública (3.750,75%), 950 Servicio de Atención y Protección de Víctimas y Testigos (395,76%), 926 Dirección y Administración (111,16%) y 929 Ministerio Público (100%).</w:t>
      </w:r>
    </w:p>
    <w:p w14:paraId="3B1170CB" w14:textId="77777777" w:rsidR="00083CA4" w:rsidRPr="002A7673" w:rsidRDefault="00083CA4" w:rsidP="005F7139">
      <w:pPr>
        <w:spacing w:after="0" w:line="240" w:lineRule="auto"/>
        <w:rPr>
          <w:rFonts w:ascii="Times New Roman" w:eastAsia="Times New Roman" w:hAnsi="Times New Roman" w:cs="Times New Roman"/>
          <w:b/>
          <w:bCs/>
          <w:sz w:val="24"/>
          <w:szCs w:val="24"/>
          <w:lang w:eastAsia="es-CR"/>
        </w:rPr>
      </w:pPr>
    </w:p>
    <w:p w14:paraId="2720FA28"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bookmarkStart w:id="6" w:name="_Hlk67928963"/>
      <w:r w:rsidRPr="002A7673">
        <w:rPr>
          <w:rFonts w:ascii="Times New Roman" w:eastAsia="Times New Roman" w:hAnsi="Times New Roman" w:cs="Times New Roman"/>
          <w:b/>
          <w:sz w:val="26"/>
          <w:szCs w:val="26"/>
          <w:lang w:eastAsia="es-CR"/>
        </w:rPr>
        <w:t>Cuadro N°4</w:t>
      </w:r>
    </w:p>
    <w:p w14:paraId="3729A547"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 xml:space="preserve">Formulación por Programa Subpartida 20102 Productos </w:t>
      </w:r>
    </w:p>
    <w:p w14:paraId="53B658FA"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Farmacéuticos y Medicinales, Periodo 2021–2022</w:t>
      </w:r>
    </w:p>
    <w:p w14:paraId="158053E7" w14:textId="77777777" w:rsidR="00083CA4" w:rsidRPr="002A7673" w:rsidRDefault="00083CA4" w:rsidP="005F7139">
      <w:pPr>
        <w:spacing w:after="0" w:line="240" w:lineRule="auto"/>
        <w:rPr>
          <w:rFonts w:ascii="Times New Roman" w:eastAsia="Calibri" w:hAnsi="Times New Roman" w:cs="Times New Roman"/>
          <w:b/>
          <w:sz w:val="24"/>
          <w:szCs w:val="24"/>
        </w:rPr>
      </w:pPr>
    </w:p>
    <w:p w14:paraId="771F79AA" w14:textId="77777777" w:rsidR="00083CA4" w:rsidRPr="002A7673" w:rsidRDefault="00083CA4" w:rsidP="005F7139">
      <w:pPr>
        <w:spacing w:after="0" w:line="240" w:lineRule="auto"/>
        <w:jc w:val="center"/>
        <w:rPr>
          <w:rFonts w:ascii="Times New Roman" w:eastAsia="Calibri" w:hAnsi="Times New Roman" w:cs="Times New Roman"/>
          <w:b/>
          <w:sz w:val="24"/>
          <w:szCs w:val="24"/>
        </w:rPr>
      </w:pPr>
      <w:r w:rsidRPr="002A7673">
        <w:rPr>
          <w:rFonts w:ascii="Times New Roman" w:eastAsia="Calibri" w:hAnsi="Times New Roman" w:cs="Times New Roman"/>
          <w:noProof/>
          <w:lang w:eastAsia="es-CR"/>
        </w:rPr>
        <w:drawing>
          <wp:inline distT="0" distB="0" distL="0" distR="0" wp14:anchorId="0DCE277A" wp14:editId="38CD333C">
            <wp:extent cx="6030595" cy="1605915"/>
            <wp:effectExtent l="0" t="0" r="825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30595" cy="1605915"/>
                    </a:xfrm>
                    <a:prstGeom prst="rect">
                      <a:avLst/>
                    </a:prstGeom>
                    <a:noFill/>
                    <a:ln>
                      <a:noFill/>
                    </a:ln>
                  </pic:spPr>
                </pic:pic>
              </a:graphicData>
            </a:graphic>
          </wp:inline>
        </w:drawing>
      </w:r>
    </w:p>
    <w:bookmarkEnd w:id="6"/>
    <w:p w14:paraId="0D8B6A2B" w14:textId="77777777" w:rsidR="00083CA4" w:rsidRPr="002A7673" w:rsidRDefault="00083CA4" w:rsidP="005F7139">
      <w:pPr>
        <w:spacing w:after="0" w:line="240" w:lineRule="auto"/>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3874AD64" w14:textId="77777777" w:rsidR="00083CA4" w:rsidRPr="002A7673" w:rsidRDefault="00083CA4" w:rsidP="005F7139">
      <w:pPr>
        <w:spacing w:after="0" w:line="240" w:lineRule="auto"/>
        <w:textAlignment w:val="baseline"/>
        <w:rPr>
          <w:rFonts w:ascii="Times New Roman" w:eastAsia="Times New Roman" w:hAnsi="Times New Roman" w:cs="Times New Roman"/>
          <w:b/>
          <w:bCs/>
          <w:sz w:val="24"/>
          <w:szCs w:val="24"/>
          <w:lang w:eastAsia="es-CR"/>
        </w:rPr>
      </w:pPr>
    </w:p>
    <w:p w14:paraId="6F2CB0E3"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El crecimiento que se muestra en todos los programas presupuestarios, considerando que para el 2022 aún se continuará con las medidas sanitarias producto de la pandemia del Covid-19, lo que incrementa la compra de alcohol en sus diferentes presentaciones como medida de prevención. </w:t>
      </w:r>
    </w:p>
    <w:p w14:paraId="208AF352"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p>
    <w:p w14:paraId="0DA55833"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p>
    <w:p w14:paraId="1B3553FA"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Gráfico N°2</w:t>
      </w:r>
    </w:p>
    <w:p w14:paraId="67E3612E"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Distribución por Programa Subpartida 20102 Productos</w:t>
      </w:r>
    </w:p>
    <w:p w14:paraId="191406DE"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Farmacéuticos y Medicinales, Periodo 2022</w:t>
      </w:r>
    </w:p>
    <w:p w14:paraId="30582E5E" w14:textId="77777777" w:rsidR="00083CA4" w:rsidRPr="002A7673" w:rsidRDefault="00083CA4" w:rsidP="005F7139">
      <w:pPr>
        <w:spacing w:after="0" w:line="240" w:lineRule="auto"/>
        <w:jc w:val="center"/>
        <w:textAlignment w:val="baseline"/>
        <w:rPr>
          <w:rFonts w:ascii="Times New Roman" w:eastAsia="Times New Roman" w:hAnsi="Times New Roman" w:cs="Times New Roman"/>
          <w:sz w:val="18"/>
          <w:szCs w:val="18"/>
          <w:lang w:eastAsia="es-CR"/>
        </w:rPr>
      </w:pPr>
      <w:r w:rsidRPr="002A7673">
        <w:rPr>
          <w:rFonts w:ascii="Times New Roman" w:eastAsia="Times New Roman" w:hAnsi="Times New Roman" w:cs="Times New Roman"/>
          <w:sz w:val="24"/>
          <w:szCs w:val="24"/>
          <w:lang w:eastAsia="es-CR"/>
        </w:rPr>
        <w:lastRenderedPageBreak/>
        <w:t> </w:t>
      </w:r>
    </w:p>
    <w:p w14:paraId="41F79D12" w14:textId="77777777" w:rsidR="00083CA4" w:rsidRPr="002A7673" w:rsidRDefault="00083CA4" w:rsidP="005F7139">
      <w:pPr>
        <w:spacing w:after="0" w:line="240" w:lineRule="auto"/>
        <w:jc w:val="center"/>
        <w:rPr>
          <w:rFonts w:ascii="Times New Roman" w:eastAsia="Calibri" w:hAnsi="Times New Roman" w:cs="Times New Roman"/>
          <w:b/>
          <w:sz w:val="24"/>
          <w:szCs w:val="24"/>
        </w:rPr>
      </w:pPr>
      <w:r w:rsidRPr="002A7673">
        <w:rPr>
          <w:rFonts w:ascii="Times New Roman" w:eastAsia="Calibri" w:hAnsi="Times New Roman" w:cs="Times New Roman"/>
          <w:noProof/>
          <w:lang w:eastAsia="es-CR"/>
        </w:rPr>
        <w:drawing>
          <wp:inline distT="0" distB="0" distL="0" distR="0" wp14:anchorId="33335C50" wp14:editId="546948E5">
            <wp:extent cx="5543550" cy="30099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43550" cy="3009900"/>
                    </a:xfrm>
                    <a:prstGeom prst="rect">
                      <a:avLst/>
                    </a:prstGeom>
                    <a:noFill/>
                    <a:ln>
                      <a:noFill/>
                    </a:ln>
                  </pic:spPr>
                </pic:pic>
              </a:graphicData>
            </a:graphic>
          </wp:inline>
        </w:drawing>
      </w:r>
    </w:p>
    <w:p w14:paraId="53519BF9" w14:textId="77777777" w:rsidR="00083CA4" w:rsidRPr="002A7673" w:rsidRDefault="00083CA4" w:rsidP="005F7139">
      <w:pPr>
        <w:spacing w:after="0" w:line="240" w:lineRule="auto"/>
        <w:ind w:firstLine="708"/>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7CD97087" w14:textId="77777777" w:rsidR="00083CA4" w:rsidRPr="002A7673" w:rsidRDefault="00083CA4" w:rsidP="005F7139">
      <w:pPr>
        <w:spacing w:after="0" w:line="240" w:lineRule="auto"/>
        <w:rPr>
          <w:rFonts w:ascii="Times New Roman" w:eastAsia="Calibri" w:hAnsi="Times New Roman" w:cs="Times New Roman"/>
          <w:b/>
          <w:sz w:val="24"/>
          <w:szCs w:val="24"/>
        </w:rPr>
      </w:pPr>
    </w:p>
    <w:p w14:paraId="3CBED96A"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Como se muestra el gráfico anterior, los programas presupuestarios con más recursos formulados para el 2022 en la subpartida 20102 Productos Farmacéuticos y Medicinales son: 928 Organismo de Investigación Judicial con un 44% y el 926 Dirección y Administración con un 43%. Los demás programas presentan incrementos del 6% o menos.</w:t>
      </w:r>
    </w:p>
    <w:p w14:paraId="00A7806B"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p>
    <w:p w14:paraId="34F6323C" w14:textId="77777777" w:rsidR="00083CA4" w:rsidRPr="002A7673" w:rsidRDefault="00083CA4" w:rsidP="002B6FA6">
      <w:pPr>
        <w:numPr>
          <w:ilvl w:val="0"/>
          <w:numId w:val="2"/>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Distribución por Centro de Responsabilidad</w:t>
      </w:r>
    </w:p>
    <w:p w14:paraId="63F1E576" w14:textId="77777777" w:rsidR="00083CA4" w:rsidRPr="002A7673" w:rsidRDefault="00083CA4" w:rsidP="002B6FA6">
      <w:pPr>
        <w:spacing w:after="0" w:line="240" w:lineRule="auto"/>
        <w:ind w:left="851" w:right="851" w:firstLine="709"/>
        <w:jc w:val="both"/>
        <w:textAlignment w:val="baseline"/>
        <w:rPr>
          <w:rFonts w:ascii="Times New Roman" w:eastAsia="Times New Roman" w:hAnsi="Times New Roman" w:cs="Times New Roman"/>
          <w:sz w:val="26"/>
          <w:szCs w:val="26"/>
          <w:lang w:eastAsia="es-CR"/>
        </w:rPr>
      </w:pPr>
    </w:p>
    <w:p w14:paraId="51FCD804"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el siguiente cuadro se muestra por centro de responsabilidad los recursos aprobados para el 2021 y formulados para el 2022 en la subpartida 20102 Productos Farmacéuticos y Medicinales, a nivel general el comportamiento es creciente en todos los centros de responsabilidad, únicamente en 3 de ellos se presentan montos menores a los aprobados para el 2021. En el cuadro se muestra la información ordenando de mayor a menor según los recursos incluidos para el año 2022. </w:t>
      </w:r>
    </w:p>
    <w:p w14:paraId="6BF7E213" w14:textId="77777777" w:rsidR="00083CA4" w:rsidRPr="002A7673" w:rsidRDefault="00083CA4" w:rsidP="005F7139">
      <w:pPr>
        <w:spacing w:after="0" w:line="240" w:lineRule="auto"/>
        <w:rPr>
          <w:rFonts w:ascii="Times New Roman" w:eastAsia="Calibri" w:hAnsi="Times New Roman" w:cs="Times New Roman"/>
          <w:b/>
          <w:sz w:val="24"/>
          <w:szCs w:val="24"/>
        </w:rPr>
      </w:pPr>
    </w:p>
    <w:p w14:paraId="1FA8DDD4" w14:textId="77777777" w:rsidR="00083CA4" w:rsidRPr="002A7673" w:rsidRDefault="00083CA4" w:rsidP="005F7139">
      <w:pPr>
        <w:spacing w:after="0" w:line="240" w:lineRule="auto"/>
        <w:jc w:val="center"/>
        <w:rPr>
          <w:rFonts w:ascii="Times New Roman" w:eastAsia="Times New Roman" w:hAnsi="Times New Roman" w:cs="Times New Roman"/>
          <w:b/>
          <w:bCs/>
          <w:sz w:val="24"/>
          <w:szCs w:val="24"/>
          <w:lang w:eastAsia="es-CR"/>
        </w:rPr>
      </w:pPr>
      <w:r w:rsidRPr="002A7673">
        <w:rPr>
          <w:rFonts w:ascii="Times New Roman" w:eastAsia="Calibri" w:hAnsi="Times New Roman" w:cs="Times New Roman"/>
          <w:noProof/>
          <w:lang w:eastAsia="es-CR"/>
        </w:rPr>
        <w:lastRenderedPageBreak/>
        <w:drawing>
          <wp:inline distT="0" distB="0" distL="0" distR="0" wp14:anchorId="661E5F3E" wp14:editId="3638B680">
            <wp:extent cx="5673725" cy="8977630"/>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73725" cy="8977630"/>
                    </a:xfrm>
                    <a:prstGeom prst="rect">
                      <a:avLst/>
                    </a:prstGeom>
                    <a:noFill/>
                    <a:ln>
                      <a:noFill/>
                    </a:ln>
                  </pic:spPr>
                </pic:pic>
              </a:graphicData>
            </a:graphic>
          </wp:inline>
        </w:drawing>
      </w:r>
    </w:p>
    <w:p w14:paraId="2C52C949"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lastRenderedPageBreak/>
        <w:t xml:space="preserve">Según se muestra en el cuadro anterior, los centros de responsabilidad con más recursos formulados en esta subpartida para el 2022 son: Organismo de Investigación Judicial con ¢98.740.612, Dirección de Gestión Humana con ¢32.788.406 y la Dirección Ejecutiva con ¢24.677.932. En el caso del Organismo de Investigación Judicial como se indicó al inicio del análisis de esta subpartida, se formulan las necesidades del Departamento de Medicina Legal y sus Unidades de Medicina Legal y el Departamento Laboratorio de Ciencias Forenses. Por su parte, en la Dirección de Gestión Humana las necesidades de los Servicios de Salud para Empleados y la Unidad de Salud Ocupacional, </w:t>
      </w:r>
      <w:proofErr w:type="gramStart"/>
      <w:r w:rsidRPr="002A7673">
        <w:rPr>
          <w:rFonts w:ascii="Times New Roman" w:eastAsia="Calibri" w:hAnsi="Times New Roman" w:cs="Times New Roman"/>
          <w:sz w:val="26"/>
          <w:szCs w:val="26"/>
        </w:rPr>
        <w:t>y</w:t>
      </w:r>
      <w:proofErr w:type="gramEnd"/>
      <w:r w:rsidRPr="002A7673">
        <w:rPr>
          <w:rFonts w:ascii="Times New Roman" w:eastAsia="Calibri" w:hAnsi="Times New Roman" w:cs="Times New Roman"/>
          <w:sz w:val="26"/>
          <w:szCs w:val="26"/>
        </w:rPr>
        <w:t xml:space="preserve"> por último, la Dirección Ejecutiva incluye recursos en la Sección de Limpieza y Jardinería para atender necesidades a nivel institucional.</w:t>
      </w:r>
    </w:p>
    <w:p w14:paraId="7F00C2FE"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p>
    <w:p w14:paraId="5B45836E" w14:textId="77777777" w:rsidR="00083CA4" w:rsidRPr="002A7673" w:rsidRDefault="00083CA4" w:rsidP="002B6FA6">
      <w:pPr>
        <w:numPr>
          <w:ilvl w:val="0"/>
          <w:numId w:val="2"/>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Variación Distribución por Artículo</w:t>
      </w:r>
    </w:p>
    <w:p w14:paraId="14D0083A" w14:textId="77777777" w:rsidR="00083CA4" w:rsidRPr="002A7673" w:rsidRDefault="00083CA4" w:rsidP="002B6FA6">
      <w:pPr>
        <w:spacing w:after="0" w:line="240" w:lineRule="auto"/>
        <w:ind w:left="851" w:right="851" w:firstLine="709"/>
        <w:rPr>
          <w:rFonts w:ascii="Times New Roman" w:eastAsia="Times New Roman" w:hAnsi="Times New Roman" w:cs="Times New Roman"/>
          <w:b/>
          <w:sz w:val="26"/>
          <w:szCs w:val="26"/>
          <w:lang w:val="es-ES" w:eastAsia="es-ES"/>
        </w:rPr>
      </w:pPr>
    </w:p>
    <w:p w14:paraId="0BD856D1"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la siguiente tabla se representa la variación en la formulación detallada por artículo entre el año 2021 y 2022, pero específicamente la formulación relacionada con las líneas del alcohol en sus diferentes presentaciones, que es lo que incrementa en esta subpartida a causa de la pandemia del Covid-19.</w:t>
      </w:r>
    </w:p>
    <w:p w14:paraId="058736D1" w14:textId="77777777" w:rsidR="00083CA4" w:rsidRPr="002A7673" w:rsidRDefault="00083CA4" w:rsidP="005F7139">
      <w:pPr>
        <w:spacing w:after="0" w:line="276" w:lineRule="auto"/>
        <w:jc w:val="both"/>
        <w:rPr>
          <w:rFonts w:ascii="Times New Roman" w:eastAsia="Calibri" w:hAnsi="Times New Roman" w:cs="Times New Roman"/>
          <w:sz w:val="26"/>
          <w:szCs w:val="26"/>
        </w:rPr>
      </w:pPr>
    </w:p>
    <w:p w14:paraId="2F4EADD1" w14:textId="77777777" w:rsidR="00083CA4" w:rsidRPr="002A7673" w:rsidRDefault="00083CA4" w:rsidP="005F7139">
      <w:pPr>
        <w:spacing w:after="0" w:line="276" w:lineRule="auto"/>
        <w:ind w:firstLine="709"/>
        <w:jc w:val="center"/>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Cuadro N°6</w:t>
      </w:r>
    </w:p>
    <w:p w14:paraId="786F061C" w14:textId="77777777" w:rsidR="00083CA4" w:rsidRPr="002A7673" w:rsidRDefault="00083CA4" w:rsidP="005F7139">
      <w:pPr>
        <w:spacing w:after="0" w:line="276" w:lineRule="auto"/>
        <w:ind w:firstLine="709"/>
        <w:jc w:val="center"/>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Variación de Recursos Presupuestados por Artículo</w:t>
      </w:r>
    </w:p>
    <w:p w14:paraId="564A628C" w14:textId="77777777" w:rsidR="00083CA4" w:rsidRPr="002A7673" w:rsidRDefault="00083CA4" w:rsidP="005F7139">
      <w:pPr>
        <w:spacing w:after="0" w:line="240" w:lineRule="auto"/>
        <w:ind w:left="284"/>
        <w:jc w:val="center"/>
        <w:rPr>
          <w:rFonts w:ascii="Times New Roman" w:eastAsia="Times New Roman" w:hAnsi="Times New Roman" w:cs="Times New Roman"/>
          <w:b/>
          <w:noProof/>
          <w:sz w:val="24"/>
          <w:szCs w:val="24"/>
          <w:lang w:val="es-ES" w:eastAsia="es-ES"/>
        </w:rPr>
      </w:pPr>
    </w:p>
    <w:p w14:paraId="7EB370CB" w14:textId="77777777" w:rsidR="00083CA4" w:rsidRPr="002A7673" w:rsidRDefault="00083CA4" w:rsidP="005F7139">
      <w:pPr>
        <w:spacing w:after="0" w:line="240" w:lineRule="auto"/>
        <w:ind w:left="284"/>
        <w:jc w:val="center"/>
        <w:rPr>
          <w:rFonts w:ascii="Times New Roman" w:eastAsia="Times New Roman" w:hAnsi="Times New Roman" w:cs="Times New Roman"/>
          <w:b/>
          <w:noProof/>
          <w:sz w:val="24"/>
          <w:szCs w:val="24"/>
          <w:lang w:val="es-ES" w:eastAsia="es-ES"/>
        </w:rPr>
      </w:pPr>
      <w:r w:rsidRPr="002A7673">
        <w:rPr>
          <w:rFonts w:ascii="Times New Roman" w:eastAsia="Times New Roman" w:hAnsi="Times New Roman" w:cs="Times New Roman"/>
          <w:noProof/>
          <w:sz w:val="24"/>
          <w:szCs w:val="24"/>
          <w:lang w:eastAsia="es-CR"/>
        </w:rPr>
        <w:drawing>
          <wp:inline distT="0" distB="0" distL="0" distR="0" wp14:anchorId="38BE1255" wp14:editId="6ED22BCE">
            <wp:extent cx="4718050" cy="2051050"/>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18050" cy="2051050"/>
                    </a:xfrm>
                    <a:prstGeom prst="rect">
                      <a:avLst/>
                    </a:prstGeom>
                    <a:noFill/>
                    <a:ln>
                      <a:noFill/>
                    </a:ln>
                  </pic:spPr>
                </pic:pic>
              </a:graphicData>
            </a:graphic>
          </wp:inline>
        </w:drawing>
      </w:r>
    </w:p>
    <w:p w14:paraId="44FB1714" w14:textId="77777777" w:rsidR="00083CA4" w:rsidRPr="002A7673" w:rsidRDefault="00083CA4" w:rsidP="005F7139">
      <w:pPr>
        <w:spacing w:after="0" w:line="240" w:lineRule="auto"/>
        <w:ind w:left="284"/>
        <w:jc w:val="center"/>
        <w:rPr>
          <w:rFonts w:ascii="Times New Roman" w:eastAsia="Times New Roman" w:hAnsi="Times New Roman" w:cs="Times New Roman"/>
          <w:b/>
          <w:sz w:val="24"/>
          <w:szCs w:val="24"/>
          <w:lang w:val="es-ES" w:eastAsia="es-ES"/>
        </w:rPr>
      </w:pPr>
    </w:p>
    <w:p w14:paraId="6FB13381" w14:textId="77777777" w:rsidR="00083CA4" w:rsidRPr="002A7673" w:rsidRDefault="00083CA4" w:rsidP="005F7139">
      <w:pPr>
        <w:spacing w:after="0" w:line="240" w:lineRule="auto"/>
        <w:ind w:left="708" w:firstLine="708"/>
        <w:rPr>
          <w:rFonts w:ascii="Times New Roman" w:eastAsia="Calibri" w:hAnsi="Times New Roman" w:cs="Times New Roman"/>
          <w:sz w:val="20"/>
          <w:szCs w:val="20"/>
        </w:rPr>
      </w:pPr>
      <w:r w:rsidRPr="002A7673">
        <w:rPr>
          <w:rFonts w:ascii="Times New Roman" w:eastAsia="Calibri" w:hAnsi="Times New Roman" w:cs="Times New Roman"/>
          <w:b/>
          <w:bCs/>
          <w:sz w:val="20"/>
          <w:szCs w:val="20"/>
        </w:rPr>
        <w:t>Fuente:</w:t>
      </w:r>
      <w:r w:rsidRPr="002A7673">
        <w:rPr>
          <w:rFonts w:ascii="Times New Roman" w:eastAsia="Calibri" w:hAnsi="Times New Roman" w:cs="Times New Roman"/>
          <w:sz w:val="20"/>
          <w:szCs w:val="20"/>
        </w:rPr>
        <w:t xml:space="preserve"> Sistema SIGA-PJ.</w:t>
      </w:r>
    </w:p>
    <w:p w14:paraId="7C11C283" w14:textId="77777777" w:rsidR="002B6FA6" w:rsidRPr="002A7673" w:rsidRDefault="002B6FA6" w:rsidP="002B6FA6">
      <w:pPr>
        <w:spacing w:after="0" w:line="240" w:lineRule="auto"/>
        <w:ind w:left="851" w:right="851" w:firstLine="709"/>
        <w:jc w:val="both"/>
        <w:rPr>
          <w:rFonts w:ascii="Times New Roman" w:eastAsia="Calibri" w:hAnsi="Times New Roman" w:cs="Times New Roman"/>
          <w:sz w:val="26"/>
          <w:szCs w:val="26"/>
        </w:rPr>
      </w:pPr>
    </w:p>
    <w:p w14:paraId="50601619" w14:textId="77777777" w:rsidR="002B6FA6"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Es importante resaltar que en esta subpartida adicionalmente a los artículos específicos para atender la pandemia que se muestran en el cuadro </w:t>
      </w:r>
      <w:r w:rsidRPr="002A7673">
        <w:rPr>
          <w:rFonts w:ascii="Times New Roman" w:eastAsia="Calibri" w:hAnsi="Times New Roman" w:cs="Times New Roman"/>
          <w:sz w:val="26"/>
          <w:szCs w:val="26"/>
        </w:rPr>
        <w:lastRenderedPageBreak/>
        <w:t>anterior, se presenta un aumento en los recursos formulados para la adquisición de otras líneas, por ejemplo: las vacunas solicitadas por el Organismo de Investigación Judicial y la Sección de Limpieza y Jardinería. También los filtros y bloqueadores solares solicitados por casi todos los centros de responsabilidad para protección de las personas funcionarias cuando se encuentren en labores que tengan que realizarse en exposición a los rayos solares.</w:t>
      </w:r>
    </w:p>
    <w:p w14:paraId="113C9653"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 </w:t>
      </w:r>
    </w:p>
    <w:p w14:paraId="5C5FAE70" w14:textId="77777777" w:rsidR="00083CA4" w:rsidRPr="002A7673" w:rsidRDefault="00083CA4" w:rsidP="002B6FA6">
      <w:pPr>
        <w:spacing w:after="0" w:line="360" w:lineRule="auto"/>
        <w:ind w:right="49"/>
        <w:jc w:val="center"/>
        <w:rPr>
          <w:rFonts w:ascii="Times New Roman" w:eastAsia="Calibri" w:hAnsi="Times New Roman" w:cs="Times New Roman"/>
          <w:sz w:val="24"/>
          <w:szCs w:val="24"/>
        </w:rPr>
      </w:pPr>
      <w:r w:rsidRPr="002A7673">
        <w:rPr>
          <w:rFonts w:ascii="Times New Roman" w:eastAsia="Calibri" w:hAnsi="Times New Roman" w:cs="Times New Roman"/>
          <w:noProof/>
          <w:lang w:eastAsia="es-CR"/>
        </w:rPr>
        <w:drawing>
          <wp:inline distT="0" distB="0" distL="0" distR="0" wp14:anchorId="0FE77161" wp14:editId="3CF54D50">
            <wp:extent cx="4714875" cy="186690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14875" cy="1866900"/>
                    </a:xfrm>
                    <a:prstGeom prst="rect">
                      <a:avLst/>
                    </a:prstGeom>
                    <a:noFill/>
                    <a:ln>
                      <a:noFill/>
                    </a:ln>
                  </pic:spPr>
                </pic:pic>
              </a:graphicData>
            </a:graphic>
          </wp:inline>
        </w:drawing>
      </w:r>
    </w:p>
    <w:p w14:paraId="5DB3F90B" w14:textId="77777777" w:rsidR="00083CA4" w:rsidRPr="002A7673" w:rsidRDefault="00083CA4" w:rsidP="002B6FA6">
      <w:pPr>
        <w:spacing w:after="0" w:line="360" w:lineRule="auto"/>
        <w:ind w:right="49"/>
        <w:jc w:val="center"/>
        <w:rPr>
          <w:rFonts w:ascii="Times New Roman" w:eastAsia="Calibri" w:hAnsi="Times New Roman" w:cs="Times New Roman"/>
          <w:sz w:val="24"/>
          <w:szCs w:val="24"/>
        </w:rPr>
      </w:pPr>
      <w:r w:rsidRPr="002A7673">
        <w:rPr>
          <w:rFonts w:ascii="Times New Roman" w:eastAsia="Calibri" w:hAnsi="Times New Roman" w:cs="Times New Roman"/>
          <w:noProof/>
          <w:lang w:eastAsia="es-CR"/>
        </w:rPr>
        <w:drawing>
          <wp:inline distT="0" distB="0" distL="0" distR="0" wp14:anchorId="29A3BCF2" wp14:editId="09946350">
            <wp:extent cx="4714875" cy="94297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14875" cy="942975"/>
                    </a:xfrm>
                    <a:prstGeom prst="rect">
                      <a:avLst/>
                    </a:prstGeom>
                    <a:noFill/>
                    <a:ln>
                      <a:noFill/>
                    </a:ln>
                  </pic:spPr>
                </pic:pic>
              </a:graphicData>
            </a:graphic>
          </wp:inline>
        </w:drawing>
      </w:r>
    </w:p>
    <w:p w14:paraId="5C660C96" w14:textId="77777777" w:rsidR="00083CA4" w:rsidRPr="002A7673" w:rsidRDefault="00083CA4" w:rsidP="005F7139">
      <w:pPr>
        <w:spacing w:after="0" w:line="240" w:lineRule="auto"/>
        <w:jc w:val="both"/>
        <w:textAlignment w:val="baseline"/>
        <w:rPr>
          <w:rFonts w:ascii="Times New Roman" w:eastAsia="Times New Roman" w:hAnsi="Times New Roman" w:cs="Times New Roman"/>
          <w:sz w:val="24"/>
          <w:szCs w:val="24"/>
          <w:lang w:eastAsia="es-CR"/>
        </w:rPr>
      </w:pPr>
    </w:p>
    <w:p w14:paraId="51FDBE6B" w14:textId="77777777" w:rsidR="00083CA4" w:rsidRPr="002A7673" w:rsidRDefault="00083CA4" w:rsidP="002B6FA6">
      <w:pPr>
        <w:numPr>
          <w:ilvl w:val="0"/>
          <w:numId w:val="2"/>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Síntesis </w:t>
      </w:r>
    </w:p>
    <w:p w14:paraId="0E7EE63E" w14:textId="77777777" w:rsidR="00083CA4" w:rsidRPr="002A7673" w:rsidRDefault="00083CA4" w:rsidP="002B6FA6">
      <w:pPr>
        <w:spacing w:after="0" w:line="240" w:lineRule="auto"/>
        <w:ind w:left="851" w:right="851" w:firstLine="709"/>
        <w:contextualSpacing/>
        <w:jc w:val="both"/>
        <w:textAlignment w:val="baseline"/>
        <w:rPr>
          <w:rFonts w:ascii="Times New Roman" w:eastAsia="Times New Roman" w:hAnsi="Times New Roman" w:cs="Times New Roman"/>
          <w:sz w:val="26"/>
          <w:szCs w:val="26"/>
          <w:lang w:eastAsia="es-CR"/>
        </w:rPr>
      </w:pPr>
    </w:p>
    <w:p w14:paraId="3553840F" w14:textId="77777777" w:rsidR="00083CA4" w:rsidRPr="002A7673" w:rsidRDefault="00083CA4" w:rsidP="002B6FA6">
      <w:pPr>
        <w:spacing w:after="0" w:line="240" w:lineRule="auto"/>
        <w:ind w:left="851" w:right="851" w:firstLine="709"/>
        <w:contextualSpacing/>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La subpartida 20102 Productos Farmacéuticos y Medicinales tiene un total formulado para el 2022 de ¢223.457.103, presentando un crecimiento del 86,51% con respecto al monto aprobado para el 2021, es decir ¢103.650.460 más que el año anterior.</w:t>
      </w:r>
    </w:p>
    <w:p w14:paraId="5FFDFB61" w14:textId="77777777" w:rsidR="00083CA4" w:rsidRPr="002A7673" w:rsidRDefault="00083CA4" w:rsidP="002B6FA6">
      <w:pPr>
        <w:spacing w:after="0" w:line="240" w:lineRule="auto"/>
        <w:ind w:left="851" w:right="851" w:firstLine="709"/>
        <w:contextualSpacing/>
        <w:jc w:val="both"/>
        <w:rPr>
          <w:rFonts w:ascii="Times New Roman" w:eastAsia="Calibri" w:hAnsi="Times New Roman" w:cs="Times New Roman"/>
          <w:sz w:val="26"/>
          <w:szCs w:val="26"/>
        </w:rPr>
      </w:pPr>
    </w:p>
    <w:p w14:paraId="2DA1A077" w14:textId="77777777" w:rsidR="00083CA4" w:rsidRPr="002A7673" w:rsidRDefault="00083CA4" w:rsidP="002B6FA6">
      <w:pPr>
        <w:numPr>
          <w:ilvl w:val="0"/>
          <w:numId w:val="3"/>
        </w:numPr>
        <w:shd w:val="clear" w:color="auto" w:fill="2F5496"/>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color w:val="FFFFFF"/>
          <w:sz w:val="26"/>
          <w:szCs w:val="26"/>
          <w:lang w:val="es-ES" w:eastAsia="es-ES"/>
        </w:rPr>
        <w:t>Subpartida 29905 Útiles y Materiales de Limpieza</w:t>
      </w:r>
    </w:p>
    <w:p w14:paraId="2C95C21C" w14:textId="77777777" w:rsidR="00083CA4" w:rsidRPr="002A7673" w:rsidRDefault="00083CA4" w:rsidP="002B6FA6">
      <w:pPr>
        <w:spacing w:after="0" w:line="240" w:lineRule="auto"/>
        <w:ind w:left="851" w:right="851" w:firstLine="709"/>
        <w:contextualSpacing/>
        <w:rPr>
          <w:rFonts w:ascii="Times New Roman" w:eastAsia="Calibri" w:hAnsi="Times New Roman" w:cs="Times New Roman"/>
          <w:b/>
          <w:sz w:val="26"/>
          <w:szCs w:val="26"/>
        </w:rPr>
      </w:pPr>
    </w:p>
    <w:p w14:paraId="08446D97" w14:textId="77777777" w:rsidR="00083CA4" w:rsidRPr="002A7673" w:rsidRDefault="00083CA4" w:rsidP="002B6FA6">
      <w:pPr>
        <w:numPr>
          <w:ilvl w:val="0"/>
          <w:numId w:val="4"/>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Comportamiento de la Subpartida</w:t>
      </w:r>
    </w:p>
    <w:p w14:paraId="442CDCEC" w14:textId="77777777" w:rsidR="00083CA4" w:rsidRPr="002A7673" w:rsidRDefault="00083CA4" w:rsidP="002B6FA6">
      <w:pPr>
        <w:spacing w:after="0" w:line="240" w:lineRule="auto"/>
        <w:ind w:left="851" w:right="851" w:firstLine="709"/>
        <w:contextualSpacing/>
        <w:rPr>
          <w:rFonts w:ascii="Times New Roman" w:eastAsia="Calibri" w:hAnsi="Times New Roman" w:cs="Times New Roman"/>
          <w:b/>
          <w:sz w:val="26"/>
          <w:szCs w:val="26"/>
        </w:rPr>
      </w:pPr>
    </w:p>
    <w:p w14:paraId="082423E0" w14:textId="77777777" w:rsidR="00083CA4" w:rsidRPr="002A7673" w:rsidRDefault="00083CA4" w:rsidP="002B6FA6">
      <w:pPr>
        <w:spacing w:after="0" w:line="240" w:lineRule="auto"/>
        <w:ind w:left="851" w:right="851" w:firstLine="709"/>
        <w:contextualSpacing/>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Los recursos formulados en la subpartida 29905 Útiles y Materiales de Limpieza, responden a las necesidades para el aseo general de las oficinas tales como: basureros, bolsas plásticas para basura, cepillos para lavar, jabones de distintos tipos, palas para recoger basura, etc. Igualmente se deben </w:t>
      </w:r>
      <w:r w:rsidRPr="002A7673">
        <w:rPr>
          <w:rFonts w:ascii="Times New Roman" w:eastAsia="Calibri" w:hAnsi="Times New Roman" w:cs="Times New Roman"/>
          <w:sz w:val="26"/>
          <w:szCs w:val="26"/>
        </w:rPr>
        <w:lastRenderedPageBreak/>
        <w:t>de formular los kits de limpieza para armas de fuego. Es importante indicar que los artículos de limpieza se deben formular solo en las oficinas donde no exista el servicio de limpieza privado, ya que cuando existe el servicio contratado los artículos se incluyen como parte del contrato.</w:t>
      </w:r>
    </w:p>
    <w:p w14:paraId="6D810F8E" w14:textId="77777777" w:rsidR="00083CA4" w:rsidRPr="002A7673" w:rsidRDefault="00083CA4" w:rsidP="005F7139">
      <w:pPr>
        <w:spacing w:after="0" w:line="360" w:lineRule="auto"/>
        <w:jc w:val="both"/>
        <w:rPr>
          <w:rFonts w:ascii="Times New Roman" w:eastAsia="Calibri" w:hAnsi="Times New Roman" w:cs="Times New Roman"/>
          <w:sz w:val="26"/>
          <w:szCs w:val="26"/>
        </w:rPr>
      </w:pPr>
    </w:p>
    <w:p w14:paraId="0B3EA9DC"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Cuadro N°7</w:t>
      </w:r>
    </w:p>
    <w:p w14:paraId="7E07065B"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Comportamiento Subpartida 29905 Útiles y Materiales de Limpieza,</w:t>
      </w:r>
    </w:p>
    <w:p w14:paraId="6E8BBC0E"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Periodo 2021-2022</w:t>
      </w:r>
    </w:p>
    <w:p w14:paraId="01BA4D9D"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p>
    <w:p w14:paraId="6340427F"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noProof/>
          <w:sz w:val="26"/>
          <w:szCs w:val="26"/>
          <w:lang w:eastAsia="es-CR"/>
        </w:rPr>
        <w:drawing>
          <wp:inline distT="0" distB="0" distL="0" distR="0" wp14:anchorId="1CB2ADE9" wp14:editId="0DC67FD1">
            <wp:extent cx="5972175" cy="53340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2175" cy="533400"/>
                    </a:xfrm>
                    <a:prstGeom prst="rect">
                      <a:avLst/>
                    </a:prstGeom>
                    <a:noFill/>
                    <a:ln>
                      <a:noFill/>
                    </a:ln>
                  </pic:spPr>
                </pic:pic>
              </a:graphicData>
            </a:graphic>
          </wp:inline>
        </w:drawing>
      </w:r>
    </w:p>
    <w:p w14:paraId="3343E066" w14:textId="77777777" w:rsidR="00083CA4" w:rsidRPr="002A7673" w:rsidRDefault="00083CA4" w:rsidP="005F7139">
      <w:pPr>
        <w:spacing w:after="0" w:line="240" w:lineRule="auto"/>
        <w:jc w:val="center"/>
        <w:textAlignment w:val="baseline"/>
        <w:rPr>
          <w:rFonts w:ascii="Times New Roman" w:eastAsia="Times New Roman" w:hAnsi="Times New Roman" w:cs="Times New Roman"/>
          <w:sz w:val="26"/>
          <w:szCs w:val="26"/>
          <w:lang w:eastAsia="es-CR"/>
        </w:rPr>
      </w:pPr>
    </w:p>
    <w:p w14:paraId="4E0486DD" w14:textId="77777777" w:rsidR="00083CA4" w:rsidRPr="002A7673" w:rsidRDefault="00083CA4" w:rsidP="005F7139">
      <w:pPr>
        <w:spacing w:after="0" w:line="360" w:lineRule="auto"/>
        <w:ind w:firstLine="708"/>
        <w:jc w:val="both"/>
        <w:rPr>
          <w:rFonts w:ascii="Times New Roman" w:eastAsia="Calibri" w:hAnsi="Times New Roman" w:cs="Times New Roman"/>
          <w:sz w:val="26"/>
          <w:szCs w:val="26"/>
        </w:rPr>
      </w:pPr>
      <w:r w:rsidRPr="002A7673">
        <w:rPr>
          <w:rFonts w:ascii="Times New Roman" w:eastAsia="Calibri" w:hAnsi="Times New Roman" w:cs="Times New Roman"/>
          <w:b/>
          <w:bCs/>
          <w:sz w:val="26"/>
          <w:szCs w:val="26"/>
        </w:rPr>
        <w:t>Fuente:</w:t>
      </w:r>
      <w:r w:rsidRPr="002A7673">
        <w:rPr>
          <w:rFonts w:ascii="Times New Roman" w:eastAsia="Calibri" w:hAnsi="Times New Roman" w:cs="Times New Roman"/>
          <w:sz w:val="26"/>
          <w:szCs w:val="26"/>
        </w:rPr>
        <w:t xml:space="preserve"> Sistema SIGA-PJ.</w:t>
      </w:r>
    </w:p>
    <w:p w14:paraId="1EB6B603" w14:textId="77777777" w:rsidR="00083CA4"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el cuadro anterior se muestran los montos formulados en la subpartida 29905 Útiles y Materiales de Limpieza, presentando un crecimiento para el 2022 de un 25,77%, es decir </w:t>
      </w:r>
      <w:r w:rsidRPr="002A7673">
        <w:rPr>
          <w:rFonts w:ascii="Times New Roman" w:eastAsia="Calibri" w:hAnsi="Times New Roman" w:cs="Times New Roman"/>
          <w:b/>
          <w:bCs/>
          <w:sz w:val="26"/>
          <w:szCs w:val="26"/>
        </w:rPr>
        <w:t xml:space="preserve">¢96.332.005 </w:t>
      </w:r>
      <w:r w:rsidRPr="002A7673">
        <w:rPr>
          <w:rFonts w:ascii="Times New Roman" w:eastAsia="Calibri" w:hAnsi="Times New Roman" w:cs="Times New Roman"/>
          <w:sz w:val="26"/>
          <w:szCs w:val="26"/>
        </w:rPr>
        <w:t>más que en el 2021.</w:t>
      </w:r>
    </w:p>
    <w:p w14:paraId="62714FE1" w14:textId="77777777" w:rsidR="00083CA4" w:rsidRPr="002A7673" w:rsidRDefault="00083CA4" w:rsidP="005F7139">
      <w:pPr>
        <w:spacing w:after="0" w:line="240" w:lineRule="auto"/>
        <w:rPr>
          <w:rFonts w:ascii="Times New Roman" w:eastAsia="Calibri" w:hAnsi="Times New Roman" w:cs="Times New Roman"/>
          <w:b/>
          <w:sz w:val="24"/>
          <w:szCs w:val="24"/>
        </w:rPr>
      </w:pPr>
    </w:p>
    <w:p w14:paraId="30124CD2"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Gráfico N°4</w:t>
      </w:r>
    </w:p>
    <w:p w14:paraId="4919E536"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 xml:space="preserve">Formulación y Ejecución </w:t>
      </w:r>
      <w:r w:rsidRPr="002A7673">
        <w:rPr>
          <w:rFonts w:ascii="Times New Roman" w:eastAsia="Times New Roman" w:hAnsi="Times New Roman" w:cs="Times New Roman"/>
          <w:b/>
          <w:bCs/>
          <w:sz w:val="26"/>
          <w:szCs w:val="26"/>
          <w:lang w:eastAsia="es-CR"/>
        </w:rPr>
        <w:t xml:space="preserve">Subpartida 29905 </w:t>
      </w:r>
      <w:r w:rsidRPr="002A7673">
        <w:rPr>
          <w:rFonts w:ascii="Times New Roman" w:eastAsia="Times New Roman" w:hAnsi="Times New Roman" w:cs="Times New Roman"/>
          <w:b/>
          <w:sz w:val="26"/>
          <w:szCs w:val="26"/>
          <w:lang w:eastAsia="es-CR"/>
        </w:rPr>
        <w:t>Útiles y Materiales de Limpieza</w:t>
      </w:r>
      <w:r w:rsidRPr="002A7673" w:rsidDel="00B77F7D">
        <w:rPr>
          <w:rFonts w:ascii="Times New Roman" w:eastAsia="Times New Roman" w:hAnsi="Times New Roman" w:cs="Times New Roman"/>
          <w:b/>
          <w:sz w:val="26"/>
          <w:szCs w:val="26"/>
          <w:lang w:eastAsia="es-CR"/>
        </w:rPr>
        <w:t xml:space="preserve"> </w:t>
      </w:r>
    </w:p>
    <w:p w14:paraId="017B290E"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sz w:val="26"/>
          <w:szCs w:val="26"/>
          <w:lang w:eastAsia="es-CR"/>
        </w:rPr>
      </w:pPr>
      <w:r w:rsidRPr="002A7673">
        <w:rPr>
          <w:rFonts w:ascii="Times New Roman" w:eastAsia="Times New Roman" w:hAnsi="Times New Roman" w:cs="Times New Roman"/>
          <w:b/>
          <w:sz w:val="26"/>
          <w:szCs w:val="26"/>
          <w:lang w:eastAsia="es-CR"/>
        </w:rPr>
        <w:t>Periodo 2018-2022 </w:t>
      </w:r>
    </w:p>
    <w:p w14:paraId="6CE2A8CB" w14:textId="77777777" w:rsidR="00083CA4" w:rsidRPr="002A7673" w:rsidRDefault="00083CA4" w:rsidP="005F7139">
      <w:pPr>
        <w:spacing w:after="0" w:line="240" w:lineRule="auto"/>
        <w:jc w:val="center"/>
        <w:textAlignment w:val="baseline"/>
        <w:rPr>
          <w:rFonts w:ascii="Times New Roman" w:eastAsia="Times New Roman" w:hAnsi="Times New Roman" w:cs="Times New Roman"/>
          <w:sz w:val="24"/>
          <w:szCs w:val="24"/>
          <w:lang w:eastAsia="es-CR"/>
        </w:rPr>
      </w:pPr>
    </w:p>
    <w:p w14:paraId="4E72621E" w14:textId="77777777" w:rsidR="00083CA4" w:rsidRPr="002A7673" w:rsidRDefault="00083CA4" w:rsidP="005F7139">
      <w:pPr>
        <w:spacing w:after="0" w:line="240" w:lineRule="auto"/>
        <w:jc w:val="center"/>
        <w:rPr>
          <w:rFonts w:ascii="Times New Roman" w:eastAsia="Times New Roman" w:hAnsi="Times New Roman" w:cs="Times New Roman"/>
          <w:sz w:val="24"/>
          <w:szCs w:val="24"/>
          <w:lang w:eastAsia="es-CR"/>
        </w:rPr>
      </w:pPr>
      <w:r w:rsidRPr="002A7673">
        <w:rPr>
          <w:rFonts w:ascii="Times New Roman" w:eastAsia="Calibri" w:hAnsi="Times New Roman" w:cs="Times New Roman"/>
          <w:noProof/>
          <w:lang w:eastAsia="es-CR"/>
        </w:rPr>
        <w:drawing>
          <wp:inline distT="0" distB="0" distL="0" distR="0" wp14:anchorId="132222EF" wp14:editId="1FA2F288">
            <wp:extent cx="5918198" cy="2603500"/>
            <wp:effectExtent l="0" t="0" r="6350" b="6350"/>
            <wp:docPr id="31" name="Imagen 3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070"/>
                    <pic:cNvPicPr/>
                  </pic:nvPicPr>
                  <pic:blipFill>
                    <a:blip r:embed="rId42">
                      <a:extLst>
                        <a:ext uri="{28A0092B-C50C-407E-A947-70E740481C1C}">
                          <a14:useLocalDpi xmlns:a14="http://schemas.microsoft.com/office/drawing/2010/main" val="0"/>
                        </a:ext>
                      </a:extLst>
                    </a:blip>
                    <a:stretch>
                      <a:fillRect/>
                    </a:stretch>
                  </pic:blipFill>
                  <pic:spPr>
                    <a:xfrm>
                      <a:off x="0" y="0"/>
                      <a:ext cx="5918198" cy="2603500"/>
                    </a:xfrm>
                    <a:prstGeom prst="rect">
                      <a:avLst/>
                    </a:prstGeom>
                  </pic:spPr>
                </pic:pic>
              </a:graphicData>
            </a:graphic>
          </wp:inline>
        </w:drawing>
      </w:r>
    </w:p>
    <w:p w14:paraId="152AED58" w14:textId="77777777" w:rsidR="00083CA4" w:rsidRPr="002A7673" w:rsidRDefault="00083CA4" w:rsidP="005F7139">
      <w:pPr>
        <w:spacing w:after="0" w:line="360" w:lineRule="auto"/>
        <w:jc w:val="both"/>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2AE017A5"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71F7E423" w14:textId="77777777" w:rsidR="002B6FA6" w:rsidRPr="002A7673" w:rsidRDefault="00083CA4" w:rsidP="002B6FA6">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lastRenderedPageBreak/>
        <w:t>En el gráfico anterior se representa la formulación y ejecución presupuestaria de la subpartida 29905 Útiles y Materiales de Limpieza para el periodo del 2018 al 2022, a nivel institucional esta subpartida para el 2018 muestra que la ejecución presupuestaria estuvo por encima de lo formulado, para el 2019 el monto ejecutado fue menor a los recursos formulados, para el 2020 debido a la pandemia del Covid-19, la ejecución se incrementó de manera significativa siendo un 328,08% con respecto a lo formulado. Para el 2022 de manera preventiva y considerando que aún se van a mantener las medidas sanitarias, se presupuesta a nivel institucional un monto considerablemente mayor a los años anteriores.</w:t>
      </w:r>
    </w:p>
    <w:p w14:paraId="4DF812B1" w14:textId="77777777" w:rsidR="00083CA4" w:rsidRPr="002A7673" w:rsidRDefault="00083CA4" w:rsidP="002B6FA6">
      <w:pPr>
        <w:spacing w:after="0" w:line="240" w:lineRule="auto"/>
        <w:ind w:left="851" w:right="851" w:firstLine="709"/>
        <w:jc w:val="both"/>
        <w:rPr>
          <w:rFonts w:ascii="Times New Roman" w:eastAsia="Calibri" w:hAnsi="Times New Roman" w:cs="Times New Roman"/>
          <w:b/>
          <w:sz w:val="26"/>
          <w:szCs w:val="26"/>
        </w:rPr>
      </w:pPr>
    </w:p>
    <w:p w14:paraId="40F1F36E" w14:textId="77777777" w:rsidR="00083CA4" w:rsidRPr="002A7673" w:rsidRDefault="00083CA4" w:rsidP="004D76F5">
      <w:pPr>
        <w:numPr>
          <w:ilvl w:val="0"/>
          <w:numId w:val="4"/>
        </w:numPr>
        <w:spacing w:after="0" w:line="240" w:lineRule="auto"/>
        <w:ind w:left="851" w:firstLine="0"/>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Análisis de la Ejecución Presupuestaria de la Subpartida</w:t>
      </w:r>
    </w:p>
    <w:p w14:paraId="1D14A8B7" w14:textId="77777777" w:rsidR="00083CA4" w:rsidRPr="002A7673" w:rsidRDefault="00083CA4" w:rsidP="005F7139">
      <w:pPr>
        <w:spacing w:after="0" w:line="276" w:lineRule="auto"/>
        <w:jc w:val="both"/>
        <w:rPr>
          <w:rFonts w:ascii="Times New Roman" w:eastAsia="Calibri" w:hAnsi="Times New Roman" w:cs="Times New Roman"/>
          <w:sz w:val="26"/>
          <w:szCs w:val="26"/>
        </w:rPr>
      </w:pPr>
    </w:p>
    <w:p w14:paraId="3C994195"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Cuadro N°8</w:t>
      </w:r>
    </w:p>
    <w:p w14:paraId="5E75C772"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 xml:space="preserve">Ejecución Presupuestaria </w:t>
      </w:r>
      <w:r w:rsidRPr="002A7673">
        <w:rPr>
          <w:rFonts w:ascii="Times New Roman" w:eastAsia="Times New Roman" w:hAnsi="Times New Roman" w:cs="Times New Roman"/>
          <w:b/>
          <w:bCs/>
          <w:sz w:val="26"/>
          <w:szCs w:val="26"/>
          <w:lang w:eastAsia="es-CR"/>
        </w:rPr>
        <w:t>Subpartida 29905 Útiles y Materiales de Limpieza</w:t>
      </w:r>
    </w:p>
    <w:p w14:paraId="677143D8"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Periodo 2018-2020</w:t>
      </w:r>
    </w:p>
    <w:p w14:paraId="7F4490BA" w14:textId="77777777" w:rsidR="00083CA4" w:rsidRPr="002A7673" w:rsidRDefault="00083CA4" w:rsidP="005F7139">
      <w:pPr>
        <w:spacing w:after="0" w:line="276" w:lineRule="auto"/>
        <w:jc w:val="center"/>
        <w:rPr>
          <w:rFonts w:ascii="Times New Roman" w:eastAsia="Calibri" w:hAnsi="Times New Roman" w:cs="Times New Roman"/>
          <w:sz w:val="26"/>
          <w:szCs w:val="26"/>
        </w:rPr>
      </w:pPr>
    </w:p>
    <w:p w14:paraId="047138EB" w14:textId="77777777" w:rsidR="00083CA4" w:rsidRPr="002A7673" w:rsidRDefault="00083CA4" w:rsidP="005F7139">
      <w:pPr>
        <w:spacing w:after="0" w:line="276" w:lineRule="auto"/>
        <w:jc w:val="center"/>
        <w:rPr>
          <w:rFonts w:ascii="Times New Roman" w:eastAsia="Calibri" w:hAnsi="Times New Roman" w:cs="Times New Roman"/>
          <w:sz w:val="26"/>
          <w:szCs w:val="26"/>
        </w:rPr>
      </w:pPr>
      <w:r w:rsidRPr="002A7673">
        <w:rPr>
          <w:rFonts w:ascii="Times New Roman" w:eastAsia="Calibri" w:hAnsi="Times New Roman" w:cs="Times New Roman"/>
          <w:noProof/>
          <w:sz w:val="26"/>
          <w:szCs w:val="26"/>
          <w:lang w:eastAsia="es-CR"/>
        </w:rPr>
        <w:drawing>
          <wp:inline distT="0" distB="0" distL="0" distR="0" wp14:anchorId="493F1EBA" wp14:editId="158A9ED0">
            <wp:extent cx="4124325" cy="923925"/>
            <wp:effectExtent l="0" t="0" r="9525"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24325" cy="923925"/>
                    </a:xfrm>
                    <a:prstGeom prst="rect">
                      <a:avLst/>
                    </a:prstGeom>
                    <a:noFill/>
                    <a:ln>
                      <a:noFill/>
                    </a:ln>
                  </pic:spPr>
                </pic:pic>
              </a:graphicData>
            </a:graphic>
          </wp:inline>
        </w:drawing>
      </w:r>
    </w:p>
    <w:p w14:paraId="06A140E7" w14:textId="77777777" w:rsidR="00083CA4" w:rsidRPr="002A7673" w:rsidRDefault="00083CA4" w:rsidP="005F7139">
      <w:pPr>
        <w:spacing w:after="0" w:line="276" w:lineRule="auto"/>
        <w:jc w:val="center"/>
        <w:rPr>
          <w:rFonts w:ascii="Times New Roman" w:eastAsia="Calibri" w:hAnsi="Times New Roman" w:cs="Times New Roman"/>
          <w:sz w:val="26"/>
          <w:szCs w:val="26"/>
        </w:rPr>
      </w:pPr>
    </w:p>
    <w:p w14:paraId="734393DD" w14:textId="77777777" w:rsidR="00083CA4" w:rsidRPr="002A7673" w:rsidRDefault="00083CA4" w:rsidP="005F7139">
      <w:pPr>
        <w:spacing w:after="0" w:line="360" w:lineRule="auto"/>
        <w:ind w:left="708" w:firstLine="708"/>
        <w:jc w:val="both"/>
        <w:rPr>
          <w:rFonts w:ascii="Times New Roman" w:eastAsia="Calibri" w:hAnsi="Times New Roman" w:cs="Times New Roman"/>
          <w:sz w:val="26"/>
          <w:szCs w:val="26"/>
        </w:rPr>
      </w:pPr>
      <w:r w:rsidRPr="002A7673">
        <w:rPr>
          <w:rFonts w:ascii="Times New Roman" w:eastAsia="Calibri" w:hAnsi="Times New Roman" w:cs="Times New Roman"/>
          <w:b/>
          <w:bCs/>
          <w:sz w:val="26"/>
          <w:szCs w:val="26"/>
        </w:rPr>
        <w:t>Fuente:</w:t>
      </w:r>
      <w:r w:rsidRPr="002A7673">
        <w:rPr>
          <w:rFonts w:ascii="Times New Roman" w:eastAsia="Calibri" w:hAnsi="Times New Roman" w:cs="Times New Roman"/>
          <w:sz w:val="26"/>
          <w:szCs w:val="26"/>
        </w:rPr>
        <w:t xml:space="preserve"> Sistema SIGA-PJ.</w:t>
      </w:r>
    </w:p>
    <w:p w14:paraId="028C7D19" w14:textId="77777777" w:rsidR="00083CA4" w:rsidRPr="002A7673" w:rsidRDefault="00083CA4" w:rsidP="005F7139">
      <w:pPr>
        <w:spacing w:after="0" w:line="360" w:lineRule="auto"/>
        <w:jc w:val="both"/>
        <w:rPr>
          <w:rFonts w:ascii="Times New Roman" w:eastAsia="Calibri" w:hAnsi="Times New Roman" w:cs="Times New Roman"/>
          <w:sz w:val="26"/>
          <w:szCs w:val="26"/>
        </w:rPr>
      </w:pPr>
    </w:p>
    <w:p w14:paraId="62A7ECA4"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Como se indicó anteriormente, en el 2020 la ejecución de la subpartida 29905 Útiles y Materiales de Limpieza alcanzó un 328,08%, esto producto de la pandemia del Covid-19, lo que implicó reforzar la subpartida en ¢555.552.919. </w:t>
      </w:r>
    </w:p>
    <w:p w14:paraId="5F2E3123"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p>
    <w:p w14:paraId="0A1FE93B" w14:textId="77777777" w:rsidR="00083CA4" w:rsidRPr="002A7673" w:rsidRDefault="00083CA4" w:rsidP="004D76F5">
      <w:pPr>
        <w:numPr>
          <w:ilvl w:val="0"/>
          <w:numId w:val="4"/>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Variación por Programa Presupuestario 2021-2022</w:t>
      </w:r>
    </w:p>
    <w:p w14:paraId="054323ED" w14:textId="77777777" w:rsidR="00083CA4" w:rsidRPr="002A7673" w:rsidRDefault="00083CA4" w:rsidP="004D76F5">
      <w:pPr>
        <w:spacing w:after="0" w:line="240" w:lineRule="auto"/>
        <w:ind w:left="851" w:right="851" w:firstLine="709"/>
        <w:rPr>
          <w:rFonts w:ascii="Times New Roman" w:eastAsia="Times New Roman" w:hAnsi="Times New Roman" w:cs="Times New Roman"/>
          <w:b/>
          <w:sz w:val="26"/>
          <w:szCs w:val="26"/>
          <w:lang w:val="es-ES" w:eastAsia="es-ES"/>
        </w:rPr>
      </w:pPr>
    </w:p>
    <w:p w14:paraId="7BC5E401"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Al realizar el análisis comparativo de los recursos formulados en la subpartida 29905 Útiles y Materiales de Limpieza, se observa que todos los programas presupuestarios crecen de manera significativa, siendo los que presentan porcentajes más altos: el 929 Ministerio Público (96,77%), 950 Servicio de Atención y Protección de Víctimas y Testigos (77,57%), 930 </w:t>
      </w:r>
      <w:r w:rsidRPr="002A7673">
        <w:rPr>
          <w:rFonts w:ascii="Times New Roman" w:eastAsia="Calibri" w:hAnsi="Times New Roman" w:cs="Times New Roman"/>
          <w:sz w:val="26"/>
          <w:szCs w:val="26"/>
        </w:rPr>
        <w:lastRenderedPageBreak/>
        <w:t>Defensa Pública (58,30%) y el 928 Organismo de Investigación Judicial (53,81%).  </w:t>
      </w:r>
    </w:p>
    <w:p w14:paraId="71C9014E" w14:textId="77777777" w:rsidR="00083CA4" w:rsidRPr="002A7673" w:rsidRDefault="00083CA4" w:rsidP="005F7139">
      <w:pPr>
        <w:spacing w:after="0" w:line="240" w:lineRule="auto"/>
        <w:rPr>
          <w:rFonts w:ascii="Times New Roman" w:eastAsia="Times New Roman" w:hAnsi="Times New Roman" w:cs="Times New Roman"/>
          <w:b/>
          <w:bCs/>
          <w:sz w:val="26"/>
          <w:szCs w:val="26"/>
          <w:lang w:eastAsia="es-CR"/>
        </w:rPr>
      </w:pPr>
    </w:p>
    <w:p w14:paraId="474412C8"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Cuadro N°9</w:t>
      </w:r>
    </w:p>
    <w:p w14:paraId="19916FD4"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 xml:space="preserve">Formulación Presupuestaria por Programa Subpartida </w:t>
      </w:r>
      <w:r w:rsidRPr="002A7673">
        <w:rPr>
          <w:rFonts w:ascii="Times New Roman" w:eastAsia="Times New Roman" w:hAnsi="Times New Roman" w:cs="Times New Roman"/>
          <w:b/>
          <w:bCs/>
          <w:sz w:val="26"/>
          <w:szCs w:val="26"/>
          <w:lang w:eastAsia="es-CR"/>
        </w:rPr>
        <w:t xml:space="preserve">29905 Útiles y </w:t>
      </w:r>
    </w:p>
    <w:p w14:paraId="7B7BE470"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bCs/>
          <w:sz w:val="26"/>
          <w:szCs w:val="26"/>
          <w:lang w:eastAsia="es-CR"/>
        </w:rPr>
        <w:t>Materiales de Limpieza</w:t>
      </w:r>
      <w:r w:rsidRPr="002A7673">
        <w:rPr>
          <w:rFonts w:ascii="Times New Roman" w:eastAsia="Times New Roman" w:hAnsi="Times New Roman" w:cs="Times New Roman"/>
          <w:b/>
          <w:sz w:val="26"/>
          <w:szCs w:val="26"/>
          <w:lang w:eastAsia="es-CR"/>
        </w:rPr>
        <w:t>, Periodo 2021–2022</w:t>
      </w:r>
    </w:p>
    <w:p w14:paraId="5AF7A761" w14:textId="77777777" w:rsidR="00083CA4" w:rsidRPr="002A7673" w:rsidRDefault="00083CA4" w:rsidP="005F7139">
      <w:pPr>
        <w:spacing w:after="0" w:line="240" w:lineRule="auto"/>
        <w:rPr>
          <w:rFonts w:ascii="Times New Roman" w:eastAsia="Calibri" w:hAnsi="Times New Roman" w:cs="Times New Roman"/>
          <w:b/>
          <w:bCs/>
          <w:sz w:val="16"/>
          <w:szCs w:val="24"/>
        </w:rPr>
      </w:pPr>
    </w:p>
    <w:p w14:paraId="69DD1678" w14:textId="77777777" w:rsidR="00083CA4" w:rsidRPr="002A7673" w:rsidRDefault="00083CA4" w:rsidP="005F7139">
      <w:pPr>
        <w:spacing w:after="0" w:line="240" w:lineRule="auto"/>
        <w:jc w:val="center"/>
        <w:rPr>
          <w:rFonts w:ascii="Times New Roman" w:eastAsia="Calibri" w:hAnsi="Times New Roman" w:cs="Times New Roman"/>
          <w:b/>
          <w:bCs/>
          <w:sz w:val="16"/>
          <w:szCs w:val="24"/>
        </w:rPr>
      </w:pPr>
      <w:r w:rsidRPr="002A7673">
        <w:rPr>
          <w:rFonts w:ascii="Times New Roman" w:eastAsia="Calibri" w:hAnsi="Times New Roman" w:cs="Times New Roman"/>
          <w:noProof/>
          <w:lang w:eastAsia="es-CR"/>
        </w:rPr>
        <w:drawing>
          <wp:inline distT="0" distB="0" distL="0" distR="0" wp14:anchorId="01FB51DB" wp14:editId="217FEC31">
            <wp:extent cx="6030596" cy="1550670"/>
            <wp:effectExtent l="0" t="0" r="8255" b="0"/>
            <wp:docPr id="33" name="Imagen 3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072"/>
                    <pic:cNvPicPr/>
                  </pic:nvPicPr>
                  <pic:blipFill>
                    <a:blip r:embed="rId44">
                      <a:extLst>
                        <a:ext uri="{28A0092B-C50C-407E-A947-70E740481C1C}">
                          <a14:useLocalDpi xmlns:a14="http://schemas.microsoft.com/office/drawing/2010/main" val="0"/>
                        </a:ext>
                      </a:extLst>
                    </a:blip>
                    <a:stretch>
                      <a:fillRect/>
                    </a:stretch>
                  </pic:blipFill>
                  <pic:spPr>
                    <a:xfrm>
                      <a:off x="0" y="0"/>
                      <a:ext cx="6030596" cy="1550670"/>
                    </a:xfrm>
                    <a:prstGeom prst="rect">
                      <a:avLst/>
                    </a:prstGeom>
                  </pic:spPr>
                </pic:pic>
              </a:graphicData>
            </a:graphic>
          </wp:inline>
        </w:drawing>
      </w:r>
    </w:p>
    <w:p w14:paraId="61B3D874" w14:textId="77777777" w:rsidR="00083CA4" w:rsidRPr="002A7673" w:rsidRDefault="00083CA4" w:rsidP="005F7139">
      <w:pPr>
        <w:spacing w:after="0" w:line="240" w:lineRule="auto"/>
        <w:jc w:val="center"/>
        <w:rPr>
          <w:rFonts w:ascii="Times New Roman" w:eastAsia="Calibri" w:hAnsi="Times New Roman" w:cs="Times New Roman"/>
          <w:b/>
          <w:bCs/>
          <w:sz w:val="16"/>
          <w:szCs w:val="24"/>
        </w:rPr>
      </w:pPr>
    </w:p>
    <w:p w14:paraId="4B83B255" w14:textId="77777777" w:rsidR="00083CA4" w:rsidRPr="002A7673" w:rsidRDefault="00083CA4" w:rsidP="005F7139">
      <w:pPr>
        <w:spacing w:after="0" w:line="240" w:lineRule="auto"/>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165D38B4"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1155125B"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A nivel del total de la subpartida 29905 Útiles y Materiales de Limpieza el incremento es 25,77%, es decir ¢96.330.827 más que el año anterior. Este crecimiento es reflejo de que se mantienen las medidas sanitarias para atender la pandemia del Covid-19. </w:t>
      </w:r>
    </w:p>
    <w:p w14:paraId="07ADF30C" w14:textId="77777777" w:rsidR="00083CA4" w:rsidRPr="002A7673" w:rsidRDefault="00083CA4" w:rsidP="005F7139">
      <w:pPr>
        <w:spacing w:after="0" w:line="240" w:lineRule="auto"/>
        <w:rPr>
          <w:rFonts w:ascii="Times New Roman" w:eastAsia="Times New Roman" w:hAnsi="Times New Roman" w:cs="Times New Roman"/>
          <w:b/>
          <w:bCs/>
          <w:sz w:val="24"/>
          <w:szCs w:val="24"/>
          <w:lang w:eastAsia="es-CR"/>
        </w:rPr>
      </w:pPr>
    </w:p>
    <w:p w14:paraId="3751B980"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Gráfico N°5</w:t>
      </w:r>
    </w:p>
    <w:p w14:paraId="5546286F"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 xml:space="preserve">Distribución por Programa Subpartida </w:t>
      </w:r>
      <w:r w:rsidRPr="002A7673">
        <w:rPr>
          <w:rFonts w:ascii="Times New Roman" w:eastAsia="Times New Roman" w:hAnsi="Times New Roman" w:cs="Times New Roman"/>
          <w:b/>
          <w:bCs/>
          <w:sz w:val="26"/>
          <w:szCs w:val="26"/>
          <w:lang w:eastAsia="es-CR"/>
        </w:rPr>
        <w:t xml:space="preserve">29905 Útiles y </w:t>
      </w:r>
    </w:p>
    <w:p w14:paraId="7F8A085B"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sz w:val="26"/>
          <w:szCs w:val="26"/>
          <w:lang w:eastAsia="es-CR"/>
        </w:rPr>
      </w:pPr>
      <w:r w:rsidRPr="002A7673">
        <w:rPr>
          <w:rFonts w:ascii="Times New Roman" w:eastAsia="Times New Roman" w:hAnsi="Times New Roman" w:cs="Times New Roman"/>
          <w:b/>
          <w:bCs/>
          <w:sz w:val="26"/>
          <w:szCs w:val="26"/>
          <w:lang w:eastAsia="es-CR"/>
        </w:rPr>
        <w:t>Materiales de Limpieza</w:t>
      </w:r>
      <w:r w:rsidRPr="002A7673">
        <w:rPr>
          <w:rFonts w:ascii="Times New Roman" w:eastAsia="Times New Roman" w:hAnsi="Times New Roman" w:cs="Times New Roman"/>
          <w:b/>
          <w:sz w:val="26"/>
          <w:szCs w:val="26"/>
          <w:lang w:eastAsia="es-CR"/>
        </w:rPr>
        <w:t>, Periodo 2022 </w:t>
      </w:r>
    </w:p>
    <w:p w14:paraId="6D6F89AF" w14:textId="77777777" w:rsidR="00083CA4" w:rsidRPr="002A7673" w:rsidRDefault="00083CA4" w:rsidP="005F7139">
      <w:pPr>
        <w:spacing w:after="0" w:line="240" w:lineRule="auto"/>
        <w:jc w:val="center"/>
        <w:textAlignment w:val="baseline"/>
        <w:rPr>
          <w:rFonts w:ascii="Times New Roman" w:eastAsia="Times New Roman" w:hAnsi="Times New Roman" w:cs="Times New Roman"/>
          <w:sz w:val="18"/>
          <w:szCs w:val="18"/>
          <w:lang w:eastAsia="es-CR"/>
        </w:rPr>
      </w:pPr>
    </w:p>
    <w:p w14:paraId="6B01FDE0" w14:textId="77777777" w:rsidR="00083CA4" w:rsidRPr="002A7673" w:rsidRDefault="00083CA4" w:rsidP="005F7139">
      <w:pPr>
        <w:spacing w:after="0" w:line="240" w:lineRule="auto"/>
        <w:jc w:val="center"/>
        <w:rPr>
          <w:rFonts w:ascii="Times New Roman" w:eastAsia="Calibri" w:hAnsi="Times New Roman" w:cs="Times New Roman"/>
          <w:sz w:val="24"/>
          <w:szCs w:val="24"/>
        </w:rPr>
      </w:pPr>
      <w:r w:rsidRPr="002A7673">
        <w:rPr>
          <w:rFonts w:ascii="Times New Roman" w:eastAsia="Calibri" w:hAnsi="Times New Roman" w:cs="Times New Roman"/>
          <w:noProof/>
          <w:lang w:eastAsia="es-CR"/>
        </w:rPr>
        <w:lastRenderedPageBreak/>
        <w:drawing>
          <wp:inline distT="0" distB="0" distL="0" distR="0" wp14:anchorId="4394DF08" wp14:editId="413D0E79">
            <wp:extent cx="4676192" cy="2780952"/>
            <wp:effectExtent l="0" t="0" r="0" b="635"/>
            <wp:docPr id="34" name="Imagen 3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073"/>
                    <pic:cNvPicPr/>
                  </pic:nvPicPr>
                  <pic:blipFill>
                    <a:blip r:embed="rId45">
                      <a:extLst>
                        <a:ext uri="{28A0092B-C50C-407E-A947-70E740481C1C}">
                          <a14:useLocalDpi xmlns:a14="http://schemas.microsoft.com/office/drawing/2010/main" val="0"/>
                        </a:ext>
                      </a:extLst>
                    </a:blip>
                    <a:stretch>
                      <a:fillRect/>
                    </a:stretch>
                  </pic:blipFill>
                  <pic:spPr>
                    <a:xfrm>
                      <a:off x="0" y="0"/>
                      <a:ext cx="4676192" cy="2780952"/>
                    </a:xfrm>
                    <a:prstGeom prst="rect">
                      <a:avLst/>
                    </a:prstGeom>
                  </pic:spPr>
                </pic:pic>
              </a:graphicData>
            </a:graphic>
          </wp:inline>
        </w:drawing>
      </w:r>
    </w:p>
    <w:p w14:paraId="46756B97" w14:textId="77777777" w:rsidR="00083CA4" w:rsidRPr="002A7673" w:rsidRDefault="00083CA4" w:rsidP="005F7139">
      <w:pPr>
        <w:spacing w:after="0" w:line="240" w:lineRule="auto"/>
        <w:ind w:left="708" w:firstLine="708"/>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21AD6B61"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14FD34D1"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el gráfico anterior se muestra que el programa 926 Dirección y Administración solicita la mayor cantidad de recursos con un 46%, seguido del 928 Organismo de Investigación Judicial con el 30% y </w:t>
      </w:r>
      <w:proofErr w:type="gramStart"/>
      <w:r w:rsidRPr="002A7673">
        <w:rPr>
          <w:rFonts w:ascii="Times New Roman" w:eastAsia="Calibri" w:hAnsi="Times New Roman" w:cs="Times New Roman"/>
          <w:sz w:val="26"/>
          <w:szCs w:val="26"/>
        </w:rPr>
        <w:t>el  927</w:t>
      </w:r>
      <w:proofErr w:type="gramEnd"/>
      <w:r w:rsidRPr="002A7673">
        <w:rPr>
          <w:rFonts w:ascii="Times New Roman" w:eastAsia="Calibri" w:hAnsi="Times New Roman" w:cs="Times New Roman"/>
          <w:sz w:val="26"/>
          <w:szCs w:val="26"/>
        </w:rPr>
        <w:t xml:space="preserve"> Servicio Jurisdiccional con un 14%. El resto de </w:t>
      </w:r>
      <w:proofErr w:type="gramStart"/>
      <w:r w:rsidRPr="002A7673">
        <w:rPr>
          <w:rFonts w:ascii="Times New Roman" w:eastAsia="Calibri" w:hAnsi="Times New Roman" w:cs="Times New Roman"/>
          <w:sz w:val="26"/>
          <w:szCs w:val="26"/>
        </w:rPr>
        <w:t>programas</w:t>
      </w:r>
      <w:proofErr w:type="gramEnd"/>
      <w:r w:rsidRPr="002A7673">
        <w:rPr>
          <w:rFonts w:ascii="Times New Roman" w:eastAsia="Calibri" w:hAnsi="Times New Roman" w:cs="Times New Roman"/>
          <w:sz w:val="26"/>
          <w:szCs w:val="26"/>
        </w:rPr>
        <w:t xml:space="preserve"> se encuentran en el 5% o menos.</w:t>
      </w:r>
    </w:p>
    <w:p w14:paraId="50E001D4" w14:textId="77777777" w:rsidR="00083CA4" w:rsidRPr="002A7673" w:rsidRDefault="00083CA4" w:rsidP="004D76F5">
      <w:pPr>
        <w:spacing w:after="0" w:line="240" w:lineRule="auto"/>
        <w:ind w:left="851" w:right="851" w:firstLine="709"/>
        <w:rPr>
          <w:rFonts w:ascii="Times New Roman" w:eastAsia="Calibri" w:hAnsi="Times New Roman" w:cs="Times New Roman"/>
          <w:b/>
          <w:sz w:val="26"/>
          <w:szCs w:val="26"/>
        </w:rPr>
      </w:pPr>
    </w:p>
    <w:p w14:paraId="3CB2FBEE" w14:textId="77777777" w:rsidR="00083CA4" w:rsidRPr="002A7673" w:rsidRDefault="00083CA4" w:rsidP="004D76F5">
      <w:pPr>
        <w:numPr>
          <w:ilvl w:val="0"/>
          <w:numId w:val="4"/>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Distribución por Centro de Responsabilidad</w:t>
      </w:r>
    </w:p>
    <w:p w14:paraId="3977B21A" w14:textId="77777777" w:rsidR="00083CA4" w:rsidRPr="002A7673" w:rsidRDefault="00083CA4" w:rsidP="004D76F5">
      <w:pPr>
        <w:spacing w:after="0" w:line="240" w:lineRule="auto"/>
        <w:ind w:left="851" w:right="851" w:firstLine="709"/>
        <w:jc w:val="both"/>
        <w:textAlignment w:val="baseline"/>
        <w:rPr>
          <w:rFonts w:ascii="Times New Roman" w:eastAsia="Times New Roman" w:hAnsi="Times New Roman" w:cs="Times New Roman"/>
          <w:sz w:val="26"/>
          <w:szCs w:val="26"/>
          <w:lang w:eastAsia="es-CR"/>
        </w:rPr>
      </w:pPr>
    </w:p>
    <w:p w14:paraId="3FF864B7" w14:textId="77777777" w:rsidR="004D76F5"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el siguiente cuadro se muestra la distribución por centro de responsabilidad de los recursos formulados en el anteproyecto de presupuesto 2022, en la subpartida 29905 Útiles y Materiales de Limpieza.</w:t>
      </w:r>
    </w:p>
    <w:p w14:paraId="373C8F15" w14:textId="77777777" w:rsidR="00083CA4" w:rsidRPr="002A7673" w:rsidRDefault="004D76F5" w:rsidP="004D76F5">
      <w:pPr>
        <w:tabs>
          <w:tab w:val="left" w:pos="935"/>
        </w:tabs>
        <w:rPr>
          <w:rFonts w:ascii="Times New Roman" w:eastAsia="Times New Roman" w:hAnsi="Times New Roman" w:cs="Times New Roman"/>
          <w:b/>
          <w:bCs/>
          <w:sz w:val="24"/>
          <w:szCs w:val="24"/>
          <w:lang w:eastAsia="es-CR"/>
        </w:rPr>
      </w:pPr>
      <w:r w:rsidRPr="002A7673">
        <w:rPr>
          <w:rFonts w:ascii="Times New Roman" w:eastAsia="Calibri" w:hAnsi="Times New Roman" w:cs="Times New Roman"/>
          <w:sz w:val="26"/>
          <w:szCs w:val="26"/>
        </w:rPr>
        <w:lastRenderedPageBreak/>
        <w:tab/>
      </w:r>
      <w:r w:rsidR="00083CA4" w:rsidRPr="002A7673">
        <w:rPr>
          <w:rFonts w:ascii="Times New Roman" w:eastAsia="Times New Roman" w:hAnsi="Times New Roman" w:cs="Times New Roman"/>
          <w:noProof/>
          <w:sz w:val="24"/>
          <w:szCs w:val="24"/>
          <w:lang w:eastAsia="es-CR"/>
        </w:rPr>
        <w:drawing>
          <wp:inline distT="0" distB="0" distL="0" distR="0" wp14:anchorId="5E610641" wp14:editId="4B39E4B2">
            <wp:extent cx="4978400" cy="897763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78400" cy="8977630"/>
                    </a:xfrm>
                    <a:prstGeom prst="rect">
                      <a:avLst/>
                    </a:prstGeom>
                    <a:noFill/>
                    <a:ln>
                      <a:noFill/>
                    </a:ln>
                  </pic:spPr>
                </pic:pic>
              </a:graphicData>
            </a:graphic>
          </wp:inline>
        </w:drawing>
      </w:r>
    </w:p>
    <w:p w14:paraId="2949E0DD"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lastRenderedPageBreak/>
        <w:t>Según se muestra en el cuadro, los centros de responsabilidad con más recursos formulados en la subpartida 29905 Útiles y Materiales de Limpieza para el 2022 son: el Organismo de Investigación Judicial con ¢142.462.973, la Dirección Ejecutiva con ¢49.373.128, el Segundo Circuito Judicial de San José con ¢31.489.672, el Ministerio Público con ¢23.365.540, el Primer Circuito Judicial de San José con ¢18.421.477 y la Administración de la Ciudad Judicial de San Joaquín de Flores con ¢18.342.585.</w:t>
      </w:r>
    </w:p>
    <w:p w14:paraId="124435A9" w14:textId="77777777" w:rsidR="00083CA4" w:rsidRPr="002A7673" w:rsidRDefault="00083CA4" w:rsidP="004D76F5">
      <w:pPr>
        <w:spacing w:after="0" w:line="240" w:lineRule="auto"/>
        <w:ind w:left="851" w:right="851" w:firstLine="709"/>
        <w:rPr>
          <w:rFonts w:ascii="Times New Roman" w:eastAsia="Calibri" w:hAnsi="Times New Roman" w:cs="Times New Roman"/>
          <w:b/>
          <w:sz w:val="26"/>
          <w:szCs w:val="26"/>
        </w:rPr>
      </w:pPr>
    </w:p>
    <w:p w14:paraId="5DCB50C9" w14:textId="77777777" w:rsidR="00083CA4" w:rsidRPr="002A7673" w:rsidRDefault="00083CA4" w:rsidP="004D76F5">
      <w:pPr>
        <w:numPr>
          <w:ilvl w:val="0"/>
          <w:numId w:val="4"/>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Variación Distribución por Artículo</w:t>
      </w:r>
    </w:p>
    <w:p w14:paraId="5BE7184B" w14:textId="77777777" w:rsidR="00083CA4" w:rsidRPr="002A7673" w:rsidRDefault="00083CA4" w:rsidP="004D76F5">
      <w:pPr>
        <w:spacing w:after="0" w:line="240" w:lineRule="auto"/>
        <w:ind w:left="851" w:right="851" w:firstLine="709"/>
        <w:rPr>
          <w:rFonts w:ascii="Times New Roman" w:eastAsia="Times New Roman" w:hAnsi="Times New Roman" w:cs="Times New Roman"/>
          <w:b/>
          <w:sz w:val="26"/>
          <w:szCs w:val="26"/>
          <w:lang w:val="es-ES" w:eastAsia="es-ES"/>
        </w:rPr>
      </w:pPr>
    </w:p>
    <w:p w14:paraId="4B9BD6F4"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el siguiente cuadro se muestran las variaciones del 2021 al 2022, en la formulación detallada por artículo, de la subpartida 29905 Útiles y Materiales de Limpieza.</w:t>
      </w:r>
    </w:p>
    <w:p w14:paraId="34922316" w14:textId="77777777" w:rsidR="00083CA4" w:rsidRPr="002A7673" w:rsidRDefault="00083CA4" w:rsidP="005F7139">
      <w:pPr>
        <w:spacing w:after="0" w:line="240" w:lineRule="auto"/>
        <w:rPr>
          <w:rFonts w:ascii="Times New Roman" w:eastAsia="Calibri" w:hAnsi="Times New Roman" w:cs="Times New Roman"/>
          <w:b/>
          <w:bCs/>
          <w:sz w:val="26"/>
          <w:szCs w:val="26"/>
        </w:rPr>
      </w:pPr>
    </w:p>
    <w:p w14:paraId="6558D1AA" w14:textId="77777777" w:rsidR="00083CA4" w:rsidRPr="002A7673" w:rsidRDefault="00083CA4" w:rsidP="005F7139">
      <w:pPr>
        <w:spacing w:after="0" w:line="276" w:lineRule="auto"/>
        <w:ind w:firstLine="709"/>
        <w:jc w:val="center"/>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Cuadro N°11</w:t>
      </w:r>
    </w:p>
    <w:p w14:paraId="1B705C53" w14:textId="77777777" w:rsidR="00083CA4" w:rsidRPr="002A7673" w:rsidRDefault="00083CA4" w:rsidP="005F7139">
      <w:pPr>
        <w:spacing w:after="0" w:line="276" w:lineRule="auto"/>
        <w:ind w:firstLine="709"/>
        <w:jc w:val="center"/>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Variación de Recursos Presupuestados por Artículo</w:t>
      </w:r>
    </w:p>
    <w:p w14:paraId="40928F67"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sz w:val="26"/>
          <w:szCs w:val="26"/>
          <w:lang w:eastAsia="es-CR"/>
        </w:rPr>
        <w:t xml:space="preserve">Subpartida </w:t>
      </w:r>
      <w:r w:rsidRPr="002A7673">
        <w:rPr>
          <w:rFonts w:ascii="Times New Roman" w:eastAsia="Times New Roman" w:hAnsi="Times New Roman" w:cs="Times New Roman"/>
          <w:b/>
          <w:bCs/>
          <w:sz w:val="26"/>
          <w:szCs w:val="26"/>
          <w:lang w:eastAsia="es-CR"/>
        </w:rPr>
        <w:t>29905 Útiles y Materiales de Limpieza</w:t>
      </w:r>
      <w:r w:rsidRPr="002A7673">
        <w:rPr>
          <w:rFonts w:ascii="Times New Roman" w:eastAsia="Times New Roman" w:hAnsi="Times New Roman" w:cs="Times New Roman"/>
          <w:sz w:val="26"/>
          <w:szCs w:val="26"/>
          <w:lang w:eastAsia="es-CR"/>
        </w:rPr>
        <w:t>, Periodo 2021-2022</w:t>
      </w:r>
    </w:p>
    <w:p w14:paraId="5194458C" w14:textId="77777777" w:rsidR="00083CA4" w:rsidRPr="002A7673" w:rsidRDefault="00083CA4" w:rsidP="005F7139">
      <w:pPr>
        <w:spacing w:after="0" w:line="240" w:lineRule="auto"/>
        <w:ind w:left="426"/>
        <w:rPr>
          <w:rFonts w:ascii="Times New Roman" w:eastAsia="Times New Roman" w:hAnsi="Times New Roman" w:cs="Times New Roman"/>
          <w:b/>
          <w:sz w:val="24"/>
          <w:szCs w:val="24"/>
          <w:lang w:val="es-ES" w:eastAsia="es-ES"/>
        </w:rPr>
      </w:pPr>
    </w:p>
    <w:p w14:paraId="403CF19D" w14:textId="77777777" w:rsidR="00083CA4" w:rsidRPr="002A7673" w:rsidRDefault="00083CA4" w:rsidP="005F7139">
      <w:pPr>
        <w:spacing w:after="0" w:line="240" w:lineRule="auto"/>
        <w:ind w:left="426"/>
        <w:jc w:val="center"/>
        <w:rPr>
          <w:rFonts w:ascii="Times New Roman" w:eastAsia="Times New Roman" w:hAnsi="Times New Roman" w:cs="Times New Roman"/>
          <w:b/>
          <w:sz w:val="24"/>
          <w:szCs w:val="24"/>
          <w:lang w:val="es-ES" w:eastAsia="es-ES"/>
        </w:rPr>
      </w:pPr>
      <w:r w:rsidRPr="002A7673">
        <w:rPr>
          <w:rFonts w:ascii="Times New Roman" w:eastAsia="Times New Roman" w:hAnsi="Times New Roman" w:cs="Times New Roman"/>
          <w:noProof/>
          <w:sz w:val="24"/>
          <w:szCs w:val="24"/>
          <w:lang w:eastAsia="es-CR"/>
        </w:rPr>
        <w:drawing>
          <wp:inline distT="0" distB="0" distL="0" distR="0" wp14:anchorId="07076EE3" wp14:editId="4335B55C">
            <wp:extent cx="4794250" cy="1866900"/>
            <wp:effectExtent l="0" t="0" r="635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94250" cy="1866900"/>
                    </a:xfrm>
                    <a:prstGeom prst="rect">
                      <a:avLst/>
                    </a:prstGeom>
                    <a:noFill/>
                    <a:ln>
                      <a:noFill/>
                    </a:ln>
                  </pic:spPr>
                </pic:pic>
              </a:graphicData>
            </a:graphic>
          </wp:inline>
        </w:drawing>
      </w:r>
    </w:p>
    <w:p w14:paraId="7D0DE122" w14:textId="77777777" w:rsidR="00083CA4" w:rsidRPr="002A7673" w:rsidRDefault="00083CA4" w:rsidP="005F7139">
      <w:pPr>
        <w:spacing w:after="0" w:line="240" w:lineRule="auto"/>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 xml:space="preserve">    </w:t>
      </w:r>
      <w:r w:rsidRPr="002A7673">
        <w:rPr>
          <w:rFonts w:ascii="Times New Roman" w:eastAsia="Calibri" w:hAnsi="Times New Roman" w:cs="Times New Roman"/>
          <w:b/>
          <w:bCs/>
          <w:sz w:val="16"/>
          <w:szCs w:val="24"/>
        </w:rPr>
        <w:tab/>
      </w:r>
      <w:r w:rsidRPr="002A7673">
        <w:rPr>
          <w:rFonts w:ascii="Times New Roman" w:eastAsia="Calibri" w:hAnsi="Times New Roman" w:cs="Times New Roman"/>
          <w:b/>
          <w:bCs/>
          <w:sz w:val="16"/>
          <w:szCs w:val="24"/>
        </w:rPr>
        <w:tab/>
        <w:t>Fuente:</w:t>
      </w:r>
      <w:r w:rsidRPr="002A7673">
        <w:rPr>
          <w:rFonts w:ascii="Times New Roman" w:eastAsia="Calibri" w:hAnsi="Times New Roman" w:cs="Times New Roman"/>
          <w:sz w:val="16"/>
          <w:szCs w:val="24"/>
        </w:rPr>
        <w:t xml:space="preserve"> Sistema SIGA-PJ.</w:t>
      </w:r>
    </w:p>
    <w:p w14:paraId="1882D209" w14:textId="77777777" w:rsidR="00083CA4" w:rsidRPr="002A7673" w:rsidRDefault="00083CA4" w:rsidP="005F7139">
      <w:pPr>
        <w:spacing w:after="0" w:line="240" w:lineRule="auto"/>
        <w:jc w:val="both"/>
        <w:textAlignment w:val="baseline"/>
        <w:rPr>
          <w:rFonts w:ascii="Times New Roman" w:eastAsia="Times New Roman" w:hAnsi="Times New Roman" w:cs="Times New Roman"/>
          <w:sz w:val="24"/>
          <w:szCs w:val="24"/>
          <w:lang w:eastAsia="es-CR"/>
        </w:rPr>
      </w:pPr>
    </w:p>
    <w:p w14:paraId="6DC06055" w14:textId="77777777" w:rsidR="00083CA4" w:rsidRPr="002A7673" w:rsidRDefault="00083CA4" w:rsidP="005F7139">
      <w:pPr>
        <w:spacing w:after="0" w:line="240" w:lineRule="auto"/>
        <w:jc w:val="both"/>
        <w:textAlignment w:val="baseline"/>
        <w:rPr>
          <w:rFonts w:ascii="Times New Roman" w:eastAsia="Times New Roman" w:hAnsi="Times New Roman" w:cs="Times New Roman"/>
          <w:sz w:val="24"/>
          <w:szCs w:val="24"/>
          <w:lang w:eastAsia="es-CR"/>
        </w:rPr>
      </w:pPr>
    </w:p>
    <w:p w14:paraId="083C9E82" w14:textId="77777777" w:rsidR="00083CA4" w:rsidRPr="002A7673" w:rsidRDefault="00083CA4" w:rsidP="004D76F5">
      <w:pPr>
        <w:numPr>
          <w:ilvl w:val="0"/>
          <w:numId w:val="4"/>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Síntesis</w:t>
      </w:r>
    </w:p>
    <w:p w14:paraId="18999DFF" w14:textId="77777777" w:rsidR="00083CA4" w:rsidRPr="002A7673" w:rsidRDefault="00083CA4" w:rsidP="004D76F5">
      <w:pPr>
        <w:spacing w:after="0" w:line="240" w:lineRule="auto"/>
        <w:ind w:left="851" w:right="851" w:firstLine="709"/>
        <w:rPr>
          <w:rFonts w:ascii="Times New Roman" w:eastAsia="Calibri" w:hAnsi="Times New Roman" w:cs="Times New Roman"/>
          <w:b/>
          <w:sz w:val="26"/>
          <w:szCs w:val="26"/>
        </w:rPr>
      </w:pPr>
    </w:p>
    <w:p w14:paraId="584EFF06"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La subpartida 29905 Útiles y Materiales de Limpieza tiene un total formulado para el 2022 de ¢470.173.662, presentando un crecimiento del 25,77% con respecto al monto aprobado para el 2021, es decir ¢96.330.827 más que el año anterior.</w:t>
      </w:r>
    </w:p>
    <w:p w14:paraId="699A7CA4" w14:textId="77777777" w:rsidR="00083CA4" w:rsidRPr="002A7673" w:rsidRDefault="00083CA4" w:rsidP="004D76F5">
      <w:pPr>
        <w:spacing w:after="0" w:line="240" w:lineRule="auto"/>
        <w:ind w:left="851" w:right="851" w:firstLine="709"/>
        <w:rPr>
          <w:rFonts w:ascii="Times New Roman" w:eastAsia="Calibri" w:hAnsi="Times New Roman" w:cs="Times New Roman"/>
          <w:b/>
          <w:sz w:val="26"/>
          <w:szCs w:val="26"/>
        </w:rPr>
      </w:pPr>
    </w:p>
    <w:p w14:paraId="66AC9C42" w14:textId="77777777" w:rsidR="00083CA4" w:rsidRPr="002A7673" w:rsidRDefault="00083CA4" w:rsidP="004D76F5">
      <w:pPr>
        <w:numPr>
          <w:ilvl w:val="0"/>
          <w:numId w:val="3"/>
        </w:numPr>
        <w:shd w:val="clear" w:color="auto" w:fill="2F5496"/>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color w:val="FFFFFF"/>
          <w:sz w:val="26"/>
          <w:szCs w:val="26"/>
          <w:lang w:val="es-ES" w:eastAsia="es-ES"/>
        </w:rPr>
        <w:t>Subpartida 29906 Útiles y Materiales de Resguardo y Seguridad</w:t>
      </w:r>
    </w:p>
    <w:p w14:paraId="06F37369" w14:textId="77777777" w:rsidR="00083CA4" w:rsidRPr="002A7673" w:rsidRDefault="00083CA4" w:rsidP="004D76F5">
      <w:pPr>
        <w:spacing w:after="0" w:line="240" w:lineRule="auto"/>
        <w:ind w:left="851" w:right="851" w:firstLine="709"/>
        <w:rPr>
          <w:rFonts w:ascii="Times New Roman" w:eastAsia="Calibri" w:hAnsi="Times New Roman" w:cs="Times New Roman"/>
          <w:b/>
          <w:sz w:val="26"/>
          <w:szCs w:val="26"/>
        </w:rPr>
      </w:pPr>
    </w:p>
    <w:p w14:paraId="449F380B" w14:textId="77777777" w:rsidR="00083CA4" w:rsidRPr="002A7673" w:rsidRDefault="00083CA4" w:rsidP="004D76F5">
      <w:pPr>
        <w:numPr>
          <w:ilvl w:val="0"/>
          <w:numId w:val="5"/>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Comportamiento de la Subpartida</w:t>
      </w:r>
    </w:p>
    <w:p w14:paraId="2B35E0FA" w14:textId="77777777" w:rsidR="00083CA4" w:rsidRPr="002A7673" w:rsidRDefault="00083CA4" w:rsidP="004D76F5">
      <w:pPr>
        <w:spacing w:after="0" w:line="240" w:lineRule="auto"/>
        <w:ind w:left="851" w:right="851" w:firstLine="709"/>
        <w:jc w:val="both"/>
        <w:rPr>
          <w:rFonts w:ascii="Times New Roman" w:eastAsia="Calibri" w:hAnsi="Times New Roman" w:cs="Times New Roman"/>
          <w:b/>
          <w:sz w:val="26"/>
          <w:szCs w:val="26"/>
        </w:rPr>
      </w:pPr>
    </w:p>
    <w:p w14:paraId="4D04AEA3"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Los recursos formulados en la subpartida 29906 Útiles y Materiales de Resguardo y Seguridad, responden a las necesidades para artículos de seguridad tales como: cinturones de protección lumbar, cintas antideslizantes, guantes, zapatos de seguridad, lentes de seguridad, cascos, cintas y chalecos reflectivos para motociclistas, mangas de protección solar, protectores de cuello, binoculares, trajes de seguridad, municiones, pasamontañas, focos, mascarillas, caretas, entre otros.</w:t>
      </w:r>
    </w:p>
    <w:p w14:paraId="47AC788F" w14:textId="77777777" w:rsidR="00083CA4" w:rsidRPr="002A7673" w:rsidRDefault="00083CA4" w:rsidP="005F7139">
      <w:pPr>
        <w:spacing w:after="0" w:line="360" w:lineRule="auto"/>
        <w:jc w:val="both"/>
        <w:rPr>
          <w:rFonts w:ascii="Times New Roman" w:eastAsia="Calibri" w:hAnsi="Times New Roman" w:cs="Times New Roman"/>
          <w:b/>
          <w:sz w:val="26"/>
          <w:szCs w:val="26"/>
        </w:rPr>
      </w:pPr>
    </w:p>
    <w:p w14:paraId="3E99DB85"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Cuadro N°12</w:t>
      </w:r>
    </w:p>
    <w:p w14:paraId="2F87416D"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sz w:val="26"/>
          <w:szCs w:val="26"/>
          <w:lang w:eastAsia="es-CR"/>
        </w:rPr>
      </w:pPr>
      <w:r w:rsidRPr="002A7673">
        <w:rPr>
          <w:rFonts w:ascii="Times New Roman" w:eastAsia="Times New Roman" w:hAnsi="Times New Roman" w:cs="Times New Roman"/>
          <w:b/>
          <w:sz w:val="26"/>
          <w:szCs w:val="26"/>
          <w:lang w:eastAsia="es-CR"/>
        </w:rPr>
        <w:t>Comportamiento Histórico de la Subpartida 29906 Útiles y Materiales de Resguardo y Seguridad, Periodo 2021-2022</w:t>
      </w:r>
    </w:p>
    <w:p w14:paraId="72E5D0B4" w14:textId="77777777" w:rsidR="00083CA4" w:rsidRPr="002A7673" w:rsidRDefault="00083CA4" w:rsidP="005F7139">
      <w:pPr>
        <w:spacing w:after="0" w:line="240" w:lineRule="auto"/>
        <w:jc w:val="center"/>
        <w:rPr>
          <w:rFonts w:ascii="Times New Roman" w:eastAsia="Calibri" w:hAnsi="Times New Roman" w:cs="Times New Roman"/>
          <w:b/>
          <w:sz w:val="24"/>
          <w:szCs w:val="24"/>
        </w:rPr>
      </w:pPr>
    </w:p>
    <w:p w14:paraId="75848EFC" w14:textId="77777777" w:rsidR="00083CA4" w:rsidRPr="002A7673" w:rsidRDefault="00083CA4" w:rsidP="005F7139">
      <w:pPr>
        <w:spacing w:after="0" w:line="240" w:lineRule="auto"/>
        <w:jc w:val="center"/>
        <w:rPr>
          <w:rFonts w:ascii="Times New Roman" w:eastAsia="Calibri" w:hAnsi="Times New Roman" w:cs="Times New Roman"/>
          <w:b/>
          <w:sz w:val="24"/>
          <w:szCs w:val="24"/>
        </w:rPr>
      </w:pPr>
      <w:r w:rsidRPr="002A7673">
        <w:rPr>
          <w:rFonts w:ascii="Times New Roman" w:eastAsia="Calibri" w:hAnsi="Times New Roman" w:cs="Times New Roman"/>
          <w:noProof/>
          <w:lang w:eastAsia="es-CR"/>
        </w:rPr>
        <w:drawing>
          <wp:inline distT="0" distB="0" distL="0" distR="0" wp14:anchorId="7E7B5B6A" wp14:editId="5D6EFF45">
            <wp:extent cx="6030595" cy="424815"/>
            <wp:effectExtent l="0" t="0" r="825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30595" cy="424815"/>
                    </a:xfrm>
                    <a:prstGeom prst="rect">
                      <a:avLst/>
                    </a:prstGeom>
                    <a:noFill/>
                    <a:ln>
                      <a:noFill/>
                    </a:ln>
                  </pic:spPr>
                </pic:pic>
              </a:graphicData>
            </a:graphic>
          </wp:inline>
        </w:drawing>
      </w:r>
    </w:p>
    <w:p w14:paraId="796E54A7" w14:textId="77777777" w:rsidR="00083CA4" w:rsidRPr="002A7673" w:rsidRDefault="00083CA4" w:rsidP="005F7139">
      <w:pPr>
        <w:spacing w:after="0" w:line="240" w:lineRule="auto"/>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 xml:space="preserve">    Fuente:</w:t>
      </w:r>
      <w:r w:rsidRPr="002A7673">
        <w:rPr>
          <w:rFonts w:ascii="Times New Roman" w:eastAsia="Calibri" w:hAnsi="Times New Roman" w:cs="Times New Roman"/>
          <w:sz w:val="16"/>
          <w:szCs w:val="24"/>
        </w:rPr>
        <w:t xml:space="preserve"> Sistema SIGA-PJ.</w:t>
      </w:r>
    </w:p>
    <w:p w14:paraId="18B2754B" w14:textId="77777777" w:rsidR="00083CA4" w:rsidRPr="002A7673" w:rsidRDefault="00083CA4" w:rsidP="005F7139">
      <w:pPr>
        <w:spacing w:after="0" w:line="240" w:lineRule="auto"/>
        <w:rPr>
          <w:rFonts w:ascii="Times New Roman" w:eastAsia="Calibri" w:hAnsi="Times New Roman" w:cs="Times New Roman"/>
          <w:b/>
          <w:sz w:val="24"/>
          <w:szCs w:val="24"/>
        </w:rPr>
      </w:pPr>
    </w:p>
    <w:p w14:paraId="114A8402"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el cuadro anterior se muestran los montos formulados en la subpartida 29906 Útiles y Materiales de Resguardo y Seguridad, presentando un crecimiento para el 2022 de un 27,46%%, es decir </w:t>
      </w:r>
      <w:r w:rsidRPr="002A7673">
        <w:rPr>
          <w:rFonts w:ascii="Times New Roman" w:eastAsia="Calibri" w:hAnsi="Times New Roman" w:cs="Times New Roman"/>
          <w:b/>
          <w:bCs/>
          <w:sz w:val="26"/>
          <w:szCs w:val="26"/>
        </w:rPr>
        <w:t>¢168.623.250</w:t>
      </w:r>
      <w:r w:rsidRPr="002A7673">
        <w:rPr>
          <w:rFonts w:ascii="Times New Roman" w:eastAsia="Calibri" w:hAnsi="Times New Roman" w:cs="Times New Roman"/>
          <w:sz w:val="26"/>
          <w:szCs w:val="26"/>
        </w:rPr>
        <w:t xml:space="preserve"> más que los recursos aprobados para el 2021.</w:t>
      </w:r>
    </w:p>
    <w:p w14:paraId="72B6F852" w14:textId="77777777" w:rsidR="00083CA4" w:rsidRPr="002A7673" w:rsidRDefault="00083CA4" w:rsidP="005F7139">
      <w:pPr>
        <w:spacing w:after="0" w:line="240" w:lineRule="auto"/>
        <w:rPr>
          <w:rFonts w:ascii="Times New Roman" w:eastAsia="Times New Roman" w:hAnsi="Times New Roman" w:cs="Times New Roman"/>
          <w:b/>
          <w:bCs/>
          <w:sz w:val="24"/>
          <w:szCs w:val="24"/>
          <w:lang w:eastAsia="es-CR"/>
        </w:rPr>
      </w:pPr>
    </w:p>
    <w:p w14:paraId="70615972"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Gráfico N°7</w:t>
      </w:r>
    </w:p>
    <w:p w14:paraId="61B16DC3"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Formulación y Ejecución Subpartida 29906 Útiles y Materiales de Resguardo y Seguridad, Periodo 2018-2022</w:t>
      </w:r>
    </w:p>
    <w:p w14:paraId="6ECCBBB6" w14:textId="77777777" w:rsidR="00083CA4" w:rsidRPr="002A7673" w:rsidRDefault="00083CA4" w:rsidP="005F7139">
      <w:pPr>
        <w:spacing w:after="0" w:line="240" w:lineRule="auto"/>
        <w:jc w:val="center"/>
        <w:rPr>
          <w:rFonts w:ascii="Times New Roman" w:eastAsia="Calibri" w:hAnsi="Times New Roman" w:cs="Times New Roman"/>
          <w:b/>
          <w:bCs/>
        </w:rPr>
      </w:pPr>
    </w:p>
    <w:p w14:paraId="3F4A2835" w14:textId="77777777" w:rsidR="00083CA4" w:rsidRPr="002A7673" w:rsidRDefault="00083CA4" w:rsidP="005F7139">
      <w:pPr>
        <w:spacing w:after="0" w:line="240" w:lineRule="auto"/>
        <w:jc w:val="center"/>
        <w:rPr>
          <w:rFonts w:ascii="Times New Roman" w:eastAsia="Times New Roman" w:hAnsi="Times New Roman" w:cs="Times New Roman"/>
          <w:sz w:val="24"/>
          <w:szCs w:val="24"/>
          <w:lang w:eastAsia="es-CR"/>
        </w:rPr>
      </w:pPr>
      <w:r w:rsidRPr="002A7673">
        <w:rPr>
          <w:rFonts w:ascii="Times New Roman" w:eastAsia="Calibri" w:hAnsi="Times New Roman" w:cs="Times New Roman"/>
          <w:noProof/>
          <w:lang w:eastAsia="es-CR"/>
        </w:rPr>
        <w:lastRenderedPageBreak/>
        <w:drawing>
          <wp:inline distT="0" distB="0" distL="0" distR="0" wp14:anchorId="0643ED63" wp14:editId="76F690FB">
            <wp:extent cx="5937250" cy="2628900"/>
            <wp:effectExtent l="0" t="0" r="6350" b="0"/>
            <wp:docPr id="38" name="Imagen 38"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077"/>
                    <pic:cNvPicPr/>
                  </pic:nvPicPr>
                  <pic:blipFill>
                    <a:blip r:embed="rId49">
                      <a:extLst>
                        <a:ext uri="{28A0092B-C50C-407E-A947-70E740481C1C}">
                          <a14:useLocalDpi xmlns:a14="http://schemas.microsoft.com/office/drawing/2010/main" val="0"/>
                        </a:ext>
                      </a:extLst>
                    </a:blip>
                    <a:stretch>
                      <a:fillRect/>
                    </a:stretch>
                  </pic:blipFill>
                  <pic:spPr>
                    <a:xfrm>
                      <a:off x="0" y="0"/>
                      <a:ext cx="5937250" cy="2628900"/>
                    </a:xfrm>
                    <a:prstGeom prst="rect">
                      <a:avLst/>
                    </a:prstGeom>
                  </pic:spPr>
                </pic:pic>
              </a:graphicData>
            </a:graphic>
          </wp:inline>
        </w:drawing>
      </w:r>
    </w:p>
    <w:p w14:paraId="1AF55318" w14:textId="77777777" w:rsidR="00083CA4" w:rsidRPr="002A7673" w:rsidRDefault="00083CA4" w:rsidP="005F7139">
      <w:pPr>
        <w:spacing w:after="0" w:line="240" w:lineRule="auto"/>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50819164" w14:textId="77777777" w:rsidR="00083CA4" w:rsidRPr="002A7673" w:rsidRDefault="00083CA4" w:rsidP="005F7139">
      <w:pPr>
        <w:spacing w:after="0" w:line="240" w:lineRule="auto"/>
        <w:rPr>
          <w:rFonts w:ascii="Times New Roman" w:eastAsia="Calibri" w:hAnsi="Times New Roman" w:cs="Times New Roman"/>
          <w:sz w:val="24"/>
          <w:szCs w:val="24"/>
        </w:rPr>
      </w:pPr>
    </w:p>
    <w:p w14:paraId="15B382B8"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el gráfico anterior se representa la formulación y ejecución presupuestaria de la subpartida 29906 Útiles y Materiales de Resguardo y Seguridad para el periodo del 2018 al 2022, presentando ejecuciones presupuestarias muy variadas. En el 2018 y 2020 los recursos ejecutados fueron menores a los formulados, en el 2019 la ejecución fue mayor a la formulación. </w:t>
      </w:r>
    </w:p>
    <w:p w14:paraId="22AA9B12"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p>
    <w:p w14:paraId="060BCD4C" w14:textId="77777777" w:rsidR="00083CA4" w:rsidRPr="002A7673" w:rsidRDefault="00083CA4" w:rsidP="004D76F5">
      <w:pPr>
        <w:spacing w:after="0" w:line="240" w:lineRule="auto"/>
        <w:ind w:left="851" w:right="851" w:firstLine="709"/>
        <w:jc w:val="both"/>
        <w:rPr>
          <w:rFonts w:ascii="Times New Roman" w:eastAsia="Calibri" w:hAnsi="Times New Roman" w:cs="Times New Roman"/>
          <w:b/>
          <w:bCs/>
          <w:sz w:val="26"/>
          <w:szCs w:val="26"/>
        </w:rPr>
      </w:pPr>
      <w:r w:rsidRPr="002A7673">
        <w:rPr>
          <w:rFonts w:ascii="Times New Roman" w:eastAsia="Calibri" w:hAnsi="Times New Roman" w:cs="Times New Roman"/>
          <w:b/>
          <w:bCs/>
          <w:sz w:val="26"/>
          <w:szCs w:val="26"/>
        </w:rPr>
        <w:t>El crecimiento a nivel presupuestario que se presenta en el 2019 se debe a la inclusión de ¢423.016.000 por parte del Organismo de Investigación Judicial para la compra de chalecos antibalas.</w:t>
      </w:r>
    </w:p>
    <w:p w14:paraId="0DCF823A" w14:textId="77777777" w:rsidR="00083CA4" w:rsidRPr="002A7673" w:rsidRDefault="00083CA4" w:rsidP="005F7139">
      <w:pPr>
        <w:spacing w:after="0" w:line="240" w:lineRule="auto"/>
        <w:rPr>
          <w:rFonts w:ascii="Times New Roman" w:eastAsia="Calibri" w:hAnsi="Times New Roman" w:cs="Times New Roman"/>
          <w:b/>
          <w:sz w:val="24"/>
          <w:szCs w:val="24"/>
        </w:rPr>
      </w:pPr>
    </w:p>
    <w:p w14:paraId="6CC3A596" w14:textId="77777777" w:rsidR="00083CA4" w:rsidRPr="002A7673" w:rsidRDefault="00083CA4" w:rsidP="004D76F5">
      <w:pPr>
        <w:numPr>
          <w:ilvl w:val="0"/>
          <w:numId w:val="5"/>
        </w:numPr>
        <w:spacing w:after="0" w:line="240" w:lineRule="auto"/>
        <w:ind w:left="862" w:hanging="11"/>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Análisis de la Ejecución Presupuestaria </w:t>
      </w:r>
    </w:p>
    <w:p w14:paraId="28B46660" w14:textId="77777777" w:rsidR="00083CA4" w:rsidRPr="002A7673" w:rsidRDefault="00083CA4" w:rsidP="005F7139">
      <w:pPr>
        <w:spacing w:after="0" w:line="240" w:lineRule="auto"/>
        <w:ind w:left="708"/>
        <w:rPr>
          <w:rFonts w:ascii="Times New Roman" w:eastAsia="Times New Roman" w:hAnsi="Times New Roman" w:cs="Times New Roman"/>
          <w:b/>
          <w:sz w:val="26"/>
          <w:szCs w:val="26"/>
          <w:lang w:val="es-ES" w:eastAsia="es-ES"/>
        </w:rPr>
      </w:pPr>
    </w:p>
    <w:p w14:paraId="2BC84685"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Cuadro N°13</w:t>
      </w:r>
    </w:p>
    <w:p w14:paraId="3D462765"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 xml:space="preserve">Ejecución Presupuestaria Subpartida 29906 Útiles y Materiales de </w:t>
      </w:r>
    </w:p>
    <w:p w14:paraId="476227AE"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Resguardo y Seguridad, Periodo 2018-2020</w:t>
      </w:r>
    </w:p>
    <w:p w14:paraId="1B991DD2"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p>
    <w:p w14:paraId="5C19D26F"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noProof/>
          <w:sz w:val="24"/>
          <w:szCs w:val="24"/>
          <w:lang w:eastAsia="es-CR"/>
        </w:rPr>
        <w:drawing>
          <wp:inline distT="0" distB="0" distL="0" distR="0" wp14:anchorId="6C24D8DA" wp14:editId="5CA02425">
            <wp:extent cx="4219575" cy="923925"/>
            <wp:effectExtent l="0" t="0" r="952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19575" cy="923925"/>
                    </a:xfrm>
                    <a:prstGeom prst="rect">
                      <a:avLst/>
                    </a:prstGeom>
                    <a:noFill/>
                    <a:ln>
                      <a:noFill/>
                    </a:ln>
                  </pic:spPr>
                </pic:pic>
              </a:graphicData>
            </a:graphic>
          </wp:inline>
        </w:drawing>
      </w:r>
    </w:p>
    <w:p w14:paraId="65AAE1A9" w14:textId="77777777" w:rsidR="00083CA4" w:rsidRPr="002A7673" w:rsidRDefault="00083CA4" w:rsidP="005F7139">
      <w:pPr>
        <w:spacing w:after="0" w:line="276" w:lineRule="auto"/>
        <w:jc w:val="center"/>
        <w:rPr>
          <w:rFonts w:ascii="Times New Roman" w:eastAsia="Calibri" w:hAnsi="Times New Roman" w:cs="Times New Roman"/>
          <w:sz w:val="24"/>
          <w:szCs w:val="24"/>
        </w:rPr>
      </w:pPr>
    </w:p>
    <w:p w14:paraId="679FFB77" w14:textId="77777777" w:rsidR="00083CA4" w:rsidRPr="002A7673" w:rsidRDefault="00083CA4" w:rsidP="005F7139">
      <w:pPr>
        <w:spacing w:after="0" w:line="360" w:lineRule="auto"/>
        <w:ind w:left="708" w:firstLine="708"/>
        <w:jc w:val="both"/>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7F7EF3B8"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p>
    <w:p w14:paraId="4458E4D6"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Según se muestra en el cuadro anterior en el 2018 y 2020 se presenta una ejecución presupuestaria menor a la formulación presupuestaria, por el </w:t>
      </w:r>
      <w:proofErr w:type="gramStart"/>
      <w:r w:rsidRPr="002A7673">
        <w:rPr>
          <w:rFonts w:ascii="Times New Roman" w:eastAsia="Calibri" w:hAnsi="Times New Roman" w:cs="Times New Roman"/>
          <w:sz w:val="26"/>
          <w:szCs w:val="26"/>
        </w:rPr>
        <w:t>contrario</w:t>
      </w:r>
      <w:proofErr w:type="gramEnd"/>
      <w:r w:rsidRPr="002A7673">
        <w:rPr>
          <w:rFonts w:ascii="Times New Roman" w:eastAsia="Calibri" w:hAnsi="Times New Roman" w:cs="Times New Roman"/>
          <w:sz w:val="26"/>
          <w:szCs w:val="26"/>
        </w:rPr>
        <w:t xml:space="preserve"> para el 2019 se ejecuta un 110,37%.</w:t>
      </w:r>
    </w:p>
    <w:p w14:paraId="214FBD7C" w14:textId="77777777" w:rsidR="00083CA4" w:rsidRPr="002A7673" w:rsidRDefault="00083CA4" w:rsidP="004D76F5">
      <w:pPr>
        <w:spacing w:after="0" w:line="240" w:lineRule="auto"/>
        <w:ind w:left="851" w:right="851" w:firstLine="709"/>
        <w:rPr>
          <w:rFonts w:ascii="Times New Roman" w:eastAsia="Times New Roman" w:hAnsi="Times New Roman" w:cs="Times New Roman"/>
          <w:b/>
          <w:sz w:val="26"/>
          <w:szCs w:val="26"/>
          <w:lang w:val="es-ES" w:eastAsia="es-ES"/>
        </w:rPr>
      </w:pPr>
    </w:p>
    <w:p w14:paraId="0B250C6D" w14:textId="77777777" w:rsidR="00083CA4" w:rsidRPr="002A7673" w:rsidRDefault="00083CA4" w:rsidP="004D76F5">
      <w:pPr>
        <w:numPr>
          <w:ilvl w:val="0"/>
          <w:numId w:val="5"/>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Variación por Programa 2021-2022</w:t>
      </w:r>
    </w:p>
    <w:p w14:paraId="275A64ED" w14:textId="77777777" w:rsidR="00083CA4" w:rsidRPr="002A7673" w:rsidRDefault="00083CA4" w:rsidP="004D76F5">
      <w:pPr>
        <w:spacing w:after="0" w:line="240" w:lineRule="auto"/>
        <w:ind w:left="851" w:right="851" w:firstLine="709"/>
        <w:rPr>
          <w:rFonts w:ascii="Times New Roman" w:eastAsia="Calibri" w:hAnsi="Times New Roman" w:cs="Times New Roman"/>
          <w:b/>
          <w:sz w:val="26"/>
          <w:szCs w:val="26"/>
        </w:rPr>
      </w:pPr>
    </w:p>
    <w:p w14:paraId="51DE9BD5"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Al realizar el análisis comparativo por programa presupuestario de lo formulado en el 2021 y 2022, en la subpartida 29906 Útiles y Materiales de Resguardo y Seguridad, se observa que todos los programas presupuestarios crecen de manera significativa, siendo los que presentan porcentajes más altos: el 929 Ministerio Público (1.734%), 930 Defensa Pública (546,40%) y el 950 Servicio de Atención y Protección de Víctimas y Testigos (71,67%).</w:t>
      </w:r>
    </w:p>
    <w:p w14:paraId="640D1C02"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65F86C90"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 xml:space="preserve">Cuadro N°14 </w:t>
      </w:r>
    </w:p>
    <w:p w14:paraId="0669C97A"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 xml:space="preserve">Formulación Presupuestaria por Programa Subpartida 29906 Útiles y Materiales de </w:t>
      </w:r>
    </w:p>
    <w:p w14:paraId="2362F5C9"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Resguardo y Seguridad, Periodo 2021-2022</w:t>
      </w:r>
    </w:p>
    <w:p w14:paraId="267BD6CB"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p>
    <w:p w14:paraId="77EBFB1D"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noProof/>
          <w:sz w:val="24"/>
          <w:szCs w:val="24"/>
          <w:lang w:eastAsia="es-CR"/>
        </w:rPr>
        <w:drawing>
          <wp:inline distT="0" distB="0" distL="0" distR="0" wp14:anchorId="06979083" wp14:editId="7F8FA8BC">
            <wp:extent cx="6030595" cy="1591310"/>
            <wp:effectExtent l="0" t="0" r="8255" b="88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30595" cy="1591310"/>
                    </a:xfrm>
                    <a:prstGeom prst="rect">
                      <a:avLst/>
                    </a:prstGeom>
                    <a:noFill/>
                    <a:ln>
                      <a:noFill/>
                    </a:ln>
                  </pic:spPr>
                </pic:pic>
              </a:graphicData>
            </a:graphic>
          </wp:inline>
        </w:drawing>
      </w:r>
    </w:p>
    <w:p w14:paraId="330D91C7" w14:textId="77777777" w:rsidR="00083CA4" w:rsidRPr="002A7673" w:rsidRDefault="00083CA4" w:rsidP="005F7139">
      <w:pPr>
        <w:spacing w:after="0" w:line="240" w:lineRule="auto"/>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2A9E5E14" w14:textId="77777777" w:rsidR="00083CA4" w:rsidRPr="002A7673" w:rsidRDefault="00083CA4" w:rsidP="005F7139">
      <w:pPr>
        <w:spacing w:after="0" w:line="240" w:lineRule="auto"/>
        <w:textAlignment w:val="baseline"/>
        <w:rPr>
          <w:rFonts w:ascii="Times New Roman" w:eastAsia="Times New Roman" w:hAnsi="Times New Roman" w:cs="Times New Roman"/>
          <w:b/>
          <w:bCs/>
          <w:sz w:val="24"/>
          <w:szCs w:val="24"/>
          <w:lang w:eastAsia="es-CR"/>
        </w:rPr>
      </w:pPr>
    </w:p>
    <w:p w14:paraId="188BF67E"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El crecimiento que se presenta en todos los programas presupuestarios en la subpartida 29906 Útiles y Materiales de Resguardo y Seguridad muestra que para el 2022 aún se continuará con las medidas sanitarias producto de la pandemia del Covid-19, lo que incrementa la compra de trajes descartables completos, guantes, mascarillas y caretas, como medida de protección.</w:t>
      </w:r>
    </w:p>
    <w:p w14:paraId="4C7BEF5A" w14:textId="77777777" w:rsidR="00083CA4" w:rsidRPr="002A7673" w:rsidRDefault="00083CA4" w:rsidP="005F7139">
      <w:pPr>
        <w:spacing w:after="0" w:line="360" w:lineRule="auto"/>
        <w:jc w:val="both"/>
        <w:rPr>
          <w:rFonts w:ascii="Times New Roman" w:eastAsia="Calibri" w:hAnsi="Times New Roman" w:cs="Times New Roman"/>
          <w:sz w:val="26"/>
          <w:szCs w:val="26"/>
        </w:rPr>
      </w:pPr>
    </w:p>
    <w:p w14:paraId="499A36A6"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Gráfico N°8</w:t>
      </w:r>
    </w:p>
    <w:p w14:paraId="3C2F47CF"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bCs/>
          <w:sz w:val="26"/>
          <w:szCs w:val="26"/>
          <w:lang w:eastAsia="es-CR"/>
        </w:rPr>
      </w:pPr>
      <w:r w:rsidRPr="002A7673">
        <w:rPr>
          <w:rFonts w:ascii="Times New Roman" w:eastAsia="Times New Roman" w:hAnsi="Times New Roman" w:cs="Times New Roman"/>
          <w:b/>
          <w:sz w:val="26"/>
          <w:szCs w:val="26"/>
          <w:lang w:eastAsia="es-CR"/>
        </w:rPr>
        <w:t xml:space="preserve">Distribución por Programa Subpartida 29906 Útiles y Materiales de </w:t>
      </w:r>
    </w:p>
    <w:p w14:paraId="7CE2B14E" w14:textId="77777777" w:rsidR="00083CA4" w:rsidRPr="002A7673" w:rsidRDefault="00083CA4" w:rsidP="005F7139">
      <w:pPr>
        <w:spacing w:after="0" w:line="240" w:lineRule="auto"/>
        <w:jc w:val="center"/>
        <w:textAlignment w:val="baseline"/>
        <w:rPr>
          <w:rFonts w:ascii="Times New Roman" w:eastAsia="Times New Roman" w:hAnsi="Times New Roman" w:cs="Times New Roman"/>
          <w:b/>
          <w:sz w:val="26"/>
          <w:szCs w:val="26"/>
          <w:lang w:eastAsia="es-CR"/>
        </w:rPr>
      </w:pPr>
      <w:r w:rsidRPr="002A7673">
        <w:rPr>
          <w:rFonts w:ascii="Times New Roman" w:eastAsia="Times New Roman" w:hAnsi="Times New Roman" w:cs="Times New Roman"/>
          <w:b/>
          <w:sz w:val="26"/>
          <w:szCs w:val="26"/>
          <w:lang w:eastAsia="es-CR"/>
        </w:rPr>
        <w:t>Resguardo y Seguridad, Periodo 2022</w:t>
      </w:r>
    </w:p>
    <w:p w14:paraId="1FB8E6C3" w14:textId="77777777" w:rsidR="00083CA4" w:rsidRPr="002A7673" w:rsidRDefault="00083CA4" w:rsidP="005F7139">
      <w:pPr>
        <w:tabs>
          <w:tab w:val="left" w:pos="2403"/>
        </w:tabs>
        <w:spacing w:after="0" w:line="360" w:lineRule="auto"/>
        <w:jc w:val="both"/>
        <w:rPr>
          <w:rFonts w:ascii="Times New Roman" w:eastAsia="Calibri" w:hAnsi="Times New Roman" w:cs="Times New Roman"/>
          <w:sz w:val="24"/>
          <w:szCs w:val="24"/>
        </w:rPr>
      </w:pPr>
    </w:p>
    <w:p w14:paraId="13799033" w14:textId="77777777" w:rsidR="00083CA4" w:rsidRPr="002A7673" w:rsidRDefault="00083CA4" w:rsidP="005F7139">
      <w:pPr>
        <w:spacing w:after="0" w:line="360" w:lineRule="auto"/>
        <w:jc w:val="center"/>
        <w:rPr>
          <w:rFonts w:ascii="Times New Roman" w:eastAsia="Calibri" w:hAnsi="Times New Roman" w:cs="Times New Roman"/>
          <w:sz w:val="24"/>
          <w:szCs w:val="24"/>
        </w:rPr>
      </w:pPr>
      <w:r w:rsidRPr="002A7673">
        <w:rPr>
          <w:rFonts w:ascii="Times New Roman" w:eastAsia="Times New Roman" w:hAnsi="Times New Roman" w:cs="Times New Roman"/>
          <w:noProof/>
          <w:sz w:val="20"/>
          <w:szCs w:val="20"/>
          <w:lang w:eastAsia="es-CR"/>
        </w:rPr>
        <w:lastRenderedPageBreak/>
        <w:drawing>
          <wp:inline distT="0" distB="0" distL="0" distR="0" wp14:anchorId="45492883" wp14:editId="22A3F8F1">
            <wp:extent cx="4797425" cy="2968625"/>
            <wp:effectExtent l="0" t="0" r="3175" b="3175"/>
            <wp:docPr id="41" name="Gráfico 41">
              <a:extLst xmlns:a="http://schemas.openxmlformats.org/drawingml/2006/main">
                <a:ext uri="{FF2B5EF4-FFF2-40B4-BE49-F238E27FC236}">
                  <a16:creationId xmlns:a16="http://schemas.microsoft.com/office/drawing/2014/main" id="{C518DFC8-AEF5-4A06-A6B5-979ABFFCB7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99DA156" w14:textId="77777777" w:rsidR="00083CA4" w:rsidRPr="002A7673" w:rsidRDefault="00083CA4" w:rsidP="005F7139">
      <w:pPr>
        <w:spacing w:after="0" w:line="240" w:lineRule="auto"/>
        <w:ind w:left="708" w:firstLine="708"/>
        <w:rPr>
          <w:rFonts w:ascii="Times New Roman" w:eastAsia="Calibri" w:hAnsi="Times New Roman" w:cs="Times New Roman"/>
          <w:sz w:val="16"/>
          <w:szCs w:val="24"/>
        </w:rPr>
      </w:pPr>
      <w:r w:rsidRPr="002A7673">
        <w:rPr>
          <w:rFonts w:ascii="Times New Roman" w:eastAsia="Calibri" w:hAnsi="Times New Roman" w:cs="Times New Roman"/>
          <w:b/>
          <w:bCs/>
          <w:sz w:val="16"/>
          <w:szCs w:val="24"/>
        </w:rPr>
        <w:t>Fuente:</w:t>
      </w:r>
      <w:r w:rsidRPr="002A7673">
        <w:rPr>
          <w:rFonts w:ascii="Times New Roman" w:eastAsia="Calibri" w:hAnsi="Times New Roman" w:cs="Times New Roman"/>
          <w:sz w:val="16"/>
          <w:szCs w:val="24"/>
        </w:rPr>
        <w:t xml:space="preserve"> Sistema SIGA-PJ.</w:t>
      </w:r>
    </w:p>
    <w:p w14:paraId="6F432B8B" w14:textId="77777777" w:rsidR="00083CA4" w:rsidRPr="002A7673" w:rsidRDefault="00083CA4" w:rsidP="005F7139">
      <w:pPr>
        <w:spacing w:after="0" w:line="360" w:lineRule="auto"/>
        <w:jc w:val="both"/>
        <w:rPr>
          <w:rFonts w:ascii="Times New Roman" w:eastAsia="Calibri" w:hAnsi="Times New Roman" w:cs="Times New Roman"/>
          <w:sz w:val="24"/>
          <w:szCs w:val="24"/>
        </w:rPr>
      </w:pPr>
    </w:p>
    <w:p w14:paraId="7EEA6263"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En cuanto a la distribución de los recursos formulados en el anteproyecto de presupuesto 2022, de la subpartida 29906 Útiles y Materiales de Resguardo y Seguridad por programa presupuestario, el programa 928 Organismo de Investigación Judicial presupuesta el 74%, seguido del 926 Dirección y Administración con un 16% y el resto de </w:t>
      </w:r>
      <w:proofErr w:type="gramStart"/>
      <w:r w:rsidRPr="002A7673">
        <w:rPr>
          <w:rFonts w:ascii="Times New Roman" w:eastAsia="Calibri" w:hAnsi="Times New Roman" w:cs="Times New Roman"/>
          <w:sz w:val="26"/>
          <w:szCs w:val="26"/>
        </w:rPr>
        <w:t>programas</w:t>
      </w:r>
      <w:proofErr w:type="gramEnd"/>
      <w:r w:rsidRPr="002A7673">
        <w:rPr>
          <w:rFonts w:ascii="Times New Roman" w:eastAsia="Calibri" w:hAnsi="Times New Roman" w:cs="Times New Roman"/>
          <w:sz w:val="26"/>
          <w:szCs w:val="26"/>
        </w:rPr>
        <w:t xml:space="preserve"> presupuestarios muestran montos entre del 4% y 2%.</w:t>
      </w:r>
    </w:p>
    <w:p w14:paraId="00CD6994" w14:textId="77777777" w:rsidR="00083CA4" w:rsidRPr="002A7673" w:rsidRDefault="00083CA4" w:rsidP="004D76F5">
      <w:pPr>
        <w:spacing w:after="0" w:line="240" w:lineRule="auto"/>
        <w:ind w:left="851" w:right="851" w:firstLine="709"/>
        <w:rPr>
          <w:rFonts w:ascii="Times New Roman" w:eastAsia="Calibri" w:hAnsi="Times New Roman" w:cs="Times New Roman"/>
          <w:b/>
          <w:sz w:val="26"/>
          <w:szCs w:val="26"/>
        </w:rPr>
      </w:pPr>
    </w:p>
    <w:p w14:paraId="6357FEBF" w14:textId="77777777" w:rsidR="00083CA4" w:rsidRPr="002A7673" w:rsidRDefault="00083CA4" w:rsidP="004D76F5">
      <w:pPr>
        <w:numPr>
          <w:ilvl w:val="0"/>
          <w:numId w:val="5"/>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Distribución por Centro de Responsabilidad</w:t>
      </w:r>
    </w:p>
    <w:p w14:paraId="41D4D721" w14:textId="77777777" w:rsidR="004D76F5" w:rsidRPr="002A7673" w:rsidRDefault="004D76F5" w:rsidP="004D76F5">
      <w:pPr>
        <w:spacing w:after="0" w:line="240" w:lineRule="auto"/>
        <w:ind w:left="851" w:right="851" w:firstLine="709"/>
        <w:jc w:val="both"/>
        <w:rPr>
          <w:rFonts w:ascii="Times New Roman" w:eastAsia="Calibri" w:hAnsi="Times New Roman" w:cs="Times New Roman"/>
          <w:sz w:val="26"/>
          <w:szCs w:val="26"/>
        </w:rPr>
      </w:pPr>
    </w:p>
    <w:p w14:paraId="1D4DE7F4" w14:textId="77777777" w:rsidR="004D76F5"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el siguiente cuadro se muestra la distribución por centro de responsabilidad de los recursos formulados en el anteproyecto de presupuesto 2022, en la subpartida 29906 Útiles y Materiales de Resguardo y Seguridad.</w:t>
      </w:r>
    </w:p>
    <w:p w14:paraId="50C842BF" w14:textId="77777777" w:rsidR="00083CA4" w:rsidRPr="002A7673" w:rsidRDefault="004D76F5" w:rsidP="004D76F5">
      <w:pPr>
        <w:tabs>
          <w:tab w:val="left" w:pos="972"/>
        </w:tabs>
        <w:rPr>
          <w:rFonts w:ascii="Times New Roman" w:eastAsia="Calibri" w:hAnsi="Times New Roman" w:cs="Times New Roman"/>
          <w:color w:val="FF0000"/>
          <w:sz w:val="24"/>
          <w:szCs w:val="24"/>
        </w:rPr>
      </w:pPr>
      <w:r w:rsidRPr="002A7673">
        <w:rPr>
          <w:rFonts w:ascii="Times New Roman" w:eastAsia="Calibri" w:hAnsi="Times New Roman" w:cs="Times New Roman"/>
          <w:sz w:val="26"/>
          <w:szCs w:val="26"/>
        </w:rPr>
        <w:lastRenderedPageBreak/>
        <w:tab/>
      </w:r>
      <w:r w:rsidR="00083CA4" w:rsidRPr="002A7673">
        <w:rPr>
          <w:rFonts w:ascii="Times New Roman" w:eastAsia="Calibri" w:hAnsi="Times New Roman" w:cs="Times New Roman"/>
          <w:noProof/>
          <w:lang w:eastAsia="es-CR"/>
        </w:rPr>
        <w:lastRenderedPageBreak/>
        <w:drawing>
          <wp:inline distT="0" distB="0" distL="0" distR="0" wp14:anchorId="0791F6BE" wp14:editId="05B38B8D">
            <wp:extent cx="5981700" cy="7751583"/>
            <wp:effectExtent l="0" t="0" r="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82421" cy="7752517"/>
                    </a:xfrm>
                    <a:prstGeom prst="rect">
                      <a:avLst/>
                    </a:prstGeom>
                    <a:noFill/>
                    <a:ln>
                      <a:noFill/>
                    </a:ln>
                  </pic:spPr>
                </pic:pic>
              </a:graphicData>
            </a:graphic>
          </wp:inline>
        </w:drawing>
      </w:r>
    </w:p>
    <w:p w14:paraId="2DB581B0" w14:textId="77777777" w:rsidR="00083CA4" w:rsidRPr="002A7673" w:rsidRDefault="00083CA4" w:rsidP="005F7139">
      <w:pPr>
        <w:spacing w:after="0" w:line="360" w:lineRule="auto"/>
        <w:ind w:right="-851"/>
        <w:jc w:val="both"/>
        <w:rPr>
          <w:rFonts w:ascii="Times New Roman" w:eastAsia="Calibri" w:hAnsi="Times New Roman" w:cs="Times New Roman"/>
          <w:sz w:val="24"/>
          <w:szCs w:val="24"/>
        </w:rPr>
      </w:pPr>
    </w:p>
    <w:p w14:paraId="273D10C9"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Según se muestra en el cuadro anterior, los centros de responsabilidad con más recursos formulados en el anteproyecto de presupuesto 2022, en la subpartida 29906 Útiles y Materiales de Resguardo y Seguridad, son: el Organismo de Investigación Judicial con ¢576.984.729, la Unidad de Adiestramiento con ¢39.868.908, el Servicio de Atención y Protección a Víctimas y Testigos con ¢35.833.188 y Área de Seguridad con ¢27.600.605.</w:t>
      </w:r>
    </w:p>
    <w:p w14:paraId="6CB9AC4F" w14:textId="77777777" w:rsidR="00083CA4" w:rsidRPr="002A7673" w:rsidRDefault="00083CA4" w:rsidP="004D76F5">
      <w:pPr>
        <w:spacing w:after="0" w:line="240" w:lineRule="auto"/>
        <w:ind w:left="851" w:right="851" w:firstLine="709"/>
        <w:rPr>
          <w:rFonts w:ascii="Times New Roman" w:eastAsia="Calibri" w:hAnsi="Times New Roman" w:cs="Times New Roman"/>
          <w:b/>
          <w:sz w:val="26"/>
          <w:szCs w:val="26"/>
        </w:rPr>
      </w:pPr>
    </w:p>
    <w:p w14:paraId="2A1442DE" w14:textId="77777777" w:rsidR="00083CA4" w:rsidRPr="002A7673" w:rsidRDefault="00083CA4" w:rsidP="004D76F5">
      <w:pPr>
        <w:numPr>
          <w:ilvl w:val="0"/>
          <w:numId w:val="5"/>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Variación Distribución por Artículo</w:t>
      </w:r>
    </w:p>
    <w:p w14:paraId="66561557" w14:textId="77777777" w:rsidR="00083CA4" w:rsidRPr="002A7673" w:rsidRDefault="00083CA4" w:rsidP="004D76F5">
      <w:pPr>
        <w:spacing w:after="0" w:line="240" w:lineRule="auto"/>
        <w:ind w:left="851" w:right="851" w:firstLine="709"/>
        <w:rPr>
          <w:rFonts w:ascii="Times New Roman" w:eastAsia="Times New Roman" w:hAnsi="Times New Roman" w:cs="Times New Roman"/>
          <w:b/>
          <w:sz w:val="26"/>
          <w:szCs w:val="26"/>
          <w:lang w:val="es-ES" w:eastAsia="es-ES"/>
        </w:rPr>
      </w:pPr>
    </w:p>
    <w:p w14:paraId="0F7D8A84"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En el siguiente cuadro se muestran las variaciones del 2021 al 2022, en la formulación detallada por artículo, de la subpartida 29906 Útiles y Materiales de Resguardo y Seguridad.</w:t>
      </w:r>
    </w:p>
    <w:p w14:paraId="5E37B09C" w14:textId="77777777" w:rsidR="00083CA4" w:rsidRPr="002A7673" w:rsidRDefault="00083CA4" w:rsidP="005F7139">
      <w:pPr>
        <w:spacing w:after="0" w:line="276" w:lineRule="auto"/>
        <w:ind w:left="708"/>
        <w:jc w:val="both"/>
        <w:rPr>
          <w:rFonts w:ascii="Times New Roman" w:eastAsia="Times New Roman" w:hAnsi="Times New Roman" w:cs="Times New Roman"/>
          <w:sz w:val="26"/>
          <w:szCs w:val="26"/>
          <w:lang w:val="es-ES" w:eastAsia="es-ES"/>
        </w:rPr>
      </w:pPr>
    </w:p>
    <w:p w14:paraId="197F3587" w14:textId="77777777" w:rsidR="00083CA4" w:rsidRPr="002A7673" w:rsidRDefault="00083CA4" w:rsidP="005F7139">
      <w:pPr>
        <w:spacing w:after="0" w:line="276" w:lineRule="auto"/>
        <w:ind w:left="708"/>
        <w:jc w:val="center"/>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Cuadro N°16</w:t>
      </w:r>
    </w:p>
    <w:p w14:paraId="40354240" w14:textId="77777777" w:rsidR="00083CA4" w:rsidRPr="002A7673" w:rsidRDefault="00083CA4" w:rsidP="005F7139">
      <w:pPr>
        <w:spacing w:after="0" w:line="276" w:lineRule="auto"/>
        <w:ind w:left="708"/>
        <w:jc w:val="center"/>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Variación de Recursos Presupuestados por Artículo</w:t>
      </w:r>
    </w:p>
    <w:p w14:paraId="563B72A8" w14:textId="77777777" w:rsidR="00083CA4" w:rsidRPr="002A7673" w:rsidRDefault="00083CA4" w:rsidP="005F7139">
      <w:pPr>
        <w:spacing w:after="0" w:line="240" w:lineRule="auto"/>
        <w:jc w:val="center"/>
        <w:rPr>
          <w:rFonts w:ascii="Times New Roman" w:eastAsia="Calibri" w:hAnsi="Times New Roman" w:cs="Times New Roman"/>
          <w:color w:val="FF0000"/>
          <w:sz w:val="24"/>
          <w:szCs w:val="24"/>
        </w:rPr>
      </w:pPr>
    </w:p>
    <w:p w14:paraId="41AA75F7" w14:textId="77777777" w:rsidR="00083CA4" w:rsidRPr="002A7673" w:rsidRDefault="00083CA4" w:rsidP="005F7139">
      <w:pPr>
        <w:spacing w:after="0" w:line="240" w:lineRule="auto"/>
        <w:jc w:val="center"/>
        <w:rPr>
          <w:rFonts w:ascii="Times New Roman" w:eastAsia="Calibri" w:hAnsi="Times New Roman" w:cs="Times New Roman"/>
          <w:color w:val="FF0000"/>
          <w:sz w:val="24"/>
          <w:szCs w:val="24"/>
        </w:rPr>
      </w:pPr>
      <w:r w:rsidRPr="002A7673">
        <w:rPr>
          <w:rFonts w:ascii="Times New Roman" w:eastAsia="Calibri" w:hAnsi="Times New Roman" w:cs="Times New Roman"/>
          <w:noProof/>
          <w:lang w:eastAsia="es-CR"/>
        </w:rPr>
        <w:drawing>
          <wp:inline distT="0" distB="0" distL="0" distR="0" wp14:anchorId="53FD605C" wp14:editId="3A6695D8">
            <wp:extent cx="4737100" cy="2971800"/>
            <wp:effectExtent l="0" t="0" r="635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37100" cy="2971800"/>
                    </a:xfrm>
                    <a:prstGeom prst="rect">
                      <a:avLst/>
                    </a:prstGeom>
                    <a:noFill/>
                    <a:ln>
                      <a:noFill/>
                    </a:ln>
                  </pic:spPr>
                </pic:pic>
              </a:graphicData>
            </a:graphic>
          </wp:inline>
        </w:drawing>
      </w:r>
    </w:p>
    <w:p w14:paraId="437C63E4" w14:textId="77777777" w:rsidR="00083CA4" w:rsidRPr="002A7673" w:rsidRDefault="00083CA4" w:rsidP="005F7139">
      <w:pPr>
        <w:spacing w:after="0" w:line="240" w:lineRule="auto"/>
        <w:jc w:val="center"/>
        <w:rPr>
          <w:rFonts w:ascii="Times New Roman" w:eastAsia="Calibri" w:hAnsi="Times New Roman" w:cs="Times New Roman"/>
          <w:color w:val="FF0000"/>
          <w:sz w:val="24"/>
          <w:szCs w:val="24"/>
        </w:rPr>
      </w:pPr>
    </w:p>
    <w:p w14:paraId="1610EF88" w14:textId="77777777" w:rsidR="00083CA4" w:rsidRPr="002A7673" w:rsidRDefault="00083CA4" w:rsidP="005F7139">
      <w:pPr>
        <w:spacing w:after="0" w:line="240" w:lineRule="auto"/>
        <w:ind w:left="708"/>
        <w:rPr>
          <w:rFonts w:ascii="Times New Roman" w:eastAsia="Calibri" w:hAnsi="Times New Roman" w:cs="Times New Roman"/>
          <w:sz w:val="20"/>
          <w:szCs w:val="20"/>
        </w:rPr>
      </w:pPr>
      <w:r w:rsidRPr="002A7673">
        <w:rPr>
          <w:rFonts w:ascii="Times New Roman" w:eastAsia="Calibri" w:hAnsi="Times New Roman" w:cs="Times New Roman"/>
          <w:b/>
          <w:bCs/>
          <w:sz w:val="20"/>
          <w:szCs w:val="20"/>
        </w:rPr>
        <w:t>Fuente:</w:t>
      </w:r>
      <w:r w:rsidRPr="002A7673">
        <w:rPr>
          <w:rFonts w:ascii="Times New Roman" w:eastAsia="Calibri" w:hAnsi="Times New Roman" w:cs="Times New Roman"/>
          <w:sz w:val="20"/>
          <w:szCs w:val="20"/>
        </w:rPr>
        <w:t xml:space="preserve"> Sistema SIGA-PJ.</w:t>
      </w:r>
    </w:p>
    <w:p w14:paraId="22C1F5BF" w14:textId="77777777" w:rsidR="00083CA4" w:rsidRPr="002A7673" w:rsidRDefault="00083CA4" w:rsidP="005F7139">
      <w:pPr>
        <w:spacing w:after="0" w:line="240" w:lineRule="auto"/>
        <w:rPr>
          <w:rFonts w:ascii="Times New Roman" w:eastAsia="Calibri" w:hAnsi="Times New Roman" w:cs="Times New Roman"/>
          <w:b/>
          <w:sz w:val="24"/>
          <w:szCs w:val="24"/>
        </w:rPr>
      </w:pPr>
    </w:p>
    <w:p w14:paraId="05FD62DA" w14:textId="77777777" w:rsidR="00083CA4" w:rsidRPr="002A7673" w:rsidRDefault="00083CA4" w:rsidP="005F7139">
      <w:pPr>
        <w:spacing w:after="0" w:line="240" w:lineRule="auto"/>
        <w:rPr>
          <w:rFonts w:ascii="Times New Roman" w:eastAsia="Calibri" w:hAnsi="Times New Roman" w:cs="Times New Roman"/>
          <w:b/>
          <w:sz w:val="24"/>
          <w:szCs w:val="24"/>
        </w:rPr>
      </w:pPr>
    </w:p>
    <w:p w14:paraId="64C5FD17" w14:textId="77777777" w:rsidR="00083CA4" w:rsidRPr="002A7673" w:rsidRDefault="00083CA4" w:rsidP="004D76F5">
      <w:pPr>
        <w:numPr>
          <w:ilvl w:val="0"/>
          <w:numId w:val="5"/>
        </w:numPr>
        <w:spacing w:after="0" w:line="240" w:lineRule="auto"/>
        <w:ind w:left="851" w:right="851" w:firstLine="709"/>
        <w:contextualSpacing/>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Síntesis</w:t>
      </w:r>
    </w:p>
    <w:p w14:paraId="1A8B4887" w14:textId="77777777" w:rsidR="00083CA4" w:rsidRPr="002A7673" w:rsidRDefault="00083CA4" w:rsidP="004D76F5">
      <w:pPr>
        <w:spacing w:after="0" w:line="240" w:lineRule="auto"/>
        <w:ind w:left="851" w:right="851" w:firstLine="709"/>
        <w:rPr>
          <w:rFonts w:ascii="Times New Roman" w:eastAsia="Calibri" w:hAnsi="Times New Roman" w:cs="Times New Roman"/>
          <w:b/>
          <w:sz w:val="26"/>
          <w:szCs w:val="26"/>
        </w:rPr>
      </w:pPr>
    </w:p>
    <w:p w14:paraId="6C6A2F78" w14:textId="77777777" w:rsidR="00083CA4" w:rsidRPr="002A7673" w:rsidRDefault="00083CA4" w:rsidP="004D76F5">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lastRenderedPageBreak/>
        <w:t>La subpartida 29906 Útiles y Materiales de Resguardo y Seguridad tiene un total formulado para el 2022 de ¢782.748.299, presentando un crecimiento del 27,46% con respecto al monto aprobado para el 2021, es decir ¢168.623.250 más que el año anterior.</w:t>
      </w:r>
    </w:p>
    <w:p w14:paraId="40ABF2EC" w14:textId="77777777" w:rsidR="004D76F5" w:rsidRPr="002A7673" w:rsidRDefault="004D76F5" w:rsidP="004D76F5">
      <w:pPr>
        <w:spacing w:after="0" w:line="240" w:lineRule="auto"/>
        <w:ind w:left="851" w:right="851" w:firstLine="709"/>
        <w:jc w:val="both"/>
        <w:rPr>
          <w:rFonts w:ascii="Times New Roman" w:eastAsia="Calibri" w:hAnsi="Times New Roman" w:cs="Times New Roman"/>
          <w:sz w:val="26"/>
          <w:szCs w:val="26"/>
        </w:rPr>
      </w:pPr>
    </w:p>
    <w:p w14:paraId="1F9329F8" w14:textId="16A54FA1" w:rsidR="004D76F5" w:rsidRPr="002A7673" w:rsidRDefault="00083CA4" w:rsidP="00D527DE">
      <w:pPr>
        <w:numPr>
          <w:ilvl w:val="0"/>
          <w:numId w:val="21"/>
        </w:numPr>
        <w:tabs>
          <w:tab w:val="left" w:pos="360"/>
        </w:tabs>
        <w:suppressAutoHyphens/>
        <w:spacing w:after="0" w:line="360" w:lineRule="auto"/>
        <w:jc w:val="center"/>
        <w:rPr>
          <w:rFonts w:ascii="Times New Roman" w:eastAsia="Times New Roman" w:hAnsi="Times New Roman" w:cs="Times New Roman"/>
          <w:b/>
          <w:sz w:val="24"/>
          <w:szCs w:val="24"/>
          <w:lang w:val="es-ES" w:eastAsia="es-ES"/>
        </w:rPr>
      </w:pPr>
      <w:r w:rsidRPr="002A7673">
        <w:rPr>
          <w:rFonts w:ascii="Times New Roman" w:eastAsia="Times New Roman" w:hAnsi="Times New Roman" w:cs="Times New Roman"/>
          <w:b/>
          <w:sz w:val="24"/>
          <w:szCs w:val="24"/>
          <w:lang w:val="es-ES" w:eastAsia="es-ES"/>
        </w:rPr>
        <w:t>0 -</w:t>
      </w:r>
      <w:r w:rsidR="004D76F5" w:rsidRPr="002A7673">
        <w:rPr>
          <w:rFonts w:ascii="Times New Roman" w:eastAsia="Times New Roman" w:hAnsi="Times New Roman" w:cs="Times New Roman"/>
          <w:b/>
          <w:sz w:val="24"/>
          <w:szCs w:val="24"/>
          <w:lang w:val="es-ES" w:eastAsia="es-ES"/>
        </w:rPr>
        <w:t xml:space="preserve">  </w:t>
      </w:r>
    </w:p>
    <w:p w14:paraId="6BBDC796" w14:textId="77777777" w:rsidR="00083CA4" w:rsidRPr="002A7673" w:rsidRDefault="00083CA4" w:rsidP="00C1639B">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La Licda. Nacira Valverde expone la importancia del análisis de estas subpartidas, debido a que su comportamiento está relacionado con las nuevas necesidades institucionales derivadas del impacto de la pandemia por el COVID-2019.</w:t>
      </w:r>
    </w:p>
    <w:p w14:paraId="6A9EC40B" w14:textId="77777777" w:rsidR="00A10438" w:rsidRPr="002A7673" w:rsidRDefault="00A10438" w:rsidP="00C1639B">
      <w:pPr>
        <w:spacing w:after="0" w:line="240" w:lineRule="auto"/>
        <w:ind w:left="851" w:right="851" w:firstLine="709"/>
        <w:jc w:val="both"/>
        <w:rPr>
          <w:rFonts w:ascii="Times New Roman" w:eastAsia="Calibri" w:hAnsi="Times New Roman" w:cs="Times New Roman"/>
          <w:sz w:val="26"/>
          <w:szCs w:val="26"/>
        </w:rPr>
      </w:pPr>
    </w:p>
    <w:p w14:paraId="67D3D241" w14:textId="77777777" w:rsidR="00083CA4" w:rsidRPr="002A7673" w:rsidRDefault="00083CA4" w:rsidP="00C1639B">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Se debate como el Poder Judicial ha atendido esta emergencia con los recursos ordinarios, sin disponer de recursos adicionales y la importancia de visualizar esto en el Ministerio de Hacienda y la Asamblea Legislativa, dado el esfuerzo realizado y consecuentemente, el sacrificio de otras necesidades institucionales. </w:t>
      </w:r>
    </w:p>
    <w:p w14:paraId="4435F5E8" w14:textId="77777777" w:rsidR="00A10438" w:rsidRPr="002A7673" w:rsidRDefault="00A10438" w:rsidP="00C1639B">
      <w:pPr>
        <w:spacing w:after="0" w:line="240" w:lineRule="auto"/>
        <w:ind w:left="851" w:right="851" w:firstLine="709"/>
        <w:jc w:val="both"/>
        <w:rPr>
          <w:rFonts w:ascii="Times New Roman" w:eastAsia="Calibri" w:hAnsi="Times New Roman" w:cs="Times New Roman"/>
          <w:sz w:val="26"/>
          <w:szCs w:val="26"/>
        </w:rPr>
      </w:pPr>
    </w:p>
    <w:p w14:paraId="6527AD81" w14:textId="77777777" w:rsidR="00083CA4" w:rsidRPr="002A7673" w:rsidRDefault="00083CA4" w:rsidP="00C1639B">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Se indica por parte de doña Ana Romero que muchas de las necesidades derivadas de la pandemia se han atendido con recursos del Fondo de Emergencia, pero que no ha sido posible que el Ministerio de Hacienda reintegre los recursos a la institución.  Se </w:t>
      </w:r>
      <w:proofErr w:type="gramStart"/>
      <w:r w:rsidRPr="002A7673">
        <w:rPr>
          <w:rFonts w:ascii="Times New Roman" w:eastAsia="Calibri" w:hAnsi="Times New Roman" w:cs="Times New Roman"/>
          <w:sz w:val="26"/>
          <w:szCs w:val="26"/>
        </w:rPr>
        <w:t>cita</w:t>
      </w:r>
      <w:proofErr w:type="gramEnd"/>
      <w:r w:rsidRPr="002A7673">
        <w:rPr>
          <w:rFonts w:ascii="Times New Roman" w:eastAsia="Calibri" w:hAnsi="Times New Roman" w:cs="Times New Roman"/>
          <w:sz w:val="26"/>
          <w:szCs w:val="26"/>
        </w:rPr>
        <w:t xml:space="preserve"> por ejemplo, el mayor consumo de alcohol, que representa uno de tantos artículos que será necesario seguir formulando.  </w:t>
      </w:r>
    </w:p>
    <w:p w14:paraId="3E38211A" w14:textId="77777777" w:rsidR="00A10438" w:rsidRPr="002A7673" w:rsidRDefault="00A10438" w:rsidP="00C1639B">
      <w:pPr>
        <w:spacing w:after="0" w:line="240" w:lineRule="auto"/>
        <w:ind w:left="851" w:right="851" w:firstLine="709"/>
        <w:jc w:val="both"/>
        <w:rPr>
          <w:rFonts w:ascii="Times New Roman" w:eastAsia="Calibri" w:hAnsi="Times New Roman" w:cs="Times New Roman"/>
          <w:sz w:val="26"/>
          <w:szCs w:val="26"/>
        </w:rPr>
      </w:pPr>
    </w:p>
    <w:p w14:paraId="0A5ACA39" w14:textId="5EEFA652" w:rsidR="00083CA4" w:rsidRPr="002A7673" w:rsidRDefault="00083CA4" w:rsidP="00C1639B">
      <w:pPr>
        <w:spacing w:after="0" w:line="240" w:lineRule="auto"/>
        <w:ind w:left="851" w:right="851" w:firstLine="709"/>
        <w:jc w:val="both"/>
        <w:rPr>
          <w:rFonts w:ascii="Times New Roman" w:eastAsia="Calibri" w:hAnsi="Times New Roman" w:cs="Times New Roman"/>
          <w:sz w:val="26"/>
          <w:szCs w:val="26"/>
        </w:rPr>
      </w:pPr>
      <w:r w:rsidRPr="002A7673">
        <w:rPr>
          <w:rFonts w:ascii="Times New Roman" w:eastAsia="Calibri" w:hAnsi="Times New Roman" w:cs="Times New Roman"/>
          <w:sz w:val="26"/>
          <w:szCs w:val="26"/>
        </w:rPr>
        <w:t xml:space="preserve">Se propone valorar la posibilidad de solicitar al Ministerio de Hacienda, no incluir dentro del límite presupuestario del Poder Judicial, los recursos necesarios para seguir atendiendo la emergencia por el COVID- 2019 en el 2022, para lo cual la Dirección de Planificación preparará la propuesta de oficio a la Presidencia para su respectiva remisión. </w:t>
      </w:r>
    </w:p>
    <w:p w14:paraId="2ACC893B" w14:textId="77777777" w:rsidR="002D1F17" w:rsidRPr="002A7673" w:rsidRDefault="002D1F17" w:rsidP="002D1F17">
      <w:pPr>
        <w:pStyle w:val="BodyText22"/>
        <w:rPr>
          <w:rFonts w:ascii="Times New Roman" w:eastAsia="Calibri" w:hAnsi="Times New Roman" w:cs="Times New Roman"/>
        </w:rPr>
      </w:pPr>
    </w:p>
    <w:p w14:paraId="6EA936BD" w14:textId="52EF4506" w:rsidR="00A10438" w:rsidRPr="002A7673" w:rsidRDefault="002D1F17" w:rsidP="002D1F17">
      <w:pPr>
        <w:jc w:val="center"/>
        <w:rPr>
          <w:rFonts w:ascii="Times New Roman" w:hAnsi="Times New Roman" w:cs="Times New Roman"/>
          <w:sz w:val="28"/>
          <w:szCs w:val="28"/>
        </w:rPr>
      </w:pPr>
      <w:r w:rsidRPr="002A7673">
        <w:rPr>
          <w:rFonts w:ascii="Times New Roman" w:hAnsi="Times New Roman" w:cs="Times New Roman"/>
          <w:sz w:val="28"/>
          <w:szCs w:val="28"/>
        </w:rPr>
        <w:t>- 0 -</w:t>
      </w:r>
    </w:p>
    <w:p w14:paraId="32923D01" w14:textId="45DACCDF" w:rsidR="00A10438" w:rsidRPr="002A7673" w:rsidRDefault="002D1F17" w:rsidP="002D1F17">
      <w:pPr>
        <w:pStyle w:val="BodyText22"/>
        <w:spacing w:line="480" w:lineRule="auto"/>
        <w:rPr>
          <w:rFonts w:ascii="Times New Roman" w:eastAsia="Calibri" w:hAnsi="Times New Roman" w:cs="Times New Roman"/>
          <w:sz w:val="28"/>
          <w:szCs w:val="28"/>
        </w:rPr>
      </w:pPr>
      <w:r w:rsidRPr="002A7673">
        <w:rPr>
          <w:rFonts w:ascii="Times New Roman" w:eastAsia="Calibri" w:hAnsi="Times New Roman" w:cs="Times New Roman"/>
          <w:sz w:val="28"/>
          <w:szCs w:val="28"/>
        </w:rPr>
        <w:t>Señala</w:t>
      </w:r>
      <w:r w:rsidR="00657B3F" w:rsidRPr="002A7673">
        <w:rPr>
          <w:rFonts w:ascii="Times New Roman" w:eastAsia="Calibri" w:hAnsi="Times New Roman" w:cs="Times New Roman"/>
          <w:sz w:val="28"/>
          <w:szCs w:val="28"/>
        </w:rPr>
        <w:t xml:space="preserve"> la máster Romero Jenkins: “En cuanto al tema de las mascarillas, lo estamos todavía depurando porque ha sido tan difícil, hay como un collage de alternativas, por lo que hemos tenido que recurrir a criterios técnicos, en el caso de unas especiales de patología, lo vamos clarificando, pienso que el martes podríamos ya tener el informe </w:t>
      </w:r>
      <w:r w:rsidR="00657B3F" w:rsidRPr="002A7673">
        <w:rPr>
          <w:rFonts w:ascii="Times New Roman" w:eastAsia="Calibri" w:hAnsi="Times New Roman" w:cs="Times New Roman"/>
          <w:sz w:val="28"/>
          <w:szCs w:val="28"/>
        </w:rPr>
        <w:lastRenderedPageBreak/>
        <w:t>definitivo; de toda suerte, el impacto va a ser a la baja, porque en el Organismo de Investigación Judicial presupuestaron más, cien millones N95, para toda la población y eso no corresponde a una directriz del Ministerio de Salud, entonces hay que hacer los ajustes respectivos</w:t>
      </w:r>
      <w:r w:rsidR="00A10438" w:rsidRPr="002A7673">
        <w:rPr>
          <w:rFonts w:ascii="Times New Roman" w:eastAsia="Calibri" w:hAnsi="Times New Roman" w:cs="Times New Roman"/>
          <w:sz w:val="28"/>
          <w:szCs w:val="28"/>
        </w:rPr>
        <w:t xml:space="preserve"> y omitieron las de tela, entonces estamos viendo con doña </w:t>
      </w:r>
      <w:r w:rsidRPr="002A7673">
        <w:rPr>
          <w:rFonts w:ascii="Times New Roman" w:eastAsia="Calibri" w:hAnsi="Times New Roman" w:cs="Times New Roman"/>
          <w:sz w:val="28"/>
          <w:szCs w:val="28"/>
        </w:rPr>
        <w:t>C</w:t>
      </w:r>
      <w:r w:rsidR="00A10438" w:rsidRPr="002A7673">
        <w:rPr>
          <w:rFonts w:ascii="Times New Roman" w:eastAsia="Calibri" w:hAnsi="Times New Roman" w:cs="Times New Roman"/>
          <w:sz w:val="28"/>
          <w:szCs w:val="28"/>
        </w:rPr>
        <w:t>arolina del Organismo de Investigación Judicial, que es la que hizo la presupuestación.” Indica “Solamente solicitarles que en el punto 2, cuando doña Ana remita la documentación, se le apruebe a la Dirección de Planificación de una vez realizar el ajuste, porque como ya no hay más sesión de presupuesto, entonces que quede de una vez autorizado, si les parece.”</w:t>
      </w:r>
    </w:p>
    <w:p w14:paraId="2F3B0BD5" w14:textId="77777777" w:rsidR="00083CA4" w:rsidRPr="002A7673" w:rsidRDefault="00083CA4" w:rsidP="005F7139">
      <w:pPr>
        <w:widowControl w:val="0"/>
        <w:autoSpaceDE w:val="0"/>
        <w:autoSpaceDN w:val="0"/>
        <w:adjustRightInd w:val="0"/>
        <w:spacing w:after="0" w:line="240" w:lineRule="auto"/>
        <w:jc w:val="both"/>
        <w:rPr>
          <w:rFonts w:ascii="Times New Roman" w:eastAsia="Times New Roman" w:hAnsi="Times New Roman" w:cs="Times New Roman"/>
          <w:sz w:val="24"/>
          <w:szCs w:val="24"/>
          <w:u w:color="000000"/>
          <w:shd w:val="clear" w:color="auto" w:fill="FFFFFF"/>
          <w:lang w:val="es-ES" w:eastAsia="es-ES"/>
        </w:rPr>
      </w:pPr>
    </w:p>
    <w:p w14:paraId="0741B443" w14:textId="431B4947" w:rsidR="00083CA4" w:rsidRPr="002A7673" w:rsidRDefault="00083CA4" w:rsidP="004D76F5">
      <w:pPr>
        <w:spacing w:after="0" w:line="480" w:lineRule="auto"/>
        <w:ind w:firstLine="708"/>
        <w:jc w:val="both"/>
        <w:rPr>
          <w:rFonts w:ascii="Times New Roman" w:eastAsia="Calibri" w:hAnsi="Times New Roman" w:cs="Times New Roman"/>
          <w:sz w:val="28"/>
          <w:szCs w:val="28"/>
        </w:rPr>
      </w:pPr>
      <w:r w:rsidRPr="002A7673">
        <w:rPr>
          <w:rFonts w:ascii="Times New Roman" w:eastAsia="Calibri" w:hAnsi="Times New Roman" w:cs="Times New Roman"/>
          <w:b/>
          <w:bCs/>
          <w:sz w:val="28"/>
          <w:szCs w:val="28"/>
        </w:rPr>
        <w:t>Se acordó:  1)</w:t>
      </w:r>
      <w:r w:rsidRPr="002A7673">
        <w:rPr>
          <w:rFonts w:ascii="Times New Roman" w:eastAsia="Calibri" w:hAnsi="Times New Roman" w:cs="Times New Roman"/>
          <w:sz w:val="28"/>
          <w:szCs w:val="28"/>
        </w:rPr>
        <w:t xml:space="preserve"> Se dan por conocidos los recursos formulados en las Subpartidas 20102 Productos Farmacéuticos y Medicinales, 29905 Útiles y Materiales de Limpieza y 29906 Útiles y Materiales de Resguardo y Seguridad, sin embargo, se estará a la espera del análisis global del presupuesto 2022, para aprobar una propuesta integral que consolide todas las necesidades institucionales. </w:t>
      </w:r>
      <w:r w:rsidRPr="002A7673">
        <w:rPr>
          <w:rFonts w:ascii="Times New Roman" w:eastAsia="Calibri" w:hAnsi="Times New Roman" w:cs="Times New Roman"/>
          <w:b/>
          <w:bCs/>
          <w:sz w:val="28"/>
          <w:szCs w:val="28"/>
        </w:rPr>
        <w:t>2)</w:t>
      </w:r>
      <w:r w:rsidRPr="002A7673">
        <w:rPr>
          <w:rFonts w:ascii="Times New Roman" w:eastAsia="Calibri" w:hAnsi="Times New Roman" w:cs="Times New Roman"/>
          <w:sz w:val="28"/>
          <w:szCs w:val="28"/>
        </w:rPr>
        <w:t xml:space="preserve"> La Dirección Ejecutiva hará una revisión del tipo de mascarillas N95 solicitadas en la formulación presupuestaria 2022, de acuerdo con el catálogo de artículos COVID que se elaboró a nivel institucional e informará lo que corresponda a la Dirección de Planificación</w:t>
      </w:r>
      <w:r w:rsidR="002D1F17" w:rsidRPr="002A7673">
        <w:rPr>
          <w:rFonts w:ascii="Times New Roman" w:eastAsia="Calibri" w:hAnsi="Times New Roman" w:cs="Times New Roman"/>
          <w:sz w:val="28"/>
          <w:szCs w:val="28"/>
        </w:rPr>
        <w:t xml:space="preserve">. </w:t>
      </w:r>
      <w:r w:rsidRPr="002A7673">
        <w:rPr>
          <w:rFonts w:ascii="Times New Roman" w:eastAsia="Calibri" w:hAnsi="Times New Roman" w:cs="Times New Roman"/>
          <w:b/>
          <w:bCs/>
          <w:sz w:val="28"/>
          <w:szCs w:val="28"/>
        </w:rPr>
        <w:t>3)</w:t>
      </w:r>
      <w:r w:rsidRPr="002A7673">
        <w:rPr>
          <w:rFonts w:ascii="Times New Roman" w:eastAsia="Calibri" w:hAnsi="Times New Roman" w:cs="Times New Roman"/>
          <w:sz w:val="28"/>
          <w:szCs w:val="28"/>
        </w:rPr>
        <w:t xml:space="preserve"> Autorizar a la Dirección de Planificación a realizar los ajustes correspondientes, conforme la </w:t>
      </w:r>
      <w:r w:rsidRPr="002A7673">
        <w:rPr>
          <w:rFonts w:ascii="Times New Roman" w:eastAsia="Calibri" w:hAnsi="Times New Roman" w:cs="Times New Roman"/>
          <w:sz w:val="28"/>
          <w:szCs w:val="28"/>
        </w:rPr>
        <w:lastRenderedPageBreak/>
        <w:t xml:space="preserve">información que remita la Dirección Ejecutiva. </w:t>
      </w:r>
      <w:r w:rsidRPr="002A7673">
        <w:rPr>
          <w:rFonts w:ascii="Times New Roman" w:eastAsia="Calibri" w:hAnsi="Times New Roman" w:cs="Times New Roman"/>
          <w:b/>
          <w:bCs/>
          <w:sz w:val="28"/>
          <w:szCs w:val="28"/>
        </w:rPr>
        <w:t>4)</w:t>
      </w:r>
      <w:r w:rsidRPr="002A7673">
        <w:rPr>
          <w:rFonts w:ascii="Times New Roman" w:eastAsia="Calibri" w:hAnsi="Times New Roman" w:cs="Times New Roman"/>
          <w:sz w:val="28"/>
          <w:szCs w:val="28"/>
        </w:rPr>
        <w:t xml:space="preserve"> Valorar la posibilidad de solicitar al Ministerio de Hacienda, no incluir dentro del límite presupuestario del Poder Judicial, los recursos necesarios para seguir atendiendo la emergencia por el COVID- 2019 en el 2022, para lo cual la Dirección de Planificación preparará la propuesta de oficio a la Presidencia para su respectiva remisión. </w:t>
      </w:r>
    </w:p>
    <w:p w14:paraId="7EAD258F" w14:textId="77777777" w:rsidR="00657B3F" w:rsidRPr="002A7673" w:rsidRDefault="00657B3F" w:rsidP="00657B3F">
      <w:pPr>
        <w:spacing w:after="0" w:line="480" w:lineRule="auto"/>
        <w:ind w:firstLine="708"/>
        <w:jc w:val="both"/>
        <w:rPr>
          <w:rFonts w:ascii="Times New Roman" w:eastAsia="Calibri" w:hAnsi="Times New Roman" w:cs="Times New Roman"/>
          <w:sz w:val="28"/>
          <w:szCs w:val="28"/>
        </w:rPr>
      </w:pPr>
      <w:r w:rsidRPr="002A7673">
        <w:rPr>
          <w:rFonts w:ascii="Times New Roman" w:eastAsia="Calibri" w:hAnsi="Times New Roman" w:cs="Times New Roman"/>
          <w:sz w:val="28"/>
          <w:szCs w:val="28"/>
          <w:highlight w:val="yellow"/>
        </w:rPr>
        <w:t>La máster Dinorah Álvarez Acosta, Subdirectora Ejecutiva, se abstiene de votar.</w:t>
      </w:r>
    </w:p>
    <w:p w14:paraId="5386DA21" w14:textId="77777777" w:rsidR="00657B3F" w:rsidRPr="002A7673" w:rsidRDefault="00657B3F" w:rsidP="004D76F5">
      <w:pPr>
        <w:spacing w:after="0" w:line="480" w:lineRule="auto"/>
        <w:ind w:firstLine="708"/>
        <w:jc w:val="both"/>
        <w:rPr>
          <w:rFonts w:ascii="Times New Roman" w:eastAsia="Calibri" w:hAnsi="Times New Roman" w:cs="Times New Roman"/>
          <w:sz w:val="28"/>
          <w:szCs w:val="28"/>
        </w:rPr>
      </w:pPr>
      <w:r w:rsidRPr="002A7673">
        <w:rPr>
          <w:rFonts w:ascii="Times New Roman" w:eastAsia="Calibri" w:hAnsi="Times New Roman" w:cs="Times New Roman"/>
          <w:sz w:val="28"/>
          <w:szCs w:val="28"/>
        </w:rPr>
        <w:t xml:space="preserve">Las Direcciones Ejecutiva y de Planificación, tomarán nota para lo que corresponda. </w:t>
      </w:r>
      <w:r w:rsidRPr="002A7673">
        <w:rPr>
          <w:rFonts w:ascii="Times New Roman" w:eastAsia="Calibri" w:hAnsi="Times New Roman" w:cs="Times New Roman"/>
          <w:b/>
          <w:sz w:val="28"/>
          <w:szCs w:val="28"/>
        </w:rPr>
        <w:t>Se declara acuerdo firme.</w:t>
      </w:r>
      <w:r w:rsidRPr="002A7673">
        <w:rPr>
          <w:rFonts w:ascii="Times New Roman" w:eastAsia="Calibri" w:hAnsi="Times New Roman" w:cs="Times New Roman"/>
          <w:sz w:val="28"/>
          <w:szCs w:val="28"/>
        </w:rPr>
        <w:t xml:space="preserve"> </w:t>
      </w:r>
    </w:p>
    <w:p w14:paraId="776B1580" w14:textId="77777777" w:rsidR="00083CA4" w:rsidRPr="002A7673" w:rsidRDefault="00083CA4" w:rsidP="00102DB7">
      <w:pPr>
        <w:pStyle w:val="BodyText22"/>
        <w:rPr>
          <w:rFonts w:ascii="Times New Roman" w:hAnsi="Times New Roman" w:cs="Times New Roman"/>
        </w:rPr>
      </w:pPr>
    </w:p>
    <w:p w14:paraId="2E77CF34" w14:textId="1B785BB1" w:rsidR="00AE01C4" w:rsidRPr="00CB2D90" w:rsidRDefault="00083CA4" w:rsidP="00CB2D90">
      <w:pPr>
        <w:keepNext/>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IV</w:t>
      </w:r>
    </w:p>
    <w:p w14:paraId="4554BF61" w14:textId="77777777" w:rsidR="00083CA4" w:rsidRPr="002A7673" w:rsidRDefault="00083CA4" w:rsidP="005F7139">
      <w:pPr>
        <w:autoSpaceDE w:val="0"/>
        <w:autoSpaceDN w:val="0"/>
        <w:adjustRightInd w:val="0"/>
        <w:spacing w:after="0" w:line="480" w:lineRule="auto"/>
        <w:ind w:firstLine="708"/>
        <w:jc w:val="both"/>
        <w:rPr>
          <w:rFonts w:ascii="Times New Roman" w:eastAsia="Calibri" w:hAnsi="Times New Roman" w:cs="Times New Roman"/>
          <w:b/>
          <w:bCs/>
          <w:sz w:val="28"/>
          <w:szCs w:val="28"/>
        </w:rPr>
      </w:pPr>
      <w:r w:rsidRPr="002A7673">
        <w:rPr>
          <w:rFonts w:ascii="Times New Roman" w:eastAsia="Calibri" w:hAnsi="Times New Roman" w:cs="Times New Roman"/>
          <w:b/>
          <w:bCs/>
          <w:sz w:val="28"/>
          <w:szCs w:val="28"/>
        </w:rPr>
        <w:t xml:space="preserve">Documento N° </w:t>
      </w:r>
      <w:r w:rsidRPr="002A7673">
        <w:rPr>
          <w:rFonts w:ascii="Times New Roman" w:eastAsia="Calibri" w:hAnsi="Times New Roman" w:cs="Times New Roman"/>
          <w:b/>
          <w:bCs/>
          <w:color w:val="00B050"/>
          <w:sz w:val="28"/>
          <w:szCs w:val="28"/>
        </w:rPr>
        <w:t>2830-2021</w:t>
      </w:r>
    </w:p>
    <w:p w14:paraId="04D78F3D" w14:textId="2A1CD4EF" w:rsidR="00083CA4" w:rsidRPr="002A7673" w:rsidRDefault="00083CA4" w:rsidP="008B6662">
      <w:pPr>
        <w:spacing w:after="0" w:line="480" w:lineRule="auto"/>
        <w:ind w:firstLine="709"/>
        <w:jc w:val="both"/>
        <w:rPr>
          <w:rFonts w:ascii="Times New Roman" w:eastAsia="Times New Roman" w:hAnsi="Times New Roman" w:cs="Times New Roman"/>
          <w:color w:val="000000"/>
          <w:sz w:val="26"/>
          <w:szCs w:val="26"/>
          <w:lang w:val="es-ES_tradnl"/>
        </w:rPr>
      </w:pPr>
      <w:r w:rsidRPr="002A7673">
        <w:rPr>
          <w:rFonts w:ascii="Times New Roman" w:eastAsia="Calibri" w:hAnsi="Times New Roman" w:cs="Times New Roman"/>
          <w:sz w:val="28"/>
          <w:szCs w:val="28"/>
        </w:rPr>
        <w:t>En reunión de trabajo del pasado 16 de abril, la Licenciada Nacira Valverde Bermúdez informó</w:t>
      </w:r>
      <w:r w:rsidRPr="002A7673">
        <w:rPr>
          <w:rFonts w:ascii="Times New Roman" w:eastAsia="Times New Roman" w:hAnsi="Times New Roman" w:cs="Times New Roman"/>
          <w:sz w:val="32"/>
          <w:szCs w:val="32"/>
        </w:rPr>
        <w:t xml:space="preserve"> </w:t>
      </w:r>
      <w:r w:rsidRPr="002A7673">
        <w:rPr>
          <w:rFonts w:ascii="Times New Roman" w:eastAsia="Calibri" w:hAnsi="Times New Roman" w:cs="Times New Roman"/>
          <w:sz w:val="28"/>
          <w:szCs w:val="28"/>
        </w:rPr>
        <w:t>que mediante oficio 39-CC-2021 del 16 de marzo anterior dirigido a la Secretaría de la Corte, la Comisión de Construcciones comunica el acuerdo tomado por dicha Comisión en la sesión ordinaria N°02-2021, celebrada el 24 de febrero de 2021, artículo III, a saber:</w:t>
      </w:r>
    </w:p>
    <w:p w14:paraId="5C9EB85A" w14:textId="77777777" w:rsidR="00083CA4" w:rsidRPr="002A7673" w:rsidRDefault="00083CA4" w:rsidP="003774B7">
      <w:pPr>
        <w:spacing w:after="0" w:line="240" w:lineRule="auto"/>
        <w:ind w:left="851" w:right="851" w:firstLine="709"/>
        <w:rPr>
          <w:rFonts w:ascii="Times New Roman" w:eastAsia="Calibri" w:hAnsi="Times New Roman" w:cs="Times New Roman"/>
          <w:b/>
          <w:i/>
          <w:iCs/>
          <w:color w:val="000000"/>
          <w:sz w:val="26"/>
          <w:szCs w:val="26"/>
        </w:rPr>
      </w:pPr>
      <w:r w:rsidRPr="002A7673">
        <w:rPr>
          <w:rFonts w:ascii="Times New Roman" w:eastAsia="Calibri" w:hAnsi="Times New Roman" w:cs="Times New Roman"/>
          <w:b/>
          <w:i/>
          <w:iCs/>
          <w:color w:val="000000"/>
          <w:sz w:val="26"/>
          <w:szCs w:val="26"/>
        </w:rPr>
        <w:t>“(…)</w:t>
      </w:r>
    </w:p>
    <w:p w14:paraId="50134071" w14:textId="77777777" w:rsidR="00083CA4" w:rsidRPr="002A7673" w:rsidRDefault="00083CA4" w:rsidP="003774B7">
      <w:pPr>
        <w:spacing w:after="0" w:line="240" w:lineRule="auto"/>
        <w:ind w:left="851" w:right="851" w:firstLine="709"/>
        <w:jc w:val="center"/>
        <w:rPr>
          <w:rFonts w:ascii="Times New Roman" w:eastAsia="Calibri" w:hAnsi="Times New Roman" w:cs="Times New Roman"/>
          <w:b/>
          <w:i/>
          <w:iCs/>
          <w:color w:val="000000"/>
          <w:sz w:val="26"/>
          <w:szCs w:val="26"/>
        </w:rPr>
      </w:pPr>
      <w:r w:rsidRPr="002A7673">
        <w:rPr>
          <w:rFonts w:ascii="Times New Roman" w:eastAsia="Calibri" w:hAnsi="Times New Roman" w:cs="Times New Roman"/>
          <w:b/>
          <w:i/>
          <w:iCs/>
          <w:color w:val="000000"/>
          <w:sz w:val="26"/>
          <w:szCs w:val="26"/>
        </w:rPr>
        <w:t>ARTÍCULO III</w:t>
      </w:r>
    </w:p>
    <w:p w14:paraId="0D9C1089" w14:textId="77777777" w:rsidR="00657B3F" w:rsidRPr="002A7673" w:rsidRDefault="00657B3F" w:rsidP="003774B7">
      <w:pPr>
        <w:spacing w:after="0" w:line="240" w:lineRule="auto"/>
        <w:ind w:left="851" w:right="851" w:firstLine="709"/>
        <w:jc w:val="center"/>
        <w:rPr>
          <w:rFonts w:ascii="Times New Roman" w:eastAsia="Calibri" w:hAnsi="Times New Roman" w:cs="Times New Roman"/>
          <w:b/>
          <w:i/>
          <w:iCs/>
          <w:color w:val="000000"/>
          <w:sz w:val="26"/>
          <w:szCs w:val="26"/>
        </w:rPr>
      </w:pPr>
    </w:p>
    <w:p w14:paraId="3733174F" w14:textId="77777777" w:rsidR="00083CA4" w:rsidRPr="002A7673" w:rsidRDefault="00083CA4" w:rsidP="003774B7">
      <w:pPr>
        <w:spacing w:after="0" w:line="240" w:lineRule="auto"/>
        <w:ind w:left="851" w:right="851" w:firstLine="709"/>
        <w:jc w:val="both"/>
        <w:rPr>
          <w:rFonts w:ascii="Times New Roman" w:eastAsia="Calibri" w:hAnsi="Times New Roman" w:cs="Times New Roman"/>
          <w:bCs/>
          <w:i/>
          <w:iCs/>
          <w:color w:val="000000"/>
          <w:sz w:val="26"/>
          <w:szCs w:val="26"/>
        </w:rPr>
      </w:pPr>
      <w:r w:rsidRPr="002A7673">
        <w:rPr>
          <w:rFonts w:ascii="Times New Roman" w:eastAsia="Calibri" w:hAnsi="Times New Roman" w:cs="Times New Roman"/>
          <w:bCs/>
          <w:i/>
          <w:iCs/>
          <w:color w:val="000000"/>
          <w:sz w:val="26"/>
          <w:szCs w:val="26"/>
        </w:rPr>
        <w:t>Se conoce los siguientes oficios: 276-DE-2021, 597-DE-2021 y 608-DE-2021:</w:t>
      </w:r>
    </w:p>
    <w:p w14:paraId="3E120CBD" w14:textId="77777777" w:rsidR="00083CA4" w:rsidRPr="002A7673" w:rsidRDefault="00083CA4" w:rsidP="003774B7">
      <w:pPr>
        <w:spacing w:after="0" w:line="240" w:lineRule="auto"/>
        <w:ind w:left="851" w:right="851" w:firstLine="709"/>
        <w:jc w:val="both"/>
        <w:rPr>
          <w:rFonts w:ascii="Times New Roman" w:eastAsia="Bookman" w:hAnsi="Times New Roman" w:cs="Times New Roman"/>
          <w:bCs/>
          <w:i/>
          <w:iCs/>
          <w:color w:val="000000"/>
          <w:sz w:val="26"/>
          <w:szCs w:val="26"/>
          <w:lang w:val="es-ES_tradnl" w:eastAsia="es-CR"/>
        </w:rPr>
      </w:pPr>
      <w:r w:rsidRPr="002A7673">
        <w:rPr>
          <w:rFonts w:ascii="Times New Roman" w:eastAsia="Calibri" w:hAnsi="Times New Roman" w:cs="Times New Roman"/>
          <w:bCs/>
          <w:i/>
          <w:iCs/>
          <w:color w:val="000000"/>
          <w:sz w:val="26"/>
          <w:szCs w:val="26"/>
        </w:rPr>
        <w:t>La máster Dinorah Álvarez Acosta, Sub Directora Ejecutiva, remite el oficio N</w:t>
      </w:r>
      <w:r w:rsidRPr="002A7673">
        <w:rPr>
          <w:rFonts w:ascii="Times New Roman" w:eastAsia="Calibri" w:hAnsi="Times New Roman" w:cs="Times New Roman"/>
          <w:b/>
          <w:i/>
          <w:iCs/>
          <w:color w:val="000000"/>
          <w:sz w:val="26"/>
          <w:szCs w:val="26"/>
        </w:rPr>
        <w:t>°</w:t>
      </w:r>
      <w:r w:rsidRPr="002A7673">
        <w:rPr>
          <w:rFonts w:ascii="Times New Roman" w:eastAsia="Bookman" w:hAnsi="Times New Roman" w:cs="Times New Roman"/>
          <w:b/>
          <w:i/>
          <w:iCs/>
          <w:color w:val="000000"/>
          <w:sz w:val="26"/>
          <w:szCs w:val="26"/>
          <w:lang w:val="es-ES_tradnl" w:eastAsia="es-CR"/>
        </w:rPr>
        <w:t xml:space="preserve"> 276-DE-2021</w:t>
      </w:r>
      <w:r w:rsidRPr="002A7673">
        <w:rPr>
          <w:rFonts w:ascii="Times New Roman" w:eastAsia="Bookman" w:hAnsi="Times New Roman" w:cs="Times New Roman"/>
          <w:bCs/>
          <w:i/>
          <w:iCs/>
          <w:color w:val="000000"/>
          <w:sz w:val="26"/>
          <w:szCs w:val="26"/>
          <w:lang w:val="es-ES_tradnl" w:eastAsia="es-CR"/>
        </w:rPr>
        <w:t xml:space="preserve"> </w:t>
      </w:r>
      <w:proofErr w:type="gramStart"/>
      <w:r w:rsidRPr="002A7673">
        <w:rPr>
          <w:rFonts w:ascii="Times New Roman" w:eastAsia="Bookman" w:hAnsi="Times New Roman" w:cs="Times New Roman"/>
          <w:bCs/>
          <w:i/>
          <w:iCs/>
          <w:color w:val="000000"/>
          <w:sz w:val="26"/>
          <w:szCs w:val="26"/>
          <w:lang w:val="es-ES_tradnl" w:eastAsia="es-CR"/>
        </w:rPr>
        <w:t>de  27</w:t>
      </w:r>
      <w:proofErr w:type="gramEnd"/>
      <w:r w:rsidRPr="002A7673">
        <w:rPr>
          <w:rFonts w:ascii="Times New Roman" w:eastAsia="Bookman" w:hAnsi="Times New Roman" w:cs="Times New Roman"/>
          <w:bCs/>
          <w:i/>
          <w:iCs/>
          <w:color w:val="000000"/>
          <w:sz w:val="26"/>
          <w:szCs w:val="26"/>
          <w:lang w:val="es-ES_tradnl" w:eastAsia="es-CR"/>
        </w:rPr>
        <w:t xml:space="preserve"> de enero del 2021, que señala: </w:t>
      </w:r>
    </w:p>
    <w:p w14:paraId="557F7CBC" w14:textId="77777777" w:rsidR="00083CA4" w:rsidRPr="002A7673" w:rsidRDefault="00083CA4" w:rsidP="003774B7">
      <w:pPr>
        <w:autoSpaceDE w:val="0"/>
        <w:spacing w:after="0" w:line="240" w:lineRule="auto"/>
        <w:ind w:left="851" w:right="851" w:firstLine="709"/>
        <w:jc w:val="both"/>
        <w:rPr>
          <w:rFonts w:ascii="Times New Roman" w:eastAsia="Book Antiqua" w:hAnsi="Times New Roman" w:cs="Times New Roman"/>
          <w:i/>
          <w:iCs/>
          <w:sz w:val="26"/>
          <w:szCs w:val="26"/>
        </w:rPr>
      </w:pPr>
    </w:p>
    <w:p w14:paraId="16E11C7B"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Licenciado</w:t>
      </w:r>
    </w:p>
    <w:p w14:paraId="550E488A"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 xml:space="preserve">Luis Guillermo Rivas </w:t>
      </w:r>
      <w:proofErr w:type="spellStart"/>
      <w:r w:rsidRPr="002A7673">
        <w:rPr>
          <w:rFonts w:ascii="Times New Roman" w:eastAsia="Bookman" w:hAnsi="Times New Roman" w:cs="Times New Roman"/>
          <w:i/>
          <w:iCs/>
          <w:sz w:val="26"/>
          <w:szCs w:val="26"/>
          <w:lang w:val="es-ES_tradnl" w:eastAsia="es-CR"/>
        </w:rPr>
        <w:t>Loáiciga</w:t>
      </w:r>
      <w:proofErr w:type="spellEnd"/>
    </w:p>
    <w:p w14:paraId="2001B645"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Magistrado Presidente Comisión de Construcciones</w:t>
      </w:r>
    </w:p>
    <w:p w14:paraId="7CBA2A43"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Su Despacho</w:t>
      </w:r>
    </w:p>
    <w:p w14:paraId="0CF44B32"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p>
    <w:p w14:paraId="12F58493"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Estimado señor:</w:t>
      </w:r>
    </w:p>
    <w:p w14:paraId="6FEBB2D9"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p>
    <w:p w14:paraId="4039188E"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ab/>
        <w:t>De acuerdo con el oficio 60-TR-2021 del 13 de enero del 2021 dirigido a la Comisión de Construcciones, suscrito por la Dirección de Planificación y producto del impacto que ocasionó la atención de los compromisos no devengados del ejercicio presupuestario 2021, se hizo necesario replantear y ajustar proyectos contemplados en el anteproyecto de presupuesto de construcciones.</w:t>
      </w:r>
    </w:p>
    <w:p w14:paraId="696FE4D0"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p>
    <w:p w14:paraId="04A9E89E"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Aunado a lo anterior, se suma el acuerdo tomado por Corte Plena el pasado 11 de enero en curso, en el que aprobó que para el Anteproyecto de Presupuesto del 2022 se debe formular un 4% menos del monto aprobado para el presupuesto del 2021, motivo por el cual se hizo necesario realizar ajustes y reorientar algunos proyectos. Por tal motivo, me permito adjuntar archivo en el que se marcan las líneas que presentan cambios, así como un apartado en el que se extrajo solo los proyectos ajustados.</w:t>
      </w:r>
    </w:p>
    <w:p w14:paraId="054D9BD7"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p>
    <w:p w14:paraId="0D60418E" w14:textId="77777777" w:rsidR="00083CA4" w:rsidRPr="002A7673" w:rsidRDefault="00083CA4" w:rsidP="003774B7">
      <w:pPr>
        <w:suppressAutoHyphens/>
        <w:spacing w:after="0" w:line="240" w:lineRule="auto"/>
        <w:ind w:left="851" w:right="851" w:firstLine="709"/>
        <w:jc w:val="both"/>
        <w:rPr>
          <w:rFonts w:ascii="Times New Roman" w:eastAsia="Times New Roman" w:hAnsi="Times New Roman" w:cs="Times New Roman"/>
          <w:i/>
          <w:iCs/>
          <w:color w:val="000000"/>
          <w:sz w:val="26"/>
          <w:szCs w:val="26"/>
          <w:lang w:eastAsia="es-CR"/>
        </w:rPr>
      </w:pPr>
      <w:r w:rsidRPr="002A7673">
        <w:rPr>
          <w:rFonts w:ascii="Times New Roman" w:eastAsia="Bookman" w:hAnsi="Times New Roman" w:cs="Times New Roman"/>
          <w:i/>
          <w:iCs/>
          <w:sz w:val="26"/>
          <w:szCs w:val="26"/>
          <w:lang w:val="es-ES_tradnl" w:eastAsia="es-CR"/>
        </w:rPr>
        <w:tab/>
        <w:t>Conforme el análisis realizado y en ocasión del avance de los planos constructivos del proyecto de la torre anexa de los Tribunales de Justicia de San Ramón, se contemplaron los recursos del Fideicomiso para concluir esta obra.</w:t>
      </w:r>
    </w:p>
    <w:p w14:paraId="40BF8BC6"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kern w:val="1"/>
          <w:sz w:val="26"/>
          <w:szCs w:val="26"/>
          <w:lang w:eastAsia="es-ES" w:bidi="es-ES"/>
        </w:rPr>
      </w:pPr>
    </w:p>
    <w:p w14:paraId="0F6204B2" w14:textId="77777777" w:rsidR="00083CA4" w:rsidRPr="002A7673" w:rsidRDefault="00083CA4" w:rsidP="003774B7">
      <w:pPr>
        <w:suppressAutoHyphens/>
        <w:spacing w:after="0" w:line="240" w:lineRule="auto"/>
        <w:ind w:left="851" w:right="851" w:firstLine="709"/>
        <w:jc w:val="center"/>
        <w:rPr>
          <w:rFonts w:ascii="Times New Roman" w:eastAsia="Times New Roman" w:hAnsi="Times New Roman" w:cs="Times New Roman"/>
          <w:i/>
          <w:iCs/>
          <w:sz w:val="26"/>
          <w:szCs w:val="26"/>
          <w:lang w:val="es-ES" w:eastAsia="es-CR"/>
        </w:rPr>
      </w:pPr>
    </w:p>
    <w:p w14:paraId="3E5AEB5E"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b/>
          <w:bCs/>
          <w:i/>
          <w:iCs/>
          <w:sz w:val="26"/>
          <w:szCs w:val="26"/>
          <w:lang w:val="es-ES_tradnl" w:eastAsia="es-CR"/>
        </w:rPr>
      </w:pPr>
      <w:r w:rsidRPr="002A7673">
        <w:rPr>
          <w:rFonts w:ascii="Times New Roman" w:eastAsia="Times New Roman" w:hAnsi="Times New Roman" w:cs="Times New Roman"/>
          <w:i/>
          <w:iCs/>
          <w:sz w:val="26"/>
          <w:szCs w:val="26"/>
          <w:lang w:val="es-ES" w:eastAsia="es-CR"/>
        </w:rPr>
        <w:object w:dxaOrig="1376" w:dyaOrig="893" w14:anchorId="0C8F52F1">
          <v:shape id="_x0000_i1027" type="#_x0000_t75" style="width:70pt;height:46.5pt" o:ole="">
            <v:imagedata r:id="rId55" o:title=""/>
          </v:shape>
          <o:OLEObject Type="Embed" ProgID="Excel.Sheet.12" ShapeID="_x0000_i1027" DrawAspect="Icon" ObjectID="_1684066970" r:id="rId56"/>
        </w:object>
      </w:r>
    </w:p>
    <w:p w14:paraId="410452A9" w14:textId="77777777" w:rsidR="00083CA4" w:rsidRPr="002A7673" w:rsidRDefault="00083CA4" w:rsidP="003774B7">
      <w:pPr>
        <w:suppressAutoHyphens/>
        <w:spacing w:after="0" w:line="240" w:lineRule="auto"/>
        <w:ind w:left="851" w:right="851" w:firstLine="709"/>
        <w:jc w:val="center"/>
        <w:rPr>
          <w:rFonts w:ascii="Times New Roman" w:eastAsia="Bookman" w:hAnsi="Times New Roman" w:cs="Times New Roman"/>
          <w:b/>
          <w:bCs/>
          <w:i/>
          <w:iCs/>
          <w:sz w:val="26"/>
          <w:szCs w:val="26"/>
          <w:lang w:val="es-ES_tradnl" w:eastAsia="es-CR"/>
        </w:rPr>
      </w:pPr>
      <w:r w:rsidRPr="002A7673">
        <w:rPr>
          <w:rFonts w:ascii="Times New Roman" w:eastAsia="Bookman" w:hAnsi="Times New Roman" w:cs="Times New Roman"/>
          <w:b/>
          <w:bCs/>
          <w:i/>
          <w:iCs/>
          <w:sz w:val="26"/>
          <w:szCs w:val="26"/>
          <w:lang w:val="es-ES_tradnl" w:eastAsia="es-CR"/>
        </w:rPr>
        <w:t>-0-</w:t>
      </w:r>
    </w:p>
    <w:p w14:paraId="5DE3EB3E" w14:textId="77777777" w:rsidR="00083CA4" w:rsidRPr="002A7673" w:rsidRDefault="00083CA4" w:rsidP="003774B7">
      <w:pPr>
        <w:suppressAutoHyphens/>
        <w:spacing w:after="0" w:line="240" w:lineRule="auto"/>
        <w:ind w:left="851" w:right="851" w:firstLine="709"/>
        <w:jc w:val="center"/>
        <w:rPr>
          <w:rFonts w:ascii="Times New Roman" w:eastAsia="Bookman" w:hAnsi="Times New Roman" w:cs="Times New Roman"/>
          <w:i/>
          <w:iCs/>
          <w:sz w:val="26"/>
          <w:szCs w:val="26"/>
          <w:lang w:val="es-ES_tradnl" w:eastAsia="es-CR"/>
        </w:rPr>
      </w:pPr>
    </w:p>
    <w:p w14:paraId="0BC49F2A"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 xml:space="preserve">La máster Ana Eugenia Romero Jenkins, Directora Ejecutiva, suscribe el oficio </w:t>
      </w:r>
      <w:r w:rsidRPr="002A7673">
        <w:rPr>
          <w:rFonts w:ascii="Times New Roman" w:eastAsia="Bookman" w:hAnsi="Times New Roman" w:cs="Times New Roman"/>
          <w:b/>
          <w:bCs/>
          <w:i/>
          <w:iCs/>
          <w:sz w:val="26"/>
          <w:szCs w:val="26"/>
          <w:lang w:val="es-ES_tradnl" w:eastAsia="es-CR"/>
        </w:rPr>
        <w:t>Nº 597-DE-2021</w:t>
      </w:r>
      <w:r w:rsidRPr="002A7673">
        <w:rPr>
          <w:rFonts w:ascii="Times New Roman" w:eastAsia="Bookman" w:hAnsi="Times New Roman" w:cs="Times New Roman"/>
          <w:i/>
          <w:iCs/>
          <w:sz w:val="26"/>
          <w:szCs w:val="26"/>
          <w:lang w:val="es-ES_tradnl" w:eastAsia="es-CR"/>
        </w:rPr>
        <w:t xml:space="preserve">de 17 de febrero del 202: </w:t>
      </w:r>
    </w:p>
    <w:p w14:paraId="111AC87B" w14:textId="77777777" w:rsidR="00083CA4" w:rsidRPr="002A7673" w:rsidRDefault="00083CA4" w:rsidP="003774B7">
      <w:pPr>
        <w:autoSpaceDE w:val="0"/>
        <w:spacing w:after="0" w:line="240" w:lineRule="auto"/>
        <w:ind w:left="851" w:right="851" w:firstLine="709"/>
        <w:jc w:val="both"/>
        <w:rPr>
          <w:rFonts w:ascii="Times New Roman" w:eastAsia="Book Antiqua" w:hAnsi="Times New Roman" w:cs="Times New Roman"/>
          <w:i/>
          <w:iCs/>
          <w:sz w:val="26"/>
          <w:szCs w:val="26"/>
        </w:rPr>
      </w:pPr>
    </w:p>
    <w:p w14:paraId="4B89CF54"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Licenciado</w:t>
      </w:r>
    </w:p>
    <w:p w14:paraId="00E3AFA6"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 xml:space="preserve">Luis Guillermo Rivas </w:t>
      </w:r>
      <w:proofErr w:type="spellStart"/>
      <w:r w:rsidRPr="002A7673">
        <w:rPr>
          <w:rFonts w:ascii="Times New Roman" w:eastAsia="Bookman" w:hAnsi="Times New Roman" w:cs="Times New Roman"/>
          <w:i/>
          <w:iCs/>
          <w:sz w:val="26"/>
          <w:szCs w:val="26"/>
          <w:lang w:val="es-ES_tradnl" w:eastAsia="es-CR"/>
        </w:rPr>
        <w:t>Loáiciga</w:t>
      </w:r>
      <w:proofErr w:type="spellEnd"/>
    </w:p>
    <w:p w14:paraId="39D61686"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lastRenderedPageBreak/>
        <w:t>Magistrado Presidente Comisión de Construcciones</w:t>
      </w:r>
    </w:p>
    <w:p w14:paraId="652AD464"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Su Despacho</w:t>
      </w:r>
    </w:p>
    <w:p w14:paraId="3722F119"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p>
    <w:p w14:paraId="52880DB8"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Estimado señor:</w:t>
      </w:r>
    </w:p>
    <w:p w14:paraId="48832A2E"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p>
    <w:p w14:paraId="6AF5F47C" w14:textId="77777777" w:rsidR="00083CA4" w:rsidRPr="002A7673" w:rsidRDefault="00083CA4" w:rsidP="003774B7">
      <w:pPr>
        <w:suppressAutoHyphens/>
        <w:spacing w:after="0" w:line="240" w:lineRule="auto"/>
        <w:ind w:left="851" w:right="851" w:firstLine="709"/>
        <w:jc w:val="both"/>
        <w:rPr>
          <w:rFonts w:ascii="Times New Roman" w:eastAsia="Times New Roman" w:hAnsi="Times New Roman" w:cs="Times New Roman"/>
          <w:i/>
          <w:iCs/>
          <w:sz w:val="26"/>
          <w:szCs w:val="26"/>
          <w:lang w:val="es-ES" w:eastAsia="es-CR"/>
        </w:rPr>
      </w:pPr>
      <w:r w:rsidRPr="002A7673">
        <w:rPr>
          <w:rFonts w:ascii="Times New Roman" w:eastAsia="Bookman" w:hAnsi="Times New Roman" w:cs="Times New Roman"/>
          <w:i/>
          <w:iCs/>
          <w:sz w:val="26"/>
          <w:szCs w:val="26"/>
          <w:lang w:val="es-ES_tradnl" w:eastAsia="es-CR"/>
        </w:rPr>
        <w:tab/>
        <w:t>En adición al oficio 276-DE-2021 del 27 de enero en curso, me permito presentarle un resumen del curso del presupuesto del Área de Construcciones a partir de la presentación del primer presupuesto y el ajuste solicitado por la Dirección de Planificación en oficio 60-TR-2021 del 13 de enero del 2021 ante</w:t>
      </w:r>
      <w:r w:rsidRPr="002A7673">
        <w:rPr>
          <w:rFonts w:ascii="Times New Roman" w:eastAsia="Times New Roman" w:hAnsi="Times New Roman" w:cs="Times New Roman"/>
          <w:i/>
          <w:iCs/>
          <w:sz w:val="26"/>
          <w:szCs w:val="26"/>
          <w:lang w:val="es-ES" w:eastAsia="es-CR"/>
        </w:rPr>
        <w:t xml:space="preserve"> la Comisión de Construcciones, donde se indican los montos máximos a formular, tanto en gasto corriente como de capital, conforme se muestra en el siguiente cuadro:</w:t>
      </w:r>
    </w:p>
    <w:p w14:paraId="78B127B6" w14:textId="77777777" w:rsidR="00083CA4" w:rsidRPr="002A7673" w:rsidRDefault="00083CA4" w:rsidP="003774B7">
      <w:pPr>
        <w:spacing w:after="0" w:line="240" w:lineRule="auto"/>
        <w:ind w:left="851" w:right="851" w:firstLine="709"/>
        <w:rPr>
          <w:rFonts w:ascii="Times New Roman" w:eastAsia="Times New Roman" w:hAnsi="Times New Roman" w:cs="Times New Roman"/>
          <w:i/>
          <w:iCs/>
          <w:sz w:val="26"/>
          <w:szCs w:val="26"/>
          <w:lang w:val="es-ES" w:eastAsia="es-CR"/>
        </w:rPr>
      </w:pPr>
    </w:p>
    <w:p w14:paraId="3F4D7C42" w14:textId="77777777" w:rsidR="00083CA4" w:rsidRPr="002A7673" w:rsidRDefault="00083CA4" w:rsidP="005F7139">
      <w:pPr>
        <w:suppressAutoHyphens/>
        <w:spacing w:after="0" w:line="276" w:lineRule="auto"/>
        <w:ind w:left="708"/>
        <w:jc w:val="both"/>
        <w:rPr>
          <w:rFonts w:ascii="Times New Roman" w:eastAsia="Times New Roman" w:hAnsi="Times New Roman" w:cs="Times New Roman"/>
          <w:i/>
          <w:iCs/>
          <w:lang w:val="es-ES" w:eastAsia="es-CR"/>
        </w:rPr>
      </w:pPr>
    </w:p>
    <w:tbl>
      <w:tblPr>
        <w:tblW w:w="6653" w:type="dxa"/>
        <w:jc w:val="center"/>
        <w:tblCellMar>
          <w:left w:w="0" w:type="dxa"/>
          <w:right w:w="0" w:type="dxa"/>
        </w:tblCellMar>
        <w:tblLook w:val="04A0" w:firstRow="1" w:lastRow="0" w:firstColumn="1" w:lastColumn="0" w:noHBand="0" w:noVBand="1"/>
      </w:tblPr>
      <w:tblGrid>
        <w:gridCol w:w="3691"/>
        <w:gridCol w:w="2962"/>
      </w:tblGrid>
      <w:tr w:rsidR="00083CA4" w:rsidRPr="002A7673" w14:paraId="40A5542A" w14:textId="77777777" w:rsidTr="005F7139">
        <w:trPr>
          <w:trHeight w:val="703"/>
          <w:jc w:val="center"/>
        </w:trPr>
        <w:tc>
          <w:tcPr>
            <w:tcW w:w="6653" w:type="dxa"/>
            <w:gridSpan w:val="2"/>
            <w:tcBorders>
              <w:top w:val="single" w:sz="8" w:space="0" w:color="auto"/>
              <w:left w:val="single" w:sz="8" w:space="0" w:color="auto"/>
              <w:bottom w:val="single" w:sz="8" w:space="0" w:color="auto"/>
              <w:right w:val="single" w:sz="8" w:space="0" w:color="auto"/>
            </w:tcBorders>
            <w:shd w:val="clear" w:color="auto" w:fill="D6DCE4"/>
            <w:tcMar>
              <w:top w:w="0" w:type="dxa"/>
              <w:left w:w="70" w:type="dxa"/>
              <w:bottom w:w="0" w:type="dxa"/>
              <w:right w:w="70" w:type="dxa"/>
            </w:tcMar>
            <w:vAlign w:val="center"/>
            <w:hideMark/>
          </w:tcPr>
          <w:p w14:paraId="1AA4D5A8" w14:textId="77777777" w:rsidR="00083CA4" w:rsidRPr="002A7673" w:rsidRDefault="00083CA4" w:rsidP="005F7139">
            <w:pPr>
              <w:spacing w:after="0" w:line="276" w:lineRule="auto"/>
              <w:jc w:val="center"/>
              <w:rPr>
                <w:rFonts w:ascii="Times New Roman" w:eastAsia="Calibri" w:hAnsi="Times New Roman" w:cs="Times New Roman"/>
                <w:i/>
                <w:iCs/>
                <w:color w:val="000000"/>
                <w:lang w:eastAsia="es-CR"/>
              </w:rPr>
            </w:pPr>
            <w:r w:rsidRPr="002A7673">
              <w:rPr>
                <w:rFonts w:ascii="Times New Roman" w:eastAsia="Calibri" w:hAnsi="Times New Roman" w:cs="Times New Roman"/>
                <w:i/>
                <w:iCs/>
                <w:color w:val="000000"/>
                <w:lang w:eastAsia="es-CR"/>
              </w:rPr>
              <w:t>LÍMITE PRESUPUESTO DE CONSTRUCCIONES 2022</w:t>
            </w:r>
            <w:r w:rsidRPr="002A7673">
              <w:rPr>
                <w:rFonts w:ascii="Times New Roman" w:eastAsia="Calibri" w:hAnsi="Times New Roman" w:cs="Times New Roman"/>
                <w:i/>
                <w:iCs/>
                <w:color w:val="000000"/>
                <w:lang w:eastAsia="es-CR"/>
              </w:rPr>
              <w:br/>
              <w:t>ESTABLECIDO POR LA DIRECCIÓN DE PLANIFICACIÓN</w:t>
            </w:r>
            <w:r w:rsidRPr="002A7673">
              <w:rPr>
                <w:rFonts w:ascii="Times New Roman" w:eastAsia="Calibri" w:hAnsi="Times New Roman" w:cs="Times New Roman"/>
                <w:i/>
                <w:iCs/>
                <w:color w:val="000000"/>
                <w:lang w:eastAsia="es-CR"/>
              </w:rPr>
              <w:br/>
              <w:t>(presupuesto 2021 menos 4% 60-TR-2021)</w:t>
            </w:r>
          </w:p>
        </w:tc>
      </w:tr>
      <w:tr w:rsidR="00083CA4" w:rsidRPr="002A7673" w14:paraId="784B92B5" w14:textId="77777777" w:rsidTr="005F7139">
        <w:trPr>
          <w:trHeight w:val="300"/>
          <w:jc w:val="center"/>
        </w:trPr>
        <w:tc>
          <w:tcPr>
            <w:tcW w:w="3691" w:type="dxa"/>
            <w:tcMar>
              <w:top w:w="0" w:type="dxa"/>
              <w:left w:w="70" w:type="dxa"/>
              <w:bottom w:w="0" w:type="dxa"/>
              <w:right w:w="70" w:type="dxa"/>
            </w:tcMar>
            <w:vAlign w:val="center"/>
            <w:hideMark/>
          </w:tcPr>
          <w:p w14:paraId="219AA9B3" w14:textId="77777777" w:rsidR="00083CA4" w:rsidRPr="002A7673" w:rsidRDefault="00083CA4" w:rsidP="005F7139">
            <w:pPr>
              <w:spacing w:after="0" w:line="276" w:lineRule="auto"/>
              <w:rPr>
                <w:rFonts w:ascii="Times New Roman" w:eastAsia="Calibri" w:hAnsi="Times New Roman" w:cs="Times New Roman"/>
                <w:i/>
                <w:iCs/>
                <w:color w:val="000000"/>
                <w:lang w:eastAsia="es-CR"/>
              </w:rPr>
            </w:pPr>
          </w:p>
          <w:p w14:paraId="456CF4B8" w14:textId="77777777" w:rsidR="00083CA4" w:rsidRPr="002A7673" w:rsidRDefault="00083CA4" w:rsidP="005F7139">
            <w:pPr>
              <w:spacing w:after="0" w:line="276" w:lineRule="auto"/>
              <w:rPr>
                <w:rFonts w:ascii="Times New Roman" w:eastAsia="Calibri" w:hAnsi="Times New Roman" w:cs="Times New Roman"/>
                <w:i/>
                <w:iCs/>
                <w:color w:val="000000"/>
                <w:lang w:eastAsia="es-CR"/>
              </w:rPr>
            </w:pPr>
          </w:p>
        </w:tc>
        <w:tc>
          <w:tcPr>
            <w:tcW w:w="2962" w:type="dxa"/>
            <w:tcMar>
              <w:top w:w="0" w:type="dxa"/>
              <w:left w:w="70" w:type="dxa"/>
              <w:bottom w:w="0" w:type="dxa"/>
              <w:right w:w="70" w:type="dxa"/>
            </w:tcMar>
            <w:vAlign w:val="center"/>
            <w:hideMark/>
          </w:tcPr>
          <w:p w14:paraId="7FF515A0" w14:textId="77777777" w:rsidR="00083CA4" w:rsidRPr="002A7673" w:rsidRDefault="00083CA4" w:rsidP="005F7139">
            <w:pPr>
              <w:spacing w:after="0" w:line="276" w:lineRule="auto"/>
              <w:rPr>
                <w:rFonts w:ascii="Times New Roman" w:eastAsia="Calibri" w:hAnsi="Times New Roman" w:cs="Times New Roman"/>
                <w:i/>
                <w:iCs/>
                <w:lang w:eastAsia="es-CR"/>
              </w:rPr>
            </w:pPr>
          </w:p>
        </w:tc>
      </w:tr>
      <w:tr w:rsidR="00083CA4" w:rsidRPr="002A7673" w14:paraId="3BF7BCCB" w14:textId="77777777" w:rsidTr="005F7139">
        <w:trPr>
          <w:trHeight w:val="519"/>
          <w:jc w:val="center"/>
        </w:trPr>
        <w:tc>
          <w:tcPr>
            <w:tcW w:w="3691" w:type="dxa"/>
            <w:tcBorders>
              <w:top w:val="single" w:sz="8" w:space="0" w:color="auto"/>
              <w:left w:val="single" w:sz="8" w:space="0" w:color="auto"/>
              <w:bottom w:val="single" w:sz="8" w:space="0" w:color="auto"/>
              <w:right w:val="single" w:sz="8" w:space="0" w:color="auto"/>
            </w:tcBorders>
            <w:shd w:val="clear" w:color="auto" w:fill="D6DCE4"/>
            <w:tcMar>
              <w:top w:w="0" w:type="dxa"/>
              <w:left w:w="70" w:type="dxa"/>
              <w:bottom w:w="0" w:type="dxa"/>
              <w:right w:w="70" w:type="dxa"/>
            </w:tcMar>
            <w:vAlign w:val="center"/>
            <w:hideMark/>
          </w:tcPr>
          <w:p w14:paraId="06482610" w14:textId="77777777" w:rsidR="00083CA4" w:rsidRPr="002A7673" w:rsidRDefault="00083CA4" w:rsidP="005F7139">
            <w:pPr>
              <w:spacing w:after="0" w:line="276" w:lineRule="auto"/>
              <w:jc w:val="center"/>
              <w:rPr>
                <w:rFonts w:ascii="Times New Roman" w:eastAsia="Calibri" w:hAnsi="Times New Roman" w:cs="Times New Roman"/>
                <w:i/>
                <w:iCs/>
                <w:color w:val="000000"/>
                <w:sz w:val="18"/>
                <w:szCs w:val="18"/>
                <w:lang w:eastAsia="es-CR"/>
              </w:rPr>
            </w:pPr>
            <w:r w:rsidRPr="002A7673">
              <w:rPr>
                <w:rFonts w:ascii="Times New Roman" w:eastAsia="Calibri" w:hAnsi="Times New Roman" w:cs="Times New Roman"/>
                <w:i/>
                <w:iCs/>
                <w:color w:val="000000"/>
                <w:sz w:val="18"/>
                <w:szCs w:val="18"/>
                <w:lang w:eastAsia="es-CR"/>
              </w:rPr>
              <w:t>PARTIDAS</w:t>
            </w:r>
          </w:p>
        </w:tc>
        <w:tc>
          <w:tcPr>
            <w:tcW w:w="2962" w:type="dxa"/>
            <w:tcBorders>
              <w:top w:val="single" w:sz="8" w:space="0" w:color="auto"/>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18E8F47A" w14:textId="77777777" w:rsidR="00083CA4" w:rsidRPr="002A7673" w:rsidRDefault="00083CA4" w:rsidP="005F7139">
            <w:pPr>
              <w:spacing w:after="0" w:line="276" w:lineRule="auto"/>
              <w:jc w:val="center"/>
              <w:rPr>
                <w:rFonts w:ascii="Times New Roman" w:eastAsia="Calibri" w:hAnsi="Times New Roman" w:cs="Times New Roman"/>
                <w:i/>
                <w:iCs/>
                <w:color w:val="000000"/>
                <w:sz w:val="18"/>
                <w:szCs w:val="18"/>
                <w:lang w:eastAsia="es-CR"/>
              </w:rPr>
            </w:pPr>
            <w:r w:rsidRPr="002A7673">
              <w:rPr>
                <w:rFonts w:ascii="Times New Roman" w:eastAsia="Calibri" w:hAnsi="Times New Roman" w:cs="Times New Roman"/>
                <w:i/>
                <w:iCs/>
                <w:color w:val="000000"/>
                <w:sz w:val="18"/>
                <w:szCs w:val="18"/>
                <w:lang w:eastAsia="es-CR"/>
              </w:rPr>
              <w:t>MÁXIMO A FORMULAR POR PARTIDAS</w:t>
            </w:r>
          </w:p>
        </w:tc>
      </w:tr>
      <w:tr w:rsidR="00083CA4" w:rsidRPr="002A7673" w14:paraId="385BF90E" w14:textId="77777777" w:rsidTr="005F7139">
        <w:trPr>
          <w:trHeight w:val="258"/>
          <w:jc w:val="center"/>
        </w:trPr>
        <w:tc>
          <w:tcPr>
            <w:tcW w:w="369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A1294BC" w14:textId="77777777" w:rsidR="00083CA4" w:rsidRPr="002A7673" w:rsidRDefault="00083CA4" w:rsidP="005F7139">
            <w:pPr>
              <w:spacing w:after="0" w:line="276" w:lineRule="auto"/>
              <w:jc w:val="right"/>
              <w:rPr>
                <w:rFonts w:ascii="Times New Roman" w:eastAsia="Calibri" w:hAnsi="Times New Roman" w:cs="Times New Roman"/>
                <w:i/>
                <w:iCs/>
                <w:color w:val="000000"/>
                <w:sz w:val="18"/>
                <w:szCs w:val="18"/>
                <w:lang w:eastAsia="es-CR"/>
              </w:rPr>
            </w:pPr>
            <w:r w:rsidRPr="002A7673">
              <w:rPr>
                <w:rFonts w:ascii="Times New Roman" w:eastAsia="Calibri" w:hAnsi="Times New Roman" w:cs="Times New Roman"/>
                <w:i/>
                <w:iCs/>
                <w:color w:val="000000"/>
                <w:sz w:val="18"/>
                <w:szCs w:val="18"/>
                <w:lang w:eastAsia="es-CR"/>
              </w:rPr>
              <w:t>Partidas 0, 1, 2, 6, 9 Gasto Corriente</w:t>
            </w:r>
          </w:p>
        </w:tc>
        <w:tc>
          <w:tcPr>
            <w:tcW w:w="296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5E0B3BC" w14:textId="77777777" w:rsidR="00083CA4" w:rsidRPr="002A7673" w:rsidRDefault="00083CA4" w:rsidP="005F7139">
            <w:pPr>
              <w:spacing w:after="0" w:line="276" w:lineRule="auto"/>
              <w:jc w:val="right"/>
              <w:rPr>
                <w:rFonts w:ascii="Times New Roman" w:eastAsia="Calibri" w:hAnsi="Times New Roman" w:cs="Times New Roman"/>
                <w:i/>
                <w:iCs/>
                <w:color w:val="2F5597"/>
                <w:sz w:val="18"/>
                <w:szCs w:val="18"/>
                <w:lang w:eastAsia="es-CR"/>
              </w:rPr>
            </w:pPr>
            <w:r w:rsidRPr="002A7673">
              <w:rPr>
                <w:rFonts w:ascii="Times New Roman" w:eastAsia="Calibri" w:hAnsi="Times New Roman" w:cs="Times New Roman"/>
                <w:i/>
                <w:iCs/>
                <w:color w:val="2F5597"/>
                <w:sz w:val="18"/>
                <w:szCs w:val="18"/>
                <w:lang w:eastAsia="es-CR"/>
              </w:rPr>
              <w:t>₡1 090 973 364,00</w:t>
            </w:r>
          </w:p>
        </w:tc>
      </w:tr>
      <w:tr w:rsidR="00083CA4" w:rsidRPr="002A7673" w14:paraId="5E31DEF1" w14:textId="77777777" w:rsidTr="005F7139">
        <w:trPr>
          <w:trHeight w:val="262"/>
          <w:jc w:val="center"/>
        </w:trPr>
        <w:tc>
          <w:tcPr>
            <w:tcW w:w="369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B6E6C0C" w14:textId="77777777" w:rsidR="00083CA4" w:rsidRPr="002A7673" w:rsidRDefault="00083CA4" w:rsidP="005F7139">
            <w:pPr>
              <w:spacing w:after="0" w:line="276" w:lineRule="auto"/>
              <w:jc w:val="right"/>
              <w:rPr>
                <w:rFonts w:ascii="Times New Roman" w:eastAsia="Calibri" w:hAnsi="Times New Roman" w:cs="Times New Roman"/>
                <w:i/>
                <w:iCs/>
                <w:color w:val="000000"/>
                <w:sz w:val="18"/>
                <w:szCs w:val="18"/>
                <w:lang w:eastAsia="es-CR"/>
              </w:rPr>
            </w:pPr>
            <w:r w:rsidRPr="002A7673">
              <w:rPr>
                <w:rFonts w:ascii="Times New Roman" w:eastAsia="Calibri" w:hAnsi="Times New Roman" w:cs="Times New Roman"/>
                <w:i/>
                <w:iCs/>
                <w:color w:val="000000"/>
                <w:sz w:val="18"/>
                <w:szCs w:val="18"/>
                <w:lang w:eastAsia="es-CR"/>
              </w:rPr>
              <w:t>Partidas 5, 7 Gasto de Capital</w:t>
            </w:r>
          </w:p>
        </w:tc>
        <w:tc>
          <w:tcPr>
            <w:tcW w:w="296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633D9A9" w14:textId="77777777" w:rsidR="00083CA4" w:rsidRPr="002A7673" w:rsidRDefault="00083CA4" w:rsidP="005F7139">
            <w:pPr>
              <w:spacing w:after="0" w:line="276" w:lineRule="auto"/>
              <w:jc w:val="right"/>
              <w:rPr>
                <w:rFonts w:ascii="Times New Roman" w:eastAsia="Calibri" w:hAnsi="Times New Roman" w:cs="Times New Roman"/>
                <w:i/>
                <w:iCs/>
                <w:color w:val="2F5597"/>
                <w:sz w:val="18"/>
                <w:szCs w:val="18"/>
                <w:lang w:eastAsia="es-CR"/>
              </w:rPr>
            </w:pPr>
            <w:r w:rsidRPr="002A7673">
              <w:rPr>
                <w:rFonts w:ascii="Times New Roman" w:eastAsia="Calibri" w:hAnsi="Times New Roman" w:cs="Times New Roman"/>
                <w:i/>
                <w:iCs/>
                <w:color w:val="2F5597"/>
                <w:sz w:val="18"/>
                <w:szCs w:val="18"/>
                <w:lang w:eastAsia="es-CR"/>
              </w:rPr>
              <w:t>₡6 922 811 148,00</w:t>
            </w:r>
          </w:p>
        </w:tc>
      </w:tr>
      <w:tr w:rsidR="00083CA4" w:rsidRPr="002A7673" w14:paraId="54F29745" w14:textId="77777777" w:rsidTr="005F7139">
        <w:trPr>
          <w:trHeight w:val="300"/>
          <w:jc w:val="center"/>
        </w:trPr>
        <w:tc>
          <w:tcPr>
            <w:tcW w:w="3691" w:type="dxa"/>
            <w:tcBorders>
              <w:top w:val="nil"/>
              <w:left w:val="single" w:sz="8" w:space="0" w:color="auto"/>
              <w:bottom w:val="single" w:sz="8" w:space="0" w:color="auto"/>
              <w:right w:val="single" w:sz="8" w:space="0" w:color="auto"/>
            </w:tcBorders>
            <w:shd w:val="clear" w:color="auto" w:fill="D6DCE4"/>
            <w:tcMar>
              <w:top w:w="0" w:type="dxa"/>
              <w:left w:w="70" w:type="dxa"/>
              <w:bottom w:w="0" w:type="dxa"/>
              <w:right w:w="70" w:type="dxa"/>
            </w:tcMar>
            <w:vAlign w:val="center"/>
            <w:hideMark/>
          </w:tcPr>
          <w:p w14:paraId="3A42A662" w14:textId="77777777" w:rsidR="00083CA4" w:rsidRPr="002A7673" w:rsidRDefault="00083CA4" w:rsidP="005F7139">
            <w:pPr>
              <w:spacing w:after="0" w:line="276" w:lineRule="auto"/>
              <w:jc w:val="right"/>
              <w:rPr>
                <w:rFonts w:ascii="Times New Roman" w:eastAsia="Calibri" w:hAnsi="Times New Roman" w:cs="Times New Roman"/>
                <w:i/>
                <w:iCs/>
                <w:color w:val="000000"/>
                <w:sz w:val="18"/>
                <w:szCs w:val="18"/>
                <w:lang w:eastAsia="es-CR"/>
              </w:rPr>
            </w:pPr>
            <w:r w:rsidRPr="002A7673">
              <w:rPr>
                <w:rFonts w:ascii="Times New Roman" w:eastAsia="Calibri" w:hAnsi="Times New Roman" w:cs="Times New Roman"/>
                <w:i/>
                <w:iCs/>
                <w:color w:val="000000"/>
                <w:sz w:val="18"/>
                <w:szCs w:val="18"/>
                <w:lang w:eastAsia="es-CR"/>
              </w:rPr>
              <w:t>TOTAL</w:t>
            </w:r>
          </w:p>
        </w:tc>
        <w:tc>
          <w:tcPr>
            <w:tcW w:w="2962" w:type="dxa"/>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29F5C77C" w14:textId="77777777" w:rsidR="00083CA4" w:rsidRPr="002A7673" w:rsidRDefault="00083CA4" w:rsidP="005F7139">
            <w:pPr>
              <w:spacing w:after="0" w:line="276" w:lineRule="auto"/>
              <w:jc w:val="right"/>
              <w:rPr>
                <w:rFonts w:ascii="Times New Roman" w:eastAsia="Calibri" w:hAnsi="Times New Roman" w:cs="Times New Roman"/>
                <w:i/>
                <w:iCs/>
                <w:color w:val="000000"/>
                <w:sz w:val="18"/>
                <w:szCs w:val="18"/>
                <w:lang w:eastAsia="es-CR"/>
              </w:rPr>
            </w:pPr>
            <w:r w:rsidRPr="002A7673">
              <w:rPr>
                <w:rFonts w:ascii="Times New Roman" w:eastAsia="Calibri" w:hAnsi="Times New Roman" w:cs="Times New Roman"/>
                <w:i/>
                <w:iCs/>
                <w:color w:val="000000"/>
                <w:sz w:val="18"/>
                <w:szCs w:val="18"/>
                <w:lang w:eastAsia="es-CR"/>
              </w:rPr>
              <w:t>₡8 013 784 512,00</w:t>
            </w:r>
          </w:p>
        </w:tc>
      </w:tr>
    </w:tbl>
    <w:p w14:paraId="79A206E2" w14:textId="77777777" w:rsidR="00083CA4" w:rsidRPr="002A7673" w:rsidRDefault="00083CA4" w:rsidP="005F7139">
      <w:pPr>
        <w:spacing w:after="0" w:line="276" w:lineRule="auto"/>
        <w:ind w:left="708"/>
        <w:rPr>
          <w:rFonts w:ascii="Times New Roman" w:eastAsia="Calibri" w:hAnsi="Times New Roman" w:cs="Times New Roman"/>
          <w:i/>
          <w:iCs/>
        </w:rPr>
      </w:pPr>
    </w:p>
    <w:p w14:paraId="57EEFD9E" w14:textId="77777777" w:rsidR="00083CA4" w:rsidRPr="002A7673" w:rsidRDefault="00083CA4" w:rsidP="003774B7">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Mediante oficio No. 4377-DE-2020 del 8 de diciembre 2020, se presentó un resumen del presupuesto inicial que envió esta Dirección Ejecutiva a la Comisión de Construcciones, que se muestra en el siguiente cuadro:</w:t>
      </w:r>
    </w:p>
    <w:tbl>
      <w:tblPr>
        <w:tblW w:w="8840" w:type="dxa"/>
        <w:jc w:val="center"/>
        <w:tblCellMar>
          <w:left w:w="0" w:type="dxa"/>
          <w:right w:w="0" w:type="dxa"/>
        </w:tblCellMar>
        <w:tblLook w:val="04A0" w:firstRow="1" w:lastRow="0" w:firstColumn="1" w:lastColumn="0" w:noHBand="0" w:noVBand="1"/>
      </w:tblPr>
      <w:tblGrid>
        <w:gridCol w:w="3140"/>
        <w:gridCol w:w="1900"/>
        <w:gridCol w:w="1900"/>
        <w:gridCol w:w="1900"/>
      </w:tblGrid>
      <w:tr w:rsidR="00083CA4" w:rsidRPr="002A7673" w14:paraId="03986B47" w14:textId="77777777" w:rsidTr="003774B7">
        <w:trPr>
          <w:trHeight w:val="679"/>
          <w:jc w:val="center"/>
        </w:trPr>
        <w:tc>
          <w:tcPr>
            <w:tcW w:w="8840" w:type="dxa"/>
            <w:gridSpan w:val="4"/>
            <w:tcMar>
              <w:top w:w="0" w:type="dxa"/>
              <w:left w:w="70" w:type="dxa"/>
              <w:bottom w:w="0" w:type="dxa"/>
              <w:right w:w="70" w:type="dxa"/>
            </w:tcMar>
            <w:vAlign w:val="center"/>
            <w:hideMark/>
          </w:tcPr>
          <w:p w14:paraId="0684776F" w14:textId="77777777" w:rsidR="00083CA4" w:rsidRPr="002A7673" w:rsidRDefault="00083CA4" w:rsidP="005F7139">
            <w:pPr>
              <w:spacing w:after="0" w:line="276" w:lineRule="auto"/>
              <w:jc w:val="center"/>
              <w:rPr>
                <w:rFonts w:ascii="Times New Roman" w:eastAsia="Calibri" w:hAnsi="Times New Roman" w:cs="Times New Roman"/>
                <w:b/>
                <w:i/>
                <w:iCs/>
                <w:color w:val="000000"/>
                <w:sz w:val="26"/>
                <w:szCs w:val="26"/>
                <w:lang w:eastAsia="es-CR"/>
              </w:rPr>
            </w:pPr>
          </w:p>
          <w:p w14:paraId="22E6996B" w14:textId="77777777" w:rsidR="00083CA4" w:rsidRPr="002A7673" w:rsidRDefault="00083CA4" w:rsidP="005F7139">
            <w:pPr>
              <w:spacing w:after="0" w:line="276" w:lineRule="auto"/>
              <w:jc w:val="center"/>
              <w:rPr>
                <w:rFonts w:ascii="Times New Roman" w:eastAsia="Calibri" w:hAnsi="Times New Roman" w:cs="Times New Roman"/>
                <w:b/>
                <w:i/>
                <w:iCs/>
                <w:color w:val="000000"/>
                <w:sz w:val="26"/>
                <w:szCs w:val="26"/>
                <w:lang w:eastAsia="es-CR"/>
              </w:rPr>
            </w:pPr>
            <w:r w:rsidRPr="002A7673">
              <w:rPr>
                <w:rFonts w:ascii="Times New Roman" w:eastAsia="Calibri" w:hAnsi="Times New Roman" w:cs="Times New Roman"/>
                <w:b/>
                <w:i/>
                <w:iCs/>
                <w:color w:val="000000"/>
                <w:sz w:val="26"/>
                <w:szCs w:val="26"/>
                <w:lang w:eastAsia="es-CR"/>
              </w:rPr>
              <w:t>RESUMEN DISTRIBUCIÓN</w:t>
            </w:r>
            <w:r w:rsidRPr="002A7673">
              <w:rPr>
                <w:rFonts w:ascii="Times New Roman" w:eastAsia="Calibri" w:hAnsi="Times New Roman" w:cs="Times New Roman"/>
                <w:b/>
                <w:i/>
                <w:iCs/>
                <w:color w:val="000000"/>
                <w:sz w:val="26"/>
                <w:szCs w:val="26"/>
                <w:lang w:eastAsia="es-CR"/>
              </w:rPr>
              <w:br/>
              <w:t xml:space="preserve">PRESUPUESTO DE CONSTRUCCIONES </w:t>
            </w:r>
            <w:r w:rsidRPr="002A7673">
              <w:rPr>
                <w:rFonts w:ascii="Times New Roman" w:eastAsia="Calibri" w:hAnsi="Times New Roman" w:cs="Times New Roman"/>
                <w:b/>
                <w:i/>
                <w:iCs/>
                <w:sz w:val="26"/>
                <w:szCs w:val="26"/>
                <w:lang w:eastAsia="es-CR"/>
              </w:rPr>
              <w:t xml:space="preserve">SIN AJUSTES </w:t>
            </w:r>
            <w:r w:rsidRPr="002A7673">
              <w:rPr>
                <w:rFonts w:ascii="Times New Roman" w:eastAsia="Calibri" w:hAnsi="Times New Roman" w:cs="Times New Roman"/>
                <w:b/>
                <w:i/>
                <w:iCs/>
                <w:color w:val="000000"/>
                <w:sz w:val="26"/>
                <w:szCs w:val="26"/>
                <w:lang w:eastAsia="es-CR"/>
              </w:rPr>
              <w:t>2022</w:t>
            </w:r>
          </w:p>
        </w:tc>
      </w:tr>
      <w:tr w:rsidR="00083CA4" w:rsidRPr="002A7673" w14:paraId="4AD10E07" w14:textId="77777777" w:rsidTr="003774B7">
        <w:trPr>
          <w:trHeight w:val="300"/>
          <w:jc w:val="center"/>
        </w:trPr>
        <w:tc>
          <w:tcPr>
            <w:tcW w:w="3140" w:type="dxa"/>
            <w:tcMar>
              <w:top w:w="0" w:type="dxa"/>
              <w:left w:w="70" w:type="dxa"/>
              <w:bottom w:w="0" w:type="dxa"/>
              <w:right w:w="70" w:type="dxa"/>
            </w:tcMar>
            <w:vAlign w:val="center"/>
            <w:hideMark/>
          </w:tcPr>
          <w:p w14:paraId="09582843" w14:textId="77777777" w:rsidR="00083CA4" w:rsidRPr="002A7673" w:rsidRDefault="00083CA4" w:rsidP="005F7139">
            <w:pPr>
              <w:spacing w:after="0" w:line="276" w:lineRule="auto"/>
              <w:rPr>
                <w:rFonts w:ascii="Times New Roman" w:eastAsia="Calibri" w:hAnsi="Times New Roman" w:cs="Times New Roman"/>
                <w:i/>
                <w:iCs/>
                <w:color w:val="000000"/>
                <w:lang w:eastAsia="es-CR"/>
              </w:rPr>
            </w:pPr>
          </w:p>
        </w:tc>
        <w:tc>
          <w:tcPr>
            <w:tcW w:w="1900" w:type="dxa"/>
            <w:tcMar>
              <w:top w:w="0" w:type="dxa"/>
              <w:left w:w="70" w:type="dxa"/>
              <w:bottom w:w="0" w:type="dxa"/>
              <w:right w:w="70" w:type="dxa"/>
            </w:tcMar>
            <w:vAlign w:val="center"/>
            <w:hideMark/>
          </w:tcPr>
          <w:p w14:paraId="160D3EED" w14:textId="77777777" w:rsidR="00083CA4" w:rsidRPr="002A7673" w:rsidRDefault="00083CA4" w:rsidP="005F7139">
            <w:pPr>
              <w:spacing w:after="0" w:line="276" w:lineRule="auto"/>
              <w:rPr>
                <w:rFonts w:ascii="Times New Roman" w:eastAsia="Calibri" w:hAnsi="Times New Roman" w:cs="Times New Roman"/>
                <w:i/>
                <w:iCs/>
                <w:sz w:val="26"/>
                <w:szCs w:val="26"/>
                <w:lang w:eastAsia="es-CR"/>
              </w:rPr>
            </w:pPr>
          </w:p>
        </w:tc>
        <w:tc>
          <w:tcPr>
            <w:tcW w:w="1900" w:type="dxa"/>
            <w:tcMar>
              <w:top w:w="0" w:type="dxa"/>
              <w:left w:w="70" w:type="dxa"/>
              <w:bottom w:w="0" w:type="dxa"/>
              <w:right w:w="70" w:type="dxa"/>
            </w:tcMar>
            <w:vAlign w:val="center"/>
            <w:hideMark/>
          </w:tcPr>
          <w:p w14:paraId="1533C080" w14:textId="77777777" w:rsidR="00083CA4" w:rsidRPr="002A7673" w:rsidRDefault="00083CA4" w:rsidP="005F7139">
            <w:pPr>
              <w:spacing w:after="0" w:line="276" w:lineRule="auto"/>
              <w:rPr>
                <w:rFonts w:ascii="Times New Roman" w:eastAsia="Calibri" w:hAnsi="Times New Roman" w:cs="Times New Roman"/>
                <w:i/>
                <w:iCs/>
                <w:sz w:val="26"/>
                <w:szCs w:val="26"/>
                <w:lang w:eastAsia="es-CR"/>
              </w:rPr>
            </w:pPr>
          </w:p>
        </w:tc>
        <w:tc>
          <w:tcPr>
            <w:tcW w:w="1900" w:type="dxa"/>
            <w:tcMar>
              <w:top w:w="0" w:type="dxa"/>
              <w:left w:w="70" w:type="dxa"/>
              <w:bottom w:w="0" w:type="dxa"/>
              <w:right w:w="70" w:type="dxa"/>
            </w:tcMar>
            <w:vAlign w:val="center"/>
            <w:hideMark/>
          </w:tcPr>
          <w:p w14:paraId="7D6C9D07" w14:textId="77777777" w:rsidR="00083CA4" w:rsidRPr="002A7673" w:rsidRDefault="00083CA4" w:rsidP="005F7139">
            <w:pPr>
              <w:spacing w:after="0" w:line="276" w:lineRule="auto"/>
              <w:rPr>
                <w:rFonts w:ascii="Times New Roman" w:eastAsia="Calibri" w:hAnsi="Times New Roman" w:cs="Times New Roman"/>
                <w:i/>
                <w:iCs/>
                <w:sz w:val="26"/>
                <w:szCs w:val="26"/>
                <w:lang w:eastAsia="es-CR"/>
              </w:rPr>
            </w:pPr>
          </w:p>
        </w:tc>
      </w:tr>
      <w:tr w:rsidR="00083CA4" w:rsidRPr="002A7673" w14:paraId="52926F77" w14:textId="77777777" w:rsidTr="003774B7">
        <w:trPr>
          <w:trHeight w:val="600"/>
          <w:jc w:val="center"/>
        </w:trPr>
        <w:tc>
          <w:tcPr>
            <w:tcW w:w="3140" w:type="dxa"/>
            <w:tcMar>
              <w:top w:w="0" w:type="dxa"/>
              <w:left w:w="70" w:type="dxa"/>
              <w:bottom w:w="0" w:type="dxa"/>
              <w:right w:w="70" w:type="dxa"/>
            </w:tcMar>
            <w:vAlign w:val="center"/>
            <w:hideMark/>
          </w:tcPr>
          <w:p w14:paraId="5113FF61" w14:textId="77777777" w:rsidR="00083CA4" w:rsidRPr="002A7673" w:rsidRDefault="00083CA4" w:rsidP="005F7139">
            <w:pPr>
              <w:spacing w:after="0" w:line="276" w:lineRule="auto"/>
              <w:rPr>
                <w:rFonts w:ascii="Times New Roman" w:eastAsia="Calibri" w:hAnsi="Times New Roman" w:cs="Times New Roman"/>
                <w:i/>
                <w:iCs/>
                <w:sz w:val="16"/>
                <w:szCs w:val="16"/>
                <w:lang w:eastAsia="es-CR"/>
              </w:rPr>
            </w:pPr>
          </w:p>
        </w:tc>
        <w:tc>
          <w:tcPr>
            <w:tcW w:w="1900" w:type="dxa"/>
            <w:tcBorders>
              <w:top w:val="single" w:sz="8" w:space="0" w:color="auto"/>
              <w:left w:val="single" w:sz="8" w:space="0" w:color="auto"/>
              <w:bottom w:val="nil"/>
              <w:right w:val="single" w:sz="8" w:space="0" w:color="auto"/>
            </w:tcBorders>
            <w:shd w:val="clear" w:color="auto" w:fill="D6DCE4"/>
            <w:tcMar>
              <w:top w:w="0" w:type="dxa"/>
              <w:left w:w="70" w:type="dxa"/>
              <w:bottom w:w="0" w:type="dxa"/>
              <w:right w:w="70" w:type="dxa"/>
            </w:tcMar>
            <w:vAlign w:val="center"/>
            <w:hideMark/>
          </w:tcPr>
          <w:p w14:paraId="0739081B"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color w:val="000000"/>
                <w:sz w:val="26"/>
                <w:szCs w:val="26"/>
                <w:lang w:eastAsia="es-CR"/>
              </w:rPr>
              <w:t>Partidas 0, 1, 2, 6, 9 Gasto Corriente</w:t>
            </w:r>
          </w:p>
        </w:tc>
        <w:tc>
          <w:tcPr>
            <w:tcW w:w="1900" w:type="dxa"/>
            <w:tcBorders>
              <w:top w:val="single" w:sz="8" w:space="0" w:color="auto"/>
              <w:left w:val="nil"/>
              <w:bottom w:val="nil"/>
              <w:right w:val="single" w:sz="8" w:space="0" w:color="auto"/>
            </w:tcBorders>
            <w:shd w:val="clear" w:color="auto" w:fill="D6DCE4"/>
            <w:tcMar>
              <w:top w:w="0" w:type="dxa"/>
              <w:left w:w="70" w:type="dxa"/>
              <w:bottom w:w="0" w:type="dxa"/>
              <w:right w:w="70" w:type="dxa"/>
            </w:tcMar>
            <w:vAlign w:val="center"/>
            <w:hideMark/>
          </w:tcPr>
          <w:p w14:paraId="31F89B72"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color w:val="000000"/>
                <w:sz w:val="26"/>
                <w:szCs w:val="26"/>
                <w:lang w:eastAsia="es-CR"/>
              </w:rPr>
              <w:t>Partidas 5, 7 Gasto de Capital</w:t>
            </w:r>
          </w:p>
        </w:tc>
        <w:tc>
          <w:tcPr>
            <w:tcW w:w="1900" w:type="dxa"/>
            <w:tcBorders>
              <w:top w:val="single" w:sz="8" w:space="0" w:color="auto"/>
              <w:left w:val="nil"/>
              <w:bottom w:val="nil"/>
              <w:right w:val="single" w:sz="8" w:space="0" w:color="auto"/>
            </w:tcBorders>
            <w:shd w:val="clear" w:color="auto" w:fill="D6DCE4"/>
            <w:tcMar>
              <w:top w:w="0" w:type="dxa"/>
              <w:left w:w="70" w:type="dxa"/>
              <w:bottom w:w="0" w:type="dxa"/>
              <w:right w:w="70" w:type="dxa"/>
            </w:tcMar>
            <w:vAlign w:val="center"/>
            <w:hideMark/>
          </w:tcPr>
          <w:p w14:paraId="297041A0"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proofErr w:type="gramStart"/>
            <w:r w:rsidRPr="002A7673">
              <w:rPr>
                <w:rFonts w:ascii="Times New Roman" w:eastAsia="Calibri" w:hAnsi="Times New Roman" w:cs="Times New Roman"/>
                <w:i/>
                <w:iCs/>
                <w:color w:val="000000"/>
                <w:sz w:val="26"/>
                <w:szCs w:val="26"/>
                <w:lang w:eastAsia="es-CR"/>
              </w:rPr>
              <w:t>TOTAL</w:t>
            </w:r>
            <w:proofErr w:type="gramEnd"/>
            <w:r w:rsidRPr="002A7673">
              <w:rPr>
                <w:rFonts w:ascii="Times New Roman" w:eastAsia="Calibri" w:hAnsi="Times New Roman" w:cs="Times New Roman"/>
                <w:i/>
                <w:iCs/>
                <w:color w:val="000000"/>
                <w:sz w:val="26"/>
                <w:szCs w:val="26"/>
                <w:lang w:eastAsia="es-CR"/>
              </w:rPr>
              <w:t xml:space="preserve"> POR PROGRAMA</w:t>
            </w:r>
          </w:p>
        </w:tc>
      </w:tr>
      <w:tr w:rsidR="003774B7" w:rsidRPr="002A7673" w14:paraId="30C8B38C" w14:textId="77777777" w:rsidTr="003774B7">
        <w:trPr>
          <w:trHeight w:val="600"/>
          <w:jc w:val="center"/>
        </w:trPr>
        <w:tc>
          <w:tcPr>
            <w:tcW w:w="3140" w:type="dxa"/>
            <w:tcMar>
              <w:top w:w="0" w:type="dxa"/>
              <w:left w:w="70" w:type="dxa"/>
              <w:bottom w:w="0" w:type="dxa"/>
              <w:right w:w="70" w:type="dxa"/>
            </w:tcMar>
            <w:vAlign w:val="center"/>
          </w:tcPr>
          <w:p w14:paraId="56CB07FD" w14:textId="77777777" w:rsidR="003774B7" w:rsidRPr="002A7673" w:rsidRDefault="003774B7" w:rsidP="005F7139">
            <w:pPr>
              <w:spacing w:after="0" w:line="276" w:lineRule="auto"/>
              <w:rPr>
                <w:rFonts w:ascii="Times New Roman" w:eastAsia="Calibri" w:hAnsi="Times New Roman" w:cs="Times New Roman"/>
                <w:i/>
                <w:iCs/>
                <w:sz w:val="16"/>
                <w:szCs w:val="16"/>
                <w:lang w:eastAsia="es-CR"/>
              </w:rPr>
            </w:pPr>
          </w:p>
        </w:tc>
        <w:tc>
          <w:tcPr>
            <w:tcW w:w="1900" w:type="dxa"/>
            <w:tcBorders>
              <w:top w:val="single" w:sz="8" w:space="0" w:color="auto"/>
              <w:left w:val="single" w:sz="8" w:space="0" w:color="auto"/>
              <w:bottom w:val="nil"/>
              <w:right w:val="single" w:sz="8" w:space="0" w:color="auto"/>
            </w:tcBorders>
            <w:shd w:val="clear" w:color="auto" w:fill="D6DCE4"/>
            <w:tcMar>
              <w:top w:w="0" w:type="dxa"/>
              <w:left w:w="70" w:type="dxa"/>
              <w:bottom w:w="0" w:type="dxa"/>
              <w:right w:w="70" w:type="dxa"/>
            </w:tcMar>
            <w:vAlign w:val="center"/>
          </w:tcPr>
          <w:p w14:paraId="45FE53FE" w14:textId="77777777" w:rsidR="003774B7" w:rsidRPr="002A7673" w:rsidRDefault="003774B7" w:rsidP="005F7139">
            <w:pPr>
              <w:spacing w:after="0" w:line="276" w:lineRule="auto"/>
              <w:jc w:val="center"/>
              <w:rPr>
                <w:rFonts w:ascii="Times New Roman" w:eastAsia="Calibri" w:hAnsi="Times New Roman" w:cs="Times New Roman"/>
                <w:i/>
                <w:iCs/>
                <w:color w:val="000000"/>
                <w:sz w:val="26"/>
                <w:szCs w:val="26"/>
                <w:lang w:eastAsia="es-CR"/>
              </w:rPr>
            </w:pPr>
          </w:p>
        </w:tc>
        <w:tc>
          <w:tcPr>
            <w:tcW w:w="1900" w:type="dxa"/>
            <w:tcBorders>
              <w:top w:val="single" w:sz="8" w:space="0" w:color="auto"/>
              <w:left w:val="nil"/>
              <w:bottom w:val="nil"/>
              <w:right w:val="single" w:sz="8" w:space="0" w:color="auto"/>
            </w:tcBorders>
            <w:shd w:val="clear" w:color="auto" w:fill="D6DCE4"/>
            <w:tcMar>
              <w:top w:w="0" w:type="dxa"/>
              <w:left w:w="70" w:type="dxa"/>
              <w:bottom w:w="0" w:type="dxa"/>
              <w:right w:w="70" w:type="dxa"/>
            </w:tcMar>
            <w:vAlign w:val="center"/>
          </w:tcPr>
          <w:p w14:paraId="48E9245E" w14:textId="77777777" w:rsidR="003774B7" w:rsidRPr="002A7673" w:rsidRDefault="003774B7" w:rsidP="005F7139">
            <w:pPr>
              <w:spacing w:after="0" w:line="276" w:lineRule="auto"/>
              <w:jc w:val="center"/>
              <w:rPr>
                <w:rFonts w:ascii="Times New Roman" w:eastAsia="Calibri" w:hAnsi="Times New Roman" w:cs="Times New Roman"/>
                <w:i/>
                <w:iCs/>
                <w:color w:val="000000"/>
                <w:sz w:val="26"/>
                <w:szCs w:val="26"/>
                <w:lang w:eastAsia="es-CR"/>
              </w:rPr>
            </w:pPr>
          </w:p>
        </w:tc>
        <w:tc>
          <w:tcPr>
            <w:tcW w:w="1900" w:type="dxa"/>
            <w:tcBorders>
              <w:top w:val="single" w:sz="8" w:space="0" w:color="auto"/>
              <w:left w:val="nil"/>
              <w:bottom w:val="nil"/>
              <w:right w:val="single" w:sz="8" w:space="0" w:color="auto"/>
            </w:tcBorders>
            <w:shd w:val="clear" w:color="auto" w:fill="D6DCE4"/>
            <w:tcMar>
              <w:top w:w="0" w:type="dxa"/>
              <w:left w:w="70" w:type="dxa"/>
              <w:bottom w:w="0" w:type="dxa"/>
              <w:right w:w="70" w:type="dxa"/>
            </w:tcMar>
            <w:vAlign w:val="center"/>
          </w:tcPr>
          <w:p w14:paraId="332515F9" w14:textId="77777777" w:rsidR="003774B7" w:rsidRPr="002A7673" w:rsidRDefault="003774B7" w:rsidP="005F7139">
            <w:pPr>
              <w:spacing w:after="0" w:line="276" w:lineRule="auto"/>
              <w:jc w:val="center"/>
              <w:rPr>
                <w:rFonts w:ascii="Times New Roman" w:eastAsia="Calibri" w:hAnsi="Times New Roman" w:cs="Times New Roman"/>
                <w:i/>
                <w:iCs/>
                <w:color w:val="000000"/>
                <w:sz w:val="26"/>
                <w:szCs w:val="26"/>
                <w:lang w:eastAsia="es-CR"/>
              </w:rPr>
            </w:pPr>
          </w:p>
        </w:tc>
      </w:tr>
      <w:tr w:rsidR="003774B7" w:rsidRPr="002A7673" w14:paraId="4F9600E4" w14:textId="77777777" w:rsidTr="003774B7">
        <w:trPr>
          <w:trHeight w:val="600"/>
          <w:jc w:val="center"/>
        </w:trPr>
        <w:tc>
          <w:tcPr>
            <w:tcW w:w="3140" w:type="dxa"/>
            <w:tcMar>
              <w:top w:w="0" w:type="dxa"/>
              <w:left w:w="70" w:type="dxa"/>
              <w:bottom w:w="0" w:type="dxa"/>
              <w:right w:w="70" w:type="dxa"/>
            </w:tcMar>
            <w:vAlign w:val="center"/>
          </w:tcPr>
          <w:p w14:paraId="1E9CBD48" w14:textId="77777777" w:rsidR="003774B7" w:rsidRPr="002A7673" w:rsidRDefault="003774B7" w:rsidP="005F7139">
            <w:pPr>
              <w:spacing w:after="0" w:line="276" w:lineRule="auto"/>
              <w:rPr>
                <w:rFonts w:ascii="Times New Roman" w:eastAsia="Calibri" w:hAnsi="Times New Roman" w:cs="Times New Roman"/>
                <w:i/>
                <w:iCs/>
                <w:sz w:val="16"/>
                <w:szCs w:val="16"/>
                <w:lang w:eastAsia="es-CR"/>
              </w:rPr>
            </w:pPr>
          </w:p>
        </w:tc>
        <w:tc>
          <w:tcPr>
            <w:tcW w:w="1900" w:type="dxa"/>
            <w:tcBorders>
              <w:top w:val="single" w:sz="8" w:space="0" w:color="auto"/>
              <w:left w:val="single" w:sz="8" w:space="0" w:color="auto"/>
              <w:bottom w:val="nil"/>
              <w:right w:val="single" w:sz="8" w:space="0" w:color="auto"/>
            </w:tcBorders>
            <w:shd w:val="clear" w:color="auto" w:fill="D6DCE4"/>
            <w:tcMar>
              <w:top w:w="0" w:type="dxa"/>
              <w:left w:w="70" w:type="dxa"/>
              <w:bottom w:w="0" w:type="dxa"/>
              <w:right w:w="70" w:type="dxa"/>
            </w:tcMar>
            <w:vAlign w:val="center"/>
          </w:tcPr>
          <w:p w14:paraId="7E162834" w14:textId="77777777" w:rsidR="003774B7" w:rsidRPr="002A7673" w:rsidRDefault="003774B7" w:rsidP="005F7139">
            <w:pPr>
              <w:spacing w:after="0" w:line="276" w:lineRule="auto"/>
              <w:jc w:val="center"/>
              <w:rPr>
                <w:rFonts w:ascii="Times New Roman" w:eastAsia="Calibri" w:hAnsi="Times New Roman" w:cs="Times New Roman"/>
                <w:i/>
                <w:iCs/>
                <w:color w:val="000000"/>
                <w:sz w:val="26"/>
                <w:szCs w:val="26"/>
                <w:lang w:eastAsia="es-CR"/>
              </w:rPr>
            </w:pPr>
          </w:p>
        </w:tc>
        <w:tc>
          <w:tcPr>
            <w:tcW w:w="1900" w:type="dxa"/>
            <w:tcBorders>
              <w:top w:val="single" w:sz="8" w:space="0" w:color="auto"/>
              <w:left w:val="nil"/>
              <w:bottom w:val="nil"/>
              <w:right w:val="single" w:sz="8" w:space="0" w:color="auto"/>
            </w:tcBorders>
            <w:shd w:val="clear" w:color="auto" w:fill="D6DCE4"/>
            <w:tcMar>
              <w:top w:w="0" w:type="dxa"/>
              <w:left w:w="70" w:type="dxa"/>
              <w:bottom w:w="0" w:type="dxa"/>
              <w:right w:w="70" w:type="dxa"/>
            </w:tcMar>
            <w:vAlign w:val="center"/>
          </w:tcPr>
          <w:p w14:paraId="331143CF" w14:textId="77777777" w:rsidR="003774B7" w:rsidRPr="002A7673" w:rsidRDefault="003774B7" w:rsidP="005F7139">
            <w:pPr>
              <w:spacing w:after="0" w:line="276" w:lineRule="auto"/>
              <w:jc w:val="center"/>
              <w:rPr>
                <w:rFonts w:ascii="Times New Roman" w:eastAsia="Calibri" w:hAnsi="Times New Roman" w:cs="Times New Roman"/>
                <w:i/>
                <w:iCs/>
                <w:color w:val="000000"/>
                <w:sz w:val="26"/>
                <w:szCs w:val="26"/>
                <w:lang w:eastAsia="es-CR"/>
              </w:rPr>
            </w:pPr>
          </w:p>
        </w:tc>
        <w:tc>
          <w:tcPr>
            <w:tcW w:w="1900" w:type="dxa"/>
            <w:tcBorders>
              <w:top w:val="single" w:sz="8" w:space="0" w:color="auto"/>
              <w:left w:val="nil"/>
              <w:bottom w:val="nil"/>
              <w:right w:val="single" w:sz="8" w:space="0" w:color="auto"/>
            </w:tcBorders>
            <w:shd w:val="clear" w:color="auto" w:fill="D6DCE4"/>
            <w:tcMar>
              <w:top w:w="0" w:type="dxa"/>
              <w:left w:w="70" w:type="dxa"/>
              <w:bottom w:w="0" w:type="dxa"/>
              <w:right w:w="70" w:type="dxa"/>
            </w:tcMar>
            <w:vAlign w:val="center"/>
          </w:tcPr>
          <w:p w14:paraId="38632BD9" w14:textId="77777777" w:rsidR="003774B7" w:rsidRPr="002A7673" w:rsidRDefault="003774B7" w:rsidP="005F7139">
            <w:pPr>
              <w:spacing w:after="0" w:line="276" w:lineRule="auto"/>
              <w:jc w:val="center"/>
              <w:rPr>
                <w:rFonts w:ascii="Times New Roman" w:eastAsia="Calibri" w:hAnsi="Times New Roman" w:cs="Times New Roman"/>
                <w:i/>
                <w:iCs/>
                <w:color w:val="000000"/>
                <w:sz w:val="26"/>
                <w:szCs w:val="26"/>
                <w:lang w:eastAsia="es-CR"/>
              </w:rPr>
            </w:pPr>
          </w:p>
        </w:tc>
      </w:tr>
      <w:tr w:rsidR="00083CA4" w:rsidRPr="002A7673" w14:paraId="71975A37" w14:textId="77777777" w:rsidTr="003774B7">
        <w:trPr>
          <w:trHeight w:val="709"/>
          <w:jc w:val="center"/>
        </w:trPr>
        <w:tc>
          <w:tcPr>
            <w:tcW w:w="314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8AD1B98"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Programa 926: Dirección, Administración y Otros Órganos de Apoyo</w:t>
            </w:r>
          </w:p>
        </w:tc>
        <w:tc>
          <w:tcPr>
            <w:tcW w:w="19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4087E38"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₡978 861 385,00</w:t>
            </w:r>
          </w:p>
        </w:tc>
        <w:tc>
          <w:tcPr>
            <w:tcW w:w="19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4DF08AE"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₡6 538 851 002,00</w:t>
            </w:r>
          </w:p>
        </w:tc>
        <w:tc>
          <w:tcPr>
            <w:tcW w:w="19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B5CC8FD"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₡7 517 712 387,00</w:t>
            </w:r>
          </w:p>
        </w:tc>
      </w:tr>
      <w:tr w:rsidR="00083CA4" w:rsidRPr="002A7673" w14:paraId="08B28DA7" w14:textId="77777777" w:rsidTr="003774B7">
        <w:trPr>
          <w:trHeight w:val="252"/>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66CD4AF"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Programa 927:  Servicio Jurisdiccional</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8281C36"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₡39 567 077,00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5CF06E8"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₡9 000 000,00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248AA1B"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₡48 567 077,00</w:t>
            </w:r>
          </w:p>
        </w:tc>
      </w:tr>
      <w:tr w:rsidR="00083CA4" w:rsidRPr="002A7673" w14:paraId="14166127" w14:textId="77777777" w:rsidTr="003774B7">
        <w:trPr>
          <w:trHeight w:val="344"/>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4F0E9DA"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Programa 928:  Organismo de Investigación Judicial</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9483426"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2057B7C"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₡2 230 111 706,00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75F0A2D"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₡2 230 111 706,00</w:t>
            </w:r>
          </w:p>
        </w:tc>
      </w:tr>
      <w:tr w:rsidR="00083CA4" w:rsidRPr="002A7673" w14:paraId="1BA3D22A" w14:textId="77777777" w:rsidTr="003774B7">
        <w:trPr>
          <w:trHeight w:val="294"/>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999D1EF"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Programa 929: Ministerio Público</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17A393"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EB31DD"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₡115 000 000,00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FE4E7F7" w14:textId="77777777" w:rsidR="00083CA4" w:rsidRPr="002A7673" w:rsidRDefault="00083CA4" w:rsidP="005F7139">
            <w:pPr>
              <w:spacing w:after="0" w:line="276" w:lineRule="auto"/>
              <w:jc w:val="center"/>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₡115 000 000,00</w:t>
            </w:r>
          </w:p>
        </w:tc>
      </w:tr>
      <w:tr w:rsidR="00083CA4" w:rsidRPr="002A7673" w14:paraId="41EBBA16" w14:textId="77777777" w:rsidTr="003774B7">
        <w:trPr>
          <w:trHeight w:val="300"/>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6C24A27"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Programa 930: Defensa Pública</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6A3C384"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₡5 000 000,00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390507C"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26C5AFE"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₡5 000 000,00</w:t>
            </w:r>
          </w:p>
        </w:tc>
      </w:tr>
      <w:tr w:rsidR="00083CA4" w:rsidRPr="002A7673" w14:paraId="0A4029CD" w14:textId="77777777" w:rsidTr="003774B7">
        <w:trPr>
          <w:trHeight w:val="300"/>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B4EA28E" w14:textId="77777777" w:rsidR="00083CA4" w:rsidRPr="002A7673" w:rsidRDefault="00083CA4" w:rsidP="005F7139">
            <w:pPr>
              <w:spacing w:after="0" w:line="276" w:lineRule="auto"/>
              <w:jc w:val="right"/>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eastAsia="es-CR"/>
              </w:rPr>
              <w:t>TOTAL</w:t>
            </w:r>
          </w:p>
        </w:tc>
        <w:tc>
          <w:tcPr>
            <w:tcW w:w="1900" w:type="dxa"/>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62BEDCC7" w14:textId="77777777" w:rsidR="00083CA4" w:rsidRPr="002A7673" w:rsidRDefault="00083CA4" w:rsidP="005F7139">
            <w:pPr>
              <w:spacing w:after="0" w:line="276" w:lineRule="auto"/>
              <w:jc w:val="right"/>
              <w:rPr>
                <w:rFonts w:ascii="Times New Roman" w:eastAsia="Calibri" w:hAnsi="Times New Roman" w:cs="Times New Roman"/>
                <w:i/>
                <w:iCs/>
                <w:color w:val="2F5597"/>
                <w:sz w:val="16"/>
                <w:szCs w:val="16"/>
                <w:lang w:eastAsia="es-CR"/>
              </w:rPr>
            </w:pPr>
            <w:r w:rsidRPr="002A7673">
              <w:rPr>
                <w:rFonts w:ascii="Times New Roman" w:eastAsia="Calibri" w:hAnsi="Times New Roman" w:cs="Times New Roman"/>
                <w:i/>
                <w:iCs/>
                <w:color w:val="2F5597"/>
                <w:sz w:val="16"/>
                <w:szCs w:val="16"/>
                <w:lang w:eastAsia="es-CR"/>
              </w:rPr>
              <w:t>₡1 023 428 462,00</w:t>
            </w:r>
          </w:p>
        </w:tc>
        <w:tc>
          <w:tcPr>
            <w:tcW w:w="1900" w:type="dxa"/>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4F28AB2A" w14:textId="77777777" w:rsidR="00083CA4" w:rsidRPr="002A7673" w:rsidRDefault="00083CA4" w:rsidP="005F7139">
            <w:pPr>
              <w:spacing w:after="0" w:line="276" w:lineRule="auto"/>
              <w:jc w:val="right"/>
              <w:rPr>
                <w:rFonts w:ascii="Times New Roman" w:eastAsia="Calibri" w:hAnsi="Times New Roman" w:cs="Times New Roman"/>
                <w:i/>
                <w:iCs/>
                <w:color w:val="2F5597"/>
                <w:sz w:val="16"/>
                <w:szCs w:val="16"/>
                <w:lang w:eastAsia="es-CR"/>
              </w:rPr>
            </w:pPr>
            <w:r w:rsidRPr="002A7673">
              <w:rPr>
                <w:rFonts w:ascii="Times New Roman" w:eastAsia="Calibri" w:hAnsi="Times New Roman" w:cs="Times New Roman"/>
                <w:i/>
                <w:iCs/>
                <w:color w:val="2F5597"/>
                <w:sz w:val="16"/>
                <w:szCs w:val="16"/>
                <w:lang w:eastAsia="es-CR"/>
              </w:rPr>
              <w:t>₡8 892 962 708,00</w:t>
            </w:r>
          </w:p>
        </w:tc>
        <w:tc>
          <w:tcPr>
            <w:tcW w:w="1900" w:type="dxa"/>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663B412C" w14:textId="77777777" w:rsidR="00083CA4" w:rsidRPr="002A7673" w:rsidRDefault="00083CA4" w:rsidP="005F7139">
            <w:pPr>
              <w:spacing w:after="0" w:line="276" w:lineRule="auto"/>
              <w:jc w:val="right"/>
              <w:rPr>
                <w:rFonts w:ascii="Times New Roman" w:eastAsia="Calibri" w:hAnsi="Times New Roman" w:cs="Times New Roman"/>
                <w:i/>
                <w:iCs/>
                <w:color w:val="2F5597"/>
                <w:sz w:val="16"/>
                <w:szCs w:val="16"/>
                <w:lang w:eastAsia="es-CR"/>
              </w:rPr>
            </w:pPr>
            <w:r w:rsidRPr="002A7673">
              <w:rPr>
                <w:rFonts w:ascii="Times New Roman" w:eastAsia="Calibri" w:hAnsi="Times New Roman" w:cs="Times New Roman"/>
                <w:i/>
                <w:iCs/>
                <w:color w:val="2F5597"/>
                <w:sz w:val="16"/>
                <w:szCs w:val="16"/>
                <w:lang w:eastAsia="es-CR"/>
              </w:rPr>
              <w:t>₡9 916 391 170,00</w:t>
            </w:r>
          </w:p>
        </w:tc>
      </w:tr>
    </w:tbl>
    <w:p w14:paraId="5A9057C4" w14:textId="77777777" w:rsidR="00083CA4" w:rsidRPr="002A7673" w:rsidRDefault="00083CA4" w:rsidP="005F7139">
      <w:pPr>
        <w:spacing w:after="0" w:line="276" w:lineRule="auto"/>
        <w:ind w:left="708"/>
        <w:rPr>
          <w:rFonts w:ascii="Times New Roman" w:eastAsia="Calibri" w:hAnsi="Times New Roman" w:cs="Times New Roman"/>
          <w:i/>
          <w:iCs/>
        </w:rPr>
      </w:pPr>
    </w:p>
    <w:p w14:paraId="6E83E02E" w14:textId="77777777" w:rsidR="00083CA4" w:rsidRPr="002A7673" w:rsidRDefault="00083CA4" w:rsidP="003774B7">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En acatamiento a los límites comunicados por la Dirección de Planificación, esta Dirección Ejecutiva realizó los ajustes correspondientes y mediante oficio 276-DE-2021 del 27 de enero en curso fueron comunicados a la Comisión de Construcciones, distribuidos de la siguiente forma:</w:t>
      </w:r>
    </w:p>
    <w:p w14:paraId="543C26B7" w14:textId="77777777" w:rsidR="00083CA4" w:rsidRPr="002A7673" w:rsidRDefault="00083CA4" w:rsidP="005F7139">
      <w:pPr>
        <w:spacing w:after="0" w:line="276" w:lineRule="auto"/>
        <w:ind w:left="708"/>
        <w:rPr>
          <w:rFonts w:ascii="Times New Roman" w:eastAsia="Calibri" w:hAnsi="Times New Roman" w:cs="Times New Roman"/>
          <w:i/>
          <w:iCs/>
        </w:rPr>
      </w:pPr>
    </w:p>
    <w:tbl>
      <w:tblPr>
        <w:tblW w:w="8840" w:type="dxa"/>
        <w:jc w:val="center"/>
        <w:tblCellMar>
          <w:left w:w="0" w:type="dxa"/>
          <w:right w:w="0" w:type="dxa"/>
        </w:tblCellMar>
        <w:tblLook w:val="04A0" w:firstRow="1" w:lastRow="0" w:firstColumn="1" w:lastColumn="0" w:noHBand="0" w:noVBand="1"/>
      </w:tblPr>
      <w:tblGrid>
        <w:gridCol w:w="3140"/>
        <w:gridCol w:w="1900"/>
        <w:gridCol w:w="1900"/>
        <w:gridCol w:w="1900"/>
      </w:tblGrid>
      <w:tr w:rsidR="00083CA4" w:rsidRPr="002A7673" w14:paraId="5BC4B8A9" w14:textId="77777777" w:rsidTr="003774B7">
        <w:trPr>
          <w:trHeight w:val="672"/>
          <w:jc w:val="center"/>
        </w:trPr>
        <w:tc>
          <w:tcPr>
            <w:tcW w:w="8840" w:type="dxa"/>
            <w:gridSpan w:val="4"/>
            <w:tcMar>
              <w:top w:w="0" w:type="dxa"/>
              <w:left w:w="70" w:type="dxa"/>
              <w:bottom w:w="0" w:type="dxa"/>
              <w:right w:w="70" w:type="dxa"/>
            </w:tcMar>
            <w:vAlign w:val="center"/>
            <w:hideMark/>
          </w:tcPr>
          <w:p w14:paraId="22A62ACD" w14:textId="77777777" w:rsidR="00083CA4" w:rsidRPr="002A7673" w:rsidRDefault="00083CA4" w:rsidP="005F7139">
            <w:pPr>
              <w:spacing w:after="0" w:line="276" w:lineRule="auto"/>
              <w:jc w:val="center"/>
              <w:rPr>
                <w:rFonts w:ascii="Times New Roman" w:eastAsia="Calibri" w:hAnsi="Times New Roman" w:cs="Times New Roman"/>
                <w:b/>
                <w:i/>
                <w:iCs/>
                <w:color w:val="000000"/>
                <w:sz w:val="26"/>
                <w:szCs w:val="26"/>
                <w:lang w:eastAsia="es-CR"/>
              </w:rPr>
            </w:pPr>
            <w:r w:rsidRPr="002A7673">
              <w:rPr>
                <w:rFonts w:ascii="Times New Roman" w:eastAsia="Calibri" w:hAnsi="Times New Roman" w:cs="Times New Roman"/>
                <w:b/>
                <w:i/>
                <w:iCs/>
                <w:color w:val="000000"/>
                <w:sz w:val="26"/>
                <w:szCs w:val="26"/>
                <w:lang w:eastAsia="es-CR"/>
              </w:rPr>
              <w:t>RESUMEN DISTRIBUCIÓN</w:t>
            </w:r>
            <w:r w:rsidRPr="002A7673">
              <w:rPr>
                <w:rFonts w:ascii="Times New Roman" w:eastAsia="Calibri" w:hAnsi="Times New Roman" w:cs="Times New Roman"/>
                <w:b/>
                <w:i/>
                <w:iCs/>
                <w:color w:val="000000"/>
                <w:sz w:val="26"/>
                <w:szCs w:val="26"/>
                <w:lang w:eastAsia="es-CR"/>
              </w:rPr>
              <w:br/>
              <w:t xml:space="preserve">PRESUPUESTO DE CONSTRUCCIONES 2022 </w:t>
            </w:r>
            <w:r w:rsidRPr="002A7673">
              <w:rPr>
                <w:rFonts w:ascii="Times New Roman" w:eastAsia="Calibri" w:hAnsi="Times New Roman" w:cs="Times New Roman"/>
                <w:b/>
                <w:i/>
                <w:iCs/>
                <w:sz w:val="26"/>
                <w:szCs w:val="26"/>
                <w:lang w:eastAsia="es-CR"/>
              </w:rPr>
              <w:t>AJUSTADO</w:t>
            </w:r>
            <w:r w:rsidRPr="002A7673">
              <w:rPr>
                <w:rFonts w:ascii="Times New Roman" w:eastAsia="Calibri" w:hAnsi="Times New Roman" w:cs="Times New Roman"/>
                <w:b/>
                <w:i/>
                <w:iCs/>
                <w:color w:val="000000"/>
                <w:sz w:val="26"/>
                <w:szCs w:val="26"/>
                <w:lang w:eastAsia="es-CR"/>
              </w:rPr>
              <w:t xml:space="preserve"> 2022</w:t>
            </w:r>
          </w:p>
        </w:tc>
      </w:tr>
      <w:tr w:rsidR="00083CA4" w:rsidRPr="002A7673" w14:paraId="2178D298" w14:textId="77777777" w:rsidTr="003774B7">
        <w:trPr>
          <w:trHeight w:val="300"/>
          <w:jc w:val="center"/>
        </w:trPr>
        <w:tc>
          <w:tcPr>
            <w:tcW w:w="3140" w:type="dxa"/>
            <w:tcMar>
              <w:top w:w="0" w:type="dxa"/>
              <w:left w:w="70" w:type="dxa"/>
              <w:bottom w:w="0" w:type="dxa"/>
              <w:right w:w="70" w:type="dxa"/>
            </w:tcMar>
            <w:vAlign w:val="center"/>
            <w:hideMark/>
          </w:tcPr>
          <w:p w14:paraId="24ED2275" w14:textId="77777777" w:rsidR="00083CA4" w:rsidRPr="002A7673" w:rsidRDefault="00083CA4" w:rsidP="005F7139">
            <w:pPr>
              <w:spacing w:after="0" w:line="276" w:lineRule="auto"/>
              <w:rPr>
                <w:rFonts w:ascii="Times New Roman" w:eastAsia="Calibri" w:hAnsi="Times New Roman" w:cs="Times New Roman"/>
                <w:i/>
                <w:iCs/>
                <w:color w:val="000000"/>
                <w:lang w:eastAsia="es-CR"/>
              </w:rPr>
            </w:pPr>
          </w:p>
        </w:tc>
        <w:tc>
          <w:tcPr>
            <w:tcW w:w="1900" w:type="dxa"/>
            <w:tcMar>
              <w:top w:w="0" w:type="dxa"/>
              <w:left w:w="70" w:type="dxa"/>
              <w:bottom w:w="0" w:type="dxa"/>
              <w:right w:w="70" w:type="dxa"/>
            </w:tcMar>
            <w:vAlign w:val="center"/>
            <w:hideMark/>
          </w:tcPr>
          <w:p w14:paraId="384FAE08" w14:textId="77777777" w:rsidR="00083CA4" w:rsidRPr="002A7673" w:rsidRDefault="00083CA4" w:rsidP="005F7139">
            <w:pPr>
              <w:spacing w:after="0" w:line="276" w:lineRule="auto"/>
              <w:rPr>
                <w:rFonts w:ascii="Times New Roman" w:eastAsia="Calibri" w:hAnsi="Times New Roman" w:cs="Times New Roman"/>
                <w:i/>
                <w:iCs/>
                <w:lang w:eastAsia="es-CR"/>
              </w:rPr>
            </w:pPr>
          </w:p>
        </w:tc>
        <w:tc>
          <w:tcPr>
            <w:tcW w:w="1900" w:type="dxa"/>
            <w:tcMar>
              <w:top w:w="0" w:type="dxa"/>
              <w:left w:w="70" w:type="dxa"/>
              <w:bottom w:w="0" w:type="dxa"/>
              <w:right w:w="70" w:type="dxa"/>
            </w:tcMar>
            <w:vAlign w:val="center"/>
            <w:hideMark/>
          </w:tcPr>
          <w:p w14:paraId="63D44657" w14:textId="77777777" w:rsidR="00083CA4" w:rsidRPr="002A7673" w:rsidRDefault="00083CA4" w:rsidP="005F7139">
            <w:pPr>
              <w:spacing w:after="0" w:line="276" w:lineRule="auto"/>
              <w:rPr>
                <w:rFonts w:ascii="Times New Roman" w:eastAsia="Calibri" w:hAnsi="Times New Roman" w:cs="Times New Roman"/>
                <w:i/>
                <w:iCs/>
                <w:lang w:eastAsia="es-CR"/>
              </w:rPr>
            </w:pPr>
          </w:p>
        </w:tc>
        <w:tc>
          <w:tcPr>
            <w:tcW w:w="1900" w:type="dxa"/>
            <w:tcMar>
              <w:top w:w="0" w:type="dxa"/>
              <w:left w:w="70" w:type="dxa"/>
              <w:bottom w:w="0" w:type="dxa"/>
              <w:right w:w="70" w:type="dxa"/>
            </w:tcMar>
            <w:vAlign w:val="center"/>
            <w:hideMark/>
          </w:tcPr>
          <w:p w14:paraId="619B64D9" w14:textId="77777777" w:rsidR="00083CA4" w:rsidRPr="002A7673" w:rsidRDefault="00083CA4" w:rsidP="005F7139">
            <w:pPr>
              <w:spacing w:after="0" w:line="276" w:lineRule="auto"/>
              <w:rPr>
                <w:rFonts w:ascii="Times New Roman" w:eastAsia="Calibri" w:hAnsi="Times New Roman" w:cs="Times New Roman"/>
                <w:i/>
                <w:iCs/>
                <w:lang w:eastAsia="es-CR"/>
              </w:rPr>
            </w:pPr>
          </w:p>
        </w:tc>
      </w:tr>
      <w:tr w:rsidR="00083CA4" w:rsidRPr="002A7673" w14:paraId="14630463" w14:textId="77777777" w:rsidTr="003774B7">
        <w:trPr>
          <w:trHeight w:val="600"/>
          <w:jc w:val="center"/>
        </w:trPr>
        <w:tc>
          <w:tcPr>
            <w:tcW w:w="3140" w:type="dxa"/>
            <w:tcMar>
              <w:top w:w="0" w:type="dxa"/>
              <w:left w:w="70" w:type="dxa"/>
              <w:bottom w:w="0" w:type="dxa"/>
              <w:right w:w="70" w:type="dxa"/>
            </w:tcMar>
            <w:vAlign w:val="center"/>
            <w:hideMark/>
          </w:tcPr>
          <w:p w14:paraId="3333CB11" w14:textId="77777777" w:rsidR="00083CA4" w:rsidRPr="002A7673" w:rsidRDefault="00083CA4" w:rsidP="005F7139">
            <w:pPr>
              <w:spacing w:after="0" w:line="276" w:lineRule="auto"/>
              <w:rPr>
                <w:rFonts w:ascii="Times New Roman" w:eastAsia="Calibri" w:hAnsi="Times New Roman" w:cs="Times New Roman"/>
                <w:i/>
                <w:iCs/>
                <w:sz w:val="16"/>
                <w:szCs w:val="16"/>
                <w:lang w:eastAsia="es-CR"/>
              </w:rPr>
            </w:pPr>
          </w:p>
        </w:tc>
        <w:tc>
          <w:tcPr>
            <w:tcW w:w="1900" w:type="dxa"/>
            <w:tcBorders>
              <w:top w:val="single" w:sz="8" w:space="0" w:color="auto"/>
              <w:left w:val="single" w:sz="8" w:space="0" w:color="auto"/>
              <w:bottom w:val="nil"/>
              <w:right w:val="single" w:sz="8" w:space="0" w:color="auto"/>
            </w:tcBorders>
            <w:shd w:val="clear" w:color="auto" w:fill="D6DCE4"/>
            <w:tcMar>
              <w:top w:w="0" w:type="dxa"/>
              <w:left w:w="70" w:type="dxa"/>
              <w:bottom w:w="0" w:type="dxa"/>
              <w:right w:w="70" w:type="dxa"/>
            </w:tcMar>
            <w:vAlign w:val="center"/>
            <w:hideMark/>
          </w:tcPr>
          <w:p w14:paraId="65020757"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color w:val="000000"/>
                <w:sz w:val="16"/>
                <w:szCs w:val="16"/>
                <w:lang w:eastAsia="es-CR"/>
              </w:rPr>
              <w:t>Partidas 0, 1, 2, 6, 9 Gasto Corriente</w:t>
            </w:r>
          </w:p>
        </w:tc>
        <w:tc>
          <w:tcPr>
            <w:tcW w:w="1900" w:type="dxa"/>
            <w:tcBorders>
              <w:top w:val="single" w:sz="8" w:space="0" w:color="auto"/>
              <w:left w:val="nil"/>
              <w:bottom w:val="nil"/>
              <w:right w:val="single" w:sz="8" w:space="0" w:color="auto"/>
            </w:tcBorders>
            <w:shd w:val="clear" w:color="auto" w:fill="D6DCE4"/>
            <w:tcMar>
              <w:top w:w="0" w:type="dxa"/>
              <w:left w:w="70" w:type="dxa"/>
              <w:bottom w:w="0" w:type="dxa"/>
              <w:right w:w="70" w:type="dxa"/>
            </w:tcMar>
            <w:vAlign w:val="center"/>
            <w:hideMark/>
          </w:tcPr>
          <w:p w14:paraId="19E08F57"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color w:val="000000"/>
                <w:sz w:val="16"/>
                <w:szCs w:val="16"/>
                <w:lang w:eastAsia="es-CR"/>
              </w:rPr>
              <w:t>Partidas 5, 7 Gasto de Capital</w:t>
            </w:r>
          </w:p>
        </w:tc>
        <w:tc>
          <w:tcPr>
            <w:tcW w:w="1900" w:type="dxa"/>
            <w:tcBorders>
              <w:top w:val="single" w:sz="8" w:space="0" w:color="auto"/>
              <w:left w:val="nil"/>
              <w:bottom w:val="nil"/>
              <w:right w:val="single" w:sz="8" w:space="0" w:color="auto"/>
            </w:tcBorders>
            <w:shd w:val="clear" w:color="auto" w:fill="D6DCE4"/>
            <w:tcMar>
              <w:top w:w="0" w:type="dxa"/>
              <w:left w:w="70" w:type="dxa"/>
              <w:bottom w:w="0" w:type="dxa"/>
              <w:right w:w="70" w:type="dxa"/>
            </w:tcMar>
            <w:vAlign w:val="center"/>
            <w:hideMark/>
          </w:tcPr>
          <w:p w14:paraId="56E7C450"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proofErr w:type="gramStart"/>
            <w:r w:rsidRPr="002A7673">
              <w:rPr>
                <w:rFonts w:ascii="Times New Roman" w:eastAsia="Calibri" w:hAnsi="Times New Roman" w:cs="Times New Roman"/>
                <w:i/>
                <w:iCs/>
                <w:color w:val="000000"/>
                <w:sz w:val="16"/>
                <w:szCs w:val="16"/>
                <w:lang w:eastAsia="es-CR"/>
              </w:rPr>
              <w:t>TOTAL</w:t>
            </w:r>
            <w:proofErr w:type="gramEnd"/>
            <w:r w:rsidRPr="002A7673">
              <w:rPr>
                <w:rFonts w:ascii="Times New Roman" w:eastAsia="Calibri" w:hAnsi="Times New Roman" w:cs="Times New Roman"/>
                <w:i/>
                <w:iCs/>
                <w:color w:val="000000"/>
                <w:sz w:val="16"/>
                <w:szCs w:val="16"/>
                <w:lang w:eastAsia="es-CR"/>
              </w:rPr>
              <w:t xml:space="preserve"> POR PROGRAMA</w:t>
            </w:r>
          </w:p>
        </w:tc>
      </w:tr>
      <w:tr w:rsidR="00083CA4" w:rsidRPr="002A7673" w14:paraId="6E4FF3FF" w14:textId="77777777" w:rsidTr="003774B7">
        <w:trPr>
          <w:trHeight w:val="300"/>
          <w:jc w:val="center"/>
        </w:trPr>
        <w:tc>
          <w:tcPr>
            <w:tcW w:w="3140" w:type="dxa"/>
            <w:tcBorders>
              <w:top w:val="single" w:sz="8" w:space="0" w:color="auto"/>
              <w:left w:val="single" w:sz="8" w:space="0" w:color="auto"/>
              <w:bottom w:val="single" w:sz="8" w:space="0" w:color="auto"/>
              <w:right w:val="single" w:sz="8" w:space="0" w:color="auto"/>
            </w:tcBorders>
            <w:shd w:val="clear" w:color="auto" w:fill="D6DCE4"/>
            <w:tcMar>
              <w:top w:w="0" w:type="dxa"/>
              <w:left w:w="70" w:type="dxa"/>
              <w:bottom w:w="0" w:type="dxa"/>
              <w:right w:w="70" w:type="dxa"/>
            </w:tcMar>
            <w:vAlign w:val="center"/>
            <w:hideMark/>
          </w:tcPr>
          <w:p w14:paraId="35ABFCD8" w14:textId="77777777" w:rsidR="00083CA4" w:rsidRPr="002A7673" w:rsidRDefault="00083CA4" w:rsidP="005F7139">
            <w:pPr>
              <w:spacing w:after="0" w:line="276" w:lineRule="auto"/>
              <w:rPr>
                <w:rFonts w:ascii="Times New Roman" w:eastAsia="Calibri" w:hAnsi="Times New Roman" w:cs="Times New Roman"/>
                <w:i/>
                <w:iCs/>
                <w:color w:val="000000"/>
                <w:sz w:val="16"/>
                <w:szCs w:val="16"/>
                <w:lang w:eastAsia="es-CR"/>
              </w:rPr>
            </w:pPr>
            <w:r w:rsidRPr="002A7673">
              <w:rPr>
                <w:rFonts w:ascii="Times New Roman" w:eastAsia="Calibri" w:hAnsi="Times New Roman" w:cs="Times New Roman"/>
                <w:i/>
                <w:iCs/>
                <w:color w:val="000000"/>
                <w:sz w:val="16"/>
                <w:szCs w:val="16"/>
                <w:lang w:eastAsia="es-CR"/>
              </w:rPr>
              <w:t>Límite presentado por PLA</w:t>
            </w:r>
          </w:p>
        </w:tc>
        <w:tc>
          <w:tcPr>
            <w:tcW w:w="1900" w:type="dxa"/>
            <w:tcBorders>
              <w:top w:val="single" w:sz="8" w:space="0" w:color="auto"/>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220FAAC2" w14:textId="77777777" w:rsidR="00083CA4" w:rsidRPr="002A7673" w:rsidRDefault="00083CA4" w:rsidP="005F7139">
            <w:pPr>
              <w:spacing w:after="0" w:line="276" w:lineRule="auto"/>
              <w:jc w:val="right"/>
              <w:rPr>
                <w:rFonts w:ascii="Times New Roman" w:eastAsia="Calibri" w:hAnsi="Times New Roman" w:cs="Times New Roman"/>
                <w:i/>
                <w:iCs/>
                <w:color w:val="2F5597"/>
                <w:sz w:val="16"/>
                <w:szCs w:val="16"/>
                <w:lang w:eastAsia="es-CR"/>
              </w:rPr>
            </w:pPr>
            <w:r w:rsidRPr="002A7673">
              <w:rPr>
                <w:rFonts w:ascii="Times New Roman" w:eastAsia="Calibri" w:hAnsi="Times New Roman" w:cs="Times New Roman"/>
                <w:i/>
                <w:iCs/>
                <w:color w:val="2F5597"/>
                <w:sz w:val="16"/>
                <w:szCs w:val="16"/>
                <w:lang w:eastAsia="es-CR"/>
              </w:rPr>
              <w:t>₡1 090 973 364,00</w:t>
            </w:r>
          </w:p>
        </w:tc>
        <w:tc>
          <w:tcPr>
            <w:tcW w:w="1900" w:type="dxa"/>
            <w:tcBorders>
              <w:top w:val="single" w:sz="8" w:space="0" w:color="auto"/>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4E16A878" w14:textId="77777777" w:rsidR="00083CA4" w:rsidRPr="002A7673" w:rsidRDefault="00083CA4" w:rsidP="005F7139">
            <w:pPr>
              <w:spacing w:after="0" w:line="276" w:lineRule="auto"/>
              <w:jc w:val="right"/>
              <w:rPr>
                <w:rFonts w:ascii="Times New Roman" w:eastAsia="Calibri" w:hAnsi="Times New Roman" w:cs="Times New Roman"/>
                <w:i/>
                <w:iCs/>
                <w:color w:val="2F5597"/>
                <w:sz w:val="16"/>
                <w:szCs w:val="16"/>
                <w:lang w:eastAsia="es-CR"/>
              </w:rPr>
            </w:pPr>
            <w:r w:rsidRPr="002A7673">
              <w:rPr>
                <w:rFonts w:ascii="Times New Roman" w:eastAsia="Calibri" w:hAnsi="Times New Roman" w:cs="Times New Roman"/>
                <w:i/>
                <w:iCs/>
                <w:color w:val="2F5597"/>
                <w:sz w:val="16"/>
                <w:szCs w:val="16"/>
                <w:lang w:eastAsia="es-CR"/>
              </w:rPr>
              <w:t>₡6 922 811 148,00</w:t>
            </w:r>
          </w:p>
        </w:tc>
        <w:tc>
          <w:tcPr>
            <w:tcW w:w="1900" w:type="dxa"/>
            <w:tcBorders>
              <w:top w:val="single" w:sz="8" w:space="0" w:color="auto"/>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5649F52F" w14:textId="77777777" w:rsidR="00083CA4" w:rsidRPr="002A7673" w:rsidRDefault="00083CA4" w:rsidP="005F7139">
            <w:pPr>
              <w:spacing w:after="0" w:line="276" w:lineRule="auto"/>
              <w:jc w:val="right"/>
              <w:rPr>
                <w:rFonts w:ascii="Times New Roman" w:eastAsia="Calibri" w:hAnsi="Times New Roman" w:cs="Times New Roman"/>
                <w:i/>
                <w:iCs/>
                <w:color w:val="2F5597"/>
                <w:sz w:val="16"/>
                <w:szCs w:val="16"/>
                <w:lang w:eastAsia="es-CR"/>
              </w:rPr>
            </w:pPr>
            <w:r w:rsidRPr="002A7673">
              <w:rPr>
                <w:rFonts w:ascii="Times New Roman" w:eastAsia="Calibri" w:hAnsi="Times New Roman" w:cs="Times New Roman"/>
                <w:i/>
                <w:iCs/>
                <w:color w:val="2F5597"/>
                <w:sz w:val="16"/>
                <w:szCs w:val="16"/>
                <w:lang w:eastAsia="es-CR"/>
              </w:rPr>
              <w:t>₡8 013 784 512,00</w:t>
            </w:r>
          </w:p>
        </w:tc>
      </w:tr>
      <w:tr w:rsidR="00083CA4" w:rsidRPr="002A7673" w14:paraId="0AE96975" w14:textId="77777777" w:rsidTr="003774B7">
        <w:trPr>
          <w:trHeight w:val="693"/>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C507B5F" w14:textId="77777777" w:rsidR="00083CA4" w:rsidRPr="002A7673" w:rsidRDefault="00083CA4" w:rsidP="005F7139">
            <w:pPr>
              <w:spacing w:after="0" w:line="276" w:lineRule="auto"/>
              <w:jc w:val="both"/>
              <w:rPr>
                <w:rFonts w:ascii="Times New Roman" w:eastAsia="Calibri" w:hAnsi="Times New Roman" w:cs="Times New Roman"/>
                <w:i/>
                <w:iCs/>
                <w:color w:val="000000"/>
                <w:sz w:val="16"/>
                <w:szCs w:val="16"/>
                <w:lang w:eastAsia="es-CR"/>
              </w:rPr>
            </w:pPr>
            <w:r w:rsidRPr="002A7673">
              <w:rPr>
                <w:rFonts w:ascii="Times New Roman" w:eastAsia="Calibri" w:hAnsi="Times New Roman" w:cs="Times New Roman"/>
                <w:i/>
                <w:iCs/>
                <w:color w:val="000000"/>
                <w:sz w:val="16"/>
                <w:szCs w:val="16"/>
                <w:lang w:eastAsia="es-CR"/>
              </w:rPr>
              <w:t>Programa 926: Dirección, Administración y Otros Órganos de Apoyo</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6999733"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₡1 046 406 287,00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D4A2F08"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₡4 568 699 442,00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1FB25E4"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₡5 615 105 729,00</w:t>
            </w:r>
          </w:p>
        </w:tc>
      </w:tr>
      <w:tr w:rsidR="00083CA4" w:rsidRPr="002A7673" w14:paraId="3604DE90" w14:textId="77777777" w:rsidTr="003774B7">
        <w:trPr>
          <w:trHeight w:val="405"/>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77F67E0" w14:textId="77777777" w:rsidR="00083CA4" w:rsidRPr="002A7673" w:rsidRDefault="00083CA4" w:rsidP="005F7139">
            <w:pPr>
              <w:spacing w:after="0" w:line="276" w:lineRule="auto"/>
              <w:jc w:val="both"/>
              <w:rPr>
                <w:rFonts w:ascii="Times New Roman" w:eastAsia="Calibri" w:hAnsi="Times New Roman" w:cs="Times New Roman"/>
                <w:i/>
                <w:iCs/>
                <w:color w:val="000000"/>
                <w:sz w:val="16"/>
                <w:szCs w:val="16"/>
                <w:lang w:eastAsia="es-CR"/>
              </w:rPr>
            </w:pPr>
            <w:r w:rsidRPr="002A7673">
              <w:rPr>
                <w:rFonts w:ascii="Times New Roman" w:eastAsia="Calibri" w:hAnsi="Times New Roman" w:cs="Times New Roman"/>
                <w:i/>
                <w:iCs/>
                <w:color w:val="000000"/>
                <w:sz w:val="16"/>
                <w:szCs w:val="16"/>
                <w:lang w:eastAsia="es-CR"/>
              </w:rPr>
              <w:t>Programa 927: Servicio Jurisdiccional</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DC0C2F5"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₡39 567 077,00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7040EE3"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₡9 000 000,00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BC0B28"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₡48 567 077,00</w:t>
            </w:r>
          </w:p>
        </w:tc>
      </w:tr>
      <w:tr w:rsidR="00083CA4" w:rsidRPr="002A7673" w14:paraId="04329CDE" w14:textId="77777777" w:rsidTr="003774B7">
        <w:trPr>
          <w:trHeight w:val="356"/>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3DB1CC4" w14:textId="77777777" w:rsidR="00083CA4" w:rsidRPr="002A7673" w:rsidRDefault="00083CA4" w:rsidP="005F7139">
            <w:pPr>
              <w:spacing w:after="0" w:line="276" w:lineRule="auto"/>
              <w:jc w:val="both"/>
              <w:rPr>
                <w:rFonts w:ascii="Times New Roman" w:eastAsia="Calibri" w:hAnsi="Times New Roman" w:cs="Times New Roman"/>
                <w:i/>
                <w:iCs/>
                <w:color w:val="000000"/>
                <w:sz w:val="16"/>
                <w:szCs w:val="16"/>
                <w:lang w:eastAsia="es-CR"/>
              </w:rPr>
            </w:pPr>
            <w:r w:rsidRPr="002A7673">
              <w:rPr>
                <w:rFonts w:ascii="Times New Roman" w:eastAsia="Calibri" w:hAnsi="Times New Roman" w:cs="Times New Roman"/>
                <w:i/>
                <w:iCs/>
                <w:color w:val="000000"/>
                <w:sz w:val="16"/>
                <w:szCs w:val="16"/>
                <w:lang w:eastAsia="es-CR"/>
              </w:rPr>
              <w:t>Programa 928: Organismo de Investigación Judicial</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7EB7EF8"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72BBFF"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₡2 230 111 706,00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CA2FF8D"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₡2 230 111 706,00</w:t>
            </w:r>
          </w:p>
        </w:tc>
      </w:tr>
      <w:tr w:rsidR="00083CA4" w:rsidRPr="002A7673" w14:paraId="64C7DB50" w14:textId="77777777" w:rsidTr="003774B7">
        <w:trPr>
          <w:trHeight w:val="292"/>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4B89F8E" w14:textId="77777777" w:rsidR="00083CA4" w:rsidRPr="002A7673" w:rsidRDefault="00083CA4" w:rsidP="005F7139">
            <w:pPr>
              <w:spacing w:after="0" w:line="276" w:lineRule="auto"/>
              <w:jc w:val="both"/>
              <w:rPr>
                <w:rFonts w:ascii="Times New Roman" w:eastAsia="Calibri" w:hAnsi="Times New Roman" w:cs="Times New Roman"/>
                <w:i/>
                <w:iCs/>
                <w:color w:val="000000"/>
                <w:sz w:val="16"/>
                <w:szCs w:val="16"/>
                <w:lang w:eastAsia="es-CR"/>
              </w:rPr>
            </w:pPr>
            <w:r w:rsidRPr="002A7673">
              <w:rPr>
                <w:rFonts w:ascii="Times New Roman" w:eastAsia="Calibri" w:hAnsi="Times New Roman" w:cs="Times New Roman"/>
                <w:i/>
                <w:iCs/>
                <w:color w:val="000000"/>
                <w:sz w:val="16"/>
                <w:szCs w:val="16"/>
                <w:lang w:eastAsia="es-CR"/>
              </w:rPr>
              <w:t>Programa 929: Ministerio Público</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9CDD92F"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911CEAB"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₡115 000 000,00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B3253DB"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₡115 000 000,00</w:t>
            </w:r>
          </w:p>
        </w:tc>
      </w:tr>
      <w:tr w:rsidR="00083CA4" w:rsidRPr="002A7673" w14:paraId="77B9BF4C" w14:textId="77777777" w:rsidTr="003774B7">
        <w:trPr>
          <w:trHeight w:val="300"/>
          <w:jc w:val="center"/>
        </w:trPr>
        <w:tc>
          <w:tcPr>
            <w:tcW w:w="314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2357556" w14:textId="77777777" w:rsidR="00083CA4" w:rsidRPr="002A7673" w:rsidRDefault="00083CA4" w:rsidP="005F7139">
            <w:pPr>
              <w:spacing w:after="0" w:line="276" w:lineRule="auto"/>
              <w:jc w:val="both"/>
              <w:rPr>
                <w:rFonts w:ascii="Times New Roman" w:eastAsia="Calibri" w:hAnsi="Times New Roman" w:cs="Times New Roman"/>
                <w:i/>
                <w:iCs/>
                <w:color w:val="000000"/>
                <w:sz w:val="16"/>
                <w:szCs w:val="16"/>
                <w:lang w:eastAsia="es-CR"/>
              </w:rPr>
            </w:pPr>
            <w:r w:rsidRPr="002A7673">
              <w:rPr>
                <w:rFonts w:ascii="Times New Roman" w:eastAsia="Calibri" w:hAnsi="Times New Roman" w:cs="Times New Roman"/>
                <w:i/>
                <w:iCs/>
                <w:color w:val="000000"/>
                <w:sz w:val="16"/>
                <w:szCs w:val="16"/>
                <w:lang w:eastAsia="es-CR"/>
              </w:rPr>
              <w:t>Programa 930: Defensa Pública</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7E345F3"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₡5 000 000,00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4FF4FB9"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₡0,00</w:t>
            </w:r>
          </w:p>
        </w:tc>
        <w:tc>
          <w:tcPr>
            <w:tcW w:w="190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1A23AE1" w14:textId="77777777" w:rsidR="00083CA4" w:rsidRPr="002A7673" w:rsidRDefault="00083CA4" w:rsidP="005F7139">
            <w:pPr>
              <w:spacing w:after="0" w:line="276" w:lineRule="auto"/>
              <w:jc w:val="center"/>
              <w:rPr>
                <w:rFonts w:ascii="Times New Roman" w:eastAsia="Calibri" w:hAnsi="Times New Roman" w:cs="Times New Roman"/>
                <w:i/>
                <w:iCs/>
                <w:sz w:val="16"/>
                <w:szCs w:val="16"/>
                <w:lang w:eastAsia="es-CR"/>
              </w:rPr>
            </w:pPr>
            <w:r w:rsidRPr="002A7673">
              <w:rPr>
                <w:rFonts w:ascii="Times New Roman" w:eastAsia="Calibri" w:hAnsi="Times New Roman" w:cs="Times New Roman"/>
                <w:i/>
                <w:iCs/>
                <w:sz w:val="16"/>
                <w:szCs w:val="16"/>
                <w:lang w:eastAsia="es-CR"/>
              </w:rPr>
              <w:t>₡5 000 000,00</w:t>
            </w:r>
          </w:p>
        </w:tc>
      </w:tr>
      <w:tr w:rsidR="00083CA4" w:rsidRPr="002A7673" w14:paraId="78AAEFF9" w14:textId="77777777" w:rsidTr="003774B7">
        <w:trPr>
          <w:trHeight w:val="300"/>
          <w:jc w:val="center"/>
        </w:trPr>
        <w:tc>
          <w:tcPr>
            <w:tcW w:w="3140" w:type="dxa"/>
            <w:tcBorders>
              <w:top w:val="nil"/>
              <w:left w:val="single" w:sz="8" w:space="0" w:color="auto"/>
              <w:bottom w:val="single" w:sz="8" w:space="0" w:color="auto"/>
              <w:right w:val="single" w:sz="8" w:space="0" w:color="auto"/>
            </w:tcBorders>
            <w:shd w:val="clear" w:color="auto" w:fill="D6DCE4"/>
            <w:tcMar>
              <w:top w:w="0" w:type="dxa"/>
              <w:left w:w="70" w:type="dxa"/>
              <w:bottom w:w="0" w:type="dxa"/>
              <w:right w:w="70" w:type="dxa"/>
            </w:tcMar>
            <w:vAlign w:val="center"/>
            <w:hideMark/>
          </w:tcPr>
          <w:p w14:paraId="2BECC6AA" w14:textId="77777777" w:rsidR="00083CA4" w:rsidRPr="002A7673" w:rsidRDefault="00083CA4" w:rsidP="005F7139">
            <w:pPr>
              <w:spacing w:after="0" w:line="276" w:lineRule="auto"/>
              <w:jc w:val="right"/>
              <w:rPr>
                <w:rFonts w:ascii="Times New Roman" w:eastAsia="Calibri" w:hAnsi="Times New Roman" w:cs="Times New Roman"/>
                <w:i/>
                <w:iCs/>
                <w:sz w:val="16"/>
                <w:szCs w:val="16"/>
                <w:lang w:eastAsia="es-CR"/>
              </w:rPr>
            </w:pPr>
            <w:r w:rsidRPr="002A7673">
              <w:rPr>
                <w:rFonts w:ascii="Times New Roman" w:eastAsia="Calibri" w:hAnsi="Times New Roman" w:cs="Times New Roman"/>
                <w:i/>
                <w:iCs/>
                <w:color w:val="000000"/>
                <w:sz w:val="16"/>
                <w:szCs w:val="16"/>
                <w:lang w:eastAsia="es-CR"/>
              </w:rPr>
              <w:t>TOTAL</w:t>
            </w:r>
          </w:p>
        </w:tc>
        <w:tc>
          <w:tcPr>
            <w:tcW w:w="1900" w:type="dxa"/>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358E2B92" w14:textId="77777777" w:rsidR="00083CA4" w:rsidRPr="002A7673" w:rsidRDefault="00083CA4" w:rsidP="005F7139">
            <w:pPr>
              <w:spacing w:after="0" w:line="276" w:lineRule="auto"/>
              <w:jc w:val="right"/>
              <w:rPr>
                <w:rFonts w:ascii="Times New Roman" w:eastAsia="Calibri" w:hAnsi="Times New Roman" w:cs="Times New Roman"/>
                <w:i/>
                <w:iCs/>
                <w:color w:val="2F5597"/>
                <w:sz w:val="16"/>
                <w:szCs w:val="16"/>
                <w:lang w:eastAsia="es-CR"/>
              </w:rPr>
            </w:pPr>
            <w:r w:rsidRPr="002A7673">
              <w:rPr>
                <w:rFonts w:ascii="Times New Roman" w:eastAsia="Calibri" w:hAnsi="Times New Roman" w:cs="Times New Roman"/>
                <w:i/>
                <w:iCs/>
                <w:color w:val="2F5597"/>
                <w:sz w:val="16"/>
                <w:szCs w:val="16"/>
                <w:lang w:eastAsia="es-CR"/>
              </w:rPr>
              <w:t>₡1 090 973 364,00</w:t>
            </w:r>
          </w:p>
        </w:tc>
        <w:tc>
          <w:tcPr>
            <w:tcW w:w="1900" w:type="dxa"/>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2A2A4247" w14:textId="77777777" w:rsidR="00083CA4" w:rsidRPr="002A7673" w:rsidRDefault="00083CA4" w:rsidP="005F7139">
            <w:pPr>
              <w:spacing w:after="0" w:line="276" w:lineRule="auto"/>
              <w:jc w:val="right"/>
              <w:rPr>
                <w:rFonts w:ascii="Times New Roman" w:eastAsia="Calibri" w:hAnsi="Times New Roman" w:cs="Times New Roman"/>
                <w:i/>
                <w:iCs/>
                <w:color w:val="2F5597"/>
                <w:sz w:val="16"/>
                <w:szCs w:val="16"/>
                <w:lang w:eastAsia="es-CR"/>
              </w:rPr>
            </w:pPr>
            <w:r w:rsidRPr="002A7673">
              <w:rPr>
                <w:rFonts w:ascii="Times New Roman" w:eastAsia="Calibri" w:hAnsi="Times New Roman" w:cs="Times New Roman"/>
                <w:i/>
                <w:iCs/>
                <w:color w:val="2F5597"/>
                <w:sz w:val="16"/>
                <w:szCs w:val="16"/>
                <w:lang w:eastAsia="es-CR"/>
              </w:rPr>
              <w:t>₡6 922 811 148,00</w:t>
            </w:r>
          </w:p>
        </w:tc>
        <w:tc>
          <w:tcPr>
            <w:tcW w:w="1900" w:type="dxa"/>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323D6726" w14:textId="77777777" w:rsidR="00083CA4" w:rsidRPr="002A7673" w:rsidRDefault="00083CA4" w:rsidP="005F7139">
            <w:pPr>
              <w:spacing w:after="0" w:line="276" w:lineRule="auto"/>
              <w:jc w:val="right"/>
              <w:rPr>
                <w:rFonts w:ascii="Times New Roman" w:eastAsia="Calibri" w:hAnsi="Times New Roman" w:cs="Times New Roman"/>
                <w:i/>
                <w:iCs/>
                <w:color w:val="2F5597"/>
                <w:sz w:val="16"/>
                <w:szCs w:val="16"/>
                <w:lang w:eastAsia="es-CR"/>
              </w:rPr>
            </w:pPr>
            <w:r w:rsidRPr="002A7673">
              <w:rPr>
                <w:rFonts w:ascii="Times New Roman" w:eastAsia="Calibri" w:hAnsi="Times New Roman" w:cs="Times New Roman"/>
                <w:i/>
                <w:iCs/>
                <w:color w:val="2F5597"/>
                <w:sz w:val="16"/>
                <w:szCs w:val="16"/>
                <w:lang w:eastAsia="es-CR"/>
              </w:rPr>
              <w:t>₡8 013 784 512,00</w:t>
            </w:r>
          </w:p>
        </w:tc>
      </w:tr>
    </w:tbl>
    <w:p w14:paraId="50C5151F" w14:textId="77777777" w:rsidR="00083CA4" w:rsidRPr="002A7673" w:rsidRDefault="00083CA4" w:rsidP="005F7139">
      <w:pPr>
        <w:spacing w:after="0" w:line="276" w:lineRule="auto"/>
        <w:ind w:left="708"/>
        <w:rPr>
          <w:rFonts w:ascii="Times New Roman" w:eastAsia="Calibri" w:hAnsi="Times New Roman" w:cs="Times New Roman"/>
          <w:i/>
          <w:iCs/>
        </w:rPr>
      </w:pPr>
    </w:p>
    <w:p w14:paraId="33C8353B" w14:textId="77777777" w:rsidR="00083CA4" w:rsidRPr="002A7673" w:rsidRDefault="00083CA4" w:rsidP="003774B7">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Dado lo anterior y como parte del resumen, en cuadro que se anexa, se encuentran únicamente los proyectos que sufrieron modificaciones por ajustes, eliminación o nuevo ingreso.</w:t>
      </w:r>
    </w:p>
    <w:p w14:paraId="22AEF2A6" w14:textId="77777777" w:rsidR="00083CA4" w:rsidRPr="002A7673" w:rsidRDefault="00083CA4" w:rsidP="005F7139">
      <w:pPr>
        <w:spacing w:after="0" w:line="276" w:lineRule="auto"/>
        <w:ind w:left="708"/>
        <w:rPr>
          <w:rFonts w:ascii="Times New Roman" w:eastAsia="Calibri" w:hAnsi="Times New Roman" w:cs="Times New Roman"/>
          <w:i/>
          <w:iCs/>
          <w:sz w:val="18"/>
          <w:szCs w:val="18"/>
        </w:rPr>
      </w:pPr>
    </w:p>
    <w:p w14:paraId="2C9F9875" w14:textId="77777777" w:rsidR="00083CA4" w:rsidRPr="002A7673" w:rsidRDefault="00083CA4" w:rsidP="005F7139">
      <w:pPr>
        <w:spacing w:after="0" w:line="276" w:lineRule="auto"/>
        <w:ind w:left="708"/>
        <w:jc w:val="center"/>
        <w:rPr>
          <w:rFonts w:ascii="Times New Roman" w:eastAsia="Calibri" w:hAnsi="Times New Roman" w:cs="Times New Roman"/>
          <w:b/>
          <w:bCs/>
          <w:i/>
          <w:iCs/>
          <w:sz w:val="26"/>
          <w:szCs w:val="26"/>
          <w:lang w:eastAsia="es-CR"/>
        </w:rPr>
      </w:pPr>
      <w:r w:rsidRPr="002A7673">
        <w:rPr>
          <w:rFonts w:ascii="Times New Roman" w:eastAsia="Calibri" w:hAnsi="Times New Roman" w:cs="Times New Roman"/>
          <w:b/>
          <w:bCs/>
          <w:i/>
          <w:iCs/>
          <w:sz w:val="26"/>
          <w:szCs w:val="26"/>
          <w:lang w:eastAsia="es-CR"/>
        </w:rPr>
        <w:t>RESUMEN DE PROYECTOS CONSTRUCTIVOS  2022</w:t>
      </w:r>
      <w:r w:rsidRPr="002A7673">
        <w:rPr>
          <w:rFonts w:ascii="Times New Roman" w:eastAsia="Calibri" w:hAnsi="Times New Roman" w:cs="Times New Roman"/>
          <w:b/>
          <w:bCs/>
          <w:i/>
          <w:iCs/>
          <w:sz w:val="26"/>
          <w:szCs w:val="26"/>
          <w:lang w:eastAsia="es-CR"/>
        </w:rPr>
        <w:br/>
        <w:t>ANTES DE LOS LÍMITES PRESENTADOS POR PLA VS AJUSTADO</w:t>
      </w:r>
    </w:p>
    <w:p w14:paraId="01A8854B" w14:textId="77777777" w:rsidR="00083CA4" w:rsidRPr="002A7673" w:rsidRDefault="00083CA4" w:rsidP="005F7139">
      <w:pPr>
        <w:spacing w:after="0" w:line="276" w:lineRule="auto"/>
        <w:ind w:left="708"/>
        <w:jc w:val="center"/>
        <w:rPr>
          <w:rFonts w:ascii="Times New Roman" w:eastAsia="Calibri" w:hAnsi="Times New Roman" w:cs="Times New Roman"/>
          <w:b/>
          <w:bCs/>
          <w:i/>
          <w:iCs/>
          <w:sz w:val="18"/>
          <w:szCs w:val="18"/>
          <w:lang w:eastAsia="es-CR"/>
        </w:rPr>
      </w:pPr>
    </w:p>
    <w:p w14:paraId="390E37FB" w14:textId="77777777" w:rsidR="00083CA4" w:rsidRPr="002A7673" w:rsidRDefault="00083CA4" w:rsidP="005F7139">
      <w:pPr>
        <w:spacing w:after="0" w:line="276" w:lineRule="auto"/>
        <w:ind w:left="708"/>
        <w:rPr>
          <w:rFonts w:ascii="Times New Roman" w:eastAsia="Calibri" w:hAnsi="Times New Roman" w:cs="Times New Roman"/>
          <w:i/>
          <w:iCs/>
          <w:sz w:val="20"/>
          <w:szCs w:val="20"/>
        </w:rPr>
      </w:pPr>
      <w:r w:rsidRPr="002A7673">
        <w:rPr>
          <w:rFonts w:ascii="Times New Roman" w:eastAsia="Calibri" w:hAnsi="Times New Roman" w:cs="Times New Roman"/>
          <w:i/>
          <w:iCs/>
          <w:sz w:val="20"/>
          <w:szCs w:val="20"/>
        </w:rPr>
        <w:br w:type="textWrapping" w:clear="all"/>
      </w:r>
    </w:p>
    <w:tbl>
      <w:tblPr>
        <w:tblpPr w:leftFromText="141" w:rightFromText="141" w:vertAnchor="text" w:tblpXSpec="right" w:tblpY="1"/>
        <w:tblOverlap w:val="never"/>
        <w:tblW w:w="5000" w:type="pct"/>
        <w:tblCellMar>
          <w:left w:w="0" w:type="dxa"/>
          <w:right w:w="0" w:type="dxa"/>
        </w:tblCellMar>
        <w:tblLook w:val="04A0" w:firstRow="1" w:lastRow="0" w:firstColumn="1" w:lastColumn="0" w:noHBand="0" w:noVBand="1"/>
      </w:tblPr>
      <w:tblGrid>
        <w:gridCol w:w="891"/>
        <w:gridCol w:w="752"/>
        <w:gridCol w:w="962"/>
        <w:gridCol w:w="1613"/>
        <w:gridCol w:w="1252"/>
        <w:gridCol w:w="1022"/>
        <w:gridCol w:w="922"/>
        <w:gridCol w:w="2244"/>
      </w:tblGrid>
      <w:tr w:rsidR="00083CA4" w:rsidRPr="002A7673" w14:paraId="784593A6" w14:textId="77777777" w:rsidTr="005F7139">
        <w:trPr>
          <w:trHeight w:val="765"/>
          <w:tblHeader/>
        </w:trPr>
        <w:tc>
          <w:tcPr>
            <w:tcW w:w="373"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718678B1" w14:textId="77777777" w:rsidR="00083CA4" w:rsidRPr="002A7673" w:rsidRDefault="00083CA4" w:rsidP="005F7139">
            <w:pPr>
              <w:spacing w:after="0" w:line="276" w:lineRule="auto"/>
              <w:jc w:val="center"/>
              <w:rPr>
                <w:rFonts w:ascii="Times New Roman" w:eastAsia="Calibri" w:hAnsi="Times New Roman" w:cs="Times New Roman"/>
                <w:b/>
                <w:bCs/>
                <w:i/>
                <w:iCs/>
                <w:color w:val="000000"/>
                <w:sz w:val="26"/>
                <w:szCs w:val="26"/>
                <w:lang w:eastAsia="es-CR"/>
              </w:rPr>
            </w:pPr>
            <w:r w:rsidRPr="002A7673">
              <w:rPr>
                <w:rFonts w:ascii="Times New Roman" w:eastAsia="Calibri" w:hAnsi="Times New Roman" w:cs="Times New Roman"/>
                <w:b/>
                <w:bCs/>
                <w:i/>
                <w:iCs/>
                <w:color w:val="000000"/>
                <w:sz w:val="26"/>
                <w:szCs w:val="26"/>
                <w:lang w:eastAsia="es-CR"/>
              </w:rPr>
              <w:t>ID. Programa</w:t>
            </w:r>
          </w:p>
        </w:tc>
        <w:tc>
          <w:tcPr>
            <w:tcW w:w="31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4ED101CE" w14:textId="77777777" w:rsidR="00083CA4" w:rsidRPr="002A7673" w:rsidRDefault="00083CA4" w:rsidP="005F7139">
            <w:pPr>
              <w:spacing w:after="0" w:line="276" w:lineRule="auto"/>
              <w:jc w:val="center"/>
              <w:rPr>
                <w:rFonts w:ascii="Times New Roman" w:eastAsia="Calibri" w:hAnsi="Times New Roman" w:cs="Times New Roman"/>
                <w:b/>
                <w:bCs/>
                <w:i/>
                <w:iCs/>
                <w:color w:val="000000"/>
                <w:sz w:val="26"/>
                <w:szCs w:val="26"/>
                <w:lang w:eastAsia="es-CR"/>
              </w:rPr>
            </w:pPr>
            <w:r w:rsidRPr="002A7673">
              <w:rPr>
                <w:rFonts w:ascii="Times New Roman" w:eastAsia="Calibri" w:hAnsi="Times New Roman" w:cs="Times New Roman"/>
                <w:b/>
                <w:bCs/>
                <w:i/>
                <w:iCs/>
                <w:color w:val="000000"/>
                <w:sz w:val="26"/>
                <w:szCs w:val="26"/>
                <w:lang w:eastAsia="es-CR"/>
              </w:rPr>
              <w:t>ID. Artículo</w:t>
            </w:r>
          </w:p>
        </w:tc>
        <w:tc>
          <w:tcPr>
            <w:tcW w:w="411"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433F1E11" w14:textId="77777777" w:rsidR="00083CA4" w:rsidRPr="002A7673" w:rsidRDefault="00083CA4" w:rsidP="005F7139">
            <w:pPr>
              <w:spacing w:after="0" w:line="276" w:lineRule="auto"/>
              <w:jc w:val="center"/>
              <w:rPr>
                <w:rFonts w:ascii="Times New Roman" w:eastAsia="Calibri" w:hAnsi="Times New Roman" w:cs="Times New Roman"/>
                <w:b/>
                <w:bCs/>
                <w:i/>
                <w:iCs/>
                <w:color w:val="000000"/>
                <w:sz w:val="26"/>
                <w:szCs w:val="26"/>
                <w:lang w:eastAsia="es-CR"/>
              </w:rPr>
            </w:pPr>
            <w:r w:rsidRPr="002A7673">
              <w:rPr>
                <w:rFonts w:ascii="Times New Roman" w:eastAsia="Calibri" w:hAnsi="Times New Roman" w:cs="Times New Roman"/>
                <w:b/>
                <w:bCs/>
                <w:i/>
                <w:iCs/>
                <w:color w:val="000000"/>
                <w:sz w:val="26"/>
                <w:szCs w:val="26"/>
                <w:lang w:eastAsia="es-CR"/>
              </w:rPr>
              <w:t>Subpartida</w:t>
            </w:r>
          </w:p>
        </w:tc>
        <w:tc>
          <w:tcPr>
            <w:tcW w:w="65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67715108" w14:textId="77777777" w:rsidR="00083CA4" w:rsidRPr="002A7673" w:rsidRDefault="00083CA4" w:rsidP="005F7139">
            <w:pPr>
              <w:spacing w:after="0" w:line="276" w:lineRule="auto"/>
              <w:jc w:val="center"/>
              <w:rPr>
                <w:rFonts w:ascii="Times New Roman" w:eastAsia="Calibri" w:hAnsi="Times New Roman" w:cs="Times New Roman"/>
                <w:b/>
                <w:bCs/>
                <w:i/>
                <w:iCs/>
                <w:color w:val="000000"/>
                <w:sz w:val="26"/>
                <w:szCs w:val="26"/>
                <w:lang w:eastAsia="es-CR"/>
              </w:rPr>
            </w:pPr>
            <w:r w:rsidRPr="002A7673">
              <w:rPr>
                <w:rFonts w:ascii="Times New Roman" w:eastAsia="Calibri" w:hAnsi="Times New Roman" w:cs="Times New Roman"/>
                <w:b/>
                <w:bCs/>
                <w:i/>
                <w:iCs/>
                <w:color w:val="000000"/>
                <w:sz w:val="26"/>
                <w:szCs w:val="26"/>
                <w:lang w:eastAsia="es-CR"/>
              </w:rPr>
              <w:t>Oficina Judicial</w:t>
            </w:r>
          </w:p>
        </w:tc>
        <w:tc>
          <w:tcPr>
            <w:tcW w:w="577"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013E9E77" w14:textId="77777777" w:rsidR="00083CA4" w:rsidRPr="002A7673" w:rsidRDefault="00083CA4" w:rsidP="005F7139">
            <w:pPr>
              <w:spacing w:after="0" w:line="276" w:lineRule="auto"/>
              <w:jc w:val="center"/>
              <w:rPr>
                <w:rFonts w:ascii="Times New Roman" w:eastAsia="Calibri" w:hAnsi="Times New Roman" w:cs="Times New Roman"/>
                <w:b/>
                <w:bCs/>
                <w:i/>
                <w:iCs/>
                <w:color w:val="000000"/>
                <w:sz w:val="26"/>
                <w:szCs w:val="26"/>
                <w:lang w:eastAsia="es-CR"/>
              </w:rPr>
            </w:pPr>
            <w:r w:rsidRPr="002A7673">
              <w:rPr>
                <w:rFonts w:ascii="Times New Roman" w:eastAsia="Calibri" w:hAnsi="Times New Roman" w:cs="Times New Roman"/>
                <w:b/>
                <w:bCs/>
                <w:i/>
                <w:iCs/>
                <w:color w:val="000000"/>
                <w:sz w:val="26"/>
                <w:szCs w:val="26"/>
                <w:lang w:eastAsia="es-CR"/>
              </w:rPr>
              <w:t>Centro Responsable</w:t>
            </w:r>
          </w:p>
        </w:tc>
        <w:tc>
          <w:tcPr>
            <w:tcW w:w="594" w:type="pct"/>
            <w:tcBorders>
              <w:top w:val="single" w:sz="4" w:space="0" w:color="auto"/>
              <w:left w:val="single" w:sz="4" w:space="0" w:color="auto"/>
              <w:bottom w:val="single" w:sz="4" w:space="0" w:color="auto"/>
              <w:right w:val="single" w:sz="4" w:space="0" w:color="auto"/>
            </w:tcBorders>
            <w:shd w:val="clear" w:color="auto" w:fill="FF0000"/>
            <w:tcMar>
              <w:top w:w="0" w:type="dxa"/>
              <w:left w:w="70" w:type="dxa"/>
              <w:bottom w:w="0" w:type="dxa"/>
              <w:right w:w="70" w:type="dxa"/>
            </w:tcMar>
            <w:vAlign w:val="center"/>
            <w:hideMark/>
          </w:tcPr>
          <w:p w14:paraId="5A51E6B0" w14:textId="77777777" w:rsidR="00083CA4" w:rsidRPr="002A7673" w:rsidRDefault="00083CA4" w:rsidP="005F7139">
            <w:pPr>
              <w:spacing w:after="0" w:line="276" w:lineRule="auto"/>
              <w:jc w:val="center"/>
              <w:rPr>
                <w:rFonts w:ascii="Times New Roman" w:eastAsia="Calibri" w:hAnsi="Times New Roman" w:cs="Times New Roman"/>
                <w:b/>
                <w:bCs/>
                <w:i/>
                <w:iCs/>
                <w:color w:val="FFFFFF"/>
                <w:sz w:val="26"/>
                <w:szCs w:val="26"/>
                <w:lang w:eastAsia="es-CR"/>
              </w:rPr>
            </w:pPr>
            <w:proofErr w:type="gramStart"/>
            <w:r w:rsidRPr="002A7673">
              <w:rPr>
                <w:rFonts w:ascii="Times New Roman" w:eastAsia="Calibri" w:hAnsi="Times New Roman" w:cs="Times New Roman"/>
                <w:b/>
                <w:bCs/>
                <w:i/>
                <w:iCs/>
                <w:color w:val="FFFFFF"/>
                <w:sz w:val="26"/>
                <w:szCs w:val="26"/>
                <w:lang w:eastAsia="es-CR"/>
              </w:rPr>
              <w:t>Total</w:t>
            </w:r>
            <w:proofErr w:type="gramEnd"/>
            <w:r w:rsidRPr="002A7673">
              <w:rPr>
                <w:rFonts w:ascii="Times New Roman" w:eastAsia="Calibri" w:hAnsi="Times New Roman" w:cs="Times New Roman"/>
                <w:b/>
                <w:bCs/>
                <w:i/>
                <w:iCs/>
                <w:color w:val="FFFFFF"/>
                <w:sz w:val="26"/>
                <w:szCs w:val="26"/>
                <w:lang w:eastAsia="es-CR"/>
              </w:rPr>
              <w:t xml:space="preserve"> antes de los límites presentados por PLA</w:t>
            </w:r>
          </w:p>
        </w:tc>
        <w:tc>
          <w:tcPr>
            <w:tcW w:w="594" w:type="pct"/>
            <w:tcBorders>
              <w:top w:val="single" w:sz="4" w:space="0" w:color="auto"/>
              <w:left w:val="single" w:sz="4" w:space="0" w:color="auto"/>
              <w:bottom w:val="single" w:sz="4" w:space="0" w:color="auto"/>
              <w:right w:val="single" w:sz="4" w:space="0" w:color="auto"/>
            </w:tcBorders>
            <w:shd w:val="clear" w:color="auto" w:fill="FF0000"/>
            <w:tcMar>
              <w:top w:w="0" w:type="dxa"/>
              <w:left w:w="70" w:type="dxa"/>
              <w:bottom w:w="0" w:type="dxa"/>
              <w:right w:w="70" w:type="dxa"/>
            </w:tcMar>
            <w:vAlign w:val="center"/>
            <w:hideMark/>
          </w:tcPr>
          <w:p w14:paraId="130BD545" w14:textId="77777777" w:rsidR="00083CA4" w:rsidRPr="002A7673" w:rsidRDefault="00083CA4" w:rsidP="005F7139">
            <w:pPr>
              <w:spacing w:after="0" w:line="276" w:lineRule="auto"/>
              <w:jc w:val="center"/>
              <w:rPr>
                <w:rFonts w:ascii="Times New Roman" w:eastAsia="Calibri" w:hAnsi="Times New Roman" w:cs="Times New Roman"/>
                <w:b/>
                <w:bCs/>
                <w:i/>
                <w:iCs/>
                <w:color w:val="FFFFFF"/>
                <w:sz w:val="26"/>
                <w:szCs w:val="26"/>
                <w:lang w:eastAsia="es-CR"/>
              </w:rPr>
            </w:pPr>
            <w:proofErr w:type="gramStart"/>
            <w:r w:rsidRPr="002A7673">
              <w:rPr>
                <w:rFonts w:ascii="Times New Roman" w:eastAsia="Calibri" w:hAnsi="Times New Roman" w:cs="Times New Roman"/>
                <w:b/>
                <w:bCs/>
                <w:i/>
                <w:iCs/>
                <w:color w:val="FFFFFF"/>
                <w:sz w:val="26"/>
                <w:szCs w:val="26"/>
                <w:lang w:eastAsia="es-CR"/>
              </w:rPr>
              <w:t>Total</w:t>
            </w:r>
            <w:proofErr w:type="gramEnd"/>
            <w:r w:rsidRPr="002A7673">
              <w:rPr>
                <w:rFonts w:ascii="Times New Roman" w:eastAsia="Calibri" w:hAnsi="Times New Roman" w:cs="Times New Roman"/>
                <w:b/>
                <w:bCs/>
                <w:i/>
                <w:iCs/>
                <w:color w:val="FFFFFF"/>
                <w:sz w:val="26"/>
                <w:szCs w:val="26"/>
                <w:lang w:eastAsia="es-CR"/>
              </w:rPr>
              <w:t xml:space="preserve"> con ajustes solicitados por PLA</w:t>
            </w:r>
          </w:p>
        </w:tc>
        <w:tc>
          <w:tcPr>
            <w:tcW w:w="1485" w:type="pc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48016326" w14:textId="77777777" w:rsidR="00083CA4" w:rsidRPr="002A7673" w:rsidRDefault="00083CA4" w:rsidP="005F7139">
            <w:pPr>
              <w:spacing w:after="0" w:line="276" w:lineRule="auto"/>
              <w:jc w:val="center"/>
              <w:rPr>
                <w:rFonts w:ascii="Times New Roman" w:eastAsia="Calibri" w:hAnsi="Times New Roman" w:cs="Times New Roman"/>
                <w:b/>
                <w:bCs/>
                <w:i/>
                <w:iCs/>
                <w:color w:val="000000"/>
                <w:sz w:val="26"/>
                <w:szCs w:val="26"/>
                <w:lang w:eastAsia="es-CR"/>
              </w:rPr>
            </w:pPr>
            <w:r w:rsidRPr="002A7673">
              <w:rPr>
                <w:rFonts w:ascii="Times New Roman" w:eastAsia="Calibri" w:hAnsi="Times New Roman" w:cs="Times New Roman"/>
                <w:b/>
                <w:bCs/>
                <w:i/>
                <w:iCs/>
                <w:color w:val="000000"/>
                <w:sz w:val="26"/>
                <w:szCs w:val="26"/>
                <w:lang w:eastAsia="es-CR"/>
              </w:rPr>
              <w:t>Justificación</w:t>
            </w:r>
          </w:p>
        </w:tc>
      </w:tr>
      <w:tr w:rsidR="00083CA4" w:rsidRPr="002A7673" w14:paraId="1066D6AF" w14:textId="77777777" w:rsidTr="005F7139">
        <w:trPr>
          <w:trHeight w:val="735"/>
        </w:trPr>
        <w:tc>
          <w:tcPr>
            <w:tcW w:w="5000" w:type="pct"/>
            <w:gridSpan w:val="8"/>
            <w:tcBorders>
              <w:top w:val="single" w:sz="4"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03E4842" w14:textId="77777777" w:rsidR="00083CA4" w:rsidRPr="002A7673" w:rsidRDefault="00083CA4" w:rsidP="005F7139">
            <w:pPr>
              <w:spacing w:after="0" w:line="276" w:lineRule="auto"/>
              <w:jc w:val="both"/>
              <w:rPr>
                <w:rFonts w:ascii="Times New Roman" w:eastAsia="Calibri" w:hAnsi="Times New Roman" w:cs="Times New Roman"/>
                <w:b/>
                <w:bCs/>
                <w:i/>
                <w:iCs/>
                <w:sz w:val="26"/>
                <w:szCs w:val="26"/>
                <w:lang w:eastAsia="es-CR"/>
              </w:rPr>
            </w:pPr>
            <w:r w:rsidRPr="002A7673">
              <w:rPr>
                <w:rFonts w:ascii="Times New Roman" w:eastAsia="Calibri" w:hAnsi="Times New Roman" w:cs="Times New Roman"/>
                <w:b/>
                <w:bCs/>
                <w:i/>
                <w:iCs/>
                <w:sz w:val="26"/>
                <w:szCs w:val="26"/>
                <w:lang w:eastAsia="es-CR"/>
              </w:rPr>
              <w:t>Programa 926: Dirección, Administración y Otros Órganos de Apoyo</w:t>
            </w:r>
          </w:p>
        </w:tc>
      </w:tr>
      <w:tr w:rsidR="00083CA4" w:rsidRPr="002A7673" w14:paraId="431C4BB2" w14:textId="77777777" w:rsidTr="005F7139">
        <w:trPr>
          <w:trHeight w:val="2550"/>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446AEB8"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6A9BD0F"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17691</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8C6B7BA"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50201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A8314CA"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III CIRCUITO JUDICIAL ALAJUELA (SAN RAMON)</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1C16864"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Tercer Circuito Judicial Alajuela</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33CEAA75"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₡3 271 315 772</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1A6E1416"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₡2 097 576 345</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C0551B5"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xml:space="preserve">Construcción Nueva Torre Anexa Tribunales de Justicia de San Ramón. Proyecto Plurianual Dada la necesidad urgente de trasladar todos los despachos para unificar el servicio a la justicia y mejorar las condiciones a los usuarios, se cuenta con espacio para poder ampliar el edificio y deja de </w:t>
            </w:r>
            <w:r w:rsidRPr="002A7673">
              <w:rPr>
                <w:rFonts w:ascii="Times New Roman" w:eastAsia="Calibri" w:hAnsi="Times New Roman" w:cs="Times New Roman"/>
                <w:i/>
                <w:iCs/>
                <w:color w:val="000000"/>
                <w:sz w:val="26"/>
                <w:szCs w:val="26"/>
                <w:lang w:eastAsia="es-CR"/>
              </w:rPr>
              <w:lastRenderedPageBreak/>
              <w:t>alquilar todos los edificios arrendados. Asimismo, se corregirán problemas de aguas negras que por años han dado problemas ya que amerita la colocación de una planta de tratamiento. Se prevé dejar un piso completo como crecimiento</w:t>
            </w:r>
          </w:p>
        </w:tc>
      </w:tr>
      <w:tr w:rsidR="00083CA4" w:rsidRPr="002A7673" w14:paraId="3C7F3E80" w14:textId="77777777" w:rsidTr="005F7139">
        <w:trPr>
          <w:trHeight w:val="3825"/>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F90B552"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D88D378"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17691</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52583C6"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50201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B3D3352"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TURRIALBA</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5E6BC50"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Administración de Turrialba</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1FD315B7"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₡555 070 544</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7FF4E059"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₡557 504 185</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04FB27C"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xml:space="preserve">Construcción III Nivel Tribunales de Justicia de Turrialba.    Proyecto que se diseñó por parte del Departamento de Servicios Generales como atención de la matriz 2021; a la fecha de hoy se están tramitando los permisos de construcción en el CFIA y a la espera de los recursos económicos en la aprobación del </w:t>
            </w:r>
            <w:r w:rsidRPr="002A7673">
              <w:rPr>
                <w:rFonts w:ascii="Times New Roman" w:eastAsia="Calibri" w:hAnsi="Times New Roman" w:cs="Times New Roman"/>
                <w:i/>
                <w:iCs/>
                <w:color w:val="000000"/>
                <w:sz w:val="26"/>
                <w:szCs w:val="26"/>
                <w:lang w:eastAsia="es-CR"/>
              </w:rPr>
              <w:lastRenderedPageBreak/>
              <w:t xml:space="preserve">presupuesto parte de la Asamblea Legislativa. Técnicamente cuenta con el aval, con el fin de dejar de alquilar el edificio arrendado con la Reforma Civil / Laboral dejando el edificio con crecimiento a futuro aprovechando la configuración que en su diseño inicial había dejado como prevista un tercer nivel con lo estructural, mecánico y eléctrico colocando al edificio en una condición de uso y que no se pierda este esfuerzo ante posibles cambios  </w:t>
            </w:r>
          </w:p>
        </w:tc>
      </w:tr>
      <w:tr w:rsidR="00083CA4" w:rsidRPr="002A7673" w14:paraId="62A1702C" w14:textId="77777777" w:rsidTr="005F7139">
        <w:trPr>
          <w:trHeight w:val="1275"/>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88D8D49"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9723316"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19545</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D1EBFB6"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10801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FAD9875"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I CIRCUITO JUDICIAL ZONA SUR</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1BEBD8F"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Primer Circuito Judicial Zona Sur</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4D7AF6EF"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₡37 308 235</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015FFC74"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₡75 308 235</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A64A882"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xml:space="preserve">Sustitución del cielorraso del cuatro piso de los Tribunales de Justicia de Pérez Zeledón.  El proyecto se </w:t>
            </w:r>
            <w:r w:rsidRPr="002A7673">
              <w:rPr>
                <w:rFonts w:ascii="Times New Roman" w:eastAsia="Calibri" w:hAnsi="Times New Roman" w:cs="Times New Roman"/>
                <w:i/>
                <w:iCs/>
                <w:color w:val="000000"/>
                <w:sz w:val="26"/>
                <w:szCs w:val="26"/>
                <w:lang w:eastAsia="es-CR"/>
              </w:rPr>
              <w:lastRenderedPageBreak/>
              <w:t xml:space="preserve">ejecutará por etapas, dando inicio en el cuarto piso. Se requiere la sustitución a razón del mal estado </w:t>
            </w:r>
            <w:proofErr w:type="gramStart"/>
            <w:r w:rsidRPr="002A7673">
              <w:rPr>
                <w:rFonts w:ascii="Times New Roman" w:eastAsia="Calibri" w:hAnsi="Times New Roman" w:cs="Times New Roman"/>
                <w:i/>
                <w:iCs/>
                <w:color w:val="000000"/>
                <w:sz w:val="26"/>
                <w:szCs w:val="26"/>
                <w:lang w:eastAsia="es-CR"/>
              </w:rPr>
              <w:t>del mismo</w:t>
            </w:r>
            <w:proofErr w:type="gramEnd"/>
            <w:r w:rsidRPr="002A7673">
              <w:rPr>
                <w:rFonts w:ascii="Times New Roman" w:eastAsia="Calibri" w:hAnsi="Times New Roman" w:cs="Times New Roman"/>
                <w:i/>
                <w:iCs/>
                <w:color w:val="000000"/>
                <w:sz w:val="26"/>
                <w:szCs w:val="26"/>
                <w:lang w:eastAsia="es-CR"/>
              </w:rPr>
              <w:t xml:space="preserve"> por el tiempo y producto de goteras.</w:t>
            </w:r>
          </w:p>
        </w:tc>
      </w:tr>
      <w:tr w:rsidR="00083CA4" w:rsidRPr="002A7673" w14:paraId="031BE247" w14:textId="77777777" w:rsidTr="005F7139">
        <w:trPr>
          <w:trHeight w:val="2295"/>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6593155"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6C6728F"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19908</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62581EA"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50201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7F596B1"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II CIRCUITO JUDICIAL ALAJUELA</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3A2F657"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Segundo Circuito Judicial Alajuela</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2DD152FB"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₡22 826 813</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526925D3"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₡23 771 250</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6DCE3CC"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xml:space="preserve">INSPECCIÓN REACONDICIONAMIENTO SISTEMA ELÉCTRICO EDIFICIO TRIBUNALES DE JUSTICIA DE SAN CARLOS. LA INSPECCIÓN ES LA ACTIVIDAD EFECTUADA POR PARTE DEL DISEÑADOR EN EL MOMENTO QUE INICIA EL REACONDICIONAMIENTO ELÉCTRICO DEL EDIFICIO DE LOS TRIBUNALES DE SAN CARLOS, POR LO TANTO, SE REQUIERE LA SUPERVISIÓN DE LO QUE FUE </w:t>
            </w:r>
            <w:r w:rsidRPr="002A7673">
              <w:rPr>
                <w:rFonts w:ascii="Times New Roman" w:eastAsia="Calibri" w:hAnsi="Times New Roman" w:cs="Times New Roman"/>
                <w:i/>
                <w:iCs/>
                <w:color w:val="000000"/>
                <w:sz w:val="26"/>
                <w:szCs w:val="26"/>
                <w:lang w:eastAsia="es-CR"/>
              </w:rPr>
              <w:lastRenderedPageBreak/>
              <w:t xml:space="preserve">PLANEADO EJECUTAR PARA ESTE PERIODO. </w:t>
            </w:r>
          </w:p>
        </w:tc>
      </w:tr>
      <w:tr w:rsidR="00083CA4" w:rsidRPr="002A7673" w14:paraId="2A55AC78" w14:textId="77777777" w:rsidTr="005F7139">
        <w:trPr>
          <w:trHeight w:val="2040"/>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FC4771D"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F1A6BA8"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19908</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3A0C787"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50201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A13420F"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III CIRCUITO JUDICIAL ALAJUELA (SAN RAMON)</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FDA263E"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Tercer Circuito Judicial Alajuela</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4EFA0ED6"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₡105 988 159</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6A17FA50"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₡62 927 290</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4EAAF59"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Inspección Construcción Nueva Torre Anexa Tribunales de Justicia de San Ramón. Es un proyecto plurianual. Esta inspección es la actividad efectuada por parte del diseñador en el momento que inicia la construcción de la Nueva Torre Anexa Tribunales de Justicia de San Ramón, por lo tanto, se requiere la supervisión de lo que fue planeado construir para este periodo.</w:t>
            </w:r>
          </w:p>
        </w:tc>
      </w:tr>
      <w:tr w:rsidR="00083CA4" w:rsidRPr="002A7673" w14:paraId="67EA0D50" w14:textId="77777777" w:rsidTr="005F7139">
        <w:trPr>
          <w:trHeight w:val="2040"/>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3C647D8"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8BEF18C"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19908</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0457E06"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50201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50070D0"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III CIRCUITO JUDICIAL ALAJUELA (SAN RAMON)</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CF4C417"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Tercer Circuito Judicial Alajuela</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451368D1"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₡19 546 313</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14A8F830"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₡6 515 438</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146103F"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xml:space="preserve">Inspección Reacondicionamiento Eléctrico Edificio Existente Tribunales de Justicia de San </w:t>
            </w:r>
            <w:proofErr w:type="gramStart"/>
            <w:r w:rsidRPr="002A7673">
              <w:rPr>
                <w:rFonts w:ascii="Times New Roman" w:eastAsia="Calibri" w:hAnsi="Times New Roman" w:cs="Times New Roman"/>
                <w:i/>
                <w:iCs/>
                <w:color w:val="000000"/>
                <w:sz w:val="26"/>
                <w:szCs w:val="26"/>
                <w:lang w:eastAsia="es-CR"/>
              </w:rPr>
              <w:t>Ramón .</w:t>
            </w:r>
            <w:proofErr w:type="gramEnd"/>
            <w:r w:rsidRPr="002A7673">
              <w:rPr>
                <w:rFonts w:ascii="Times New Roman" w:eastAsia="Calibri" w:hAnsi="Times New Roman" w:cs="Times New Roman"/>
                <w:i/>
                <w:iCs/>
                <w:color w:val="000000"/>
                <w:sz w:val="26"/>
                <w:szCs w:val="26"/>
                <w:lang w:eastAsia="es-CR"/>
              </w:rPr>
              <w:t xml:space="preserve"> Es un proyecto plurianual. La inspección es la actividad efectuada por parte del diseñador en el momento que inicia el reacondicionamiento eléctrico del Edificio Existente en los Tribunales de Justicia de San Ramón, por lo tanto, se requiere la supervisión de lo que fue planeado ejecutar para este periodo</w:t>
            </w:r>
          </w:p>
        </w:tc>
      </w:tr>
      <w:tr w:rsidR="00083CA4" w:rsidRPr="002A7673" w14:paraId="7419D865" w14:textId="77777777" w:rsidTr="005F7139">
        <w:trPr>
          <w:trHeight w:val="4845"/>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90D9A65"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9E8D07C"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19908</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392FCF0"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50201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8FE5F80"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CIUDAD JUDICIAL SAN JOAQUIN DE FLORES</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1A282F3"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Administración Ciudad Judicial San Joaquín de Flores</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128668C4"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₡10 624 770</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496DDB6E"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₡0</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687D598"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Inspección Nuevo Sistema de Detección Incendio en Bodegas de San Joaquín de Flores. La inspección es la actividad efectuada por parte del diseñador en el momento que inicia la ejecución del Sistema de Detección Incendio en las Bodegas de San Joaquín de Flores, por lo tanto, se requiere la supervisión de lo que fue planeado ejecutar para este periodo.</w:t>
            </w:r>
          </w:p>
        </w:tc>
      </w:tr>
      <w:tr w:rsidR="00083CA4" w:rsidRPr="002A7673" w14:paraId="6BF4E968" w14:textId="77777777" w:rsidTr="005F7139">
        <w:trPr>
          <w:trHeight w:val="3060"/>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E8F9307"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5084299"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21887</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8EF8CE6"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50201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8FD1891"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HEREDIA</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0A43150"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Circuito Judicial Heredia</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6604C491"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₡221 130 000</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5FF5EE47"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₡106 470 000</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8C30071"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xml:space="preserve">Sistema supresión de incendios Edificio Tribunales Heredia.  Proyecto Plurianual.  El proyecto se justifica en el tanto ya el edificio se reacondicionó eléctricamente y ahora requiere mantiene un sistema activo de supresión </w:t>
            </w:r>
            <w:r w:rsidRPr="002A7673">
              <w:rPr>
                <w:rFonts w:ascii="Times New Roman" w:eastAsia="Calibri" w:hAnsi="Times New Roman" w:cs="Times New Roman"/>
                <w:i/>
                <w:iCs/>
                <w:color w:val="000000"/>
                <w:sz w:val="26"/>
                <w:szCs w:val="26"/>
                <w:lang w:eastAsia="es-CR"/>
              </w:rPr>
              <w:lastRenderedPageBreak/>
              <w:t>de incendio, con el fin de disminuir el riesgo que implica el no tener la edificación con un sistema que cumpla y en donde el hacinamiento del personal y la afluencia de público empeoran la situación. Se completaría una proyección de trabajo ya que el edificio se encuentra actualizado y con esto estaría al día con lo solicitado por la legislación nacional del tema de incendios</w:t>
            </w:r>
          </w:p>
        </w:tc>
      </w:tr>
      <w:tr w:rsidR="00083CA4" w:rsidRPr="002A7673" w14:paraId="0165DC6D" w14:textId="77777777" w:rsidTr="005F7139">
        <w:trPr>
          <w:trHeight w:val="570"/>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DAB2C73"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AD50063"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22727</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787C89D0"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10801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CBFE513"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CIUDAD JUDICIAL SAN JOAQUIN DE FLORES</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8C3F520"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Administración Ciudad Judicial San Joaquín de Flores</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209FA3B2"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₡60 413 763</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275799B0"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₡89 958 665</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6AFCD5A"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Pintura externa y reparación de cubierta por goteras, exclusivamente para el gimnasio.</w:t>
            </w:r>
          </w:p>
        </w:tc>
      </w:tr>
      <w:tr w:rsidR="00083CA4" w:rsidRPr="002A7673" w14:paraId="09C53BFA" w14:textId="77777777" w:rsidTr="005F7139">
        <w:trPr>
          <w:trHeight w:val="2805"/>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BC5F633"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482C9A3"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22922</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87E3F9E"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50201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E5B5C3A"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II CIRCUITO JUDICIAL ALAJUELA</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51EDF004"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Segundo Circuito Judicial Alajuela</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301DA637"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₡507 262 500</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7C7E60DF"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₡528 423 803</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7574380"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xml:space="preserve">Reacondicionamiento Eléctrico Edificio de Tribunales San Carlos. Técnicamente se considera el edificio está colapsado en su estructura eléctrica, se busca la disminución del riesgo y el mejoramiento en el sistema y cumplimiento del código eléctrico. El edificio ha incrementado su uso de espacios como la incorporación de la Nueva morgue por lo cual es de urgencia la actualización de sistemas de detección y supresión de incendios, así como el cambio de las instalaciones eléctricas en la mayoría de los casos obsoletas, el </w:t>
            </w:r>
            <w:r w:rsidRPr="002A7673">
              <w:rPr>
                <w:rFonts w:ascii="Times New Roman" w:eastAsia="Calibri" w:hAnsi="Times New Roman" w:cs="Times New Roman"/>
                <w:i/>
                <w:iCs/>
                <w:color w:val="000000"/>
                <w:sz w:val="26"/>
                <w:szCs w:val="26"/>
                <w:lang w:eastAsia="es-CR"/>
              </w:rPr>
              <w:lastRenderedPageBreak/>
              <w:t>proyecto lo solventaría.</w:t>
            </w:r>
          </w:p>
        </w:tc>
      </w:tr>
      <w:tr w:rsidR="00083CA4" w:rsidRPr="002A7673" w14:paraId="7AED29C9" w14:textId="77777777" w:rsidTr="005F7139">
        <w:trPr>
          <w:trHeight w:val="2295"/>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E9A9B51"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C4566CA"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22922</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D8530AB"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50201</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9A8EF6F"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III CIRCUITO JUDICIAL ALAJUELA (SAN RAMON)</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30F62A99"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Tercer Circuito Judicial Alajuela</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6ECD0F0A"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₡434 362 500</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4BC6DC35"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₡144 787 500</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6FAB48C"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xml:space="preserve">Reacondicionamiento Eléctrico Edificio Existente Tribunales de Justicia de San </w:t>
            </w:r>
            <w:proofErr w:type="gramStart"/>
            <w:r w:rsidRPr="002A7673">
              <w:rPr>
                <w:rFonts w:ascii="Times New Roman" w:eastAsia="Calibri" w:hAnsi="Times New Roman" w:cs="Times New Roman"/>
                <w:i/>
                <w:iCs/>
                <w:color w:val="000000"/>
                <w:sz w:val="26"/>
                <w:szCs w:val="26"/>
                <w:lang w:eastAsia="es-CR"/>
              </w:rPr>
              <w:t>Ramón .</w:t>
            </w:r>
            <w:proofErr w:type="gramEnd"/>
            <w:r w:rsidRPr="002A7673">
              <w:rPr>
                <w:rFonts w:ascii="Times New Roman" w:eastAsia="Calibri" w:hAnsi="Times New Roman" w:cs="Times New Roman"/>
                <w:i/>
                <w:iCs/>
                <w:color w:val="000000"/>
                <w:sz w:val="26"/>
                <w:szCs w:val="26"/>
                <w:lang w:eastAsia="es-CR"/>
              </w:rPr>
              <w:t xml:space="preserve"> Proyecto plurianual. Con el reacondicionamiento eléctrico se pone a punto el edificio existente con los circuitos de iluminación, tomacorrientes, acometidas y sistemas al tener que compartirlos con la nueva edificación por lo que adquiere una economía al unificar las dos soluciones y a su vez queda en cumplimiento de los </w:t>
            </w:r>
            <w:r w:rsidRPr="002A7673">
              <w:rPr>
                <w:rFonts w:ascii="Times New Roman" w:eastAsia="Calibri" w:hAnsi="Times New Roman" w:cs="Times New Roman"/>
                <w:i/>
                <w:iCs/>
                <w:color w:val="000000"/>
                <w:sz w:val="26"/>
                <w:szCs w:val="26"/>
                <w:lang w:eastAsia="es-CR"/>
              </w:rPr>
              <w:lastRenderedPageBreak/>
              <w:t>códigos vigentes en estas materias</w:t>
            </w:r>
          </w:p>
        </w:tc>
      </w:tr>
      <w:tr w:rsidR="00083CA4" w:rsidRPr="002A7673" w14:paraId="482316C0" w14:textId="77777777" w:rsidTr="005F7139">
        <w:trPr>
          <w:trHeight w:val="570"/>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768F66F"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lastRenderedPageBreak/>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0C2E841"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23578</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054B6B2"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70107</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6CF17D2A"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DIRECCION EJECUTIVA</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75B9E6F"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Dirección Ejecutiva</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60D9CAA2"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₡500 000 000</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1E3F9F8A"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₡0</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9D84030"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Para atender las necesidades del Fideicomiso del Poder Judicial</w:t>
            </w:r>
          </w:p>
        </w:tc>
      </w:tr>
      <w:tr w:rsidR="00083CA4" w:rsidRPr="002A7673" w14:paraId="2EEC7168" w14:textId="77777777" w:rsidTr="005F7139">
        <w:trPr>
          <w:trHeight w:val="1759"/>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52CAF20"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926</w:t>
            </w:r>
          </w:p>
        </w:tc>
        <w:tc>
          <w:tcPr>
            <w:tcW w:w="3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1E471D44"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24987</w:t>
            </w:r>
          </w:p>
        </w:tc>
        <w:tc>
          <w:tcPr>
            <w:tcW w:w="411"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93A8DD9" w14:textId="77777777" w:rsidR="00083CA4" w:rsidRPr="002A7673" w:rsidRDefault="00083CA4" w:rsidP="005F7139">
            <w:pPr>
              <w:spacing w:after="0" w:line="276" w:lineRule="auto"/>
              <w:jc w:val="center"/>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50199</w:t>
            </w:r>
          </w:p>
        </w:tc>
        <w:tc>
          <w:tcPr>
            <w:tcW w:w="65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466096FF"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ADMINISTRACION REGIONAL SANTA CRUZ</w:t>
            </w:r>
          </w:p>
        </w:tc>
        <w:tc>
          <w:tcPr>
            <w:tcW w:w="577"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028D9453"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Administración de Santa Cruz</w:t>
            </w: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0C7FE5E9"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21A3C024" w14:textId="77777777" w:rsidR="00083CA4" w:rsidRPr="002A7673" w:rsidRDefault="00083CA4" w:rsidP="005F7139">
            <w:pPr>
              <w:spacing w:after="0" w:line="276" w:lineRule="auto"/>
              <w:jc w:val="center"/>
              <w:rPr>
                <w:rFonts w:ascii="Times New Roman" w:eastAsia="Calibri" w:hAnsi="Times New Roman" w:cs="Times New Roman"/>
                <w:b/>
                <w:bCs/>
                <w:i/>
                <w:iCs/>
                <w:color w:val="FF0000"/>
                <w:sz w:val="26"/>
                <w:szCs w:val="26"/>
                <w:lang w:eastAsia="es-CR"/>
              </w:rPr>
            </w:pPr>
            <w:r w:rsidRPr="002A7673">
              <w:rPr>
                <w:rFonts w:ascii="Times New Roman" w:eastAsia="Calibri" w:hAnsi="Times New Roman" w:cs="Times New Roman"/>
                <w:b/>
                <w:bCs/>
                <w:i/>
                <w:iCs/>
                <w:color w:val="FF0000"/>
                <w:sz w:val="26"/>
                <w:szCs w:val="26"/>
                <w:lang w:eastAsia="es-CR"/>
              </w:rPr>
              <w:t>₡150 000 000</w:t>
            </w:r>
          </w:p>
        </w:tc>
        <w:tc>
          <w:tcPr>
            <w:tcW w:w="1485" w:type="pct"/>
            <w:tcBorders>
              <w:top w:val="nil"/>
              <w:left w:val="nil"/>
              <w:bottom w:val="single" w:sz="8" w:space="0" w:color="auto"/>
              <w:right w:val="single" w:sz="8" w:space="0" w:color="auto"/>
            </w:tcBorders>
            <w:tcMar>
              <w:top w:w="0" w:type="dxa"/>
              <w:left w:w="70" w:type="dxa"/>
              <w:bottom w:w="0" w:type="dxa"/>
              <w:right w:w="70" w:type="dxa"/>
            </w:tcMar>
            <w:vAlign w:val="center"/>
            <w:hideMark/>
          </w:tcPr>
          <w:p w14:paraId="220EDACB" w14:textId="77777777" w:rsidR="00083CA4" w:rsidRPr="002A7673" w:rsidRDefault="00083CA4" w:rsidP="005F7139">
            <w:pPr>
              <w:spacing w:after="0" w:line="276" w:lineRule="auto"/>
              <w:jc w:val="both"/>
              <w:rPr>
                <w:rFonts w:ascii="Times New Roman" w:eastAsia="Calibri" w:hAnsi="Times New Roman" w:cs="Times New Roman"/>
                <w:i/>
                <w:iCs/>
                <w:color w:val="000000"/>
                <w:sz w:val="26"/>
                <w:szCs w:val="26"/>
                <w:lang w:eastAsia="es-CR"/>
              </w:rPr>
            </w:pPr>
            <w:r w:rsidRPr="002A7673">
              <w:rPr>
                <w:rFonts w:ascii="Times New Roman" w:eastAsia="Calibri" w:hAnsi="Times New Roman" w:cs="Times New Roman"/>
                <w:i/>
                <w:iCs/>
                <w:color w:val="000000"/>
                <w:sz w:val="26"/>
                <w:szCs w:val="26"/>
                <w:lang w:eastAsia="es-CR"/>
              </w:rPr>
              <w:t xml:space="preserve">Para manejadoras de agua helada - cambio de 60 unidades de equipos de agua helada, los actuales se encuentra obsoletas y en estado malo - regular, ya cumplieron su vida útil, edificio cuenta con un total de 78 equipos que son distribuidos en las diferentes oficinas con un equipo central tipo </w:t>
            </w:r>
            <w:proofErr w:type="spellStart"/>
            <w:r w:rsidRPr="002A7673">
              <w:rPr>
                <w:rFonts w:ascii="Times New Roman" w:eastAsia="Calibri" w:hAnsi="Times New Roman" w:cs="Times New Roman"/>
                <w:i/>
                <w:iCs/>
                <w:color w:val="000000"/>
                <w:sz w:val="26"/>
                <w:szCs w:val="26"/>
                <w:lang w:eastAsia="es-CR"/>
              </w:rPr>
              <w:t>chiller</w:t>
            </w:r>
            <w:proofErr w:type="spellEnd"/>
            <w:r w:rsidRPr="002A7673">
              <w:rPr>
                <w:rFonts w:ascii="Times New Roman" w:eastAsia="Calibri" w:hAnsi="Times New Roman" w:cs="Times New Roman"/>
                <w:i/>
                <w:iCs/>
                <w:color w:val="000000"/>
                <w:sz w:val="26"/>
                <w:szCs w:val="26"/>
                <w:lang w:eastAsia="es-CR"/>
              </w:rPr>
              <w:t>.</w:t>
            </w:r>
          </w:p>
        </w:tc>
      </w:tr>
      <w:tr w:rsidR="00083CA4" w:rsidRPr="002A7673" w14:paraId="27BCC3C7" w14:textId="77777777" w:rsidTr="005F7139">
        <w:trPr>
          <w:trHeight w:val="360"/>
        </w:trPr>
        <w:tc>
          <w:tcPr>
            <w:tcW w:w="373" w:type="pct"/>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3FC761D5" w14:textId="77777777" w:rsidR="00083CA4" w:rsidRPr="002A7673" w:rsidRDefault="00083CA4" w:rsidP="005F7139">
            <w:pPr>
              <w:spacing w:after="0" w:line="276" w:lineRule="auto"/>
              <w:rPr>
                <w:rFonts w:ascii="Times New Roman" w:eastAsia="Calibri" w:hAnsi="Times New Roman" w:cs="Times New Roman"/>
                <w:i/>
                <w:iCs/>
                <w:color w:val="000000"/>
                <w:sz w:val="26"/>
                <w:szCs w:val="26"/>
                <w:lang w:eastAsia="es-CR"/>
              </w:rPr>
            </w:pPr>
          </w:p>
        </w:tc>
        <w:tc>
          <w:tcPr>
            <w:tcW w:w="311" w:type="pct"/>
            <w:tcBorders>
              <w:top w:val="nil"/>
              <w:left w:val="nil"/>
              <w:bottom w:val="single" w:sz="8" w:space="0" w:color="auto"/>
              <w:right w:val="single" w:sz="8" w:space="0" w:color="auto"/>
            </w:tcBorders>
            <w:tcMar>
              <w:top w:w="0" w:type="dxa"/>
              <w:left w:w="70" w:type="dxa"/>
              <w:bottom w:w="0" w:type="dxa"/>
              <w:right w:w="70" w:type="dxa"/>
            </w:tcMar>
            <w:hideMark/>
          </w:tcPr>
          <w:p w14:paraId="5F010FAA" w14:textId="77777777" w:rsidR="00083CA4" w:rsidRPr="002A7673" w:rsidRDefault="00083CA4" w:rsidP="005F7139">
            <w:pPr>
              <w:spacing w:after="0" w:line="276" w:lineRule="auto"/>
              <w:rPr>
                <w:rFonts w:ascii="Times New Roman" w:eastAsia="Calibri" w:hAnsi="Times New Roman" w:cs="Times New Roman"/>
                <w:i/>
                <w:iCs/>
                <w:sz w:val="26"/>
                <w:szCs w:val="26"/>
                <w:lang w:eastAsia="es-CR"/>
              </w:rPr>
            </w:pPr>
          </w:p>
        </w:tc>
        <w:tc>
          <w:tcPr>
            <w:tcW w:w="411" w:type="pct"/>
            <w:tcBorders>
              <w:top w:val="nil"/>
              <w:left w:val="nil"/>
              <w:bottom w:val="single" w:sz="8" w:space="0" w:color="auto"/>
              <w:right w:val="single" w:sz="8" w:space="0" w:color="auto"/>
            </w:tcBorders>
            <w:tcMar>
              <w:top w:w="0" w:type="dxa"/>
              <w:left w:w="70" w:type="dxa"/>
              <w:bottom w:w="0" w:type="dxa"/>
              <w:right w:w="70" w:type="dxa"/>
            </w:tcMar>
            <w:hideMark/>
          </w:tcPr>
          <w:p w14:paraId="46C2E8D7" w14:textId="77777777" w:rsidR="00083CA4" w:rsidRPr="002A7673" w:rsidRDefault="00083CA4" w:rsidP="005F7139">
            <w:pPr>
              <w:spacing w:after="0" w:line="276" w:lineRule="auto"/>
              <w:rPr>
                <w:rFonts w:ascii="Times New Roman" w:eastAsia="Calibri" w:hAnsi="Times New Roman" w:cs="Times New Roman"/>
                <w:i/>
                <w:iCs/>
                <w:sz w:val="26"/>
                <w:szCs w:val="26"/>
                <w:lang w:eastAsia="es-CR"/>
              </w:rPr>
            </w:pPr>
          </w:p>
        </w:tc>
        <w:tc>
          <w:tcPr>
            <w:tcW w:w="655" w:type="pct"/>
            <w:tcBorders>
              <w:top w:val="nil"/>
              <w:left w:val="nil"/>
              <w:bottom w:val="single" w:sz="8" w:space="0" w:color="auto"/>
              <w:right w:val="single" w:sz="8" w:space="0" w:color="auto"/>
            </w:tcBorders>
            <w:tcMar>
              <w:top w:w="0" w:type="dxa"/>
              <w:left w:w="70" w:type="dxa"/>
              <w:bottom w:w="0" w:type="dxa"/>
              <w:right w:w="70" w:type="dxa"/>
            </w:tcMar>
            <w:hideMark/>
          </w:tcPr>
          <w:p w14:paraId="3E6B5227" w14:textId="77777777" w:rsidR="00083CA4" w:rsidRPr="002A7673" w:rsidRDefault="00083CA4" w:rsidP="005F7139">
            <w:pPr>
              <w:spacing w:after="0" w:line="276" w:lineRule="auto"/>
              <w:rPr>
                <w:rFonts w:ascii="Times New Roman" w:eastAsia="Calibri" w:hAnsi="Times New Roman" w:cs="Times New Roman"/>
                <w:i/>
                <w:iCs/>
                <w:sz w:val="26"/>
                <w:szCs w:val="26"/>
                <w:lang w:eastAsia="es-CR"/>
              </w:rPr>
            </w:pPr>
          </w:p>
        </w:tc>
        <w:tc>
          <w:tcPr>
            <w:tcW w:w="577" w:type="pct"/>
            <w:tcBorders>
              <w:top w:val="nil"/>
              <w:left w:val="nil"/>
              <w:bottom w:val="single" w:sz="8" w:space="0" w:color="auto"/>
              <w:right w:val="single" w:sz="8" w:space="0" w:color="auto"/>
            </w:tcBorders>
            <w:tcMar>
              <w:top w:w="0" w:type="dxa"/>
              <w:left w:w="70" w:type="dxa"/>
              <w:bottom w:w="0" w:type="dxa"/>
              <w:right w:w="70" w:type="dxa"/>
            </w:tcMar>
            <w:hideMark/>
          </w:tcPr>
          <w:p w14:paraId="363B7809" w14:textId="77777777" w:rsidR="00083CA4" w:rsidRPr="002A7673" w:rsidRDefault="00083CA4" w:rsidP="005F7139">
            <w:pPr>
              <w:spacing w:after="0" w:line="276" w:lineRule="auto"/>
              <w:jc w:val="both"/>
              <w:rPr>
                <w:rFonts w:ascii="Times New Roman" w:eastAsia="Calibri" w:hAnsi="Times New Roman" w:cs="Times New Roman"/>
                <w:i/>
                <w:iCs/>
                <w:sz w:val="26"/>
                <w:szCs w:val="26"/>
                <w:lang w:eastAsia="es-CR"/>
              </w:rPr>
            </w:pPr>
          </w:p>
        </w:tc>
        <w:tc>
          <w:tcPr>
            <w:tcW w:w="594" w:type="pct"/>
            <w:tcBorders>
              <w:top w:val="nil"/>
              <w:left w:val="nil"/>
              <w:bottom w:val="single" w:sz="8" w:space="0" w:color="auto"/>
              <w:right w:val="single" w:sz="8" w:space="0" w:color="auto"/>
            </w:tcBorders>
            <w:shd w:val="clear" w:color="auto" w:fill="FCE4D6"/>
            <w:tcMar>
              <w:top w:w="0" w:type="dxa"/>
              <w:left w:w="70" w:type="dxa"/>
              <w:bottom w:w="0" w:type="dxa"/>
              <w:right w:w="70" w:type="dxa"/>
            </w:tcMar>
            <w:vAlign w:val="center"/>
            <w:hideMark/>
          </w:tcPr>
          <w:p w14:paraId="2278D141" w14:textId="77777777" w:rsidR="00083CA4" w:rsidRPr="002A7673" w:rsidRDefault="00083CA4" w:rsidP="005F7139">
            <w:pPr>
              <w:spacing w:after="0" w:line="276" w:lineRule="auto"/>
              <w:jc w:val="center"/>
              <w:rPr>
                <w:rFonts w:ascii="Times New Roman" w:eastAsia="Calibri" w:hAnsi="Times New Roman" w:cs="Times New Roman"/>
                <w:b/>
                <w:bCs/>
                <w:i/>
                <w:iCs/>
                <w:color w:val="000000"/>
                <w:sz w:val="26"/>
                <w:szCs w:val="26"/>
                <w:lang w:eastAsia="es-CR"/>
              </w:rPr>
            </w:pPr>
            <w:r w:rsidRPr="002A7673">
              <w:rPr>
                <w:rFonts w:ascii="Times New Roman" w:eastAsia="Calibri" w:hAnsi="Times New Roman" w:cs="Times New Roman"/>
                <w:b/>
                <w:bCs/>
                <w:i/>
                <w:iCs/>
                <w:color w:val="000000"/>
                <w:sz w:val="26"/>
                <w:szCs w:val="26"/>
                <w:lang w:eastAsia="es-CR"/>
              </w:rPr>
              <w:t>₡5 745 849 369</w:t>
            </w:r>
          </w:p>
        </w:tc>
        <w:tc>
          <w:tcPr>
            <w:tcW w:w="594" w:type="pct"/>
            <w:tcBorders>
              <w:top w:val="nil"/>
              <w:left w:val="nil"/>
              <w:bottom w:val="single" w:sz="8" w:space="0" w:color="auto"/>
              <w:right w:val="single" w:sz="8" w:space="0" w:color="auto"/>
            </w:tcBorders>
            <w:shd w:val="clear" w:color="auto" w:fill="D6DCE4"/>
            <w:tcMar>
              <w:top w:w="0" w:type="dxa"/>
              <w:left w:w="70" w:type="dxa"/>
              <w:bottom w:w="0" w:type="dxa"/>
              <w:right w:w="70" w:type="dxa"/>
            </w:tcMar>
            <w:vAlign w:val="center"/>
            <w:hideMark/>
          </w:tcPr>
          <w:p w14:paraId="1000783E" w14:textId="77777777" w:rsidR="00083CA4" w:rsidRPr="002A7673" w:rsidRDefault="00083CA4" w:rsidP="005F7139">
            <w:pPr>
              <w:spacing w:after="0" w:line="276" w:lineRule="auto"/>
              <w:jc w:val="center"/>
              <w:rPr>
                <w:rFonts w:ascii="Times New Roman" w:eastAsia="Calibri" w:hAnsi="Times New Roman" w:cs="Times New Roman"/>
                <w:b/>
                <w:bCs/>
                <w:i/>
                <w:iCs/>
                <w:color w:val="000000"/>
                <w:sz w:val="26"/>
                <w:szCs w:val="26"/>
                <w:lang w:eastAsia="es-CR"/>
              </w:rPr>
            </w:pPr>
            <w:r w:rsidRPr="002A7673">
              <w:rPr>
                <w:rFonts w:ascii="Times New Roman" w:eastAsia="Calibri" w:hAnsi="Times New Roman" w:cs="Times New Roman"/>
                <w:b/>
                <w:bCs/>
                <w:i/>
                <w:iCs/>
                <w:color w:val="000000"/>
                <w:sz w:val="26"/>
                <w:szCs w:val="26"/>
                <w:lang w:eastAsia="es-CR"/>
              </w:rPr>
              <w:t>₡3 843 242 711</w:t>
            </w:r>
          </w:p>
        </w:tc>
        <w:tc>
          <w:tcPr>
            <w:tcW w:w="1485" w:type="pct"/>
            <w:tcBorders>
              <w:top w:val="nil"/>
              <w:left w:val="nil"/>
              <w:bottom w:val="single" w:sz="8" w:space="0" w:color="auto"/>
              <w:right w:val="single" w:sz="8" w:space="0" w:color="auto"/>
            </w:tcBorders>
            <w:tcMar>
              <w:top w:w="0" w:type="dxa"/>
              <w:left w:w="70" w:type="dxa"/>
              <w:bottom w:w="0" w:type="dxa"/>
              <w:right w:w="70" w:type="dxa"/>
            </w:tcMar>
            <w:hideMark/>
          </w:tcPr>
          <w:p w14:paraId="7D119CE4" w14:textId="77777777" w:rsidR="00083CA4" w:rsidRPr="002A7673" w:rsidRDefault="00083CA4" w:rsidP="005F7139">
            <w:pPr>
              <w:spacing w:after="0" w:line="276" w:lineRule="auto"/>
              <w:rPr>
                <w:rFonts w:ascii="Times New Roman" w:eastAsia="Calibri" w:hAnsi="Times New Roman" w:cs="Times New Roman"/>
                <w:b/>
                <w:bCs/>
                <w:i/>
                <w:iCs/>
                <w:color w:val="000000"/>
                <w:sz w:val="26"/>
                <w:szCs w:val="26"/>
                <w:lang w:eastAsia="es-CR"/>
              </w:rPr>
            </w:pPr>
          </w:p>
        </w:tc>
      </w:tr>
    </w:tbl>
    <w:p w14:paraId="0FAF60F8" w14:textId="77777777" w:rsidR="00083CA4" w:rsidRPr="002A7673" w:rsidRDefault="00083CA4" w:rsidP="005F7139">
      <w:pPr>
        <w:spacing w:after="0" w:line="276" w:lineRule="auto"/>
        <w:ind w:left="708"/>
        <w:rPr>
          <w:rFonts w:ascii="Times New Roman" w:eastAsia="Calibri" w:hAnsi="Times New Roman" w:cs="Times New Roman"/>
          <w:i/>
          <w:iCs/>
          <w:sz w:val="20"/>
          <w:szCs w:val="20"/>
        </w:rPr>
      </w:pPr>
    </w:p>
    <w:p w14:paraId="5627BBFF" w14:textId="77777777" w:rsidR="00083CA4" w:rsidRPr="002A7673" w:rsidRDefault="00083CA4" w:rsidP="005F7139">
      <w:pPr>
        <w:spacing w:after="0" w:line="276" w:lineRule="auto"/>
        <w:ind w:left="708"/>
        <w:rPr>
          <w:rFonts w:ascii="Times New Roman" w:eastAsia="Calibri" w:hAnsi="Times New Roman" w:cs="Times New Roman"/>
          <w:i/>
          <w:iCs/>
          <w:sz w:val="20"/>
          <w:szCs w:val="20"/>
        </w:rPr>
      </w:pPr>
    </w:p>
    <w:p w14:paraId="4D63FE6D" w14:textId="77777777" w:rsidR="00083CA4" w:rsidRPr="002A7673" w:rsidRDefault="00083CA4" w:rsidP="005F7139">
      <w:pPr>
        <w:suppressAutoHyphens/>
        <w:spacing w:after="0" w:line="276" w:lineRule="auto"/>
        <w:ind w:left="708"/>
        <w:jc w:val="center"/>
        <w:rPr>
          <w:rFonts w:ascii="Times New Roman" w:eastAsia="Bookman" w:hAnsi="Times New Roman" w:cs="Times New Roman"/>
          <w:b/>
          <w:bCs/>
          <w:i/>
          <w:iCs/>
          <w:lang w:val="es-ES_tradnl" w:eastAsia="es-CR"/>
        </w:rPr>
      </w:pPr>
    </w:p>
    <w:p w14:paraId="10247ECE" w14:textId="77777777" w:rsidR="00083CA4" w:rsidRPr="002A7673" w:rsidRDefault="00083CA4" w:rsidP="005F7139">
      <w:pPr>
        <w:suppressAutoHyphens/>
        <w:spacing w:after="0" w:line="276" w:lineRule="auto"/>
        <w:ind w:left="708"/>
        <w:jc w:val="center"/>
        <w:rPr>
          <w:rFonts w:ascii="Times New Roman" w:eastAsia="Bookman" w:hAnsi="Times New Roman" w:cs="Times New Roman"/>
          <w:b/>
          <w:bCs/>
          <w:i/>
          <w:iCs/>
          <w:lang w:val="es-ES_tradnl" w:eastAsia="es-CR"/>
        </w:rPr>
      </w:pPr>
      <w:r w:rsidRPr="002A7673">
        <w:rPr>
          <w:rFonts w:ascii="Times New Roman" w:eastAsia="Bookman" w:hAnsi="Times New Roman" w:cs="Times New Roman"/>
          <w:b/>
          <w:bCs/>
          <w:i/>
          <w:iCs/>
          <w:lang w:val="es-ES_tradnl" w:eastAsia="es-CR"/>
        </w:rPr>
        <w:t>-0-</w:t>
      </w:r>
    </w:p>
    <w:p w14:paraId="63216B31" w14:textId="77777777" w:rsidR="00083CA4" w:rsidRPr="002A7673" w:rsidRDefault="00083CA4" w:rsidP="005F7139">
      <w:pPr>
        <w:suppressAutoHyphens/>
        <w:spacing w:after="0" w:line="276" w:lineRule="auto"/>
        <w:ind w:left="708"/>
        <w:jc w:val="center"/>
        <w:rPr>
          <w:rFonts w:ascii="Times New Roman" w:eastAsia="Bookman" w:hAnsi="Times New Roman" w:cs="Times New Roman"/>
          <w:b/>
          <w:bCs/>
          <w:i/>
          <w:iCs/>
          <w:lang w:val="es-ES_tradnl" w:eastAsia="es-CR"/>
        </w:rPr>
      </w:pPr>
    </w:p>
    <w:p w14:paraId="141A2626" w14:textId="77777777" w:rsidR="00083CA4" w:rsidRPr="002A7673" w:rsidRDefault="00083CA4" w:rsidP="003774B7">
      <w:pPr>
        <w:autoSpaceDE w:val="0"/>
        <w:spacing w:after="0" w:line="240" w:lineRule="auto"/>
        <w:ind w:left="851" w:right="851" w:firstLine="709"/>
        <w:jc w:val="both"/>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 xml:space="preserve">Oficio </w:t>
      </w:r>
      <w:r w:rsidRPr="002A7673">
        <w:rPr>
          <w:rFonts w:ascii="Times New Roman" w:eastAsia="Bookman" w:hAnsi="Times New Roman" w:cs="Times New Roman"/>
          <w:b/>
          <w:bCs/>
          <w:i/>
          <w:iCs/>
          <w:sz w:val="26"/>
          <w:szCs w:val="26"/>
          <w:lang w:val="es-ES_tradnl" w:eastAsia="es-CR"/>
        </w:rPr>
        <w:t>Nº 608-DE-2021</w:t>
      </w:r>
      <w:proofErr w:type="gramStart"/>
      <w:r w:rsidRPr="002A7673">
        <w:rPr>
          <w:rFonts w:ascii="Times New Roman" w:eastAsia="Bookman" w:hAnsi="Times New Roman" w:cs="Times New Roman"/>
          <w:i/>
          <w:iCs/>
          <w:sz w:val="26"/>
          <w:szCs w:val="26"/>
          <w:lang w:val="es-ES_tradnl" w:eastAsia="es-CR"/>
        </w:rPr>
        <w:t>de  17</w:t>
      </w:r>
      <w:proofErr w:type="gramEnd"/>
      <w:r w:rsidRPr="002A7673">
        <w:rPr>
          <w:rFonts w:ascii="Times New Roman" w:eastAsia="Bookman" w:hAnsi="Times New Roman" w:cs="Times New Roman"/>
          <w:i/>
          <w:iCs/>
          <w:sz w:val="26"/>
          <w:szCs w:val="26"/>
          <w:lang w:val="es-ES_tradnl" w:eastAsia="es-CR"/>
        </w:rPr>
        <w:t xml:space="preserve"> de febrero del 2021 que suscribe la máster Ana Eugenia Romero Jenkins, Directora Ejecutiva: </w:t>
      </w:r>
    </w:p>
    <w:p w14:paraId="4A363022" w14:textId="77777777" w:rsidR="00083CA4" w:rsidRPr="002A7673" w:rsidRDefault="00083CA4" w:rsidP="003774B7">
      <w:pPr>
        <w:autoSpaceDE w:val="0"/>
        <w:spacing w:after="0" w:line="240" w:lineRule="auto"/>
        <w:ind w:left="851" w:right="851" w:firstLine="709"/>
        <w:jc w:val="both"/>
        <w:rPr>
          <w:rFonts w:ascii="Times New Roman" w:eastAsia="Book Antiqua" w:hAnsi="Times New Roman" w:cs="Times New Roman"/>
          <w:i/>
          <w:iCs/>
          <w:sz w:val="26"/>
          <w:szCs w:val="26"/>
        </w:rPr>
      </w:pPr>
    </w:p>
    <w:p w14:paraId="1BE16843"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Licenciado</w:t>
      </w:r>
    </w:p>
    <w:p w14:paraId="31699900"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 xml:space="preserve">Luis Guillermo Rivas </w:t>
      </w:r>
      <w:proofErr w:type="spellStart"/>
      <w:r w:rsidRPr="002A7673">
        <w:rPr>
          <w:rFonts w:ascii="Times New Roman" w:eastAsia="Bookman" w:hAnsi="Times New Roman" w:cs="Times New Roman"/>
          <w:i/>
          <w:iCs/>
          <w:sz w:val="26"/>
          <w:szCs w:val="26"/>
          <w:lang w:val="es-ES_tradnl" w:eastAsia="es-CR"/>
        </w:rPr>
        <w:t>Loáiciga</w:t>
      </w:r>
      <w:proofErr w:type="spellEnd"/>
    </w:p>
    <w:p w14:paraId="3B1F537E"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Magistrado Presidente Comisión de Construcciones</w:t>
      </w:r>
    </w:p>
    <w:p w14:paraId="3BD2CEFB"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Su Despacho</w:t>
      </w:r>
    </w:p>
    <w:p w14:paraId="215B5498"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p>
    <w:p w14:paraId="47C903CA"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Estimado señor:</w:t>
      </w:r>
    </w:p>
    <w:p w14:paraId="05A33B8C"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i/>
          <w:iCs/>
          <w:sz w:val="26"/>
          <w:szCs w:val="26"/>
          <w:lang w:val="es-ES_tradnl" w:eastAsia="es-CR"/>
        </w:rPr>
      </w:pPr>
    </w:p>
    <w:p w14:paraId="62301132"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ab/>
        <w:t xml:space="preserve">En adición al oficio 276-DE-2021 del 27 de enero en curso, en el que se remitió el presupuesto del Área de Construcciones para el ejercicio presupuestario 2022, me permito presentar una modificación solicitada por la Licenciada Carolina Castillo Coordinadora de Unidad del Organismo de Investigación Judicial, mediante correo electrónico del 17 de febrero en curso, que consiste en el traslado de recursos dentro de los proyectos del mismo programa y no varía el monto general indicado inicialmente de ¢2.230.111.706,00. </w:t>
      </w:r>
    </w:p>
    <w:p w14:paraId="691092DD"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p>
    <w:p w14:paraId="3BDF111C"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El ajuste obedece, a que el procedimiento de consultoría de la Morgue Auxiliar y remodelación de la sala de autopsias existente y baños del área de patología, fue necesario atrasarlo dos meses, por lo que para el año 2022 se requiere culminarlo, por su lado el proyecto donde se tomarán los recursos es el de la construcción de los pisos en el “Edificio de Toma Muestras</w:t>
      </w:r>
      <w:proofErr w:type="gramStart"/>
      <w:r w:rsidRPr="002A7673">
        <w:rPr>
          <w:rFonts w:ascii="Times New Roman" w:eastAsia="Bookman" w:hAnsi="Times New Roman" w:cs="Times New Roman"/>
          <w:i/>
          <w:iCs/>
          <w:sz w:val="26"/>
          <w:szCs w:val="26"/>
          <w:lang w:val="es-ES_tradnl" w:eastAsia="es-CR"/>
        </w:rPr>
        <w:t>”,  como</w:t>
      </w:r>
      <w:proofErr w:type="gramEnd"/>
      <w:r w:rsidRPr="002A7673">
        <w:rPr>
          <w:rFonts w:ascii="Times New Roman" w:eastAsia="Bookman" w:hAnsi="Times New Roman" w:cs="Times New Roman"/>
          <w:i/>
          <w:iCs/>
          <w:sz w:val="26"/>
          <w:szCs w:val="26"/>
          <w:lang w:val="es-ES_tradnl" w:eastAsia="es-CR"/>
        </w:rPr>
        <w:t xml:space="preserve"> se muestra en el anexo adjunto. </w:t>
      </w:r>
    </w:p>
    <w:p w14:paraId="77A03D6E"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p>
    <w:p w14:paraId="59619221"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i/>
          <w:iCs/>
          <w:sz w:val="26"/>
          <w:szCs w:val="26"/>
          <w:lang w:val="es-ES_tradnl" w:eastAsia="es-CR"/>
        </w:rPr>
        <w:t>Lo anterior, con el fin de que contar con el aval de la Comisión de Construcciones.</w:t>
      </w:r>
    </w:p>
    <w:p w14:paraId="0F2FEEDB"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p>
    <w:p w14:paraId="3CEB0C7E" w14:textId="77777777" w:rsidR="00083CA4" w:rsidRPr="002A7673" w:rsidRDefault="00083CA4" w:rsidP="003774B7">
      <w:pPr>
        <w:suppressAutoHyphens/>
        <w:spacing w:after="0" w:line="240" w:lineRule="auto"/>
        <w:ind w:left="851" w:right="851" w:firstLine="709"/>
        <w:rPr>
          <w:rFonts w:ascii="Times New Roman" w:eastAsia="Bookman" w:hAnsi="Times New Roman" w:cs="Times New Roman"/>
          <w:b/>
          <w:bCs/>
          <w:i/>
          <w:iCs/>
          <w:sz w:val="26"/>
          <w:szCs w:val="26"/>
          <w:lang w:val="es-ES_tradnl" w:eastAsia="es-CR"/>
        </w:rPr>
      </w:pPr>
    </w:p>
    <w:p w14:paraId="204B1BD0" w14:textId="77777777" w:rsidR="00083CA4" w:rsidRPr="002A7673" w:rsidRDefault="00083CA4" w:rsidP="003774B7">
      <w:pPr>
        <w:suppressAutoHyphens/>
        <w:spacing w:after="0" w:line="240" w:lineRule="auto"/>
        <w:ind w:left="851" w:right="851" w:firstLine="709"/>
        <w:jc w:val="both"/>
        <w:rPr>
          <w:rFonts w:ascii="Times New Roman" w:eastAsia="Bookman" w:hAnsi="Times New Roman" w:cs="Times New Roman"/>
          <w:i/>
          <w:iCs/>
          <w:sz w:val="26"/>
          <w:szCs w:val="26"/>
          <w:lang w:val="es-ES_tradnl" w:eastAsia="es-CR"/>
        </w:rPr>
      </w:pPr>
      <w:r w:rsidRPr="002A7673">
        <w:rPr>
          <w:rFonts w:ascii="Times New Roman" w:eastAsia="Bookman" w:hAnsi="Times New Roman" w:cs="Times New Roman"/>
          <w:b/>
          <w:bCs/>
          <w:i/>
          <w:iCs/>
          <w:sz w:val="26"/>
          <w:szCs w:val="26"/>
          <w:lang w:val="es-ES_tradnl" w:eastAsia="es-CR"/>
        </w:rPr>
        <w:t xml:space="preserve">Se acuerda: 1.) </w:t>
      </w:r>
      <w:r w:rsidRPr="002A7673">
        <w:rPr>
          <w:rFonts w:ascii="Times New Roman" w:eastAsia="Bookman" w:hAnsi="Times New Roman" w:cs="Times New Roman"/>
          <w:i/>
          <w:iCs/>
          <w:sz w:val="26"/>
          <w:szCs w:val="26"/>
          <w:lang w:val="es-ES_tradnl" w:eastAsia="es-CR"/>
        </w:rPr>
        <w:t>Aprobar los ajustes propuestos al presupuesto del Área de Construcciones conforme los oficios</w:t>
      </w:r>
      <w:r w:rsidRPr="002A7673">
        <w:rPr>
          <w:rFonts w:ascii="Times New Roman" w:eastAsia="Bookman" w:hAnsi="Times New Roman" w:cs="Times New Roman"/>
          <w:b/>
          <w:bCs/>
          <w:i/>
          <w:iCs/>
          <w:sz w:val="26"/>
          <w:szCs w:val="26"/>
          <w:lang w:val="es-ES_tradnl" w:eastAsia="es-CR"/>
        </w:rPr>
        <w:t xml:space="preserve"> </w:t>
      </w:r>
      <w:r w:rsidRPr="002A7673">
        <w:rPr>
          <w:rFonts w:ascii="Times New Roman" w:eastAsia="Bookman" w:hAnsi="Times New Roman" w:cs="Times New Roman"/>
          <w:i/>
          <w:iCs/>
          <w:sz w:val="26"/>
          <w:szCs w:val="26"/>
          <w:lang w:val="es-ES_tradnl" w:eastAsia="es-CR"/>
        </w:rPr>
        <w:t xml:space="preserve">N° 276-DE-2021, 597-DE-2021 y 608-DE-2021 en relación con el proyecto de presupuesto 2022 según lo establecido por la Dirección de Planificación. 2.) Mostrar a esa Dirección y al Consejo Superior la preocupación de esta Comisión ya que la disminución sostenida en los recursos para el desarrollo y mantenimiento de la infraestructura conllevará a su deterioro.  </w:t>
      </w:r>
      <w:r w:rsidRPr="002A7673">
        <w:rPr>
          <w:rFonts w:ascii="Times New Roman" w:eastAsia="Bookman" w:hAnsi="Times New Roman" w:cs="Times New Roman"/>
          <w:b/>
          <w:bCs/>
          <w:i/>
          <w:iCs/>
          <w:sz w:val="26"/>
          <w:szCs w:val="26"/>
          <w:lang w:val="es-ES_tradnl" w:eastAsia="es-CR"/>
        </w:rPr>
        <w:t>ACUERDO FIRME.</w:t>
      </w:r>
    </w:p>
    <w:p w14:paraId="7C76AC76" w14:textId="77777777" w:rsidR="00083CA4" w:rsidRPr="002A7673" w:rsidRDefault="00083CA4" w:rsidP="005F7139">
      <w:pPr>
        <w:spacing w:after="0" w:line="276" w:lineRule="auto"/>
        <w:rPr>
          <w:rFonts w:ascii="Times New Roman" w:eastAsia="Calibri" w:hAnsi="Times New Roman" w:cs="Times New Roman"/>
          <w:b/>
          <w:color w:val="000000"/>
          <w:sz w:val="28"/>
          <w:szCs w:val="28"/>
        </w:rPr>
      </w:pPr>
    </w:p>
    <w:p w14:paraId="6FC32A05" w14:textId="77777777" w:rsidR="00083CA4" w:rsidRPr="002A7673" w:rsidRDefault="003774B7" w:rsidP="003774B7">
      <w:pPr>
        <w:spacing w:line="276" w:lineRule="auto"/>
        <w:jc w:val="center"/>
        <w:rPr>
          <w:rFonts w:ascii="Times New Roman" w:eastAsia="Times New Roman" w:hAnsi="Times New Roman" w:cs="Times New Roman"/>
          <w:color w:val="000000"/>
          <w:sz w:val="28"/>
          <w:szCs w:val="28"/>
        </w:rPr>
      </w:pPr>
      <w:r w:rsidRPr="002A7673">
        <w:rPr>
          <w:rFonts w:ascii="Times New Roman" w:eastAsia="Times New Roman" w:hAnsi="Times New Roman" w:cs="Times New Roman"/>
          <w:color w:val="000000"/>
          <w:sz w:val="28"/>
          <w:szCs w:val="28"/>
        </w:rPr>
        <w:lastRenderedPageBreak/>
        <w:t>-</w:t>
      </w:r>
      <w:r w:rsidRPr="002A7673">
        <w:rPr>
          <w:rFonts w:ascii="Times New Roman" w:hAnsi="Times New Roman" w:cs="Times New Roman"/>
          <w:color w:val="000000"/>
          <w:sz w:val="28"/>
          <w:szCs w:val="28"/>
        </w:rPr>
        <w:t xml:space="preserve"> 0 -</w:t>
      </w:r>
    </w:p>
    <w:p w14:paraId="2D2FE519" w14:textId="77777777" w:rsidR="00083CA4" w:rsidRPr="002A7673" w:rsidRDefault="00083CA4" w:rsidP="00C1639B">
      <w:pPr>
        <w:pStyle w:val="Contenidodelatabla"/>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Al respecto, la Licda. Ana Romero explica los alc</w:t>
      </w:r>
      <w:r w:rsidR="00F129A6" w:rsidRPr="002A7673">
        <w:rPr>
          <w:rFonts w:ascii="Times New Roman" w:hAnsi="Times New Roman" w:cs="Times New Roman"/>
          <w:sz w:val="28"/>
          <w:szCs w:val="28"/>
        </w:rPr>
        <w:t>ances de los ajustes realizados: “La observación que tenía, es que más adelante</w:t>
      </w:r>
      <w:r w:rsidRPr="002A7673">
        <w:rPr>
          <w:rFonts w:ascii="Times New Roman" w:hAnsi="Times New Roman" w:cs="Times New Roman"/>
          <w:sz w:val="28"/>
          <w:szCs w:val="28"/>
        </w:rPr>
        <w:t xml:space="preserve"> </w:t>
      </w:r>
      <w:r w:rsidR="00F129A6" w:rsidRPr="002A7673">
        <w:rPr>
          <w:rFonts w:ascii="Times New Roman" w:hAnsi="Times New Roman" w:cs="Times New Roman"/>
          <w:sz w:val="28"/>
          <w:szCs w:val="28"/>
        </w:rPr>
        <w:t>se ve una propuesta de restitución, es principio había puesto la observación de comunicarle a la Comisión, pero más bien sería para verlo y comunicarle lo que se acuerde más adelante.”</w:t>
      </w:r>
    </w:p>
    <w:p w14:paraId="2174BD7C" w14:textId="77777777" w:rsidR="003774B7" w:rsidRPr="002A7673" w:rsidRDefault="00083CA4" w:rsidP="00C1639B">
      <w:pPr>
        <w:pStyle w:val="Contenidodelatabla"/>
        <w:spacing w:line="480" w:lineRule="auto"/>
        <w:jc w:val="both"/>
        <w:rPr>
          <w:rFonts w:ascii="Times New Roman" w:hAnsi="Times New Roman" w:cs="Times New Roman"/>
          <w:sz w:val="28"/>
          <w:szCs w:val="28"/>
        </w:rPr>
      </w:pPr>
      <w:r w:rsidRPr="002A7673">
        <w:rPr>
          <w:rFonts w:ascii="Times New Roman" w:hAnsi="Times New Roman" w:cs="Times New Roman"/>
          <w:b/>
          <w:bCs/>
          <w:sz w:val="28"/>
          <w:szCs w:val="28"/>
        </w:rPr>
        <w:t>Se acordó</w:t>
      </w:r>
      <w:r w:rsidRPr="002A7673">
        <w:rPr>
          <w:rFonts w:ascii="Times New Roman" w:hAnsi="Times New Roman" w:cs="Times New Roman"/>
          <w:sz w:val="28"/>
          <w:szCs w:val="28"/>
        </w:rPr>
        <w:t xml:space="preserve">:  </w:t>
      </w:r>
      <w:r w:rsidRPr="002A7673">
        <w:rPr>
          <w:rFonts w:ascii="Times New Roman" w:hAnsi="Times New Roman" w:cs="Times New Roman"/>
          <w:b/>
          <w:sz w:val="28"/>
          <w:szCs w:val="28"/>
        </w:rPr>
        <w:t>1)</w:t>
      </w:r>
      <w:r w:rsidRPr="002A7673">
        <w:rPr>
          <w:rFonts w:ascii="Times New Roman" w:hAnsi="Times New Roman" w:cs="Times New Roman"/>
          <w:sz w:val="28"/>
          <w:szCs w:val="28"/>
        </w:rPr>
        <w:t xml:space="preserve"> Tomar nota del oficio 39-CC-2021, así como las manifestaciones realizadas por la Máster Ana Eugenia Romero, Directora Ejecutiva.</w:t>
      </w:r>
      <w:r w:rsidR="003774B7" w:rsidRPr="002A7673">
        <w:rPr>
          <w:rFonts w:ascii="Times New Roman" w:hAnsi="Times New Roman" w:cs="Times New Roman"/>
          <w:sz w:val="28"/>
          <w:szCs w:val="28"/>
        </w:rPr>
        <w:t xml:space="preserve"> </w:t>
      </w:r>
    </w:p>
    <w:p w14:paraId="169609E1" w14:textId="2B0D24BB" w:rsidR="00F129A6" w:rsidRPr="002A7673" w:rsidRDefault="00F129A6" w:rsidP="00C1639B">
      <w:pPr>
        <w:pStyle w:val="Contenidodelatabla"/>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highlight w:val="yellow"/>
        </w:rPr>
        <w:t>La máster Dinorah Álvarez Acosta, Subdirectora Ejecutiva, se abstiene de votar.</w:t>
      </w:r>
    </w:p>
    <w:p w14:paraId="62E3D410" w14:textId="77777777" w:rsidR="006F7B77" w:rsidRPr="002A7673" w:rsidRDefault="006F7B77" w:rsidP="006F7B77">
      <w:pPr>
        <w:pStyle w:val="Contenidodelatabla"/>
        <w:spacing w:line="480" w:lineRule="auto"/>
        <w:ind w:firstLine="708"/>
        <w:jc w:val="both"/>
        <w:rPr>
          <w:rFonts w:ascii="Times New Roman" w:hAnsi="Times New Roman" w:cs="Times New Roman"/>
          <w:b/>
          <w:bCs/>
          <w:sz w:val="28"/>
          <w:szCs w:val="28"/>
        </w:rPr>
      </w:pPr>
      <w:r w:rsidRPr="002A7673">
        <w:rPr>
          <w:rFonts w:ascii="Times New Roman" w:hAnsi="Times New Roman" w:cs="Times New Roman"/>
          <w:sz w:val="28"/>
          <w:szCs w:val="28"/>
        </w:rPr>
        <w:t>La Comisión de la Jurisdicción de Construcciones y la Dirección de Planificación, tomará nota para lo que corresponda</w:t>
      </w:r>
      <w:r w:rsidRPr="002A7673">
        <w:rPr>
          <w:rFonts w:ascii="Times New Roman" w:hAnsi="Times New Roman" w:cs="Times New Roman"/>
          <w:b/>
          <w:bCs/>
          <w:sz w:val="28"/>
          <w:szCs w:val="28"/>
        </w:rPr>
        <w:t>. Se declara acuerdo firme.</w:t>
      </w:r>
    </w:p>
    <w:p w14:paraId="153D8B8E" w14:textId="77777777" w:rsidR="00083CA4" w:rsidRPr="002A7673" w:rsidRDefault="00083CA4" w:rsidP="00102DB7">
      <w:pPr>
        <w:pStyle w:val="BodyText22"/>
        <w:rPr>
          <w:rFonts w:ascii="Times New Roman" w:hAnsi="Times New Roman" w:cs="Times New Roman"/>
        </w:rPr>
      </w:pPr>
    </w:p>
    <w:p w14:paraId="4D47A3B1" w14:textId="14EB8E39" w:rsidR="00EF57CF" w:rsidRPr="00CB2D90" w:rsidRDefault="00083CA4" w:rsidP="00CB2D90">
      <w:pPr>
        <w:keepNext/>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V</w:t>
      </w:r>
    </w:p>
    <w:p w14:paraId="626B625A" w14:textId="77777777" w:rsidR="00CB2D90" w:rsidRPr="00CB2D90" w:rsidRDefault="00CB2D90" w:rsidP="005F7139">
      <w:pPr>
        <w:autoSpaceDE w:val="0"/>
        <w:autoSpaceDN w:val="0"/>
        <w:adjustRightInd w:val="0"/>
        <w:spacing w:after="0" w:line="480" w:lineRule="auto"/>
        <w:ind w:firstLine="302"/>
        <w:jc w:val="both"/>
        <w:rPr>
          <w:rFonts w:ascii="Times New Roman" w:eastAsia="Calibri" w:hAnsi="Times New Roman" w:cs="Times New Roman"/>
          <w:b/>
          <w:bCs/>
          <w:sz w:val="18"/>
          <w:szCs w:val="18"/>
        </w:rPr>
      </w:pPr>
    </w:p>
    <w:p w14:paraId="7A963D8B" w14:textId="2BBBE5CB" w:rsidR="00083CA4" w:rsidRPr="002A7673" w:rsidRDefault="00083CA4" w:rsidP="005F7139">
      <w:pPr>
        <w:autoSpaceDE w:val="0"/>
        <w:autoSpaceDN w:val="0"/>
        <w:adjustRightInd w:val="0"/>
        <w:spacing w:after="0" w:line="480" w:lineRule="auto"/>
        <w:ind w:firstLine="302"/>
        <w:jc w:val="both"/>
        <w:rPr>
          <w:rFonts w:ascii="Times New Roman" w:eastAsia="Calibri" w:hAnsi="Times New Roman" w:cs="Times New Roman"/>
          <w:b/>
          <w:bCs/>
          <w:sz w:val="28"/>
          <w:szCs w:val="28"/>
        </w:rPr>
      </w:pPr>
      <w:r w:rsidRPr="002A7673">
        <w:rPr>
          <w:rFonts w:ascii="Times New Roman" w:eastAsia="Calibri" w:hAnsi="Times New Roman" w:cs="Times New Roman"/>
          <w:b/>
          <w:bCs/>
          <w:sz w:val="28"/>
          <w:szCs w:val="28"/>
        </w:rPr>
        <w:t xml:space="preserve">Documento N° 2601, </w:t>
      </w:r>
      <w:r w:rsidRPr="002A7673">
        <w:rPr>
          <w:rFonts w:ascii="Times New Roman" w:eastAsia="Calibri" w:hAnsi="Times New Roman" w:cs="Times New Roman"/>
          <w:b/>
          <w:bCs/>
          <w:color w:val="00B050"/>
          <w:sz w:val="28"/>
          <w:szCs w:val="28"/>
        </w:rPr>
        <w:t>2960-2021</w:t>
      </w:r>
    </w:p>
    <w:p w14:paraId="70C3EBF0" w14:textId="77777777" w:rsidR="00083CA4" w:rsidRPr="002A7673" w:rsidRDefault="00083CA4" w:rsidP="00AE01C4">
      <w:pPr>
        <w:spacing w:after="0" w:line="360" w:lineRule="auto"/>
        <w:ind w:firstLine="709"/>
        <w:jc w:val="both"/>
        <w:rPr>
          <w:rFonts w:ascii="Times New Roman" w:eastAsia="Calibri" w:hAnsi="Times New Roman" w:cs="Times New Roman"/>
          <w:color w:val="000000"/>
          <w:sz w:val="28"/>
          <w:szCs w:val="28"/>
          <w:shd w:val="clear" w:color="auto" w:fill="FFFFFF"/>
        </w:rPr>
      </w:pPr>
      <w:r w:rsidRPr="002A7673">
        <w:rPr>
          <w:rFonts w:ascii="Times New Roman" w:eastAsia="Calibri" w:hAnsi="Times New Roman" w:cs="Times New Roman"/>
          <w:sz w:val="28"/>
          <w:szCs w:val="28"/>
        </w:rPr>
        <w:t xml:space="preserve">En reunión de trabajo del pasado 16 de abril, la Licenciada Nacira Valverde Bermúdez informó </w:t>
      </w:r>
      <w:r w:rsidRPr="002A7673">
        <w:rPr>
          <w:rFonts w:ascii="Times New Roman" w:eastAsia="Calibri" w:hAnsi="Times New Roman" w:cs="Times New Roman"/>
          <w:color w:val="000000"/>
          <w:sz w:val="28"/>
          <w:szCs w:val="28"/>
          <w:shd w:val="clear" w:color="auto" w:fill="FFFFFF"/>
        </w:rPr>
        <w:t>que mediante correo electrónico del pasado 23 de marzo, la Licda. Yacira Segura Guzmán de la</w:t>
      </w:r>
      <w:r w:rsidR="00AE01C4" w:rsidRPr="002A7673">
        <w:rPr>
          <w:rFonts w:ascii="Times New Roman" w:eastAsia="Calibri" w:hAnsi="Times New Roman" w:cs="Times New Roman"/>
          <w:color w:val="000000"/>
          <w:sz w:val="28"/>
          <w:szCs w:val="28"/>
          <w:shd w:val="clear" w:color="auto" w:fill="FFFFFF"/>
        </w:rPr>
        <w:t xml:space="preserve"> Secretaría General de la Corte,</w:t>
      </w:r>
      <w:r w:rsidRPr="002A7673">
        <w:rPr>
          <w:rFonts w:ascii="Times New Roman" w:eastAsia="Calibri" w:hAnsi="Times New Roman" w:cs="Times New Roman"/>
          <w:color w:val="000000"/>
          <w:sz w:val="28"/>
          <w:szCs w:val="28"/>
          <w:shd w:val="clear" w:color="auto" w:fill="FFFFFF"/>
        </w:rPr>
        <w:t xml:space="preserve"> solicitó incorporar el Oficio No. 60-PICPA-2021, como parte de la agenda de Consejo Superior Presupuesto 2022.  En este oficio se comunica el acuerdo tomado por la Comisión de la Jurisdicción Agraria en la sesión N° 03-2021 celebrada el pasado 19 de marzo del 2021, artículo XXVI, en torno al informe 248-PLA-RH-OI-2021, estudio de Requerimiento Humano </w:t>
      </w:r>
      <w:r w:rsidRPr="002A7673">
        <w:rPr>
          <w:rFonts w:ascii="Times New Roman" w:eastAsia="Calibri" w:hAnsi="Times New Roman" w:cs="Times New Roman"/>
          <w:color w:val="000000"/>
          <w:sz w:val="28"/>
          <w:szCs w:val="28"/>
          <w:shd w:val="clear" w:color="auto" w:fill="FFFFFF"/>
        </w:rPr>
        <w:lastRenderedPageBreak/>
        <w:t>sobre la Continuidad de las plazas otorgadas como resultado de la promulgación del Nuevo Código Procesal Civil, que literalmente indica:</w:t>
      </w:r>
    </w:p>
    <w:p w14:paraId="273F4C80" w14:textId="77777777" w:rsidR="00083CA4" w:rsidRPr="002A7673" w:rsidRDefault="00083CA4" w:rsidP="005F7139">
      <w:pPr>
        <w:spacing w:after="0" w:line="240" w:lineRule="auto"/>
        <w:jc w:val="both"/>
        <w:rPr>
          <w:rFonts w:ascii="Times New Roman" w:eastAsia="Times New Roman" w:hAnsi="Times New Roman" w:cs="Times New Roman"/>
          <w:color w:val="000000"/>
        </w:rPr>
      </w:pPr>
    </w:p>
    <w:p w14:paraId="42669D25" w14:textId="77777777" w:rsidR="00083CA4" w:rsidRPr="002A7673" w:rsidRDefault="00083CA4" w:rsidP="00102DB7">
      <w:pPr>
        <w:pStyle w:val="BodyText22"/>
        <w:jc w:val="center"/>
        <w:rPr>
          <w:rFonts w:ascii="Times New Roman" w:eastAsia="Calibri" w:hAnsi="Times New Roman" w:cs="Times New Roman"/>
        </w:rPr>
      </w:pPr>
      <w:r w:rsidRPr="002A7673">
        <w:rPr>
          <w:rFonts w:ascii="Times New Roman" w:eastAsia="Calibri" w:hAnsi="Times New Roman" w:cs="Times New Roman"/>
        </w:rPr>
        <w:object w:dxaOrig="1508" w:dyaOrig="984" w14:anchorId="716DA85C">
          <v:shape id="_x0000_i1028" type="#_x0000_t75" style="width:77.5pt;height:52.5pt" o:ole="">
            <v:imagedata r:id="rId57" o:title=""/>
          </v:shape>
          <o:OLEObject Type="Embed" ProgID="AcroExch.Document.DC" ShapeID="_x0000_i1028" DrawAspect="Icon" ObjectID="_1684066971" r:id="rId58"/>
        </w:object>
      </w:r>
    </w:p>
    <w:p w14:paraId="75A77BB1" w14:textId="77777777" w:rsidR="00083CA4" w:rsidRPr="002A7673" w:rsidRDefault="00083CA4" w:rsidP="005F7139">
      <w:pPr>
        <w:spacing w:after="0" w:line="240" w:lineRule="auto"/>
        <w:rPr>
          <w:rFonts w:ascii="Times New Roman" w:eastAsia="Calibri" w:hAnsi="Times New Roman" w:cs="Times New Roman"/>
          <w:color w:val="1F497D"/>
        </w:rPr>
      </w:pPr>
    </w:p>
    <w:p w14:paraId="35411AAE" w14:textId="77777777" w:rsidR="00083CA4" w:rsidRPr="002A7673" w:rsidRDefault="00083CA4" w:rsidP="00F129A6">
      <w:pPr>
        <w:shd w:val="clear" w:color="auto" w:fill="FFFFFF"/>
        <w:autoSpaceDE w:val="0"/>
        <w:autoSpaceDN w:val="0"/>
        <w:spacing w:after="0" w:line="240" w:lineRule="auto"/>
        <w:ind w:left="851" w:right="851" w:firstLine="709"/>
        <w:jc w:val="both"/>
        <w:rPr>
          <w:rFonts w:ascii="Times New Roman" w:eastAsia="Calibri" w:hAnsi="Times New Roman" w:cs="Times New Roman"/>
          <w:i/>
          <w:iCs/>
          <w:color w:val="000000"/>
          <w:sz w:val="26"/>
          <w:szCs w:val="26"/>
        </w:rPr>
      </w:pPr>
      <w:r w:rsidRPr="002A7673">
        <w:rPr>
          <w:rFonts w:ascii="Times New Roman" w:eastAsia="Calibri" w:hAnsi="Times New Roman" w:cs="Times New Roman"/>
          <w:i/>
          <w:iCs/>
          <w:color w:val="000000"/>
          <w:sz w:val="26"/>
          <w:szCs w:val="26"/>
        </w:rPr>
        <w:t>“(…)</w:t>
      </w:r>
    </w:p>
    <w:p w14:paraId="1DA955E9" w14:textId="77777777" w:rsidR="00083CA4" w:rsidRPr="002A7673" w:rsidRDefault="00083CA4" w:rsidP="00F129A6">
      <w:pPr>
        <w:shd w:val="clear" w:color="auto" w:fill="FFFFFF"/>
        <w:autoSpaceDE w:val="0"/>
        <w:autoSpaceDN w:val="0"/>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Proyecto de Implementación del Código Procesal Agrario Comisión de la Jurisdicción Agraria y Agroambiental Poder Judicial </w:t>
      </w:r>
    </w:p>
    <w:p w14:paraId="0451972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921506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E17061E" w14:textId="5397CB32"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San José, 23 de marzo del 2021. </w:t>
      </w:r>
    </w:p>
    <w:p w14:paraId="7452804A" w14:textId="15A54DCA"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Oficio N°60-PICPA-2021 </w:t>
      </w:r>
    </w:p>
    <w:p w14:paraId="1C109D7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4754DA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33193D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Señores:</w:t>
      </w:r>
    </w:p>
    <w:p w14:paraId="0002004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Secretaría General de la Corte </w:t>
      </w:r>
    </w:p>
    <w:p w14:paraId="67D1040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894336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885846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Estimados Señores: </w:t>
      </w:r>
    </w:p>
    <w:p w14:paraId="45348EC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C552BD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Reciban un atento saludo. A la vez, con instrucciones del Magistrado Luis Guillermo Rivas </w:t>
      </w:r>
      <w:proofErr w:type="spellStart"/>
      <w:r w:rsidRPr="002A7673">
        <w:rPr>
          <w:rFonts w:ascii="Times New Roman" w:eastAsia="Calibri" w:hAnsi="Times New Roman" w:cs="Times New Roman"/>
          <w:i/>
          <w:iCs/>
          <w:sz w:val="26"/>
          <w:szCs w:val="26"/>
        </w:rPr>
        <w:t>Loáiciga</w:t>
      </w:r>
      <w:proofErr w:type="spellEnd"/>
      <w:r w:rsidRPr="002A7673">
        <w:rPr>
          <w:rFonts w:ascii="Times New Roman" w:eastAsia="Calibri" w:hAnsi="Times New Roman" w:cs="Times New Roman"/>
          <w:i/>
          <w:iCs/>
          <w:sz w:val="26"/>
          <w:szCs w:val="26"/>
        </w:rPr>
        <w:t>, Director del Proyecto de Implementación del Código Procesal Agrario y Coordinador de la Comisión de la Jurisdicción Agraria, les comunico el acuerdo tomado por la Comisión de la Jurisdicción Agraria en la sesión N° 03-2021 celebrada el pasado 19 de marzo del 2021, Artículo XXVI, que literalmente indica:</w:t>
      </w:r>
    </w:p>
    <w:p w14:paraId="3A80045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C3355A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highlight w:val="lightGray"/>
        </w:rPr>
        <w:t>ARTÍCULO XXVI</w:t>
      </w:r>
    </w:p>
    <w:p w14:paraId="3869853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highlight w:val="lightGray"/>
        </w:rPr>
      </w:pPr>
    </w:p>
    <w:p w14:paraId="4327720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 Secretaría General de la Corte remitió el Oficio N° 2509-2021 de 17 de marzo de 2021, que literalmente indica:</w:t>
      </w:r>
    </w:p>
    <w:p w14:paraId="5B4D7BF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highlight w:val="lightGray"/>
        </w:rPr>
      </w:pPr>
    </w:p>
    <w:p w14:paraId="46995FE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San José, 17 de marzo de 2021</w:t>
      </w:r>
    </w:p>
    <w:p w14:paraId="05015BC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N° 2509-2021</w:t>
      </w:r>
    </w:p>
    <w:p w14:paraId="202B2EA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Al contestar refiérase a este # de oficio</w:t>
      </w:r>
    </w:p>
    <w:p w14:paraId="33AA519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80967F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Señora</w:t>
      </w:r>
    </w:p>
    <w:p w14:paraId="0BE68BE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Licda. Nacira Valverde Bermúdez</w:t>
      </w:r>
    </w:p>
    <w:p w14:paraId="2693067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Directora de Planificación</w:t>
      </w:r>
    </w:p>
    <w:p w14:paraId="716B2D3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7B25CB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Estimada señora:</w:t>
      </w:r>
    </w:p>
    <w:p w14:paraId="509C9CB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Para su estimable conocimiento y fines consiguientes, le transcribo el acuerdo tomado por el Consejo Superior del Poder Judicial, en sesión extraordinaria N° 21-2021 celebrada el 12 de marzo de 2021, que literalmente dice:</w:t>
      </w:r>
    </w:p>
    <w:p w14:paraId="233430E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445F34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“ARTÍCULO XX</w:t>
      </w:r>
    </w:p>
    <w:p w14:paraId="2A91C17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DOCUMENTO N°2601-2021</w:t>
      </w:r>
    </w:p>
    <w:p w14:paraId="34B76BD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rPr>
      </w:pPr>
      <w:bookmarkStart w:id="7" w:name="_Hlk65504903"/>
      <w:bookmarkEnd w:id="7"/>
      <w:r w:rsidRPr="002A7673">
        <w:rPr>
          <w:rFonts w:ascii="Times New Roman" w:eastAsia="Calibri" w:hAnsi="Times New Roman" w:cs="Times New Roman"/>
          <w:i/>
          <w:iCs/>
          <w:sz w:val="26"/>
          <w:szCs w:val="26"/>
        </w:rPr>
        <w:t>En reunión de trabajo del Consejo Superior del pasado 5 de marzo la licenciada Nacira Valverde Bermúdez, Directora de Planificación presentó el Informe 248-PLA-RH-OI-2021, estudio de Requerimiento Humano sobre la Continuidad de las plazas otorgadas como resultado de la</w:t>
      </w:r>
      <w:r w:rsidRPr="002A7673">
        <w:rPr>
          <w:rFonts w:ascii="Times New Roman" w:eastAsia="Calibri" w:hAnsi="Times New Roman" w:cs="Times New Roman"/>
          <w:i/>
          <w:iCs/>
        </w:rPr>
        <w:t xml:space="preserve"> promulgación del Nuevo Código Procesal Civil.</w:t>
      </w:r>
    </w:p>
    <w:p w14:paraId="7BB1C643" w14:textId="77777777" w:rsidR="00083CA4" w:rsidRPr="002A7673" w:rsidRDefault="00083CA4" w:rsidP="005F7139">
      <w:pPr>
        <w:spacing w:after="0" w:line="240" w:lineRule="auto"/>
        <w:rPr>
          <w:rFonts w:ascii="Times New Roman" w:eastAsia="Calibri" w:hAnsi="Times New Roman" w:cs="Times New Roman"/>
          <w:i/>
          <w:iCs/>
        </w:rPr>
      </w:pPr>
    </w:p>
    <w:tbl>
      <w:tblPr>
        <w:tblW w:w="0" w:type="auto"/>
        <w:tblInd w:w="113" w:type="dxa"/>
        <w:tblLayout w:type="fixed"/>
        <w:tblCellMar>
          <w:left w:w="0" w:type="dxa"/>
          <w:right w:w="0" w:type="dxa"/>
        </w:tblCellMar>
        <w:tblLook w:val="0000" w:firstRow="0" w:lastRow="0" w:firstColumn="0" w:lastColumn="0" w:noHBand="0" w:noVBand="0"/>
      </w:tblPr>
      <w:tblGrid>
        <w:gridCol w:w="1883"/>
        <w:gridCol w:w="3877"/>
        <w:gridCol w:w="1860"/>
        <w:gridCol w:w="2352"/>
      </w:tblGrid>
      <w:tr w:rsidR="00083CA4" w:rsidRPr="002A7673" w14:paraId="38FECFA3" w14:textId="77777777" w:rsidTr="005F7139">
        <w:trPr>
          <w:trHeight w:val="569"/>
        </w:trPr>
        <w:tc>
          <w:tcPr>
            <w:tcW w:w="5760" w:type="dxa"/>
            <w:gridSpan w:val="2"/>
            <w:tcBorders>
              <w:top w:val="single" w:sz="4" w:space="0" w:color="000000"/>
              <w:left w:val="single" w:sz="4" w:space="0" w:color="000000"/>
              <w:bottom w:val="single" w:sz="4" w:space="0" w:color="000000"/>
              <w:right w:val="single" w:sz="4" w:space="0" w:color="000000"/>
            </w:tcBorders>
            <w:shd w:val="clear" w:color="auto" w:fill="000000"/>
            <w:tcMar>
              <w:top w:w="0" w:type="dxa"/>
              <w:left w:w="108" w:type="dxa"/>
              <w:bottom w:w="0" w:type="dxa"/>
              <w:right w:w="108" w:type="dxa"/>
            </w:tcMar>
            <w:vAlign w:val="center"/>
          </w:tcPr>
          <w:p w14:paraId="6E0FF56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Dirección de Planificación</w:t>
            </w:r>
          </w:p>
        </w:tc>
        <w:tc>
          <w:tcPr>
            <w:tcW w:w="1860" w:type="dxa"/>
            <w:tcBorders>
              <w:top w:val="single" w:sz="4" w:space="0" w:color="000000"/>
              <w:left w:val="single" w:sz="4" w:space="0" w:color="000000"/>
              <w:bottom w:val="single" w:sz="4" w:space="0" w:color="000000"/>
              <w:right w:val="single" w:sz="4" w:space="0" w:color="000000"/>
            </w:tcBorders>
            <w:shd w:val="clear" w:color="auto" w:fill="B3B3B3"/>
            <w:tcMar>
              <w:top w:w="0" w:type="dxa"/>
              <w:left w:w="108" w:type="dxa"/>
              <w:bottom w:w="0" w:type="dxa"/>
              <w:right w:w="108" w:type="dxa"/>
            </w:tcMar>
            <w:vAlign w:val="center"/>
          </w:tcPr>
          <w:p w14:paraId="754603A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Fecha:</w:t>
            </w:r>
          </w:p>
        </w:tc>
        <w:tc>
          <w:tcPr>
            <w:tcW w:w="23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07D18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01/03/2021</w:t>
            </w:r>
          </w:p>
        </w:tc>
      </w:tr>
      <w:tr w:rsidR="00083CA4" w:rsidRPr="002A7673" w14:paraId="6C6B5851" w14:textId="77777777" w:rsidTr="005F7139">
        <w:trPr>
          <w:trHeight w:val="520"/>
        </w:trPr>
        <w:tc>
          <w:tcPr>
            <w:tcW w:w="5760" w:type="dxa"/>
            <w:gridSpan w:val="2"/>
            <w:tcBorders>
              <w:top w:val="single" w:sz="4" w:space="0" w:color="000000"/>
              <w:left w:val="single" w:sz="4" w:space="0" w:color="000000"/>
              <w:bottom w:val="single" w:sz="4" w:space="0" w:color="000000"/>
              <w:right w:val="single" w:sz="4" w:space="0" w:color="000000"/>
            </w:tcBorders>
            <w:shd w:val="clear" w:color="auto" w:fill="262626"/>
            <w:tcMar>
              <w:top w:w="0" w:type="dxa"/>
              <w:left w:w="108" w:type="dxa"/>
              <w:bottom w:w="0" w:type="dxa"/>
              <w:right w:w="108" w:type="dxa"/>
            </w:tcMar>
            <w:vAlign w:val="center"/>
          </w:tcPr>
          <w:p w14:paraId="227069A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Estudio de Requerimiento Humano</w:t>
            </w:r>
          </w:p>
        </w:tc>
        <w:tc>
          <w:tcPr>
            <w:tcW w:w="1860" w:type="dxa"/>
            <w:tcBorders>
              <w:top w:val="single" w:sz="4" w:space="0" w:color="000000"/>
              <w:left w:val="single" w:sz="4" w:space="0" w:color="000000"/>
              <w:bottom w:val="single" w:sz="4" w:space="0" w:color="000000"/>
              <w:right w:val="single" w:sz="4" w:space="0" w:color="000000"/>
            </w:tcBorders>
            <w:shd w:val="clear" w:color="auto" w:fill="B3B3B3"/>
            <w:tcMar>
              <w:top w:w="0" w:type="dxa"/>
              <w:left w:w="108" w:type="dxa"/>
              <w:bottom w:w="0" w:type="dxa"/>
              <w:right w:w="108" w:type="dxa"/>
            </w:tcMar>
            <w:vAlign w:val="center"/>
          </w:tcPr>
          <w:p w14:paraId="4D91B91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Informe:</w:t>
            </w:r>
          </w:p>
        </w:tc>
        <w:tc>
          <w:tcPr>
            <w:tcW w:w="23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621C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248-PLA-RH-OI-2021</w:t>
            </w:r>
          </w:p>
          <w:p w14:paraId="50FBF178" w14:textId="77777777" w:rsidR="00083CA4" w:rsidRPr="002A7673" w:rsidRDefault="00083CA4" w:rsidP="005F7139">
            <w:pPr>
              <w:spacing w:after="0" w:line="240" w:lineRule="auto"/>
              <w:rPr>
                <w:rFonts w:ascii="Times New Roman" w:eastAsia="Calibri" w:hAnsi="Times New Roman" w:cs="Times New Roman"/>
                <w:i/>
                <w:iCs/>
                <w:sz w:val="26"/>
                <w:szCs w:val="26"/>
              </w:rPr>
            </w:pPr>
          </w:p>
        </w:tc>
      </w:tr>
      <w:tr w:rsidR="00083CA4" w:rsidRPr="002A7673" w14:paraId="716E7456" w14:textId="77777777" w:rsidTr="005F7139">
        <w:trPr>
          <w:trHeight w:val="520"/>
        </w:trPr>
        <w:tc>
          <w:tcPr>
            <w:tcW w:w="1883" w:type="dxa"/>
            <w:tcBorders>
              <w:top w:val="single" w:sz="4" w:space="0" w:color="000000"/>
              <w:left w:val="single" w:sz="4" w:space="0" w:color="000000"/>
              <w:bottom w:val="single" w:sz="4" w:space="0" w:color="000000"/>
              <w:right w:val="single" w:sz="4" w:space="0" w:color="000000"/>
            </w:tcBorders>
            <w:shd w:val="clear" w:color="auto" w:fill="B3B3B3"/>
            <w:tcMar>
              <w:top w:w="0" w:type="dxa"/>
              <w:left w:w="108" w:type="dxa"/>
              <w:bottom w:w="0" w:type="dxa"/>
              <w:right w:w="108" w:type="dxa"/>
            </w:tcMar>
          </w:tcPr>
          <w:p w14:paraId="6D27FF7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Proyecto u oficinas analizadas:</w:t>
            </w:r>
          </w:p>
        </w:tc>
        <w:tc>
          <w:tcPr>
            <w:tcW w:w="808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FF1D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Análisis Continuidad de las plazas otorgadas como resultado de la promulgación del Nuevo Código Procesal Civil. </w:t>
            </w:r>
          </w:p>
        </w:tc>
      </w:tr>
    </w:tbl>
    <w:p w14:paraId="35720B44" w14:textId="77777777" w:rsidR="00083CA4" w:rsidRPr="002A7673" w:rsidRDefault="00083CA4" w:rsidP="005F7139">
      <w:pPr>
        <w:spacing w:after="0" w:line="240" w:lineRule="auto"/>
        <w:rPr>
          <w:rFonts w:ascii="Times New Roman" w:eastAsia="Calibri" w:hAnsi="Times New Roman" w:cs="Times New Roman"/>
          <w:i/>
          <w:iCs/>
        </w:rPr>
      </w:pPr>
    </w:p>
    <w:p w14:paraId="73270BA3" w14:textId="77777777" w:rsidR="00083CA4" w:rsidRPr="002A7673" w:rsidRDefault="00083CA4" w:rsidP="005F7139">
      <w:pPr>
        <w:spacing w:after="0" w:line="240" w:lineRule="auto"/>
        <w:rPr>
          <w:rFonts w:ascii="Times New Roman" w:eastAsia="Calibri" w:hAnsi="Times New Roman" w:cs="Times New Roman"/>
          <w:i/>
          <w:iCs/>
        </w:rPr>
      </w:pPr>
      <w:r w:rsidRPr="002A7673">
        <w:rPr>
          <w:rFonts w:ascii="Times New Roman" w:eastAsia="Calibri" w:hAnsi="Times New Roman" w:cs="Times New Roman"/>
          <w:i/>
          <w:iCs/>
        </w:rPr>
        <w:t>I. Plazas por Analizar</w:t>
      </w:r>
    </w:p>
    <w:p w14:paraId="3BF6678C" w14:textId="77777777" w:rsidR="00083CA4" w:rsidRPr="002A7673" w:rsidRDefault="00083CA4" w:rsidP="005F7139">
      <w:pPr>
        <w:spacing w:after="0" w:line="240" w:lineRule="auto"/>
        <w:rPr>
          <w:rFonts w:ascii="Times New Roman" w:eastAsia="Calibri" w:hAnsi="Times New Roman" w:cs="Times New Roman"/>
          <w:i/>
          <w:iCs/>
        </w:rPr>
      </w:pPr>
    </w:p>
    <w:p w14:paraId="76EF3F1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ÁMBITO ADMINISTRATIVO</w:t>
      </w:r>
    </w:p>
    <w:p w14:paraId="535488BC" w14:textId="77777777" w:rsidR="00083CA4" w:rsidRPr="002A7673" w:rsidRDefault="00083CA4" w:rsidP="005F7139">
      <w:pPr>
        <w:spacing w:after="0" w:line="240" w:lineRule="auto"/>
        <w:rPr>
          <w:rFonts w:ascii="Times New Roman" w:eastAsia="Calibri" w:hAnsi="Times New Roman" w:cs="Times New Roman"/>
          <w:i/>
          <w:iCs/>
          <w:sz w:val="26"/>
          <w:szCs w:val="26"/>
        </w:rPr>
      </w:pPr>
    </w:p>
    <w:tbl>
      <w:tblPr>
        <w:tblW w:w="0" w:type="auto"/>
        <w:jc w:val="center"/>
        <w:tblLayout w:type="fixed"/>
        <w:tblCellMar>
          <w:left w:w="0" w:type="dxa"/>
          <w:right w:w="0" w:type="dxa"/>
        </w:tblCellMar>
        <w:tblLook w:val="0000" w:firstRow="0" w:lastRow="0" w:firstColumn="0" w:lastColumn="0" w:noHBand="0" w:noVBand="0"/>
      </w:tblPr>
      <w:tblGrid>
        <w:gridCol w:w="2666"/>
        <w:gridCol w:w="1138"/>
        <w:gridCol w:w="1617"/>
        <w:gridCol w:w="1508"/>
        <w:gridCol w:w="1597"/>
        <w:gridCol w:w="886"/>
      </w:tblGrid>
      <w:tr w:rsidR="00083CA4" w:rsidRPr="002A7673" w14:paraId="72CBD81B" w14:textId="77777777" w:rsidTr="005F7139">
        <w:trPr>
          <w:trHeight w:val="33"/>
          <w:jc w:val="center"/>
        </w:trPr>
        <w:tc>
          <w:tcPr>
            <w:tcW w:w="2666" w:type="dxa"/>
            <w:tcBorders>
              <w:top w:val="single" w:sz="8" w:space="0" w:color="000000"/>
              <w:left w:val="single" w:sz="8" w:space="0" w:color="000000"/>
              <w:bottom w:val="single" w:sz="4" w:space="0" w:color="000000"/>
              <w:right w:val="single" w:sz="8" w:space="0" w:color="000000"/>
            </w:tcBorders>
            <w:shd w:val="clear" w:color="auto" w:fill="E6E6E6"/>
            <w:tcMar>
              <w:top w:w="0" w:type="dxa"/>
              <w:left w:w="108" w:type="dxa"/>
              <w:bottom w:w="0" w:type="dxa"/>
              <w:right w:w="108" w:type="dxa"/>
            </w:tcMar>
            <w:vAlign w:val="center"/>
          </w:tcPr>
          <w:p w14:paraId="6D0E687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Despacho</w:t>
            </w:r>
          </w:p>
        </w:tc>
        <w:tc>
          <w:tcPr>
            <w:tcW w:w="1138"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5CC9903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Cantidad</w:t>
            </w:r>
          </w:p>
        </w:tc>
        <w:tc>
          <w:tcPr>
            <w:tcW w:w="1617"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3BAE6DD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Tipo de</w:t>
            </w:r>
          </w:p>
          <w:p w14:paraId="2DB7AA9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w:t>
            </w:r>
          </w:p>
        </w:tc>
        <w:tc>
          <w:tcPr>
            <w:tcW w:w="1508"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7A19320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Condición</w:t>
            </w:r>
          </w:p>
          <w:p w14:paraId="33A062E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actual</w:t>
            </w:r>
          </w:p>
        </w:tc>
        <w:tc>
          <w:tcPr>
            <w:tcW w:w="1597"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2AFFDCA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Recomendación</w:t>
            </w:r>
          </w:p>
        </w:tc>
        <w:tc>
          <w:tcPr>
            <w:tcW w:w="886"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34C132E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Período</w:t>
            </w:r>
          </w:p>
        </w:tc>
      </w:tr>
      <w:tr w:rsidR="00083CA4" w:rsidRPr="002A7673" w14:paraId="371A27D1" w14:textId="77777777" w:rsidTr="005F7139">
        <w:trPr>
          <w:trHeight w:val="299"/>
          <w:jc w:val="center"/>
        </w:trPr>
        <w:tc>
          <w:tcPr>
            <w:tcW w:w="266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12E897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Dirección de Tecnología de Información</w:t>
            </w:r>
          </w:p>
        </w:tc>
        <w:tc>
          <w:tcPr>
            <w:tcW w:w="11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D0F5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w:t>
            </w:r>
          </w:p>
        </w:tc>
        <w:tc>
          <w:tcPr>
            <w:tcW w:w="1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19C4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Profesional en Informática 2</w:t>
            </w:r>
          </w:p>
        </w:tc>
        <w:tc>
          <w:tcPr>
            <w:tcW w:w="15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4067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5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8B41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8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173F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2021</w:t>
            </w:r>
          </w:p>
        </w:tc>
      </w:tr>
    </w:tbl>
    <w:p w14:paraId="01763E0B" w14:textId="77777777" w:rsidR="00083CA4" w:rsidRPr="002A7673" w:rsidRDefault="00083CA4" w:rsidP="005F7139">
      <w:pPr>
        <w:spacing w:after="0" w:line="240" w:lineRule="auto"/>
        <w:rPr>
          <w:rFonts w:ascii="Times New Roman" w:eastAsia="Calibri" w:hAnsi="Times New Roman" w:cs="Times New Roman"/>
          <w:i/>
          <w:iCs/>
          <w:sz w:val="26"/>
          <w:szCs w:val="26"/>
        </w:rPr>
      </w:pPr>
    </w:p>
    <w:p w14:paraId="3036D98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ÁMBITO JURISDICCIONAL</w:t>
      </w:r>
    </w:p>
    <w:p w14:paraId="4344E0D9" w14:textId="77777777" w:rsidR="00083CA4" w:rsidRPr="002A7673" w:rsidRDefault="00083CA4" w:rsidP="005F7139">
      <w:pPr>
        <w:spacing w:after="0" w:line="240" w:lineRule="auto"/>
        <w:rPr>
          <w:rFonts w:ascii="Times New Roman" w:eastAsia="Calibri" w:hAnsi="Times New Roman" w:cs="Times New Roman"/>
          <w:i/>
          <w:iCs/>
          <w:sz w:val="26"/>
          <w:szCs w:val="26"/>
        </w:rPr>
      </w:pPr>
    </w:p>
    <w:tbl>
      <w:tblPr>
        <w:tblW w:w="0" w:type="auto"/>
        <w:jc w:val="center"/>
        <w:tblLayout w:type="fixed"/>
        <w:tblCellMar>
          <w:left w:w="0" w:type="dxa"/>
          <w:right w:w="0" w:type="dxa"/>
        </w:tblCellMar>
        <w:tblLook w:val="0000" w:firstRow="0" w:lastRow="0" w:firstColumn="0" w:lastColumn="0" w:noHBand="0" w:noVBand="0"/>
      </w:tblPr>
      <w:tblGrid>
        <w:gridCol w:w="2633"/>
        <w:gridCol w:w="1199"/>
        <w:gridCol w:w="1467"/>
        <w:gridCol w:w="1333"/>
        <w:gridCol w:w="1412"/>
        <w:gridCol w:w="783"/>
      </w:tblGrid>
      <w:tr w:rsidR="00083CA4" w:rsidRPr="002A7673" w14:paraId="4DD68D64" w14:textId="77777777" w:rsidTr="005F7139">
        <w:trPr>
          <w:trHeight w:val="50"/>
          <w:jc w:val="center"/>
        </w:trPr>
        <w:tc>
          <w:tcPr>
            <w:tcW w:w="2633" w:type="dxa"/>
            <w:tcBorders>
              <w:top w:val="single" w:sz="8" w:space="0" w:color="000000"/>
              <w:left w:val="single" w:sz="8" w:space="0" w:color="000000"/>
              <w:bottom w:val="single" w:sz="4" w:space="0" w:color="000000"/>
              <w:right w:val="single" w:sz="8" w:space="0" w:color="000000"/>
            </w:tcBorders>
            <w:shd w:val="clear" w:color="auto" w:fill="E6E6E6"/>
            <w:tcMar>
              <w:top w:w="0" w:type="dxa"/>
              <w:left w:w="108" w:type="dxa"/>
              <w:bottom w:w="0" w:type="dxa"/>
              <w:right w:w="108" w:type="dxa"/>
            </w:tcMar>
            <w:vAlign w:val="center"/>
          </w:tcPr>
          <w:p w14:paraId="4472B60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Despacho</w:t>
            </w:r>
          </w:p>
        </w:tc>
        <w:tc>
          <w:tcPr>
            <w:tcW w:w="1199"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7FBD9D0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Cantidad</w:t>
            </w:r>
          </w:p>
        </w:tc>
        <w:tc>
          <w:tcPr>
            <w:tcW w:w="1467"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283F079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Tipo de</w:t>
            </w:r>
          </w:p>
          <w:p w14:paraId="1513F0A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w:t>
            </w:r>
          </w:p>
        </w:tc>
        <w:tc>
          <w:tcPr>
            <w:tcW w:w="1333"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3904B9C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Condición</w:t>
            </w:r>
          </w:p>
          <w:p w14:paraId="055798C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actual</w:t>
            </w:r>
          </w:p>
        </w:tc>
        <w:tc>
          <w:tcPr>
            <w:tcW w:w="1412"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0C8BE3F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Recomendación</w:t>
            </w:r>
          </w:p>
        </w:tc>
        <w:tc>
          <w:tcPr>
            <w:tcW w:w="783"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6DB4D83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Período</w:t>
            </w:r>
          </w:p>
        </w:tc>
      </w:tr>
      <w:tr w:rsidR="00083CA4" w:rsidRPr="002A7673" w14:paraId="7CF98C4E" w14:textId="77777777" w:rsidTr="005F7139">
        <w:trPr>
          <w:trHeight w:val="437"/>
          <w:jc w:val="center"/>
        </w:trPr>
        <w:tc>
          <w:tcPr>
            <w:tcW w:w="26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AFB1B2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Centro de Apoyo, Coordinación y Mejoramiento de la Función Jurisdiccional</w:t>
            </w:r>
          </w:p>
        </w:tc>
        <w:tc>
          <w:tcPr>
            <w:tcW w:w="11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DA19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w:t>
            </w:r>
          </w:p>
        </w:tc>
        <w:tc>
          <w:tcPr>
            <w:tcW w:w="1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D632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Jueza o Jueza 5</w:t>
            </w:r>
          </w:p>
        </w:tc>
        <w:tc>
          <w:tcPr>
            <w:tcW w:w="1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13FE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C98D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064D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2021</w:t>
            </w:r>
          </w:p>
        </w:tc>
      </w:tr>
    </w:tbl>
    <w:p w14:paraId="0C888460" w14:textId="77777777" w:rsidR="00083CA4" w:rsidRPr="002A7673" w:rsidRDefault="00083CA4" w:rsidP="005F7139">
      <w:pPr>
        <w:spacing w:after="0" w:line="240" w:lineRule="auto"/>
        <w:rPr>
          <w:rFonts w:ascii="Times New Roman" w:eastAsia="Calibri" w:hAnsi="Times New Roman" w:cs="Times New Roman"/>
          <w:i/>
          <w:iCs/>
          <w:sz w:val="26"/>
          <w:szCs w:val="26"/>
        </w:rPr>
      </w:pPr>
    </w:p>
    <w:p w14:paraId="6C4B0A0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ÁMBITO JURISDICCIONAL </w:t>
      </w:r>
    </w:p>
    <w:p w14:paraId="15CD70E3" w14:textId="77777777" w:rsidR="00083CA4" w:rsidRPr="002A7673" w:rsidRDefault="00083CA4" w:rsidP="005F7139">
      <w:pPr>
        <w:spacing w:after="0" w:line="240" w:lineRule="auto"/>
        <w:rPr>
          <w:rFonts w:ascii="Times New Roman" w:eastAsia="Calibri" w:hAnsi="Times New Roman" w:cs="Times New Roman"/>
          <w:i/>
          <w:iCs/>
        </w:rPr>
      </w:pPr>
      <w:r w:rsidRPr="002A7673">
        <w:rPr>
          <w:rFonts w:ascii="Times New Roman" w:eastAsia="Calibri" w:hAnsi="Times New Roman" w:cs="Times New Roman"/>
          <w:i/>
          <w:iCs/>
          <w:sz w:val="26"/>
          <w:szCs w:val="26"/>
        </w:rPr>
        <w:t xml:space="preserve"> (Planes de descongestionamiento</w:t>
      </w:r>
      <w:r w:rsidRPr="002A7673">
        <w:rPr>
          <w:rFonts w:ascii="Times New Roman" w:eastAsia="Calibri" w:hAnsi="Times New Roman" w:cs="Times New Roman"/>
          <w:i/>
          <w:iCs/>
        </w:rPr>
        <w:t>)</w:t>
      </w:r>
    </w:p>
    <w:p w14:paraId="05707821" w14:textId="77777777" w:rsidR="00083CA4" w:rsidRPr="002A7673" w:rsidRDefault="00083CA4" w:rsidP="005F7139">
      <w:pPr>
        <w:spacing w:after="0" w:line="240" w:lineRule="auto"/>
        <w:rPr>
          <w:rFonts w:ascii="Times New Roman" w:eastAsia="Calibri" w:hAnsi="Times New Roman" w:cs="Times New Roman"/>
          <w:i/>
          <w:iCs/>
        </w:rPr>
      </w:pPr>
    </w:p>
    <w:tbl>
      <w:tblPr>
        <w:tblW w:w="0" w:type="auto"/>
        <w:jc w:val="center"/>
        <w:tblLayout w:type="fixed"/>
        <w:tblCellMar>
          <w:left w:w="0" w:type="dxa"/>
          <w:right w:w="0" w:type="dxa"/>
        </w:tblCellMar>
        <w:tblLook w:val="0000" w:firstRow="0" w:lastRow="0" w:firstColumn="0" w:lastColumn="0" w:noHBand="0" w:noVBand="0"/>
      </w:tblPr>
      <w:tblGrid>
        <w:gridCol w:w="3547"/>
        <w:gridCol w:w="933"/>
        <w:gridCol w:w="819"/>
        <w:gridCol w:w="1333"/>
        <w:gridCol w:w="1412"/>
        <w:gridCol w:w="783"/>
      </w:tblGrid>
      <w:tr w:rsidR="00083CA4" w:rsidRPr="002A7673" w14:paraId="6218327E" w14:textId="77777777" w:rsidTr="005F7139">
        <w:trPr>
          <w:trHeight w:val="42"/>
          <w:jc w:val="center"/>
        </w:trPr>
        <w:tc>
          <w:tcPr>
            <w:tcW w:w="3547" w:type="dxa"/>
            <w:tcBorders>
              <w:top w:val="single" w:sz="8" w:space="0" w:color="000000"/>
              <w:left w:val="single" w:sz="8" w:space="0" w:color="000000"/>
              <w:bottom w:val="single" w:sz="4" w:space="0" w:color="000000"/>
              <w:right w:val="single" w:sz="8" w:space="0" w:color="000000"/>
            </w:tcBorders>
            <w:shd w:val="clear" w:color="auto" w:fill="E6E6E6"/>
            <w:tcMar>
              <w:top w:w="0" w:type="dxa"/>
              <w:left w:w="108" w:type="dxa"/>
              <w:bottom w:w="0" w:type="dxa"/>
              <w:right w:w="108" w:type="dxa"/>
            </w:tcMar>
            <w:vAlign w:val="center"/>
          </w:tcPr>
          <w:p w14:paraId="46BD3E4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Despacho</w:t>
            </w:r>
          </w:p>
        </w:tc>
        <w:tc>
          <w:tcPr>
            <w:tcW w:w="933"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650B6E7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Cantidad</w:t>
            </w:r>
          </w:p>
        </w:tc>
        <w:tc>
          <w:tcPr>
            <w:tcW w:w="819"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029A371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Tipo de</w:t>
            </w:r>
          </w:p>
          <w:p w14:paraId="7140D92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w:t>
            </w:r>
          </w:p>
        </w:tc>
        <w:tc>
          <w:tcPr>
            <w:tcW w:w="1333"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5FD79EE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Condición</w:t>
            </w:r>
          </w:p>
          <w:p w14:paraId="6DF8373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actual</w:t>
            </w:r>
          </w:p>
        </w:tc>
        <w:tc>
          <w:tcPr>
            <w:tcW w:w="1412"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666B52B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Recomendación</w:t>
            </w:r>
          </w:p>
        </w:tc>
        <w:tc>
          <w:tcPr>
            <w:tcW w:w="783" w:type="dxa"/>
            <w:tcBorders>
              <w:top w:val="single" w:sz="8" w:space="0" w:color="000000"/>
              <w:left w:val="nil"/>
              <w:bottom w:val="single" w:sz="4" w:space="0" w:color="000000"/>
              <w:right w:val="single" w:sz="8" w:space="0" w:color="000000"/>
            </w:tcBorders>
            <w:shd w:val="clear" w:color="auto" w:fill="E6E6E6"/>
            <w:tcMar>
              <w:top w:w="0" w:type="dxa"/>
              <w:left w:w="108" w:type="dxa"/>
              <w:bottom w:w="0" w:type="dxa"/>
              <w:right w:w="108" w:type="dxa"/>
            </w:tcMar>
            <w:vAlign w:val="center"/>
          </w:tcPr>
          <w:p w14:paraId="3E51C5A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Período</w:t>
            </w:r>
          </w:p>
        </w:tc>
      </w:tr>
      <w:tr w:rsidR="00083CA4" w:rsidRPr="002A7673" w14:paraId="6D7986BD" w14:textId="77777777" w:rsidTr="005F7139">
        <w:trPr>
          <w:trHeight w:val="373"/>
          <w:jc w:val="center"/>
        </w:trPr>
        <w:tc>
          <w:tcPr>
            <w:tcW w:w="3547" w:type="dxa"/>
            <w:vMerge w:val="restart"/>
            <w:tcBorders>
              <w:top w:val="single" w:sz="4" w:space="0" w:color="000000"/>
              <w:left w:val="single" w:sz="4" w:space="0" w:color="000000"/>
              <w:bottom w:val="nil"/>
              <w:right w:val="single" w:sz="4" w:space="0" w:color="000000"/>
            </w:tcBorders>
            <w:shd w:val="clear" w:color="auto" w:fill="FFFFFF"/>
            <w:tcMar>
              <w:top w:w="0" w:type="dxa"/>
              <w:left w:w="108" w:type="dxa"/>
              <w:bottom w:w="0" w:type="dxa"/>
              <w:right w:w="108" w:type="dxa"/>
            </w:tcMar>
            <w:vAlign w:val="center"/>
          </w:tcPr>
          <w:p w14:paraId="5555E6A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Centro de Apoyo, Coordinación y Mejoramiento de la Función Jurisdiccional</w:t>
            </w:r>
          </w:p>
        </w:tc>
        <w:tc>
          <w:tcPr>
            <w:tcW w:w="9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EC7E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w:t>
            </w:r>
          </w:p>
        </w:tc>
        <w:tc>
          <w:tcPr>
            <w:tcW w:w="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7889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Jueza o Juez 2</w:t>
            </w:r>
          </w:p>
        </w:tc>
        <w:tc>
          <w:tcPr>
            <w:tcW w:w="1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D0C28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2B60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E7C0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2021</w:t>
            </w:r>
          </w:p>
        </w:tc>
      </w:tr>
      <w:tr w:rsidR="00083CA4" w:rsidRPr="002A7673" w14:paraId="28B24701" w14:textId="77777777" w:rsidTr="005F7139">
        <w:trPr>
          <w:trHeight w:val="373"/>
          <w:jc w:val="center"/>
        </w:trPr>
        <w:tc>
          <w:tcPr>
            <w:tcW w:w="3547" w:type="dxa"/>
            <w:vMerge/>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A32EB35"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9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76357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w:t>
            </w:r>
          </w:p>
        </w:tc>
        <w:tc>
          <w:tcPr>
            <w:tcW w:w="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E98B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Técnica o Técnico Judicial 1</w:t>
            </w:r>
          </w:p>
        </w:tc>
        <w:tc>
          <w:tcPr>
            <w:tcW w:w="1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6311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66CE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3C346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2021</w:t>
            </w:r>
          </w:p>
        </w:tc>
      </w:tr>
    </w:tbl>
    <w:p w14:paraId="5A5ABC11" w14:textId="77777777" w:rsidR="00083CA4" w:rsidRPr="002A7673" w:rsidRDefault="00083CA4" w:rsidP="005F7139">
      <w:pPr>
        <w:spacing w:after="0" w:line="240" w:lineRule="auto"/>
        <w:rPr>
          <w:rFonts w:ascii="Times New Roman" w:eastAsia="Calibri" w:hAnsi="Times New Roman" w:cs="Times New Roman"/>
          <w:i/>
          <w:iCs/>
        </w:rPr>
      </w:pPr>
    </w:p>
    <w:p w14:paraId="65EDB5A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II. Justificación de la Situación o Necesidad Planteada</w:t>
      </w:r>
    </w:p>
    <w:p w14:paraId="6B5FEEC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A588AA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Se procede a analizar los recursos otorgados de manera extraordinaria para el 2021, como resultado de la </w:t>
      </w:r>
      <w:proofErr w:type="gramStart"/>
      <w:r w:rsidRPr="002A7673">
        <w:rPr>
          <w:rFonts w:ascii="Times New Roman" w:eastAsia="Calibri" w:hAnsi="Times New Roman" w:cs="Times New Roman"/>
          <w:i/>
          <w:iCs/>
          <w:sz w:val="26"/>
          <w:szCs w:val="26"/>
        </w:rPr>
        <w:t>entrada en vigencia</w:t>
      </w:r>
      <w:proofErr w:type="gramEnd"/>
      <w:r w:rsidRPr="002A7673">
        <w:rPr>
          <w:rFonts w:ascii="Times New Roman" w:eastAsia="Calibri" w:hAnsi="Times New Roman" w:cs="Times New Roman"/>
          <w:i/>
          <w:iCs/>
          <w:sz w:val="26"/>
          <w:szCs w:val="26"/>
        </w:rPr>
        <w:t xml:space="preserve"> del Nuevo Código Procesal Civil y para la ejecución de planes de descongestionamiento en oficinas y despachos que conocen la materia Civil y Cobratoria. A poco más de dos años de la reforma, se procederá a determinar los elementos necesarios que hagan visualizar la permanencia en el tiempo de las plazas concedidas.</w:t>
      </w:r>
    </w:p>
    <w:p w14:paraId="11CC2FC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15138C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III. Información Relevante</w:t>
      </w:r>
    </w:p>
    <w:p w14:paraId="03FC54E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252129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3.1 Antecedentes</w:t>
      </w:r>
    </w:p>
    <w:p w14:paraId="21A0CBB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0B39AD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El nuevo Código Procesal Civil, Ley 9342 fue publicado en el Diario Oficial la Gaceta en el Alcance 54 del viernes 8 de abril de 2016, entrando en vigor 30 meses después de su publicación, es decir, el 8 de octubre de 2018.</w:t>
      </w:r>
    </w:p>
    <w:p w14:paraId="75485B3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3E0F5E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 Dirección de Planificación mediante informe 24-PLA-MI-2017, aprobado por el Consejo Superior en sesión extraordinaria de Presupuesto 39-17 celebrada el 26 de abril 2017, artículo I, y por Corte Plena en sesión 15-17 del 31 de mayo de 2017, artículo IV relacionado con el Impacto Organizacional y Presupuestario en el Poder Judicial a partir de la promulgación del Nuevo Código Civil para el 2018.</w:t>
      </w:r>
    </w:p>
    <w:p w14:paraId="1847329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E6C3B7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Informe de la Dirección de Planificación 32-PLA-MI-2018, aprobado por el Consejo Superior en sesión 34-18 del 25 de abril de 2018, artículo III y sesión 42-18 del 15 de mayo 2018, artículo VI, VIII, IX y X.</w:t>
      </w:r>
    </w:p>
    <w:p w14:paraId="193347E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F5A884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Acuerdo del Consejo Superior en sesión 38-19 del 2 de mayo de 2019, artículo I, donde se conoció el informe 555-PLA-RH-MI-2019 “Impacto organizacional y presupuestario en el Poder Judicial a partir de la promulgación del Nuevo Código Procesal Civil para el 2020”. </w:t>
      </w:r>
    </w:p>
    <w:p w14:paraId="2F2B662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EFA0BB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Acuerdo del Consejo Superior 47-19 (presupuesto 2020) del 23 de mayo de 2019, artículo III donde se conoce la reconsideración 036-CJC-2019 del 9 de mayo de 2019, suscrito por el Magistrado William </w:t>
      </w:r>
      <w:proofErr w:type="spellStart"/>
      <w:r w:rsidRPr="002A7673">
        <w:rPr>
          <w:rFonts w:ascii="Times New Roman" w:eastAsia="Calibri" w:hAnsi="Times New Roman" w:cs="Times New Roman"/>
          <w:i/>
          <w:iCs/>
          <w:sz w:val="26"/>
          <w:szCs w:val="26"/>
        </w:rPr>
        <w:t>Molinari</w:t>
      </w:r>
      <w:proofErr w:type="spellEnd"/>
      <w:r w:rsidRPr="002A7673">
        <w:rPr>
          <w:rFonts w:ascii="Times New Roman" w:eastAsia="Calibri" w:hAnsi="Times New Roman" w:cs="Times New Roman"/>
          <w:i/>
          <w:iCs/>
          <w:sz w:val="26"/>
          <w:szCs w:val="26"/>
        </w:rPr>
        <w:t xml:space="preserve"> Vilches, Coordinador de la Comisión de la Jurisdicción Civil, por lo acordado por el Consejo Superior en sesión 38-19 del 2 de mayo de 2019, artículo I.</w:t>
      </w:r>
    </w:p>
    <w:p w14:paraId="49A0D58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A2D938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Acuerdo del Consejo Superior en sesión 48-20 del 14 de mayo de 2020, articulo VIII, donde se acordó: </w:t>
      </w:r>
    </w:p>
    <w:p w14:paraId="0180C3C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3E3BC8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 Aprobar técnicamente el informe 690-PLA-RH-OI-2020 de la Dirección de Planificación, relacionado con la continuidad de las plazas otorgadas como resultado de la promulgación del Nuevo Código Procesal Civil… () …</w:t>
      </w:r>
    </w:p>
    <w:p w14:paraId="12C45DF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255804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2) En cuanto a la plaza de gestor, aprobar el escenario N°2, en consecuencia: </w:t>
      </w:r>
    </w:p>
    <w:p w14:paraId="752722C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96EC16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 xml:space="preserve">a) Prorrogar la continuidad de la plaza de Jueza o Juez 5 (Gestora o Gestor de materia civil), adscrita actualmente al Centro de Apoyo, Coordinación y Mejoramiento de la Función Jurisdiccional, en condición extraordinaria para el 2021, para que continúe con la ejecución de las labores que ha venido desempeñando, posterior a la </w:t>
      </w:r>
      <w:proofErr w:type="gramStart"/>
      <w:r w:rsidRPr="002A7673">
        <w:rPr>
          <w:rFonts w:ascii="Times New Roman" w:eastAsia="Calibri" w:hAnsi="Times New Roman" w:cs="Times New Roman"/>
          <w:i/>
          <w:iCs/>
          <w:sz w:val="26"/>
          <w:szCs w:val="26"/>
        </w:rPr>
        <w:t>entrada en vigencia</w:t>
      </w:r>
      <w:proofErr w:type="gramEnd"/>
      <w:r w:rsidRPr="002A7673">
        <w:rPr>
          <w:rFonts w:ascii="Times New Roman" w:eastAsia="Calibri" w:hAnsi="Times New Roman" w:cs="Times New Roman"/>
          <w:i/>
          <w:iCs/>
          <w:sz w:val="26"/>
          <w:szCs w:val="26"/>
        </w:rPr>
        <w:t xml:space="preserve"> del Nuevo Código Procesal Civil, que coadyuvan en la mejora de la gestión de los despachos de materia civil y cobratoria.</w:t>
      </w:r>
    </w:p>
    <w:p w14:paraId="28FD74F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E7DE42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b) Deberá el Centro de Apoyo formular un plan de trabajo detallado, a fin de maximizar la utilización del recurso y contar con los insumos suficientes que evidencien la labor realizada de manera cualitativa y cuantitativa, con el objetivo de determinar la continuidad de la plaza, posterior al 2021, sea en condición extraordinaria u ordinaria.</w:t>
      </w:r>
    </w:p>
    <w:p w14:paraId="5EA688A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5D467D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 Sala Primera, el Centro de Apoyo, Coordinación y Mejoramiento de la Función Jurisdiccional y la Dirección de Tecnología de la Información tomaran nota para lo de su cargo. Se declara acuerdo firme.”.</w:t>
      </w:r>
    </w:p>
    <w:p w14:paraId="30A1B89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73460B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 Análisis de las plazas</w:t>
      </w:r>
    </w:p>
    <w:p w14:paraId="3F6FF63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546A29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Las plazas bajo análisis se concedieron con el objetivo de apoyar la </w:t>
      </w:r>
      <w:proofErr w:type="gramStart"/>
      <w:r w:rsidRPr="002A7673">
        <w:rPr>
          <w:rFonts w:ascii="Times New Roman" w:eastAsia="Calibri" w:hAnsi="Times New Roman" w:cs="Times New Roman"/>
          <w:i/>
          <w:iCs/>
          <w:sz w:val="26"/>
          <w:szCs w:val="26"/>
        </w:rPr>
        <w:t>entrada en vigencia</w:t>
      </w:r>
      <w:proofErr w:type="gramEnd"/>
      <w:r w:rsidRPr="002A7673">
        <w:rPr>
          <w:rFonts w:ascii="Times New Roman" w:eastAsia="Calibri" w:hAnsi="Times New Roman" w:cs="Times New Roman"/>
          <w:i/>
          <w:iCs/>
          <w:sz w:val="26"/>
          <w:szCs w:val="26"/>
        </w:rPr>
        <w:t xml:space="preserve"> del Nuevo Código Procesal Civil (Ley 9342) en octubre de 2018, lo que generó un impacto en el procedimiento, la competencia y la estructura organizacional de los despachos judiciales que se encargan de la tramitación de la materia civil.</w:t>
      </w:r>
    </w:p>
    <w:p w14:paraId="41D803D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7186DE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3.2.1 Plaza otorgada a la Dirección de Tecnología de Información</w:t>
      </w:r>
    </w:p>
    <w:p w14:paraId="1F3C269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1A1E84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El recurso concedido se ha venido otorgando desde el 2016 con la finalidad de apoyar el desarrollo de las mejoras informáticas requeridas en los sistemas que utilizan los despachos judiciales que conocen materia civil, como el Sistema de Gestión, Escritorio Virtual, el SREM y el CERODOC, entre otros.</w:t>
      </w:r>
    </w:p>
    <w:p w14:paraId="1B5952E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CCD15B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Entre el 2016 y 2018 fueron desarrolladas más de 100 mejoras en los diferentes sistemas necesarios para la implementación del Nuevo Código Procesal Civil.</w:t>
      </w:r>
    </w:p>
    <w:p w14:paraId="72C806F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EC035F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3.2.1.1. Labores realizadas en el 2019</w:t>
      </w:r>
    </w:p>
    <w:p w14:paraId="2EE3A89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EC76A9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En el 2019 se tenía planificado desarrollar 17 mejoras más de diferentes sistemas, además de las labores de mantenimiento y sostenibilidad que requieren los sistemas informáticos.</w:t>
      </w:r>
    </w:p>
    <w:p w14:paraId="735021F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43463D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En oficio 398-DTI-2020 del 20 de febrero de 2020, de la Dirección de Tecnología de Información, se indicó que el recurso extraordinario desarrolló 15 mejoras, dos menos de las que se tenían planeadas desarrollar, para un resultado del 88% de rendimiento respecto al objetivo establecido para el 2019. A continuación, se describen las mejoras desarrolladas en los sistemas a cargo del recurso adicional:</w:t>
      </w:r>
    </w:p>
    <w:p w14:paraId="48E6F7D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FBF9B12"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Sistemas Gestión en Línea, servicio envío de demandas, reparto por procedimiento.</w:t>
      </w:r>
    </w:p>
    <w:p w14:paraId="54ACEDCF"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Sistemas Recepción de Documentos (CEREDOC), envío de demandas, reparto por procedimiento.</w:t>
      </w:r>
    </w:p>
    <w:p w14:paraId="092C0A1A"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Servicio de Tramitación, envío de demandas, reparto por procedimiento.</w:t>
      </w:r>
    </w:p>
    <w:p w14:paraId="798C2A22"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Sistema Escritorio Virtual, reparto por procedimiento.</w:t>
      </w:r>
    </w:p>
    <w:p w14:paraId="11395E61"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Sistema Gestión, reparto por procedimiento.</w:t>
      </w:r>
    </w:p>
    <w:p w14:paraId="60E664CF"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Solicitudes de embargo en el Sistema Escritorio Virtual.</w:t>
      </w:r>
    </w:p>
    <w:p w14:paraId="01B65489"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Sistema SREM, crear servicios para solicitudes de embargo de bienes muebles e inmuebles.</w:t>
      </w:r>
    </w:p>
    <w:p w14:paraId="4AD5BE7F"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Registro de Resolución automatizada, relacionar fases y estados con datos de resolución.</w:t>
      </w:r>
    </w:p>
    <w:p w14:paraId="04F9E6DC"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Sistema Escritorio Virtual y Escritos por conocimiento.</w:t>
      </w:r>
    </w:p>
    <w:p w14:paraId="021A2C70"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Sistema Recepción de Documentos y Escritos por conocimientos.</w:t>
      </w:r>
    </w:p>
    <w:p w14:paraId="4127861A"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Sistema Gestión en Línea y Escritos por conocimiento.</w:t>
      </w:r>
    </w:p>
    <w:p w14:paraId="24505CE1"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Servicios de Tramitación.</w:t>
      </w:r>
    </w:p>
    <w:p w14:paraId="3A07EE84"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Ajustes en el Cálculo de Intereses.</w:t>
      </w:r>
    </w:p>
    <w:p w14:paraId="5D56226E"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Sistema Escritorio Virtual, sobre estado cancelado de escritos.</w:t>
      </w:r>
    </w:p>
    <w:p w14:paraId="4C73C60E" w14:textId="77777777" w:rsidR="00083CA4" w:rsidRPr="002A7673" w:rsidRDefault="00083CA4" w:rsidP="00F129A6">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Ajustes al reparto asunto por familia para nueva estructura del Tribunal Colegiado Civil.</w:t>
      </w:r>
    </w:p>
    <w:p w14:paraId="1081D6B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017C75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Adicionalmente el recurso se dedicó a la atención de usuarios, apoyo y seguimiento al uso de dichas mejoras en todas las oficinas civiles y atención de 106 reportes recibidos de las personas usuarias.</w:t>
      </w:r>
    </w:p>
    <w:p w14:paraId="0B47DED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F3C2CA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3.2.1.2. Labores realizadas en el 2020</w:t>
      </w:r>
    </w:p>
    <w:p w14:paraId="2289E10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E89B12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Para el 2020, el recurso adicional junto con tres recursos ordinarios se dedicó al desarrollo de más de 100 mejoras realizadas en los sistemas </w:t>
      </w:r>
      <w:r w:rsidRPr="002A7673">
        <w:rPr>
          <w:rFonts w:ascii="Times New Roman" w:eastAsia="Calibri" w:hAnsi="Times New Roman" w:cs="Times New Roman"/>
          <w:i/>
          <w:iCs/>
          <w:sz w:val="26"/>
          <w:szCs w:val="26"/>
        </w:rPr>
        <w:lastRenderedPageBreak/>
        <w:t xml:space="preserve">actuales para migrarlas al nuevo Sistema de Gestión que está en proceso de desarrollo y que según la </w:t>
      </w:r>
      <w:proofErr w:type="spellStart"/>
      <w:r w:rsidRPr="002A7673">
        <w:rPr>
          <w:rFonts w:ascii="Times New Roman" w:eastAsia="Calibri" w:hAnsi="Times New Roman" w:cs="Times New Roman"/>
          <w:i/>
          <w:iCs/>
          <w:sz w:val="26"/>
          <w:szCs w:val="26"/>
        </w:rPr>
        <w:t>Msc</w:t>
      </w:r>
      <w:proofErr w:type="spellEnd"/>
      <w:r w:rsidRPr="002A7673">
        <w:rPr>
          <w:rFonts w:ascii="Times New Roman" w:eastAsia="Calibri" w:hAnsi="Times New Roman" w:cs="Times New Roman"/>
          <w:i/>
          <w:iCs/>
          <w:sz w:val="26"/>
          <w:szCs w:val="26"/>
        </w:rPr>
        <w:t xml:space="preserve">. Vivian </w:t>
      </w:r>
      <w:proofErr w:type="spellStart"/>
      <w:r w:rsidRPr="002A7673">
        <w:rPr>
          <w:rFonts w:ascii="Times New Roman" w:eastAsia="Calibri" w:hAnsi="Times New Roman" w:cs="Times New Roman"/>
          <w:i/>
          <w:iCs/>
          <w:sz w:val="26"/>
          <w:szCs w:val="26"/>
        </w:rPr>
        <w:t>Rímola</w:t>
      </w:r>
      <w:proofErr w:type="spellEnd"/>
      <w:r w:rsidRPr="002A7673">
        <w:rPr>
          <w:rFonts w:ascii="Times New Roman" w:eastAsia="Calibri" w:hAnsi="Times New Roman" w:cs="Times New Roman"/>
          <w:i/>
          <w:iCs/>
          <w:sz w:val="26"/>
          <w:szCs w:val="26"/>
        </w:rPr>
        <w:t xml:space="preserve"> Soto, Jefa </w:t>
      </w:r>
      <w:proofErr w:type="spellStart"/>
      <w:r w:rsidRPr="002A7673">
        <w:rPr>
          <w:rFonts w:ascii="Times New Roman" w:eastAsia="Calibri" w:hAnsi="Times New Roman" w:cs="Times New Roman"/>
          <w:i/>
          <w:iCs/>
          <w:sz w:val="26"/>
          <w:szCs w:val="26"/>
        </w:rPr>
        <w:t>a.í</w:t>
      </w:r>
      <w:proofErr w:type="spellEnd"/>
      <w:r w:rsidRPr="002A7673">
        <w:rPr>
          <w:rFonts w:ascii="Times New Roman" w:eastAsia="Calibri" w:hAnsi="Times New Roman" w:cs="Times New Roman"/>
          <w:i/>
          <w:iCs/>
          <w:sz w:val="26"/>
          <w:szCs w:val="26"/>
        </w:rPr>
        <w:t xml:space="preserve"> del Subproceso de Sistemas Jurisdiccionales de la Dirección de Tecnología de Información se culminará a finales de julio del 2022, con el equipo de trabajo indicado.</w:t>
      </w:r>
    </w:p>
    <w:p w14:paraId="235D7A6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42CE64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Específicamente lo ejecutado por la plaza extraordinaria en análisis se indica que desarrolló 18 módulos nuevos en el nuevo sistema de gestión, equivalente a 47 funcionalidades desarrolladas para el nuevo sistema de gestión.</w:t>
      </w:r>
    </w:p>
    <w:p w14:paraId="598C1CF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F403FB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Lo que para efectos de lo planificado corresponde a un cumplimiento superior del 100% sobrepasando lo planificado. </w:t>
      </w:r>
    </w:p>
    <w:p w14:paraId="0EDA3A3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4F7E98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3.2.1.3. Labores por realizar en el 2021-2022</w:t>
      </w:r>
    </w:p>
    <w:p w14:paraId="15C6DDE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93C869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Para este año 2021, esa plaza extraordinaria tiene a cargo el desarrollo de 7 nuevos módulos en el nuevo sistema de gestión, de una complejidad alta, en comparación con lo que desarrolló durante el año 2020. Y para el 2022 tiene a cargo el desarrollo de otros 7 nuevos módulos adicionales al nuevo sistema de gestión. A continuación, se brinda el detalle suministrado por la </w:t>
      </w:r>
      <w:proofErr w:type="spellStart"/>
      <w:r w:rsidRPr="002A7673">
        <w:rPr>
          <w:rFonts w:ascii="Times New Roman" w:eastAsia="Calibri" w:hAnsi="Times New Roman" w:cs="Times New Roman"/>
          <w:i/>
          <w:iCs/>
          <w:sz w:val="26"/>
          <w:szCs w:val="26"/>
        </w:rPr>
        <w:t>Msc</w:t>
      </w:r>
      <w:proofErr w:type="spellEnd"/>
      <w:r w:rsidRPr="002A7673">
        <w:rPr>
          <w:rFonts w:ascii="Times New Roman" w:eastAsia="Calibri" w:hAnsi="Times New Roman" w:cs="Times New Roman"/>
          <w:i/>
          <w:iCs/>
          <w:sz w:val="26"/>
          <w:szCs w:val="26"/>
        </w:rPr>
        <w:t xml:space="preserve">. </w:t>
      </w:r>
      <w:proofErr w:type="spellStart"/>
      <w:r w:rsidRPr="002A7673">
        <w:rPr>
          <w:rFonts w:ascii="Times New Roman" w:eastAsia="Calibri" w:hAnsi="Times New Roman" w:cs="Times New Roman"/>
          <w:i/>
          <w:iCs/>
          <w:sz w:val="26"/>
          <w:szCs w:val="26"/>
        </w:rPr>
        <w:t>Rímola</w:t>
      </w:r>
      <w:proofErr w:type="spellEnd"/>
      <w:r w:rsidRPr="002A7673">
        <w:rPr>
          <w:rFonts w:ascii="Times New Roman" w:eastAsia="Calibri" w:hAnsi="Times New Roman" w:cs="Times New Roman"/>
          <w:i/>
          <w:iCs/>
          <w:sz w:val="26"/>
          <w:szCs w:val="26"/>
        </w:rPr>
        <w:t xml:space="preserve"> Soto:</w:t>
      </w:r>
    </w:p>
    <w:p w14:paraId="72034EBA" w14:textId="77777777" w:rsidR="00083CA4" w:rsidRPr="002A7673" w:rsidRDefault="00083CA4" w:rsidP="005F7139">
      <w:pPr>
        <w:spacing w:after="0" w:line="240" w:lineRule="auto"/>
        <w:rPr>
          <w:rFonts w:ascii="Times New Roman" w:eastAsia="Calibri" w:hAnsi="Times New Roman" w:cs="Times New Roman"/>
          <w:i/>
          <w:iCs/>
        </w:rPr>
      </w:pPr>
    </w:p>
    <w:tbl>
      <w:tblPr>
        <w:tblW w:w="0" w:type="auto"/>
        <w:tblInd w:w="75" w:type="dxa"/>
        <w:tblLayout w:type="fixed"/>
        <w:tblCellMar>
          <w:left w:w="0" w:type="dxa"/>
          <w:right w:w="0" w:type="dxa"/>
        </w:tblCellMar>
        <w:tblLook w:val="0000" w:firstRow="0" w:lastRow="0" w:firstColumn="0" w:lastColumn="0" w:noHBand="0" w:noVBand="0"/>
      </w:tblPr>
      <w:tblGrid>
        <w:gridCol w:w="5378"/>
        <w:gridCol w:w="1188"/>
        <w:gridCol w:w="1215"/>
        <w:gridCol w:w="1046"/>
      </w:tblGrid>
      <w:tr w:rsidR="00083CA4" w:rsidRPr="002A7673" w14:paraId="255A632A" w14:textId="77777777" w:rsidTr="005F7139">
        <w:trPr>
          <w:trHeight w:val="792"/>
        </w:trPr>
        <w:tc>
          <w:tcPr>
            <w:tcW w:w="5378" w:type="dxa"/>
            <w:tcBorders>
              <w:top w:val="single" w:sz="4" w:space="0" w:color="000000"/>
              <w:left w:val="single" w:sz="4" w:space="0" w:color="000000"/>
              <w:bottom w:val="single" w:sz="4" w:space="0" w:color="000000"/>
              <w:right w:val="single" w:sz="4" w:space="0" w:color="000000"/>
            </w:tcBorders>
            <w:shd w:val="clear" w:color="auto" w:fill="BF8F00"/>
            <w:tcMar>
              <w:top w:w="0" w:type="dxa"/>
              <w:left w:w="70" w:type="dxa"/>
              <w:bottom w:w="0" w:type="dxa"/>
              <w:right w:w="70" w:type="dxa"/>
            </w:tcMar>
            <w:vAlign w:val="center"/>
          </w:tcPr>
          <w:p w14:paraId="03F01E8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Nombre de tarea</w:t>
            </w:r>
          </w:p>
        </w:tc>
        <w:tc>
          <w:tcPr>
            <w:tcW w:w="1188"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2DD0A6C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Fecha de comienzo</w:t>
            </w:r>
          </w:p>
        </w:tc>
        <w:tc>
          <w:tcPr>
            <w:tcW w:w="1215"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389A991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Fecha de Finalización</w:t>
            </w:r>
          </w:p>
        </w:tc>
        <w:tc>
          <w:tcPr>
            <w:tcW w:w="1046"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1DF0438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Tipo de asignación</w:t>
            </w:r>
          </w:p>
        </w:tc>
      </w:tr>
      <w:tr w:rsidR="00083CA4" w:rsidRPr="002A7673" w14:paraId="208B70EE" w14:textId="77777777" w:rsidTr="005F7139">
        <w:trPr>
          <w:trHeight w:val="480"/>
        </w:trPr>
        <w:tc>
          <w:tcPr>
            <w:tcW w:w="5378" w:type="dxa"/>
            <w:tcBorders>
              <w:top w:val="nil"/>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179AF7AF" w14:textId="77777777" w:rsidR="00083CA4" w:rsidRPr="002A7673" w:rsidRDefault="00083CA4" w:rsidP="005F7139">
            <w:pPr>
              <w:spacing w:after="0" w:line="240" w:lineRule="auto"/>
              <w:rPr>
                <w:rFonts w:ascii="Times New Roman" w:eastAsia="Calibri" w:hAnsi="Times New Roman" w:cs="Times New Roman"/>
                <w:i/>
                <w:iCs/>
                <w:sz w:val="26"/>
                <w:szCs w:val="26"/>
              </w:rPr>
            </w:pPr>
            <w:proofErr w:type="spellStart"/>
            <w:r w:rsidRPr="002A7673">
              <w:rPr>
                <w:rFonts w:ascii="Times New Roman" w:eastAsia="Calibri" w:hAnsi="Times New Roman" w:cs="Times New Roman"/>
                <w:i/>
                <w:iCs/>
                <w:sz w:val="26"/>
                <w:szCs w:val="26"/>
              </w:rPr>
              <w:t>Itineraciones</w:t>
            </w:r>
            <w:proofErr w:type="spellEnd"/>
            <w:r w:rsidRPr="002A7673">
              <w:rPr>
                <w:rFonts w:ascii="Times New Roman" w:eastAsia="Calibri" w:hAnsi="Times New Roman" w:cs="Times New Roman"/>
                <w:i/>
                <w:iCs/>
                <w:sz w:val="26"/>
                <w:szCs w:val="26"/>
              </w:rPr>
              <w:t>: Buzón de enviados y recibidos, integración con el actual Sistema de Gestión</w:t>
            </w:r>
          </w:p>
        </w:tc>
        <w:tc>
          <w:tcPr>
            <w:tcW w:w="1188"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2F1CBB9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17/12/2020</w:t>
            </w:r>
          </w:p>
        </w:tc>
        <w:tc>
          <w:tcPr>
            <w:tcW w:w="1215"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7C560AA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26/2/2021</w:t>
            </w:r>
          </w:p>
        </w:tc>
        <w:tc>
          <w:tcPr>
            <w:tcW w:w="1046"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0BE30D8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23E33BA6" w14:textId="77777777" w:rsidTr="005F7139">
        <w:trPr>
          <w:trHeight w:val="480"/>
        </w:trPr>
        <w:tc>
          <w:tcPr>
            <w:tcW w:w="5378" w:type="dxa"/>
            <w:tcBorders>
              <w:top w:val="nil"/>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20780F5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Integración del Sistema Integral de Apoyo a los Procesos Jurisdiccionales con el Archivo Judicial</w:t>
            </w:r>
          </w:p>
        </w:tc>
        <w:tc>
          <w:tcPr>
            <w:tcW w:w="1188"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38F21F6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1/3/2021</w:t>
            </w:r>
          </w:p>
        </w:tc>
        <w:tc>
          <w:tcPr>
            <w:tcW w:w="1215"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3BAB8A3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14/4/2021</w:t>
            </w:r>
          </w:p>
        </w:tc>
        <w:tc>
          <w:tcPr>
            <w:tcW w:w="1046"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3EE2F52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77A3E6E3" w14:textId="77777777" w:rsidTr="005F7139">
        <w:trPr>
          <w:trHeight w:val="240"/>
        </w:trPr>
        <w:tc>
          <w:tcPr>
            <w:tcW w:w="5378" w:type="dxa"/>
            <w:tcBorders>
              <w:top w:val="nil"/>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5F74136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Solicitud de salas juicio en la agenda</w:t>
            </w:r>
          </w:p>
        </w:tc>
        <w:tc>
          <w:tcPr>
            <w:tcW w:w="1188"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0319A79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14/4/2021</w:t>
            </w:r>
          </w:p>
        </w:tc>
        <w:tc>
          <w:tcPr>
            <w:tcW w:w="1215"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0A4037A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27/4/2021</w:t>
            </w:r>
          </w:p>
        </w:tc>
        <w:tc>
          <w:tcPr>
            <w:tcW w:w="1046"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5CA3168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0B08F50C" w14:textId="77777777" w:rsidTr="005F7139">
        <w:trPr>
          <w:trHeight w:val="720"/>
        </w:trPr>
        <w:tc>
          <w:tcPr>
            <w:tcW w:w="5378" w:type="dxa"/>
            <w:tcBorders>
              <w:top w:val="nil"/>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65DD89A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Validación de cuentas para depósitos judiciales desde el Sistema Integral de Apoyo a los Procesos Jurisdiccionales</w:t>
            </w:r>
          </w:p>
        </w:tc>
        <w:tc>
          <w:tcPr>
            <w:tcW w:w="1188"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7EF78B6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27/4/2021</w:t>
            </w:r>
          </w:p>
        </w:tc>
        <w:tc>
          <w:tcPr>
            <w:tcW w:w="1215"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79AB312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11/5/2021</w:t>
            </w:r>
          </w:p>
        </w:tc>
        <w:tc>
          <w:tcPr>
            <w:tcW w:w="1046"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378882A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5128B407" w14:textId="77777777" w:rsidTr="005F7139">
        <w:trPr>
          <w:trHeight w:val="720"/>
        </w:trPr>
        <w:tc>
          <w:tcPr>
            <w:tcW w:w="5378" w:type="dxa"/>
            <w:tcBorders>
              <w:top w:val="nil"/>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71AD7F8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Implementar los avisos calendarizados por configuraciones y en el Sistema Integral de Apoyo a los Procesos Jurisdiccionales</w:t>
            </w:r>
          </w:p>
        </w:tc>
        <w:tc>
          <w:tcPr>
            <w:tcW w:w="1188"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2803859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4/3/2021</w:t>
            </w:r>
          </w:p>
        </w:tc>
        <w:tc>
          <w:tcPr>
            <w:tcW w:w="1215"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2A29AAD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24/5/2021</w:t>
            </w:r>
          </w:p>
        </w:tc>
        <w:tc>
          <w:tcPr>
            <w:tcW w:w="1046"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1B8B7C3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6D7E6602" w14:textId="77777777" w:rsidTr="005F7139">
        <w:trPr>
          <w:trHeight w:val="240"/>
        </w:trPr>
        <w:tc>
          <w:tcPr>
            <w:tcW w:w="5378" w:type="dxa"/>
            <w:tcBorders>
              <w:top w:val="nil"/>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218F41E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Reparto por procedimiento y clase</w:t>
            </w:r>
          </w:p>
        </w:tc>
        <w:tc>
          <w:tcPr>
            <w:tcW w:w="1188"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0FE091E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24/5/2021</w:t>
            </w:r>
          </w:p>
        </w:tc>
        <w:tc>
          <w:tcPr>
            <w:tcW w:w="1215"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3549902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3/9/2021</w:t>
            </w:r>
          </w:p>
        </w:tc>
        <w:tc>
          <w:tcPr>
            <w:tcW w:w="1046"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622CD89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223CE503" w14:textId="77777777" w:rsidTr="005F7139">
        <w:trPr>
          <w:trHeight w:val="480"/>
        </w:trPr>
        <w:tc>
          <w:tcPr>
            <w:tcW w:w="5378" w:type="dxa"/>
            <w:tcBorders>
              <w:top w:val="nil"/>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251C414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Automatización de liquidaciones de intereses y costas</w:t>
            </w:r>
          </w:p>
        </w:tc>
        <w:tc>
          <w:tcPr>
            <w:tcW w:w="1188"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48021A7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3/9/2021</w:t>
            </w:r>
          </w:p>
        </w:tc>
        <w:tc>
          <w:tcPr>
            <w:tcW w:w="1215"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13BD110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21/2/2022</w:t>
            </w:r>
          </w:p>
        </w:tc>
        <w:tc>
          <w:tcPr>
            <w:tcW w:w="1046"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center"/>
          </w:tcPr>
          <w:p w14:paraId="574236C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6C67C63E" w14:textId="77777777" w:rsidTr="005F7139">
        <w:trPr>
          <w:trHeight w:val="2280"/>
        </w:trPr>
        <w:tc>
          <w:tcPr>
            <w:tcW w:w="5378" w:type="dxa"/>
            <w:tcBorders>
              <w:top w:val="nil"/>
              <w:left w:val="single" w:sz="4" w:space="0" w:color="000000"/>
              <w:bottom w:val="single" w:sz="4" w:space="0" w:color="000000"/>
              <w:right w:val="single" w:sz="4" w:space="0" w:color="000000"/>
            </w:tcBorders>
            <w:shd w:val="clear" w:color="auto" w:fill="E2EFDA"/>
            <w:tcMar>
              <w:top w:w="0" w:type="dxa"/>
              <w:left w:w="70" w:type="dxa"/>
              <w:bottom w:w="0" w:type="dxa"/>
              <w:right w:w="70" w:type="dxa"/>
            </w:tcMar>
            <w:vAlign w:val="center"/>
          </w:tcPr>
          <w:p w14:paraId="152A60B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Mejoras en la tramitación de expedientes y legajos: Mejoras al buzón de tareas, reentrados, intervinientes, plazos de las tareas, cuantía, consulta de abogados suspendidos, libro de pase a fallo por ubicación, fecha de vencimiento de la resolución y filtros en el buzón de tareas.</w:t>
            </w:r>
          </w:p>
        </w:tc>
        <w:tc>
          <w:tcPr>
            <w:tcW w:w="1188"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15CCD79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21/2/2022</w:t>
            </w:r>
          </w:p>
        </w:tc>
        <w:tc>
          <w:tcPr>
            <w:tcW w:w="1215"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6E76D16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4/4/2022</w:t>
            </w:r>
          </w:p>
        </w:tc>
        <w:tc>
          <w:tcPr>
            <w:tcW w:w="1046"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5F4B722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0EE8C6C6" w14:textId="77777777" w:rsidTr="005F7139">
        <w:trPr>
          <w:trHeight w:val="1050"/>
        </w:trPr>
        <w:tc>
          <w:tcPr>
            <w:tcW w:w="5378" w:type="dxa"/>
            <w:tcBorders>
              <w:top w:val="nil"/>
              <w:left w:val="single" w:sz="4" w:space="0" w:color="000000"/>
              <w:bottom w:val="single" w:sz="4" w:space="0" w:color="000000"/>
              <w:right w:val="single" w:sz="4" w:space="0" w:color="000000"/>
            </w:tcBorders>
            <w:shd w:val="clear" w:color="auto" w:fill="E2EFDA"/>
            <w:tcMar>
              <w:top w:w="0" w:type="dxa"/>
              <w:left w:w="70" w:type="dxa"/>
              <w:bottom w:w="0" w:type="dxa"/>
              <w:right w:w="70" w:type="dxa"/>
            </w:tcMar>
            <w:vAlign w:val="center"/>
          </w:tcPr>
          <w:p w14:paraId="642D249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Implementación de Alertas configurables en el Sistema Integral de Apoyo a los Procesos Jurisdiccionales</w:t>
            </w:r>
          </w:p>
        </w:tc>
        <w:tc>
          <w:tcPr>
            <w:tcW w:w="1188"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32E0CC2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4/4/2022</w:t>
            </w:r>
          </w:p>
        </w:tc>
        <w:tc>
          <w:tcPr>
            <w:tcW w:w="1215"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7505E41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17/5/2022</w:t>
            </w:r>
          </w:p>
        </w:tc>
        <w:tc>
          <w:tcPr>
            <w:tcW w:w="1046"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7E0B347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292A817C" w14:textId="77777777" w:rsidTr="005F7139">
        <w:trPr>
          <w:trHeight w:val="960"/>
        </w:trPr>
        <w:tc>
          <w:tcPr>
            <w:tcW w:w="5378" w:type="dxa"/>
            <w:tcBorders>
              <w:top w:val="nil"/>
              <w:left w:val="single" w:sz="4" w:space="0" w:color="000000"/>
              <w:bottom w:val="single" w:sz="4" w:space="0" w:color="000000"/>
              <w:right w:val="single" w:sz="4" w:space="0" w:color="000000"/>
            </w:tcBorders>
            <w:shd w:val="clear" w:color="auto" w:fill="E2EFDA"/>
            <w:tcMar>
              <w:top w:w="0" w:type="dxa"/>
              <w:left w:w="70" w:type="dxa"/>
              <w:bottom w:w="0" w:type="dxa"/>
              <w:right w:w="70" w:type="dxa"/>
            </w:tcMar>
            <w:vAlign w:val="center"/>
          </w:tcPr>
          <w:p w14:paraId="131E520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Mejoras en la agenda electrónica: Permitir modificar el Intervalo entre los señalamientos de remates y detectar choques en agendas de intervinientes o abogados. (este requerimiento aplicaría para todas las materias, el análisis de los requerimientos viene de muchas oficinas, lo que se trata es de evitar que se cancelen audiencias, por ejemplo: se presenta una situación inclusive en un mismo despacho, a un abogado le agendaron una audiencia para otro caso y ya tiene agendada otro señalamiento, con esto se busca que el sistema genere una alerta y no agendar si no existe disponibilidad de audiencias y evitar cancelaciones. </w:t>
            </w:r>
          </w:p>
        </w:tc>
        <w:tc>
          <w:tcPr>
            <w:tcW w:w="1188"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0D3E987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17/5/2022</w:t>
            </w:r>
          </w:p>
        </w:tc>
        <w:tc>
          <w:tcPr>
            <w:tcW w:w="1215"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356AC0C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1/6/2022</w:t>
            </w:r>
          </w:p>
        </w:tc>
        <w:tc>
          <w:tcPr>
            <w:tcW w:w="1046"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5B716B3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3A9365EF" w14:textId="77777777" w:rsidTr="005F7139">
        <w:trPr>
          <w:trHeight w:val="240"/>
        </w:trPr>
        <w:tc>
          <w:tcPr>
            <w:tcW w:w="5378" w:type="dxa"/>
            <w:tcBorders>
              <w:top w:val="nil"/>
              <w:left w:val="single" w:sz="4" w:space="0" w:color="000000"/>
              <w:bottom w:val="single" w:sz="4" w:space="0" w:color="000000"/>
              <w:right w:val="single" w:sz="4" w:space="0" w:color="000000"/>
            </w:tcBorders>
            <w:shd w:val="clear" w:color="auto" w:fill="E2EFDA"/>
            <w:tcMar>
              <w:top w:w="0" w:type="dxa"/>
              <w:left w:w="70" w:type="dxa"/>
              <w:bottom w:w="0" w:type="dxa"/>
              <w:right w:w="70" w:type="dxa"/>
            </w:tcMar>
            <w:vAlign w:val="center"/>
          </w:tcPr>
          <w:p w14:paraId="5EB6327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Cesiones de derechos</w:t>
            </w:r>
          </w:p>
        </w:tc>
        <w:tc>
          <w:tcPr>
            <w:tcW w:w="1188"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0EBBA0F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1/6/2022</w:t>
            </w:r>
          </w:p>
        </w:tc>
        <w:tc>
          <w:tcPr>
            <w:tcW w:w="1215"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4F1B802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2/8/2022</w:t>
            </w:r>
          </w:p>
        </w:tc>
        <w:tc>
          <w:tcPr>
            <w:tcW w:w="1046"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6D10DA4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66216559" w14:textId="77777777" w:rsidTr="005F7139">
        <w:trPr>
          <w:trHeight w:val="1200"/>
        </w:trPr>
        <w:tc>
          <w:tcPr>
            <w:tcW w:w="5378" w:type="dxa"/>
            <w:tcBorders>
              <w:top w:val="nil"/>
              <w:left w:val="single" w:sz="4" w:space="0" w:color="000000"/>
              <w:bottom w:val="single" w:sz="4" w:space="0" w:color="000000"/>
              <w:right w:val="single" w:sz="4" w:space="0" w:color="000000"/>
            </w:tcBorders>
            <w:shd w:val="clear" w:color="auto" w:fill="E2EFDA"/>
            <w:tcMar>
              <w:top w:w="0" w:type="dxa"/>
              <w:left w:w="70" w:type="dxa"/>
              <w:bottom w:w="0" w:type="dxa"/>
              <w:right w:w="70" w:type="dxa"/>
            </w:tcMar>
            <w:vAlign w:val="center"/>
          </w:tcPr>
          <w:p w14:paraId="43BA50E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Integración con el SDJ: Giros automáticos en SDJ, validar expedientes en el SDJ al generar embargos, automatización de comisiones, desactivar expedientes en el SDJ al generar machotes, validar expedientes en el SDJ al generar embargos.</w:t>
            </w:r>
          </w:p>
        </w:tc>
        <w:tc>
          <w:tcPr>
            <w:tcW w:w="1188"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5DBD6D0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2/8/2022</w:t>
            </w:r>
          </w:p>
        </w:tc>
        <w:tc>
          <w:tcPr>
            <w:tcW w:w="1215"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470D771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21/9/2022</w:t>
            </w:r>
          </w:p>
        </w:tc>
        <w:tc>
          <w:tcPr>
            <w:tcW w:w="1046"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6A9EB8B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r w:rsidR="00083CA4" w:rsidRPr="002A7673" w14:paraId="44B50239" w14:textId="77777777" w:rsidTr="005F7139">
        <w:trPr>
          <w:trHeight w:val="1440"/>
        </w:trPr>
        <w:tc>
          <w:tcPr>
            <w:tcW w:w="5378" w:type="dxa"/>
            <w:tcBorders>
              <w:top w:val="nil"/>
              <w:left w:val="single" w:sz="4" w:space="0" w:color="000000"/>
              <w:bottom w:val="single" w:sz="4" w:space="0" w:color="000000"/>
              <w:right w:val="single" w:sz="4" w:space="0" w:color="000000"/>
            </w:tcBorders>
            <w:shd w:val="clear" w:color="auto" w:fill="E2EFDA"/>
            <w:tcMar>
              <w:top w:w="0" w:type="dxa"/>
              <w:left w:w="70" w:type="dxa"/>
              <w:bottom w:w="0" w:type="dxa"/>
              <w:right w:w="70" w:type="dxa"/>
            </w:tcMar>
            <w:vAlign w:val="center"/>
          </w:tcPr>
          <w:p w14:paraId="2A3A06D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Integración con Sistema SREM: Embargos físicos en el archivo judicial, implementar buzón de envíos al SREM en el historial procesal, solicitudes de embargos y cancelaciones automáticas y obtener datos del registro nacional al generar formatos jurídicos.</w:t>
            </w:r>
          </w:p>
        </w:tc>
        <w:tc>
          <w:tcPr>
            <w:tcW w:w="1188"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0F26059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21/9/2022</w:t>
            </w:r>
          </w:p>
        </w:tc>
        <w:tc>
          <w:tcPr>
            <w:tcW w:w="1215"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40B1E36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23/12/2022</w:t>
            </w:r>
          </w:p>
        </w:tc>
        <w:tc>
          <w:tcPr>
            <w:tcW w:w="1046" w:type="dxa"/>
            <w:tcBorders>
              <w:top w:val="nil"/>
              <w:left w:val="nil"/>
              <w:bottom w:val="single" w:sz="4" w:space="0" w:color="000000"/>
              <w:right w:val="single" w:sz="4" w:space="0" w:color="000000"/>
            </w:tcBorders>
            <w:shd w:val="clear" w:color="auto" w:fill="E2EFDA"/>
            <w:tcMar>
              <w:top w:w="0" w:type="dxa"/>
              <w:left w:w="70" w:type="dxa"/>
              <w:bottom w:w="0" w:type="dxa"/>
              <w:right w:w="70" w:type="dxa"/>
            </w:tcMar>
            <w:vAlign w:val="center"/>
          </w:tcPr>
          <w:p w14:paraId="036E977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Desarrollo</w:t>
            </w:r>
          </w:p>
        </w:tc>
      </w:tr>
    </w:tbl>
    <w:p w14:paraId="6F2330A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Fuente: Dirección de Tecnologías de la Información</w:t>
      </w:r>
    </w:p>
    <w:p w14:paraId="340F533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AF8FE5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De la tabla anterior las tareas con relleno de color verde corresponden a tareas que inician y finalizan en el periodo 2022, no obstante, se debe indicar que la tarea denominada “Automatización de liquidaciones de intereses y costas” inicia en setiembre 2021 y según estimaciones se extiende hasta el 21 de febrero de 2022, lo que llama la atención ya que del plan de trabajo es la actividad con mayor cantidad de días naturales, 171 en total. </w:t>
      </w:r>
    </w:p>
    <w:p w14:paraId="4D42056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8D62A4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La </w:t>
      </w:r>
      <w:proofErr w:type="spellStart"/>
      <w:r w:rsidRPr="002A7673">
        <w:rPr>
          <w:rFonts w:ascii="Times New Roman" w:eastAsia="Calibri" w:hAnsi="Times New Roman" w:cs="Times New Roman"/>
          <w:i/>
          <w:iCs/>
          <w:sz w:val="26"/>
          <w:szCs w:val="26"/>
        </w:rPr>
        <w:t>Msc</w:t>
      </w:r>
      <w:proofErr w:type="spellEnd"/>
      <w:r w:rsidRPr="002A7673">
        <w:rPr>
          <w:rFonts w:ascii="Times New Roman" w:eastAsia="Calibri" w:hAnsi="Times New Roman" w:cs="Times New Roman"/>
          <w:i/>
          <w:iCs/>
          <w:sz w:val="26"/>
          <w:szCs w:val="26"/>
        </w:rPr>
        <w:t xml:space="preserve">. </w:t>
      </w:r>
      <w:proofErr w:type="spellStart"/>
      <w:r w:rsidRPr="002A7673">
        <w:rPr>
          <w:rFonts w:ascii="Times New Roman" w:eastAsia="Calibri" w:hAnsi="Times New Roman" w:cs="Times New Roman"/>
          <w:i/>
          <w:iCs/>
          <w:sz w:val="26"/>
          <w:szCs w:val="26"/>
        </w:rPr>
        <w:t>Rímola</w:t>
      </w:r>
      <w:proofErr w:type="spellEnd"/>
      <w:r w:rsidRPr="002A7673">
        <w:rPr>
          <w:rFonts w:ascii="Times New Roman" w:eastAsia="Calibri" w:hAnsi="Times New Roman" w:cs="Times New Roman"/>
          <w:i/>
          <w:iCs/>
          <w:sz w:val="26"/>
          <w:szCs w:val="26"/>
        </w:rPr>
        <w:t xml:space="preserve"> Soto señaló que, de no contar con ese recurso, el plan de trabajo se vería afectado y no se finalizaría en el tiempo establecido, experimentando un atraso, lo que tendría una incidencia negativa en los despachos civiles y su migración al nuevo Sistema de Gestión.</w:t>
      </w:r>
    </w:p>
    <w:p w14:paraId="4B214BF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76C694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3.2.1.4. Criterio sobre la continuidad de la plaza</w:t>
      </w:r>
    </w:p>
    <w:p w14:paraId="75105A4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F64558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La </w:t>
      </w:r>
      <w:proofErr w:type="spellStart"/>
      <w:r w:rsidRPr="002A7673">
        <w:rPr>
          <w:rFonts w:ascii="Times New Roman" w:eastAsia="Calibri" w:hAnsi="Times New Roman" w:cs="Times New Roman"/>
          <w:i/>
          <w:iCs/>
          <w:sz w:val="26"/>
          <w:szCs w:val="26"/>
        </w:rPr>
        <w:t>Msc</w:t>
      </w:r>
      <w:proofErr w:type="spellEnd"/>
      <w:r w:rsidRPr="002A7673">
        <w:rPr>
          <w:rFonts w:ascii="Times New Roman" w:eastAsia="Calibri" w:hAnsi="Times New Roman" w:cs="Times New Roman"/>
          <w:i/>
          <w:iCs/>
          <w:sz w:val="26"/>
          <w:szCs w:val="26"/>
        </w:rPr>
        <w:t xml:space="preserve">. </w:t>
      </w:r>
      <w:proofErr w:type="spellStart"/>
      <w:r w:rsidRPr="002A7673">
        <w:rPr>
          <w:rFonts w:ascii="Times New Roman" w:eastAsia="Calibri" w:hAnsi="Times New Roman" w:cs="Times New Roman"/>
          <w:i/>
          <w:iCs/>
          <w:sz w:val="26"/>
          <w:szCs w:val="26"/>
        </w:rPr>
        <w:t>Rímola</w:t>
      </w:r>
      <w:proofErr w:type="spellEnd"/>
      <w:r w:rsidRPr="002A7673">
        <w:rPr>
          <w:rFonts w:ascii="Times New Roman" w:eastAsia="Calibri" w:hAnsi="Times New Roman" w:cs="Times New Roman"/>
          <w:i/>
          <w:iCs/>
          <w:sz w:val="26"/>
          <w:szCs w:val="26"/>
        </w:rPr>
        <w:t xml:space="preserve"> Soto indicó:</w:t>
      </w:r>
    </w:p>
    <w:p w14:paraId="1732AA2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DB6B99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“Esta plaza está a tiempo completo y nos ha permitido cumplir con los objetivos del Desarrollo del nuevo Sistema de Gestión denominado Sistema Integrado de Apoyo a la gestión de los procesos jurisdiccionales y el cual es un proyecto estratégico de la institución, incorporando todos los requerimiento y mejoras solicitada (más de 100 mejoras solicitadas) en los sistemas actuales por la comisión civil durante el proceso de la reforma procesal y que debe ser incorporadas en este nuevo proyecto.</w:t>
      </w:r>
    </w:p>
    <w:p w14:paraId="35FBAA4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2BF60E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 no tener la continuidad de la plaza, la incorporación de los requerimientos de la materia civil y cobros en el nuevo sistema no sería posible de una manera pronta, retrasando de esta manera la migración de los despachos de esta materia a nuevas tecnologías, quedando con tecnologías obsoletas difíciles de mantener y con pocas posibilidades de renovar o realizar nuevos requerimientos.</w:t>
      </w:r>
    </w:p>
    <w:p w14:paraId="52F41C0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9E3602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 xml:space="preserve">También debemos de tomar en cuenta, que hoy en día se tienen alrededor de 108 despachos civiles, entre juzgados y tribunales, a los cuales se les debe de dar mantenimiento y sostenibilidad a los sistemas actuales y aun cuando finalice el desarrollo del Sistema Nuevo, es indispensable darles mantenimiento y sostenibilidad a las herramientas, atención a usuarios, procesos de migración como parte de la implantación de las nuevas herramientas y nuevos requerimientos que surjan como parte del proceso normal de actualización de la plataforma, cambio de los procesos, legislación, entre otras. </w:t>
      </w:r>
    </w:p>
    <w:p w14:paraId="22EB9EF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43D4C0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Dado lo expuesto, se solicita mantener la plaza Profesionales Informática 2 para el 2022 y que sean otorgada bajo la condición de plazas ordinaria.</w:t>
      </w:r>
    </w:p>
    <w:p w14:paraId="7E99B50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9C1BDC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En los planes de trabajos adjuntos, se refleja el buen uso y rendimiento de ésta y como la misma es de importancia en el desarrollo de sistemas, así como el mantenimiento y sostenibilidad de estos.”.</w:t>
      </w:r>
    </w:p>
    <w:p w14:paraId="48997F9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3C07B9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 lo analizado la Dirección de Planificación evidenció el buen uso del recurso extraordinario que ha sido concedido en estos años, siendo parte fundamental del equipo de desarrollo de las mejoras que requerían los sistemas informáticos utilizados por los despachos que conocen materia civil como resultado de la implementación del Nuevo Código Procesal Civil, no obstante, la plaza desde su origen se ha considerado que tenía una temporalidad claramente definida por el desarrollo e implementación de las mejoras requeridas para los sistemas que actualmente utilizan los despachos civiles que permitieran iniciar con los cambios requeridos por la Reforma Civil, los cuales en el último oficio 690-PLA-RH-OI-2020 aprobado por el Consejo Superior en sesión 48-20 del 14 de mayo de 2020, artículo VIII se estableció como fecha límite al 2021.</w:t>
      </w:r>
    </w:p>
    <w:p w14:paraId="4A52A22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F24936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 comprensible y esperable que una vez que se desarrolla algún sistema, existan nuevos requerimientos y mejoras que retrasen el plan de trabajo inicial del proyecto. Según los datos obtenidos en este caso, se recibieron más de 100 solicitudes de mejoras en los sistemas actuales por parte de la comisión civil durante el proceso de la reforma procesal y que deben ser incorporadas en este nuevo proyecto, lo que permite evidenciar que el recurso asignado de manera extraordinaria ha concentrado su tiempo en el trabajo requerido, que está claramente definido y delimitado.</w:t>
      </w:r>
    </w:p>
    <w:p w14:paraId="1936D3D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768E21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Por lo anterior, la Dirección de Planificación considera que, si bien el recurso cumplió con su objetivo, las mejoras que se deben implementar en el nuevo Sistema de Gestión, su seguimiento y soporte hacen necesaria la permanencia del recurso por el 2022 y posterior, máxime que es la herramienta de registro de información de la materia civil. Además, de las labores que deberá desempeñar dando mantenimiento y sostenibilidad al nuevo sistema informático.</w:t>
      </w:r>
    </w:p>
    <w:p w14:paraId="3DB7C05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D5B885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3.2.2 Plazas adscritas al Centro de Apoyo, Coordinación y Mejoramiento de la Función Jurisdiccional (CACMFJ).</w:t>
      </w:r>
    </w:p>
    <w:p w14:paraId="4B8AB2F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301B35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 de Jueza o Juez 5</w:t>
      </w:r>
    </w:p>
    <w:p w14:paraId="134A984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FC0BD0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Al igual que las otras plazas que se analizan en el presente informe, la plaza de Jueza o Juez 5 se otorgó con la finalidad de apoyar la Reforma Civil, específicamente para el seguimiento y emisión de recomendaciones a los despachos conforme a su experiencia y como contraparte jurisdiccional en los procesos administrativos y de revisión de las recomendaciones emitidas por las plazas de seguimiento (Profesional 2) del Centro de Apoyo, Coordinación y Mejoramiento de la Función Jurisdiccional (CACMFJ) en los diagnósticos que realicen en los despachos que conocen la materia Civil.</w:t>
      </w:r>
    </w:p>
    <w:p w14:paraId="10216CB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D54B63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3.2.2.1. Labores realizadas en el 2019</w:t>
      </w:r>
    </w:p>
    <w:p w14:paraId="65E05BD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B300F8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Mediante oficio 30-CACMFJ-JEF-2020 del 12 de febrero de 2020 se indicaron las labores que la plaza extraordinaria ha venido realizando, las cuales se destacan en el siguiente detalle:</w:t>
      </w:r>
    </w:p>
    <w:p w14:paraId="2DD1D39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5AF1E6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Ejecutar acciones y análisis jurídicos complejos para asesorar en materia jurídica a las instancias administrativas. </w:t>
      </w:r>
    </w:p>
    <w:p w14:paraId="0A2E0108"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21EA387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Brindar asesoría legal a los profesionales del Centro de Apoyo, Coordinación y Mejoramiento de la Función Jurisdiccional (CACMFJ) y las demás dependencias administrativas que requieran un criterio experto para la correcta aplicación de la normativa relacionada con la materia Civil y de Cobro. </w:t>
      </w:r>
    </w:p>
    <w:p w14:paraId="31842B28"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36786AC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Revisión de las recomendaciones emitidas por las plazas de seguimiento (Profesionales 2) del Centro de Apoyo, Coordinación y </w:t>
      </w:r>
      <w:r w:rsidRPr="002A7673">
        <w:rPr>
          <w:rFonts w:ascii="Times New Roman" w:eastAsia="Calibri" w:hAnsi="Times New Roman" w:cs="Times New Roman"/>
          <w:i/>
          <w:iCs/>
          <w:sz w:val="26"/>
          <w:szCs w:val="26"/>
        </w:rPr>
        <w:lastRenderedPageBreak/>
        <w:t>Mejoramiento de la Función Jurisdiccional en los diagnósticos realizados en los despachos civiles.</w:t>
      </w:r>
    </w:p>
    <w:p w14:paraId="44A55EE9"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1736EBD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Emisión de recomendaciones a los despachos judiciales conforme a su experiencia y como contraparte Jurisdiccional en los procesos administrativos.</w:t>
      </w:r>
    </w:p>
    <w:p w14:paraId="31022664"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3A87A64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Revisión y aprobación de los expedientes recibidos en los distintos Planes de Descongestionamiento.</w:t>
      </w:r>
    </w:p>
    <w:p w14:paraId="010253AD"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5150C69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Fungir como punto de enlace entre las personas juzgadoras que integran los Planes de Descongestionamiento y los despachos judiciales que reciben la colaboración (expedientes pendientes para fallo y trámite).</w:t>
      </w:r>
    </w:p>
    <w:p w14:paraId="22DECE1F"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58963C9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Elaborar informes legales que deban analizar situaciones específicas para incorporar en los estudios realizados por los distintos entes administrativos. </w:t>
      </w:r>
    </w:p>
    <w:p w14:paraId="169FA269"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05264E0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Asistir a reuniones y conformar equipos de trabajo cuando se requieran.</w:t>
      </w:r>
    </w:p>
    <w:p w14:paraId="298CC2CE"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181A254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Revisar y actualizar normas prácticas, circulares y protocolos, entre otros de tipo legal. </w:t>
      </w:r>
    </w:p>
    <w:p w14:paraId="3E145FAB"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2EA70547" w14:textId="77777777" w:rsidR="00F129A6"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Elaborar proyectos de ley, reformas legales o consultas formuladas sobre consultas de ley, entre otros.</w:t>
      </w:r>
    </w:p>
    <w:p w14:paraId="58824CAF" w14:textId="77777777" w:rsidR="00F129A6"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 </w:t>
      </w:r>
    </w:p>
    <w:p w14:paraId="19C4B1E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Analizar e investigar normativa, jurisprudencia, doctrina, expedientes y cualquier otra fuente bibliográfica para la elaboración de criterios legales, obtener y suministrar información. </w:t>
      </w:r>
    </w:p>
    <w:p w14:paraId="29E922EA"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6FED2F7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Realizar visitas a los despachos judiciales para profundizar en el conocimiento de los procesos y aspectos propios de la entrada en vigor del nuevo Código Procesal Civil y del rediseño realizado por el órgano técnico.</w:t>
      </w:r>
    </w:p>
    <w:p w14:paraId="7943CF5C"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3976ED7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Impulsar la ejecución de las acciones pendientes según lo detectado en las visitas realizadas a los despachos que conforman la Jurisdicción Civil.</w:t>
      </w:r>
    </w:p>
    <w:p w14:paraId="2281B1FF"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6496587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Consultar y analizar los datos estadísticos reflejados en los distintos sistemas informáticos (Escritorio Virtual, SIGMA, Agenda Cronos, Sistema de Gestión, entre otros).</w:t>
      </w:r>
    </w:p>
    <w:p w14:paraId="76CC4BA7"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167F4CF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Atender las consultas propias de las funciones de asesoría legal que realizan, que le formulen los superiores, compañeros y público en general, ya sea en forma personal, telefónica y vía correo electrónico. </w:t>
      </w:r>
    </w:p>
    <w:p w14:paraId="2CB9618D"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5EE0175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Asistir a reuniones convocadas por distintos entes.</w:t>
      </w:r>
    </w:p>
    <w:p w14:paraId="55EB6800"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43019F3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Confeccionar oficios sobre diversos temas. </w:t>
      </w:r>
    </w:p>
    <w:p w14:paraId="3045EB4E"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0560DF8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Brindar criterio técnico para el desarrollo y aplicación de mejoras informáticas. </w:t>
      </w:r>
    </w:p>
    <w:p w14:paraId="706B65B3"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63297E4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Rendir informes sobre temas que se le asignen en el ámbito de su competencia. </w:t>
      </w:r>
    </w:p>
    <w:p w14:paraId="49DF8752"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1F5740D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Verificar la validación de los datos estadísticos solicitados por medios de Prensa y Comunicación, así como Prensa y Comunicación del Poder Judicial.</w:t>
      </w:r>
    </w:p>
    <w:p w14:paraId="715F28BB"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6AAA89B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Elaboración y publicación de cápsulas informativas sobre los avances realizados en los despachos que conforman la Jurisdicción Civil. </w:t>
      </w:r>
    </w:p>
    <w:p w14:paraId="2B720E05"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519095C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Elaboración de talleres de interés para la materia Civil que pueden estar en asocio con otros entes administrativos. </w:t>
      </w:r>
    </w:p>
    <w:p w14:paraId="32CFDE52"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6B90CB8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Realizar otras labores propias del cargo. </w:t>
      </w:r>
    </w:p>
    <w:p w14:paraId="2CDBD3E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85E10A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Como se demuestra existen diversas actividades asignadas a la plaza extraordinaria que han contribuido con la atención de los temas relacionados con la materia Civil. </w:t>
      </w:r>
    </w:p>
    <w:p w14:paraId="1BB0A8B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344244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Ahora bien, revisando los informes de labores del 2019, aportados por el Centro de Apoyo, no se obtuvo evidencia de la realización de todas las labores asignadas a estas plazas (un recurso ordinario y el otro extraordinario) anteriormente numeradas, por el contrario, se determinó que se centraron en el 2019 a atender las siguientes actividades:</w:t>
      </w:r>
    </w:p>
    <w:p w14:paraId="482FB3E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916243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Asistencia a reuniones: tanto con despachos, como con personal del CACMFJ, Comisión de la Jurisdicción Civil y otras dependencias involucradas con el funcionamiento de los despachos civiles.</w:t>
      </w:r>
    </w:p>
    <w:p w14:paraId="11778C9A"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32599BC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Atención de consultas: de los despachos judiciales y otros entes involucrados en la Reforma Civil.</w:t>
      </w:r>
    </w:p>
    <w:p w14:paraId="32BA0519"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256267D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Labores de coordinación: coordinaciones con entes jurisdiccionales y administrativos para apoyar el proceso de la Reforma Civil.</w:t>
      </w:r>
    </w:p>
    <w:p w14:paraId="4B35D807"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6BAD5E3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Visitas: realización de visitas a los despachos que conocen de materia civil y cobratorio.</w:t>
      </w:r>
    </w:p>
    <w:p w14:paraId="7504E787"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58332E0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Revisión de planes de descongestionamiento: en conjunto con las plazas del Centro de Apoyo.</w:t>
      </w:r>
    </w:p>
    <w:p w14:paraId="3E7A032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9D8FBD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3.2.2.2. Labores realizadas en el 2020</w:t>
      </w:r>
    </w:p>
    <w:p w14:paraId="444231C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highlight w:val="cyan"/>
        </w:rPr>
      </w:pPr>
    </w:p>
    <w:p w14:paraId="3A7DAFB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highlight w:val="white"/>
        </w:rPr>
        <w:t>Mediante oficio 64-CACMFJ-JEF-2021 del 16 de febrero de 2021 se indicaron las labores que la plaza extraordinaria ha venido realizando, las cuales se destacan:</w:t>
      </w:r>
    </w:p>
    <w:p w14:paraId="02CAA6F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374475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Revisión, emisión de observaciones y criterio técnico a 18 informes en consulta comunicados por la Dirección de Planificación. </w:t>
      </w:r>
    </w:p>
    <w:p w14:paraId="0EE2C1BD"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2C2F18F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Revisión de las recomendaciones emitidas por las plazas de seguimiento (Profesionales 2) del Centro de Apoyo, Coordinación y Mejoramiento de la Función Jurisdiccional en los diagnósticos realizados en los despachos que conforman la jurisdicción Civil en los siguientes informes emitidos por el CACMFJ. </w:t>
      </w:r>
    </w:p>
    <w:p w14:paraId="25DCD8FA"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247CB93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Elaboración de Informes a solicitud de la Comisión Civil.</w:t>
      </w:r>
    </w:p>
    <w:p w14:paraId="5FDAA7B5"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6260A91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Labores realizadas por Emergencia Covid-19, a partir de marzo del 2020.</w:t>
      </w:r>
    </w:p>
    <w:p w14:paraId="3143A522"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0B22D1A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Requerimientos de Prensa y Comunicación.</w:t>
      </w:r>
    </w:p>
    <w:p w14:paraId="51D1FEBC"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002650E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Coordinaciones con Normalización de la Dirección de Tecnología de la Información.</w:t>
      </w:r>
    </w:p>
    <w:p w14:paraId="58FBA41C"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48D3A45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A552BA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En caso de requerir un mayor detalle de todas las actividades se puede consultar el oficio en mención, el cual se encuentra en el anexo 6.3 de este documento y en donde se especifican los informes, oficios y actividades realizadas, también se debe de considerar lo indicado por el CACMFJ en dicho documento: </w:t>
      </w:r>
    </w:p>
    <w:p w14:paraId="30784B0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1E44A8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“La generalidad de las labores de la gestoría fueron ejecutadas por las dos plazas de juez/a 5 asignadas para tal fin, sin embargo, existieron tareas específicas que fueron realizadas de manera individual donde la plaza extraordinaria se abocó propiamente a la atención de temas relacionados sobre Juzgados Cobratorios, Tribunales de Apelación, seguimiento  e implementación de mejoras tecnológicas pendientes, atención de consultas de Departamento de Prensa y Comunicación, mientras la plaza ordinaria a la atención de los temas de los Tribunales Colegiados de la Primera Instancia Civil y Juzgados Civiles del país y Juzgado Concursal. </w:t>
      </w:r>
    </w:p>
    <w:p w14:paraId="7E0AF85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5E6651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Adicionalmente ambas plazas participaron activamente y de manera conjunta en la mayoría de las reuniones y sesiones de trabajo y en la elaboración de informes específicos.”.</w:t>
      </w:r>
    </w:p>
    <w:p w14:paraId="72C11FC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5EE3D1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Para ampliar sobre el tema de las labores relevantes realizadas, específicamente reuniones, se realizó un análisis de los informes de labores aportados, obteniendo como resultado:</w:t>
      </w:r>
    </w:p>
    <w:p w14:paraId="4FAA5C9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5AFFB54" w14:textId="77777777" w:rsidR="00083CA4" w:rsidRPr="002A7673" w:rsidRDefault="00083CA4" w:rsidP="00F129A6">
      <w:pPr>
        <w:spacing w:after="0" w:line="240" w:lineRule="auto"/>
        <w:ind w:left="851" w:right="851"/>
        <w:jc w:val="center"/>
        <w:rPr>
          <w:rFonts w:ascii="Times New Roman" w:eastAsia="Calibri" w:hAnsi="Times New Roman" w:cs="Times New Roman"/>
          <w:b/>
          <w:i/>
          <w:iCs/>
          <w:sz w:val="26"/>
          <w:szCs w:val="26"/>
        </w:rPr>
      </w:pPr>
      <w:r w:rsidRPr="002A7673">
        <w:rPr>
          <w:rFonts w:ascii="Times New Roman" w:eastAsia="Calibri" w:hAnsi="Times New Roman" w:cs="Times New Roman"/>
          <w:b/>
          <w:i/>
          <w:iCs/>
          <w:sz w:val="26"/>
          <w:szCs w:val="26"/>
        </w:rPr>
        <w:t>Gráfico 1</w:t>
      </w:r>
    </w:p>
    <w:p w14:paraId="5B49AEDD" w14:textId="77777777" w:rsidR="00F129A6" w:rsidRPr="002A7673" w:rsidRDefault="00F129A6" w:rsidP="00F129A6">
      <w:pPr>
        <w:spacing w:after="0" w:line="240" w:lineRule="auto"/>
        <w:ind w:left="851" w:right="851"/>
        <w:jc w:val="center"/>
        <w:rPr>
          <w:rFonts w:ascii="Times New Roman" w:eastAsia="Calibri" w:hAnsi="Times New Roman" w:cs="Times New Roman"/>
          <w:b/>
          <w:i/>
          <w:iCs/>
          <w:sz w:val="26"/>
          <w:szCs w:val="26"/>
        </w:rPr>
      </w:pPr>
    </w:p>
    <w:p w14:paraId="34C63CF6" w14:textId="77777777" w:rsidR="00083CA4" w:rsidRPr="002A7673" w:rsidRDefault="00083CA4" w:rsidP="00F129A6">
      <w:pPr>
        <w:spacing w:after="0" w:line="240" w:lineRule="auto"/>
        <w:ind w:left="851" w:right="851"/>
        <w:jc w:val="center"/>
        <w:rPr>
          <w:rFonts w:ascii="Times New Roman" w:eastAsia="Calibri" w:hAnsi="Times New Roman" w:cs="Times New Roman"/>
          <w:b/>
          <w:i/>
          <w:iCs/>
          <w:sz w:val="26"/>
          <w:szCs w:val="26"/>
        </w:rPr>
      </w:pPr>
      <w:r w:rsidRPr="002A7673">
        <w:rPr>
          <w:rFonts w:ascii="Times New Roman" w:eastAsia="Calibri" w:hAnsi="Times New Roman" w:cs="Times New Roman"/>
          <w:b/>
          <w:i/>
          <w:iCs/>
          <w:sz w:val="26"/>
          <w:szCs w:val="26"/>
        </w:rPr>
        <w:t>Reuniones o sesiones de trabajo realizadas por el equipo de gestores en materia civil</w:t>
      </w:r>
    </w:p>
    <w:p w14:paraId="341D79B1" w14:textId="77777777" w:rsidR="00083CA4" w:rsidRPr="002A7673" w:rsidRDefault="00083CA4" w:rsidP="00F129A6">
      <w:pPr>
        <w:spacing w:after="0" w:line="240" w:lineRule="auto"/>
        <w:ind w:left="851" w:right="851"/>
        <w:jc w:val="center"/>
        <w:rPr>
          <w:rFonts w:ascii="Times New Roman" w:eastAsia="Calibri" w:hAnsi="Times New Roman" w:cs="Times New Roman"/>
          <w:b/>
          <w:i/>
          <w:iCs/>
          <w:sz w:val="26"/>
          <w:szCs w:val="26"/>
        </w:rPr>
      </w:pPr>
      <w:r w:rsidRPr="002A7673">
        <w:rPr>
          <w:rFonts w:ascii="Times New Roman" w:eastAsia="Calibri" w:hAnsi="Times New Roman" w:cs="Times New Roman"/>
          <w:b/>
          <w:i/>
          <w:iCs/>
          <w:sz w:val="26"/>
          <w:szCs w:val="26"/>
        </w:rPr>
        <w:t>(período 2020)</w:t>
      </w:r>
    </w:p>
    <w:p w14:paraId="69D24A59" w14:textId="77777777" w:rsidR="00083CA4" w:rsidRPr="002A7673" w:rsidRDefault="00083CA4" w:rsidP="005F7139">
      <w:pPr>
        <w:spacing w:after="0" w:line="240" w:lineRule="auto"/>
        <w:rPr>
          <w:rFonts w:ascii="Times New Roman" w:eastAsia="Calibri" w:hAnsi="Times New Roman" w:cs="Times New Roman"/>
          <w:i/>
          <w:iCs/>
        </w:rPr>
      </w:pPr>
      <w:r w:rsidRPr="002A7673">
        <w:rPr>
          <w:rFonts w:ascii="Times New Roman" w:eastAsia="Calibri" w:hAnsi="Times New Roman" w:cs="Times New Roman"/>
          <w:i/>
          <w:iCs/>
        </w:rPr>
        <w:lastRenderedPageBreak/>
        <w:t xml:space="preserve"> </w:t>
      </w:r>
      <w:r w:rsidRPr="002A7673">
        <w:rPr>
          <w:rFonts w:ascii="Times New Roman" w:eastAsia="Calibri" w:hAnsi="Times New Roman" w:cs="Times New Roman"/>
          <w:noProof/>
          <w:sz w:val="24"/>
          <w:szCs w:val="24"/>
          <w:lang w:eastAsia="es-CR"/>
        </w:rPr>
        <w:drawing>
          <wp:inline distT="0" distB="0" distL="0" distR="0" wp14:anchorId="16E0D633" wp14:editId="4A8610E8">
            <wp:extent cx="5524498" cy="40005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pic:nvPicPr>
                  <pic:blipFill>
                    <a:blip r:embed="rId59">
                      <a:extLst>
                        <a:ext uri="{28A0092B-C50C-407E-A947-70E740481C1C}">
                          <a14:useLocalDpi xmlns:a14="http://schemas.microsoft.com/office/drawing/2010/main" val="0"/>
                        </a:ext>
                      </a:extLst>
                    </a:blip>
                    <a:stretch>
                      <a:fillRect/>
                    </a:stretch>
                  </pic:blipFill>
                  <pic:spPr>
                    <a:xfrm>
                      <a:off x="0" y="0"/>
                      <a:ext cx="5524498" cy="4000500"/>
                    </a:xfrm>
                    <a:prstGeom prst="rect">
                      <a:avLst/>
                    </a:prstGeom>
                  </pic:spPr>
                </pic:pic>
              </a:graphicData>
            </a:graphic>
          </wp:inline>
        </w:drawing>
      </w:r>
      <w:r w:rsidRPr="002A7673">
        <w:rPr>
          <w:rFonts w:ascii="Times New Roman" w:eastAsia="Calibri" w:hAnsi="Times New Roman" w:cs="Times New Roman"/>
          <w:i/>
          <w:iCs/>
          <w:highlight w:val="cyan"/>
        </w:rPr>
        <w:t xml:space="preserve"> </w:t>
      </w:r>
    </w:p>
    <w:p w14:paraId="437B2A5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Nota:   Otras Reuniones, corresponde a sesiones de trabajo con el Consejo Superior, Departamento de Prensa y Comunicación, Contraloría de Servicios del P.J, Dirección Ejecutiva, Comisión Cero Papel, OCRI y el Digesto.</w:t>
      </w:r>
    </w:p>
    <w:p w14:paraId="671569E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B8BE81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Fuente: elaboración propia con información obtenido de los informes de labores enviados por el Centro de Apoyo, </w:t>
      </w:r>
    </w:p>
    <w:p w14:paraId="015427F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Coordinación y    Mejoramiento de la Función Jurisdiccional.</w:t>
      </w:r>
    </w:p>
    <w:p w14:paraId="148D94C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  </w:t>
      </w:r>
    </w:p>
    <w:p w14:paraId="1692828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Como se desprende, la concentración de labores del equipo de gestoría civil se centró en asistencia a reuniones, para un total de 286 en el año 2020, de las cuales un 30% (85) corresponden con el CACMFJ, un 22.7% (65) con DTI y un 21.7% (62) con la Comisión de la Jurisdicción Civil y grupo de Cobro Judicial.</w:t>
      </w:r>
    </w:p>
    <w:p w14:paraId="0DA60BF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624A95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 partir de la información suministrada se determinó la siguiente información: </w:t>
      </w:r>
    </w:p>
    <w:p w14:paraId="3780C10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17968C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Reuniones Gestoría durante el 2020</w:t>
      </w:r>
    </w:p>
    <w:p w14:paraId="09B68314" w14:textId="77777777" w:rsidR="00083CA4" w:rsidRPr="002A7673" w:rsidRDefault="00083CA4" w:rsidP="005F7139">
      <w:pPr>
        <w:spacing w:after="0" w:line="240" w:lineRule="auto"/>
        <w:rPr>
          <w:rFonts w:ascii="Times New Roman" w:eastAsia="Calibri" w:hAnsi="Times New Roman" w:cs="Times New Roman"/>
          <w:i/>
          <w:iCs/>
        </w:rPr>
      </w:pPr>
    </w:p>
    <w:tbl>
      <w:tblPr>
        <w:tblW w:w="0" w:type="auto"/>
        <w:jc w:val="center"/>
        <w:tblLayout w:type="fixed"/>
        <w:tblCellMar>
          <w:left w:w="0" w:type="dxa"/>
          <w:right w:w="0" w:type="dxa"/>
        </w:tblCellMar>
        <w:tblLook w:val="0000" w:firstRow="0" w:lastRow="0" w:firstColumn="0" w:lastColumn="0" w:noHBand="0" w:noVBand="0"/>
      </w:tblPr>
      <w:tblGrid>
        <w:gridCol w:w="2216"/>
        <w:gridCol w:w="1879"/>
        <w:gridCol w:w="2001"/>
      </w:tblGrid>
      <w:tr w:rsidR="00083CA4" w:rsidRPr="002A7673" w14:paraId="7453E2BE" w14:textId="77777777" w:rsidTr="005F7139">
        <w:trPr>
          <w:trHeight w:val="576"/>
          <w:jc w:val="center"/>
        </w:trPr>
        <w:tc>
          <w:tcPr>
            <w:tcW w:w="2216" w:type="dxa"/>
            <w:tcBorders>
              <w:top w:val="single" w:sz="4" w:space="0" w:color="000000"/>
              <w:left w:val="single" w:sz="4" w:space="0" w:color="000000"/>
              <w:bottom w:val="single" w:sz="4" w:space="0" w:color="000000"/>
              <w:right w:val="single" w:sz="4" w:space="0" w:color="000000"/>
            </w:tcBorders>
            <w:shd w:val="clear" w:color="auto" w:fill="BF8F00"/>
            <w:tcMar>
              <w:top w:w="0" w:type="dxa"/>
              <w:left w:w="70" w:type="dxa"/>
              <w:bottom w:w="0" w:type="dxa"/>
              <w:right w:w="70" w:type="dxa"/>
            </w:tcMar>
            <w:vAlign w:val="center"/>
          </w:tcPr>
          <w:p w14:paraId="39CF3A6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Mes</w:t>
            </w:r>
          </w:p>
        </w:tc>
        <w:tc>
          <w:tcPr>
            <w:tcW w:w="1879"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5DFF8A3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 Gestor-Ordinaria</w:t>
            </w:r>
          </w:p>
        </w:tc>
        <w:tc>
          <w:tcPr>
            <w:tcW w:w="2001"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2F65ED7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 Gestor-Extraordinaria</w:t>
            </w:r>
          </w:p>
        </w:tc>
      </w:tr>
      <w:tr w:rsidR="00083CA4" w:rsidRPr="002A7673" w14:paraId="1DB236B0"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512E7E2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Enero</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7FAB2E3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12</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65197BE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12</w:t>
            </w:r>
          </w:p>
        </w:tc>
      </w:tr>
      <w:tr w:rsidR="00083CA4" w:rsidRPr="002A7673" w14:paraId="686786D1"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58E8D08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Febrero</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7693EB8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15</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23BEC3B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19</w:t>
            </w:r>
          </w:p>
        </w:tc>
      </w:tr>
      <w:tr w:rsidR="00083CA4" w:rsidRPr="002A7673" w14:paraId="512FC430"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66ABEE5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Marzo</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6CE4824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12</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1567FBB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13</w:t>
            </w:r>
          </w:p>
        </w:tc>
      </w:tr>
      <w:tr w:rsidR="00083CA4" w:rsidRPr="002A7673" w14:paraId="36134857"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30864E3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Abril</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2B725EB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17</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5DA8F6D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w:t>
            </w:r>
          </w:p>
        </w:tc>
      </w:tr>
      <w:tr w:rsidR="00083CA4" w:rsidRPr="002A7673" w14:paraId="1E29B2EE"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1CCAF31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Mayo</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30DCB01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25</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1D5D44E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37</w:t>
            </w:r>
          </w:p>
        </w:tc>
      </w:tr>
      <w:tr w:rsidR="00083CA4" w:rsidRPr="002A7673" w14:paraId="0F39C3C1"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40C219D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Junio</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716654F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22</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7DD5D42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35</w:t>
            </w:r>
          </w:p>
        </w:tc>
      </w:tr>
      <w:tr w:rsidR="00083CA4" w:rsidRPr="002A7673" w14:paraId="093CA4EC"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36176AE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Julio</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3B6CE4B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5B8E9D7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29</w:t>
            </w:r>
          </w:p>
        </w:tc>
      </w:tr>
      <w:tr w:rsidR="00083CA4" w:rsidRPr="002A7673" w14:paraId="446DE09B"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768FA36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Agosto</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7F7CDD6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14</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7446350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26</w:t>
            </w:r>
          </w:p>
        </w:tc>
      </w:tr>
      <w:tr w:rsidR="00083CA4" w:rsidRPr="002A7673" w14:paraId="39F5DC11"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464E6CA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Septiembre</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49AB346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17</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48066FA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27</w:t>
            </w:r>
          </w:p>
        </w:tc>
      </w:tr>
      <w:tr w:rsidR="00083CA4" w:rsidRPr="002A7673" w14:paraId="2B17E237"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28084AD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Octubre</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612B418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8</w:t>
            </w: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537E308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26</w:t>
            </w:r>
          </w:p>
        </w:tc>
      </w:tr>
      <w:tr w:rsidR="00083CA4" w:rsidRPr="002A7673" w14:paraId="340D4B1E"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4E4E1C8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Noviembre</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25A9BBB1"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7B923BC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25</w:t>
            </w:r>
          </w:p>
        </w:tc>
      </w:tr>
      <w:tr w:rsidR="00083CA4" w:rsidRPr="002A7673" w14:paraId="2D5BFB37" w14:textId="77777777" w:rsidTr="005F7139">
        <w:trPr>
          <w:trHeight w:val="288"/>
          <w:jc w:val="center"/>
        </w:trPr>
        <w:tc>
          <w:tcPr>
            <w:tcW w:w="2216"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7D078C5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Diciembre</w:t>
            </w:r>
          </w:p>
        </w:tc>
        <w:tc>
          <w:tcPr>
            <w:tcW w:w="1879" w:type="dxa"/>
            <w:tcBorders>
              <w:top w:val="nil"/>
              <w:left w:val="nil"/>
              <w:bottom w:val="single" w:sz="4" w:space="0" w:color="000000"/>
              <w:right w:val="single" w:sz="4" w:space="0" w:color="000000"/>
            </w:tcBorders>
            <w:tcMar>
              <w:top w:w="0" w:type="dxa"/>
              <w:left w:w="70" w:type="dxa"/>
              <w:bottom w:w="0" w:type="dxa"/>
              <w:right w:w="70" w:type="dxa"/>
            </w:tcMar>
            <w:vAlign w:val="bottom"/>
          </w:tcPr>
          <w:p w14:paraId="25A012FE"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2001" w:type="dxa"/>
            <w:tcBorders>
              <w:top w:val="nil"/>
              <w:left w:val="nil"/>
              <w:bottom w:val="single" w:sz="4" w:space="0" w:color="000000"/>
              <w:right w:val="single" w:sz="4" w:space="0" w:color="000000"/>
            </w:tcBorders>
            <w:tcMar>
              <w:top w:w="0" w:type="dxa"/>
              <w:left w:w="70" w:type="dxa"/>
              <w:bottom w:w="0" w:type="dxa"/>
              <w:right w:w="70" w:type="dxa"/>
            </w:tcMar>
            <w:vAlign w:val="bottom"/>
          </w:tcPr>
          <w:p w14:paraId="09055A0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14</w:t>
            </w:r>
          </w:p>
        </w:tc>
      </w:tr>
      <w:tr w:rsidR="00083CA4" w:rsidRPr="002A7673" w14:paraId="1660CC6A" w14:textId="77777777" w:rsidTr="005F7139">
        <w:trPr>
          <w:trHeight w:val="288"/>
          <w:jc w:val="center"/>
        </w:trPr>
        <w:tc>
          <w:tcPr>
            <w:tcW w:w="2216" w:type="dxa"/>
            <w:tcBorders>
              <w:top w:val="nil"/>
              <w:left w:val="single" w:sz="4" w:space="0" w:color="000000"/>
              <w:bottom w:val="single" w:sz="4" w:space="0" w:color="000000"/>
              <w:right w:val="single" w:sz="4" w:space="0" w:color="000000"/>
            </w:tcBorders>
            <w:shd w:val="clear" w:color="auto" w:fill="D9E1F2"/>
            <w:tcMar>
              <w:top w:w="0" w:type="dxa"/>
              <w:left w:w="70" w:type="dxa"/>
              <w:bottom w:w="0" w:type="dxa"/>
              <w:right w:w="70" w:type="dxa"/>
            </w:tcMar>
            <w:vAlign w:val="bottom"/>
          </w:tcPr>
          <w:p w14:paraId="3CC12EB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Total, general</w:t>
            </w:r>
          </w:p>
        </w:tc>
        <w:tc>
          <w:tcPr>
            <w:tcW w:w="1879" w:type="dxa"/>
            <w:tcBorders>
              <w:top w:val="nil"/>
              <w:left w:val="nil"/>
              <w:bottom w:val="single" w:sz="4" w:space="0" w:color="000000"/>
              <w:right w:val="single" w:sz="4" w:space="0" w:color="000000"/>
            </w:tcBorders>
            <w:shd w:val="clear" w:color="auto" w:fill="D9E1F2"/>
            <w:tcMar>
              <w:top w:w="0" w:type="dxa"/>
              <w:left w:w="70" w:type="dxa"/>
              <w:bottom w:w="0" w:type="dxa"/>
              <w:right w:w="70" w:type="dxa"/>
            </w:tcMar>
            <w:vAlign w:val="bottom"/>
          </w:tcPr>
          <w:p w14:paraId="5A29219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162</w:t>
            </w:r>
          </w:p>
        </w:tc>
        <w:tc>
          <w:tcPr>
            <w:tcW w:w="2001" w:type="dxa"/>
            <w:tcBorders>
              <w:top w:val="nil"/>
              <w:left w:val="nil"/>
              <w:bottom w:val="single" w:sz="4" w:space="0" w:color="000000"/>
              <w:right w:val="single" w:sz="4" w:space="0" w:color="000000"/>
            </w:tcBorders>
            <w:shd w:val="clear" w:color="auto" w:fill="D9E1F2"/>
            <w:tcMar>
              <w:top w:w="0" w:type="dxa"/>
              <w:left w:w="70" w:type="dxa"/>
              <w:bottom w:w="0" w:type="dxa"/>
              <w:right w:w="70" w:type="dxa"/>
            </w:tcMar>
            <w:vAlign w:val="bottom"/>
          </w:tcPr>
          <w:p w14:paraId="76FB00F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283</w:t>
            </w:r>
          </w:p>
        </w:tc>
      </w:tr>
      <w:tr w:rsidR="00083CA4" w:rsidRPr="002A7673" w14:paraId="2286E9E0" w14:textId="77777777" w:rsidTr="005F7139">
        <w:trPr>
          <w:trHeight w:val="288"/>
          <w:jc w:val="center"/>
        </w:trPr>
        <w:tc>
          <w:tcPr>
            <w:tcW w:w="2216" w:type="dxa"/>
            <w:tcBorders>
              <w:top w:val="nil"/>
              <w:left w:val="single" w:sz="4" w:space="0" w:color="000000"/>
              <w:bottom w:val="single" w:sz="4" w:space="0" w:color="000000"/>
              <w:right w:val="single" w:sz="4" w:space="0" w:color="000000"/>
            </w:tcBorders>
            <w:shd w:val="clear" w:color="auto" w:fill="D9E1F2"/>
            <w:tcMar>
              <w:top w:w="0" w:type="dxa"/>
              <w:left w:w="70" w:type="dxa"/>
              <w:bottom w:w="0" w:type="dxa"/>
              <w:right w:w="70" w:type="dxa"/>
            </w:tcMar>
            <w:vAlign w:val="bottom"/>
          </w:tcPr>
          <w:p w14:paraId="1A8EB97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Participación Reuniones</w:t>
            </w:r>
          </w:p>
        </w:tc>
        <w:tc>
          <w:tcPr>
            <w:tcW w:w="1879" w:type="dxa"/>
            <w:tcBorders>
              <w:top w:val="nil"/>
              <w:left w:val="nil"/>
              <w:bottom w:val="single" w:sz="4" w:space="0" w:color="000000"/>
              <w:right w:val="single" w:sz="4" w:space="0" w:color="000000"/>
            </w:tcBorders>
            <w:shd w:val="clear" w:color="auto" w:fill="D9E1F2"/>
            <w:tcMar>
              <w:top w:w="0" w:type="dxa"/>
              <w:left w:w="70" w:type="dxa"/>
              <w:bottom w:w="0" w:type="dxa"/>
              <w:right w:w="70" w:type="dxa"/>
            </w:tcMar>
            <w:vAlign w:val="bottom"/>
          </w:tcPr>
          <w:p w14:paraId="706E554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56,64%</w:t>
            </w:r>
          </w:p>
        </w:tc>
        <w:tc>
          <w:tcPr>
            <w:tcW w:w="2001" w:type="dxa"/>
            <w:tcBorders>
              <w:top w:val="nil"/>
              <w:left w:val="nil"/>
              <w:bottom w:val="single" w:sz="4" w:space="0" w:color="000000"/>
              <w:right w:val="single" w:sz="4" w:space="0" w:color="000000"/>
            </w:tcBorders>
            <w:shd w:val="clear" w:color="auto" w:fill="D9E1F2"/>
            <w:tcMar>
              <w:top w:w="0" w:type="dxa"/>
              <w:left w:w="70" w:type="dxa"/>
              <w:bottom w:w="0" w:type="dxa"/>
              <w:right w:w="70" w:type="dxa"/>
            </w:tcMar>
            <w:vAlign w:val="bottom"/>
          </w:tcPr>
          <w:p w14:paraId="53CAB4C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98,95%</w:t>
            </w:r>
          </w:p>
        </w:tc>
      </w:tr>
    </w:tbl>
    <w:p w14:paraId="2CC7023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Fuente: elaboración propia con información obtenido de los informes de labores enviados por el Centro de Apoyo, Coordinación y    Mejoramiento de la Función Jurisdiccional.</w:t>
      </w:r>
    </w:p>
    <w:p w14:paraId="69AC57D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3B2898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De las 286 reuniones reportadas, el gestor en análisis participo del 98.95% de estas, mientras que la plaza de gestor en condición ordinaria solo un 56.64%, según aclaración brindada por la Licda. Chacón Cubillo, esto fue debido en gran medida a que, desde octubre 2020, la persona que venía en el cargo fue designada en propiedad por la Corte Plena, y se tuvo que trasladar a cumplir su período de prueba. No obstante, incluso sin considerar el periodo de octubre a diciembre se aprecia que el gestor en condición ordinaria solo participaba en un 70% de las reuniones vs el 98.8% de su homónimo en condición extraordinaria. </w:t>
      </w:r>
    </w:p>
    <w:p w14:paraId="4351EEC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9415A9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También acotó la Licda. </w:t>
      </w:r>
      <w:proofErr w:type="spellStart"/>
      <w:r w:rsidRPr="002A7673">
        <w:rPr>
          <w:rFonts w:ascii="Times New Roman" w:eastAsia="Calibri" w:hAnsi="Times New Roman" w:cs="Times New Roman"/>
          <w:i/>
          <w:iCs/>
          <w:sz w:val="26"/>
          <w:szCs w:val="26"/>
        </w:rPr>
        <w:t>Chacon</w:t>
      </w:r>
      <w:proofErr w:type="spellEnd"/>
      <w:r w:rsidRPr="002A7673">
        <w:rPr>
          <w:rFonts w:ascii="Times New Roman" w:eastAsia="Calibri" w:hAnsi="Times New Roman" w:cs="Times New Roman"/>
          <w:i/>
          <w:iCs/>
          <w:sz w:val="26"/>
          <w:szCs w:val="26"/>
        </w:rPr>
        <w:t xml:space="preserve"> Cubillo que debido a las implicaciones de la Circular 295-2020 (Suspensión temporal de la utilización de las plazas vacantes por los motivos de (jubilaciones, renuncias, revocatorias, despidos por causa, cese por defunción) a partir del primer día del año 2021), se estuvo a la espera de que la Comisión de la Jurisdicción Civil presentara una propuesta ante Corte Plena para determinar lo referente a la condición de esta plaza. </w:t>
      </w:r>
    </w:p>
    <w:p w14:paraId="1B3D7C6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0DAF0B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Considerando el periodo de enero a setiembre 2020, se puede apreciar que en promedio cada gestor participa en 20 reuniones o sesiones de trabajo al mes, lo que prácticamente representa al menos 1 reunión por día laboral al mes. Bajo el supuesto de una duración promedio por reunión de 30 minutos, se estima un aproximado de uso del 6% del tiempo laboral del mes, no obstante, se debe aclarar que existen reuniones o sesiones de trabajo con duraciones de incluso las 2 audiencias, por lo que el uso del tiempo laboral en este tipo de gestiones puede llegar a concentrar el tiempo efectivo de la jornada laboral. </w:t>
      </w:r>
    </w:p>
    <w:p w14:paraId="0A522A4D" w14:textId="77777777" w:rsidR="00F129A6" w:rsidRPr="002A7673" w:rsidRDefault="00F129A6" w:rsidP="00F129A6">
      <w:pPr>
        <w:spacing w:after="0" w:line="240" w:lineRule="auto"/>
        <w:ind w:left="851" w:right="851" w:firstLine="709"/>
        <w:jc w:val="both"/>
        <w:rPr>
          <w:rFonts w:ascii="Times New Roman" w:eastAsia="Calibri" w:hAnsi="Times New Roman" w:cs="Times New Roman"/>
          <w:i/>
          <w:iCs/>
          <w:sz w:val="26"/>
          <w:szCs w:val="26"/>
        </w:rPr>
      </w:pPr>
    </w:p>
    <w:p w14:paraId="0D2D82D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3.2.2.3. Labores por realizar en el 2021</w:t>
      </w:r>
    </w:p>
    <w:p w14:paraId="26008AA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DD3223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Para el 2021, el Centro de Apoyo indicó que además de ejecutar las labores que realizó durante el 2019 y que fueron descritas en el apartado anterior, se contempla la continuidad de las labores que se han venido desempeñando posterior a la entrada en vigor del Nuevo Código Procesal Civil e iniciativas impulsadas para mejorar la gestión de los despachos Civiles y Cobratorios. Según la prioridad definida se indican las siguientes tareas:</w:t>
      </w:r>
    </w:p>
    <w:p w14:paraId="27D5A9F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AE67C4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Seguimiento </w:t>
      </w:r>
      <w:proofErr w:type="spellStart"/>
      <w:r w:rsidRPr="002A7673">
        <w:rPr>
          <w:rFonts w:ascii="Times New Roman" w:eastAsia="Calibri" w:hAnsi="Times New Roman" w:cs="Times New Roman"/>
          <w:i/>
          <w:iCs/>
          <w:sz w:val="26"/>
          <w:szCs w:val="26"/>
        </w:rPr>
        <w:t>aI</w:t>
      </w:r>
      <w:proofErr w:type="spellEnd"/>
      <w:r w:rsidRPr="002A7673">
        <w:rPr>
          <w:rFonts w:ascii="Times New Roman" w:eastAsia="Calibri" w:hAnsi="Times New Roman" w:cs="Times New Roman"/>
          <w:i/>
          <w:iCs/>
          <w:sz w:val="26"/>
          <w:szCs w:val="26"/>
        </w:rPr>
        <w:t xml:space="preserve"> informe presentado ante la Dirección de Planificación para el abordaje de los pendientes y ajustes relacionados, según las visitas realizadas a los despachos civiles durante el año 2019.</w:t>
      </w:r>
    </w:p>
    <w:p w14:paraId="073A092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87D1B5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Reuniones mensuales con los grupos creados para la implementación de la Reforma Procesal Civil (Dirección Tecnología de la Información, Gestión Humana, Infraestructura, Comunicación, Digesto, Cobro Judicial e Implementación Jurídica).</w:t>
      </w:r>
    </w:p>
    <w:p w14:paraId="528DD49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621300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Coordinar actividades periódicas por parte de la Dirección de Gestión Humana, Ambiente Laboral, para efectos de brindar talleres motivacionales y de autocuidado que beneficien al personal de los despachos civiles. </w:t>
      </w:r>
    </w:p>
    <w:p w14:paraId="623C0C2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4AA1F7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Reuniones anuales en los circuitos judiciales con más inconformidades presentadas por los usuarios de la materia civil.</w:t>
      </w:r>
    </w:p>
    <w:p w14:paraId="7D84D02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B33029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Coordinar mesas de trabajo integradas por personal de los despachos Cobratorios, con la finalidad de delegar temas de interés para generar </w:t>
      </w:r>
      <w:r w:rsidRPr="002A7673">
        <w:rPr>
          <w:rFonts w:ascii="Times New Roman" w:eastAsia="Calibri" w:hAnsi="Times New Roman" w:cs="Times New Roman"/>
          <w:i/>
          <w:iCs/>
          <w:sz w:val="26"/>
          <w:szCs w:val="26"/>
        </w:rPr>
        <w:lastRenderedPageBreak/>
        <w:t xml:space="preserve">análisis y eventualmente propuestas de solución, para la mejora continua de los Juzgados. </w:t>
      </w:r>
    </w:p>
    <w:p w14:paraId="1EF68C1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369C56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Visitas a despachos civiles que ameriten priorización de seguimiento cercano por presentar aspectos críticos.</w:t>
      </w:r>
    </w:p>
    <w:p w14:paraId="3BC6888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A6FD4B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Gestionar ante la Dirección de Tecnología de la Información, la utilización de la Inteligencia Artificial, para la automatización de la atención de las consultas más frecuentes que se realizan a los despachos cobratorios a través de las llamadas telefónicas que se reciben y dar continuidad al proyecto actual de tipificación de escritos a través de la inteligencia artificial.</w:t>
      </w:r>
    </w:p>
    <w:p w14:paraId="3F415DF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9BF41A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Publicitar a través de la página de Facebook de la Comisión Civil y Página web y correo institucional por medio del Departamento de Prensa del Poder Judicial, los logros alcanzados por los distintos despachos judiciales.</w:t>
      </w:r>
    </w:p>
    <w:p w14:paraId="4947350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BC9592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Promover la confección de manuales de procedimientos de las actividades más relevantes que llevan a cabo los juzgados y tribunales civiles.</w:t>
      </w:r>
    </w:p>
    <w:p w14:paraId="066F102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 </w:t>
      </w:r>
    </w:p>
    <w:p w14:paraId="6DCC7FB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Seguimiento al proceso de equiparación de demandas en los 6 juzgados de cobro del I y II circuito Judicial aprobado por el Consejo Superior.</w:t>
      </w:r>
    </w:p>
    <w:p w14:paraId="594C628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26BAC3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Seguimiento para la aprobación e implementación de Protocolo de Remate por medios tecnológicos.</w:t>
      </w:r>
    </w:p>
    <w:p w14:paraId="57BB243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168D7C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Seguimiento para de debida implementación de mejoras informáticas pendientes para los despachos civiles y su seguimiento.</w:t>
      </w:r>
    </w:p>
    <w:p w14:paraId="6E29BA1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1D3E56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Seguimiento para la propuesta y verificación de ajustes a informes estadísticos relacionados a la materia civil y de cobro judicial.</w:t>
      </w:r>
    </w:p>
    <w:p w14:paraId="4915A34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E25870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Seguimiento al desarrollo de un sistema en conjunto con el Archivo Judicial y Dirección Tecnología de la Información para consulta previa a la eliminación de expedientes físicos de la jurisdicción.</w:t>
      </w:r>
    </w:p>
    <w:p w14:paraId="60B8EB4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312712A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Labores ordinarias.</w:t>
      </w:r>
    </w:p>
    <w:p w14:paraId="4303874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9699D3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El cronograma definido se puede consultar en el oficio 64-CACMFJ-JEF-2021 y en el anexo 6.4 de este documento.</w:t>
      </w:r>
    </w:p>
    <w:p w14:paraId="63C1FCF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4122E1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3.2.2.3. Labores para realizar en el 2022</w:t>
      </w:r>
    </w:p>
    <w:p w14:paraId="687E7E6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7C3CD5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Mediante oficio 64-CACMFJ-JEF-2021del 16 de febrero de 2021, el Centro de Apoyo, Coordinación y Mejoramiento de la Función Jurisdiccional indicó: “El plan de trabajo estimado para el 2022 de igual manera que para el 2021 contempla la inclusión de las acciones que permitan impulsar y concretizar los proyectos y las labores pendientes al finalizar el 2021”. </w:t>
      </w:r>
    </w:p>
    <w:p w14:paraId="0DA89A7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83A41E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De las tareas indicadas en el cronograma llama la atención las siguientes: </w:t>
      </w:r>
    </w:p>
    <w:p w14:paraId="0DFF657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9E3FCD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Análisis del impacto de la distribución de la competencia producto de la reforma en las estructuras civiles. </w:t>
      </w:r>
      <w:r w:rsidRPr="002A7673">
        <w:rPr>
          <w:rFonts w:ascii="Times New Roman" w:eastAsia="Calibri" w:hAnsi="Times New Roman" w:cs="Times New Roman"/>
          <w:i/>
          <w:iCs/>
          <w:sz w:val="26"/>
          <w:szCs w:val="26"/>
        </w:rPr>
        <w:tab/>
      </w:r>
    </w:p>
    <w:p w14:paraId="5A688F7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8539DC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Seguimiento a la aprobación e implementación de reforma concursal.</w:t>
      </w:r>
      <w:r w:rsidRPr="002A7673">
        <w:rPr>
          <w:rFonts w:ascii="Times New Roman" w:eastAsia="Calibri" w:hAnsi="Times New Roman" w:cs="Times New Roman"/>
          <w:i/>
          <w:iCs/>
          <w:sz w:val="26"/>
          <w:szCs w:val="26"/>
        </w:rPr>
        <w:tab/>
      </w:r>
    </w:p>
    <w:p w14:paraId="3AD85F7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9D41ED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Análisis y valoración del impacto de la variación de la cuantía laboral que operó en el 2020 y el impacto de la variación de la cuantía civil (pendiente de aprobación) en despachos mixtos y especializados de las estructuras civiles.</w:t>
      </w:r>
      <w:r w:rsidRPr="002A7673">
        <w:rPr>
          <w:rFonts w:ascii="Times New Roman" w:eastAsia="Calibri" w:hAnsi="Times New Roman" w:cs="Times New Roman"/>
          <w:i/>
          <w:iCs/>
          <w:sz w:val="26"/>
          <w:szCs w:val="26"/>
        </w:rPr>
        <w:tab/>
      </w:r>
    </w:p>
    <w:p w14:paraId="79B0158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3373D8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Implementación y seguimiento a mejoras pendientes para el nuevo Sistema Integral de Apoyo a la Gestión de los Procesos Jurisdiccionales en las estructuras civiles que se proyecta iniciar a partir de finales del 2021.</w:t>
      </w:r>
    </w:p>
    <w:p w14:paraId="293F46C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b/>
      </w:r>
    </w:p>
    <w:p w14:paraId="7B8AC35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Análisis de propuestas para ajuste en competencias materiales entre Juzgados Especializados de Cobro, Juzgados Civiles y Tribunales Colegiados. </w:t>
      </w:r>
    </w:p>
    <w:p w14:paraId="1575B1C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F322E2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Las tareas indicadas corresponden a nuevas tareas, diferentes a las indicadas en el cronograma 2021, pero con el mismo propósito de mejoramiento de la jurisprudencia que se tiene a cargo, las cuales se estiman pueden ser atendidas por uno de los “gestores” y la colaboración de los dos profesionales 2 que se encuentran asignados al CACMFJ.  Sin embargo, </w:t>
      </w:r>
      <w:r w:rsidRPr="002A7673">
        <w:rPr>
          <w:rFonts w:ascii="Times New Roman" w:eastAsia="Calibri" w:hAnsi="Times New Roman" w:cs="Times New Roman"/>
          <w:i/>
          <w:iCs/>
          <w:sz w:val="26"/>
          <w:szCs w:val="26"/>
        </w:rPr>
        <w:lastRenderedPageBreak/>
        <w:t>llama la atención que las tareas indicadas en el punto 1, 2 y 3 son propias del análisis técnico de la Dirección de Planificación y que muy posiblemente serán solicitadas en un futuro muy cercano a esta oficina.</w:t>
      </w:r>
    </w:p>
    <w:p w14:paraId="2322837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E1A1D2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 el objetivo de que se pueda consultar la totalidad de tareas, se adjunta el cronograma de actividades a realizar por el equipo de gestores de Materia Civil en el 2022(ver anexo 6.5.). Por las características de las actividades a realizar se hace necesario que este recurso lleve los controles pormenorizados de las minutas con sus acuerdos, recomendaciones, acciones y seguimientos que se dan a los diferentes juzgados a nivel nacional, para poder visualizar su impacto.</w:t>
      </w:r>
    </w:p>
    <w:p w14:paraId="4ADD78D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D7102B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3.2.2.4. Criterio sobre la continuidad de la plaza</w:t>
      </w:r>
    </w:p>
    <w:p w14:paraId="63819B3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E2D69E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Mediante oficio 64-CACMFJ-JEF-2021del 16 de febrero de 2021, la licenciada Maricruz Chacón Cubillo, Directora del Centro de Apoyo, indicó:</w:t>
      </w:r>
    </w:p>
    <w:p w14:paraId="2F4558C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26AABA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“La atención de las actividades y proyectos pendientes, así como la ejecución de las labores ordinarias que se mantienen se imposibilitaría realizarlas con una sola plaza de juez/a Gestor/a, debido a la cantidad de gestiones, proyectos y mejoras informáticas por impulsar y despachos que conforman la Jurisdicción. </w:t>
      </w:r>
    </w:p>
    <w:p w14:paraId="2148AAD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BCFE82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Como fue ampliamente indicado en la descripción de labores y acciones realizadas por las plazas de gestores asignadas a la Jurisdicción Civil durante el año 2020, el seguimiento realizado ha sido posible en la magnitud de lo abarcado y en cumplimiento de todos los objetivos y metas que dependían del equipo gestor, aprovechándose al máximo el recurso invertido y logrando abordar una serie de aspectos de seguimiento tanto ordinarios como extraordinarios que sobrevinieron en el año 2020 (Emergencia COVID-19), y que han permitido robustecer y dar solidez a la implementación de la Reforma Procesal Civil, pero que todavía cuenta con revisiones y ajustes pendientes y necesarios a los cuales debe darse prioridad y continuidad.</w:t>
      </w:r>
    </w:p>
    <w:p w14:paraId="72091FE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31948D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Esa labor y alcance pretendido según lo proyectado tanto para el 2021 como para el 2022, es material y operativamente imposible realizarlo si una sola persona debe llevar en sus hombros esa tarea para toda la jurisdicción, siendo 69 despachos judiciales a los que debe darse seguimiento, existiendo a este momento incluso reformas y proyectos de seguimiento importantes que </w:t>
      </w:r>
      <w:r w:rsidRPr="002A7673">
        <w:rPr>
          <w:rFonts w:ascii="Times New Roman" w:eastAsia="Calibri" w:hAnsi="Times New Roman" w:cs="Times New Roman"/>
          <w:i/>
          <w:iCs/>
          <w:sz w:val="26"/>
          <w:szCs w:val="26"/>
        </w:rPr>
        <w:lastRenderedPageBreak/>
        <w:t>impactarán necesariamente las estructuras civiles, como por ejemplo la aprobación e implementación de Ley Concursal, informes de variación de cuantía y posibles reformas sobre competencias materiales de las distintas estructuras civiles, implementación pendiente de mejoras informáticas y de un nuevo sistema integral que involucrará a todas las estructuras y los distintos sistemas ( SREM, SDJ, Escritorio Virtual, Gestión en Línea, Registro Público, Registro Civil, etc.), seguimiento en conjunto con la Dirección de Planificación a más de 100 ajustes solicitados por la gestoría según las necesidades y ajustes valorados en las visitas realizadas durante el año 2019 y que no fue posible atender por la Dirección de Planificación durante el 2020. Proyectos de seguimiento a los que por mencionar solo algunos, debe darse un seguimiento cercano y oportuno que asegure el cumplimiento de objetivos y beneficios tanto para las estructuras civiles como para los usuarios internos y externos de la Jurisdicción Civil.</w:t>
      </w:r>
    </w:p>
    <w:p w14:paraId="5C0D3AC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2958F4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Por otra parte, hay que considerar que el seguimiento involucra a los 19 despachos cobratorios que actualmente tienen a su cargo más de 800.000 procesos activos, por lo que la actividad relacionada al seguimiento de las mejoras de automatización administrativa como es el tema de los inventarios automatizados, mejora al SREM en anotaciones de tomo 800, implementación de proyectos de aplicación de la Inteligencia Artificial para despachos Cobratorios, seguimiento para la aprobación e implementación del Protocolo de remates por medios tecnológicos, propuestas de modificación de competencias materiales de éstos despachos, análisis de priorización y revisión de procesos que agilicen la labor, así como la reducción de plazos de atención, tanto con la colaboración de planes de descongestionamiento a pesar de las limitaciones actuales, como con la réplica de buenas prácticas en dichos despachos, genera una gran cantidad de coordinaciones, reuniones, análisis y propuestas que impactan significativamente incluso las estadísticas generales del Poder Judicial, por lo que deben de ser atendidas con prioridad, lo cual se insiste no sería posible abordarlo si un solo gestor tuviera también a su cargo toda la carga de trabajo ordinaria de los restantes 50 juzgados y tribunales civiles, lo que conlleva a su vez la interacción con los distintos departamentos administrativos y direcciones del Poder Judicial.</w:t>
      </w:r>
    </w:p>
    <w:p w14:paraId="3EA5A71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407646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Se ha maximizado el aprovechamiento de ambas plazas de juez/a gestor/a asignadas para el seguimiento de la implementación de la reforma, según lo confirma la evidencia descrita y aportada, y se espera el apoyo por parte de los entes administrativos a quienes compete la decisión de la </w:t>
      </w:r>
      <w:r w:rsidRPr="002A7673">
        <w:rPr>
          <w:rFonts w:ascii="Times New Roman" w:eastAsia="Calibri" w:hAnsi="Times New Roman" w:cs="Times New Roman"/>
          <w:i/>
          <w:iCs/>
          <w:sz w:val="26"/>
          <w:szCs w:val="26"/>
        </w:rPr>
        <w:lastRenderedPageBreak/>
        <w:t xml:space="preserve">permanencia del recurso para continuar con esa labor, la cual se tiene clara y según el análisis realizado que conjuga todos los insumos hasta este momento obtenidos, se considera tendrá un impacto positivo en la implementación y asentamiento de la Reforma Procesal Civil.  </w:t>
      </w:r>
    </w:p>
    <w:p w14:paraId="5AA3FF3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081B5C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 esta manera se deja rendido el informe que refleja la necesidad de continuar con los recursos justificados, los cuales se requieren en condición ordinaria al ser actividades que se mantendrán en el tiempo y que la mayoría de estas son necesarias para el apoyo y un seguimiento permanente.”.</w:t>
      </w:r>
    </w:p>
    <w:p w14:paraId="6B271E8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6CB2AA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De lo expuesto por la </w:t>
      </w:r>
      <w:proofErr w:type="spellStart"/>
      <w:r w:rsidRPr="002A7673">
        <w:rPr>
          <w:rFonts w:ascii="Times New Roman" w:eastAsia="Calibri" w:hAnsi="Times New Roman" w:cs="Times New Roman"/>
          <w:i/>
          <w:iCs/>
          <w:sz w:val="26"/>
          <w:szCs w:val="26"/>
        </w:rPr>
        <w:t>Licda</w:t>
      </w:r>
      <w:proofErr w:type="spellEnd"/>
      <w:r w:rsidRPr="002A7673">
        <w:rPr>
          <w:rFonts w:ascii="Times New Roman" w:eastAsia="Calibri" w:hAnsi="Times New Roman" w:cs="Times New Roman"/>
          <w:i/>
          <w:iCs/>
          <w:sz w:val="26"/>
          <w:szCs w:val="26"/>
        </w:rPr>
        <w:t>, Maricruz Chacón, se detalla sobre la necesidad de preservar los dos jueces como gestores de la materia Civil. Sin embargo, resulta importante considerar el acuerdo del Consejo Superior del Poder Judicial, en la sesión 83-2020 celebrada el 25 de agosto de 2020, articulo XI, en donde se tiene por rendido el oficio N° PJ-DGH-SAP-265-2020 relacionado con el avance y la construcción de los perfiles para los puestos de Gestores.</w:t>
      </w:r>
    </w:p>
    <w:p w14:paraId="4B316F5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289286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En este documento se trata el tema de la figura denominada “gestor” en las diferentes materias, y se hace una reseña de la evolución y diversidad de las funciones de estos, las cuales están ligadas a características específicas de las reformas o necesidades que dan origen. A manera de ejemplo se cita, que la materia penal, requirió de esta figura para la atención de la emergencia provocada por el COVID-19, del cual se señala: </w:t>
      </w:r>
    </w:p>
    <w:p w14:paraId="22E0FD4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C611CD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“…el origen histórico de estos puestos obedece en un inicio para cubrir una necesidad de un proyecto determinado; se ha relacionado generalmente con temas afines a reformas procesales ya que cuatro jurisdicciones presentaron iniciativas para actualizar su normativa. Recientemente se ha utilizado para atender necesidades específicas de la jurisdicción penal relacionadas con temas de la emergencia nacional o para la aplicación de la Evaluación del Desempeño en los despachos unipersonales del país.”.</w:t>
      </w:r>
    </w:p>
    <w:p w14:paraId="249BC5E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7044DC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Específicamente en cuanto a las actividades desarrolladas por los diferentes gestores se indica:</w:t>
      </w:r>
    </w:p>
    <w:p w14:paraId="4B28350A"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 </w:t>
      </w:r>
    </w:p>
    <w:p w14:paraId="60879C7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“…Cada jurisdicción que se ha visto inmersa en una reforma procesal, ha tenido conformaciones distintas, han presentado diferentes organizaciones para llevar a cabo lo encomendado, pues para su impulso </w:t>
      </w:r>
      <w:r w:rsidRPr="002A7673">
        <w:rPr>
          <w:rFonts w:ascii="Times New Roman" w:eastAsia="Calibri" w:hAnsi="Times New Roman" w:cs="Times New Roman"/>
          <w:i/>
          <w:iCs/>
          <w:sz w:val="26"/>
          <w:szCs w:val="26"/>
        </w:rPr>
        <w:lastRenderedPageBreak/>
        <w:t xml:space="preserve">algunas requieren destacar a una o varias personas en la ejecución de diversas actividades, o bien la solicitud de puestos se realiza en diferentes plazos de tiempos algunos con años o meses de anticipación a la </w:t>
      </w:r>
      <w:proofErr w:type="gramStart"/>
      <w:r w:rsidRPr="002A7673">
        <w:rPr>
          <w:rFonts w:ascii="Times New Roman" w:eastAsia="Calibri" w:hAnsi="Times New Roman" w:cs="Times New Roman"/>
          <w:i/>
          <w:iCs/>
          <w:sz w:val="26"/>
          <w:szCs w:val="26"/>
        </w:rPr>
        <w:t>entrada en vigencia</w:t>
      </w:r>
      <w:proofErr w:type="gramEnd"/>
      <w:r w:rsidRPr="002A7673">
        <w:rPr>
          <w:rFonts w:ascii="Times New Roman" w:eastAsia="Calibri" w:hAnsi="Times New Roman" w:cs="Times New Roman"/>
          <w:i/>
          <w:iCs/>
          <w:sz w:val="26"/>
          <w:szCs w:val="26"/>
        </w:rPr>
        <w:t xml:space="preserve"> de la norma.</w:t>
      </w:r>
    </w:p>
    <w:p w14:paraId="4D8B8223"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C0C55E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En ese sentido las actividades que realizan los “gestores” presenta algunas similitudes y diferencias que se dan en mayor o menor medida en función de los alcances de cada normativa y </w:t>
      </w:r>
      <w:proofErr w:type="spellStart"/>
      <w:r w:rsidRPr="002A7673">
        <w:rPr>
          <w:rFonts w:ascii="Times New Roman" w:eastAsia="Calibri" w:hAnsi="Times New Roman" w:cs="Times New Roman"/>
          <w:i/>
          <w:iCs/>
          <w:sz w:val="26"/>
          <w:szCs w:val="26"/>
        </w:rPr>
        <w:t>vacatio</w:t>
      </w:r>
      <w:proofErr w:type="spellEnd"/>
      <w:r w:rsidRPr="002A7673">
        <w:rPr>
          <w:rFonts w:ascii="Times New Roman" w:eastAsia="Calibri" w:hAnsi="Times New Roman" w:cs="Times New Roman"/>
          <w:i/>
          <w:iCs/>
          <w:sz w:val="26"/>
          <w:szCs w:val="26"/>
        </w:rPr>
        <w:t xml:space="preserve"> leguis que presenten, sin embargo, todas conservan el común denominador que es poner en marcha el proyecto de implementación de una reforma procesal.</w:t>
      </w:r>
    </w:p>
    <w:p w14:paraId="00493D7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4C6D18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Ahora bien, con el fin de orientar al lector en el trabajo que desarrollan las personas que ocupan cargos de “Gestorías”, es importante indicar que este tipo de actividades por lo general se han enmarcado dentro de la “metodología de proyectos”.</w:t>
      </w:r>
    </w:p>
    <w:p w14:paraId="2A60C15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CE72A7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Podríamos decir que un proyecto es un conjunto de actividades relacionadas entre sí y orientadas a alcanzar un objetivo específico que sigue una metodología que de previo está definida; además para su ejecución y dependiendo de la magnitud del proyecto requieren de una o un equipo de personas idóneas, recursos, presupuestos u otros, así como el diseño de un cronograma que responda a una duración limitada.”.</w:t>
      </w:r>
    </w:p>
    <w:p w14:paraId="2B55ECA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A659EF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Del mismo informe se desprende un comparativo de las diversas gestorías existentes que se citan a continuación:</w:t>
      </w:r>
    </w:p>
    <w:p w14:paraId="478F1ADA" w14:textId="77777777" w:rsidR="00083CA4" w:rsidRPr="002A7673" w:rsidRDefault="00083CA4" w:rsidP="005F7139">
      <w:pPr>
        <w:spacing w:after="0" w:line="240" w:lineRule="auto"/>
        <w:rPr>
          <w:rFonts w:ascii="Times New Roman" w:eastAsia="Calibri" w:hAnsi="Times New Roman" w:cs="Times New Roman"/>
          <w:i/>
          <w:iCs/>
        </w:rPr>
      </w:pPr>
    </w:p>
    <w:tbl>
      <w:tblPr>
        <w:tblW w:w="10038" w:type="dxa"/>
        <w:jc w:val="center"/>
        <w:tblLayout w:type="fixed"/>
        <w:tblCellMar>
          <w:left w:w="0" w:type="dxa"/>
          <w:right w:w="0" w:type="dxa"/>
        </w:tblCellMar>
        <w:tblLook w:val="0000" w:firstRow="0" w:lastRow="0" w:firstColumn="0" w:lastColumn="0" w:noHBand="0" w:noVBand="0"/>
      </w:tblPr>
      <w:tblGrid>
        <w:gridCol w:w="1432"/>
        <w:gridCol w:w="996"/>
        <w:gridCol w:w="2267"/>
        <w:gridCol w:w="1290"/>
        <w:gridCol w:w="1807"/>
        <w:gridCol w:w="2246"/>
      </w:tblGrid>
      <w:tr w:rsidR="00083CA4" w:rsidRPr="002A7673" w14:paraId="3C6E28A8" w14:textId="77777777" w:rsidTr="00F129A6">
        <w:trPr>
          <w:trHeight w:val="300"/>
          <w:jc w:val="center"/>
        </w:trPr>
        <w:tc>
          <w:tcPr>
            <w:tcW w:w="1432" w:type="dxa"/>
            <w:tcBorders>
              <w:top w:val="single" w:sz="4" w:space="0" w:color="000000"/>
              <w:left w:val="single" w:sz="4" w:space="0" w:color="000000"/>
              <w:bottom w:val="single" w:sz="4" w:space="0" w:color="000000"/>
              <w:right w:val="single" w:sz="4" w:space="0" w:color="000000"/>
            </w:tcBorders>
            <w:shd w:val="clear" w:color="auto" w:fill="BF8F00"/>
            <w:tcMar>
              <w:top w:w="0" w:type="dxa"/>
              <w:left w:w="70" w:type="dxa"/>
              <w:bottom w:w="0" w:type="dxa"/>
              <w:right w:w="70" w:type="dxa"/>
            </w:tcMar>
            <w:vAlign w:val="center"/>
          </w:tcPr>
          <w:p w14:paraId="580609D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Clase de Puesto</w:t>
            </w:r>
          </w:p>
        </w:tc>
        <w:tc>
          <w:tcPr>
            <w:tcW w:w="996"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7AB4657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Jurisdicción</w:t>
            </w:r>
          </w:p>
        </w:tc>
        <w:tc>
          <w:tcPr>
            <w:tcW w:w="2267"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75A5FA7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Colaborador</w:t>
            </w:r>
          </w:p>
        </w:tc>
        <w:tc>
          <w:tcPr>
            <w:tcW w:w="1290"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7B87B9A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Ubicación Física</w:t>
            </w:r>
          </w:p>
        </w:tc>
        <w:tc>
          <w:tcPr>
            <w:tcW w:w="1807"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20EAC5B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Condición</w:t>
            </w:r>
          </w:p>
        </w:tc>
        <w:tc>
          <w:tcPr>
            <w:tcW w:w="2246" w:type="dxa"/>
            <w:tcBorders>
              <w:top w:val="single" w:sz="4" w:space="0" w:color="000000"/>
              <w:left w:val="nil"/>
              <w:bottom w:val="single" w:sz="4" w:space="0" w:color="000000"/>
              <w:right w:val="single" w:sz="4" w:space="0" w:color="000000"/>
            </w:tcBorders>
            <w:shd w:val="clear" w:color="auto" w:fill="BF8F00"/>
            <w:tcMar>
              <w:top w:w="0" w:type="dxa"/>
              <w:left w:w="70" w:type="dxa"/>
              <w:bottom w:w="0" w:type="dxa"/>
              <w:right w:w="70" w:type="dxa"/>
            </w:tcMar>
            <w:vAlign w:val="center"/>
          </w:tcPr>
          <w:p w14:paraId="69B0BDC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Etapa</w:t>
            </w:r>
          </w:p>
        </w:tc>
      </w:tr>
      <w:tr w:rsidR="00083CA4" w:rsidRPr="002A7673" w14:paraId="490C6910" w14:textId="77777777" w:rsidTr="00F129A6">
        <w:trPr>
          <w:trHeight w:val="300"/>
          <w:jc w:val="center"/>
        </w:trPr>
        <w:tc>
          <w:tcPr>
            <w:tcW w:w="1432"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center"/>
          </w:tcPr>
          <w:p w14:paraId="691A7DE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 5</w:t>
            </w:r>
          </w:p>
        </w:tc>
        <w:tc>
          <w:tcPr>
            <w:tcW w:w="99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385E2FE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Civil</w:t>
            </w:r>
          </w:p>
        </w:tc>
        <w:tc>
          <w:tcPr>
            <w:tcW w:w="226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1060E1A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Adriana Sequeira Muñoz</w:t>
            </w:r>
          </w:p>
        </w:tc>
        <w:tc>
          <w:tcPr>
            <w:tcW w:w="1290" w:type="dxa"/>
            <w:tcBorders>
              <w:top w:val="nil"/>
              <w:left w:val="nil"/>
              <w:bottom w:val="single" w:sz="4" w:space="0" w:color="000000"/>
              <w:right w:val="single" w:sz="4" w:space="0" w:color="000000"/>
            </w:tcBorders>
            <w:tcMar>
              <w:top w:w="0" w:type="dxa"/>
              <w:left w:w="70" w:type="dxa"/>
              <w:bottom w:w="0" w:type="dxa"/>
              <w:right w:w="70" w:type="dxa"/>
            </w:tcMar>
            <w:vAlign w:val="center"/>
          </w:tcPr>
          <w:p w14:paraId="6FBE702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CACMFJ</w:t>
            </w:r>
          </w:p>
        </w:tc>
        <w:tc>
          <w:tcPr>
            <w:tcW w:w="180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77E08A5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224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7C28ECA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Etapa de Seguimiento.</w:t>
            </w:r>
          </w:p>
        </w:tc>
      </w:tr>
      <w:tr w:rsidR="00083CA4" w:rsidRPr="002A7673" w14:paraId="706EF24B" w14:textId="77777777" w:rsidTr="00F129A6">
        <w:trPr>
          <w:trHeight w:val="300"/>
          <w:jc w:val="center"/>
        </w:trPr>
        <w:tc>
          <w:tcPr>
            <w:tcW w:w="1432"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center"/>
          </w:tcPr>
          <w:p w14:paraId="7C2757E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 5</w:t>
            </w:r>
          </w:p>
        </w:tc>
        <w:tc>
          <w:tcPr>
            <w:tcW w:w="99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0C64825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Civil</w:t>
            </w:r>
          </w:p>
        </w:tc>
        <w:tc>
          <w:tcPr>
            <w:tcW w:w="226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06E88D9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Greivin Mora Alvarado*</w:t>
            </w:r>
          </w:p>
        </w:tc>
        <w:tc>
          <w:tcPr>
            <w:tcW w:w="1290" w:type="dxa"/>
            <w:tcBorders>
              <w:top w:val="nil"/>
              <w:left w:val="nil"/>
              <w:bottom w:val="single" w:sz="4" w:space="0" w:color="000000"/>
              <w:right w:val="single" w:sz="4" w:space="0" w:color="000000"/>
            </w:tcBorders>
            <w:tcMar>
              <w:top w:w="0" w:type="dxa"/>
              <w:left w:w="70" w:type="dxa"/>
              <w:bottom w:w="0" w:type="dxa"/>
              <w:right w:w="70" w:type="dxa"/>
            </w:tcMar>
            <w:vAlign w:val="center"/>
          </w:tcPr>
          <w:p w14:paraId="228C686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CACMFJ</w:t>
            </w:r>
          </w:p>
        </w:tc>
        <w:tc>
          <w:tcPr>
            <w:tcW w:w="180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7F8DA74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Ordinaria</w:t>
            </w:r>
          </w:p>
        </w:tc>
        <w:tc>
          <w:tcPr>
            <w:tcW w:w="224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7858598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Etapa de Seguimiento.</w:t>
            </w:r>
          </w:p>
        </w:tc>
      </w:tr>
      <w:tr w:rsidR="00083CA4" w:rsidRPr="002A7673" w14:paraId="6C226419" w14:textId="77777777" w:rsidTr="00F129A6">
        <w:trPr>
          <w:trHeight w:val="300"/>
          <w:jc w:val="center"/>
        </w:trPr>
        <w:tc>
          <w:tcPr>
            <w:tcW w:w="1432"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center"/>
          </w:tcPr>
          <w:p w14:paraId="6B52234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 5</w:t>
            </w:r>
          </w:p>
        </w:tc>
        <w:tc>
          <w:tcPr>
            <w:tcW w:w="99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491F3FC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Laboral</w:t>
            </w:r>
          </w:p>
        </w:tc>
        <w:tc>
          <w:tcPr>
            <w:tcW w:w="226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4EDE233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Lourdes Montenegro Espinoza</w:t>
            </w:r>
          </w:p>
        </w:tc>
        <w:tc>
          <w:tcPr>
            <w:tcW w:w="1290" w:type="dxa"/>
            <w:tcBorders>
              <w:top w:val="nil"/>
              <w:left w:val="nil"/>
              <w:bottom w:val="single" w:sz="4" w:space="0" w:color="000000"/>
              <w:right w:val="single" w:sz="4" w:space="0" w:color="000000"/>
            </w:tcBorders>
            <w:tcMar>
              <w:top w:w="0" w:type="dxa"/>
              <w:left w:w="70" w:type="dxa"/>
              <w:bottom w:w="0" w:type="dxa"/>
              <w:right w:w="70" w:type="dxa"/>
            </w:tcMar>
            <w:vAlign w:val="center"/>
          </w:tcPr>
          <w:p w14:paraId="3AFA974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CACMFJ</w:t>
            </w:r>
          </w:p>
        </w:tc>
        <w:tc>
          <w:tcPr>
            <w:tcW w:w="180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3A89660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Ordinaria</w:t>
            </w:r>
          </w:p>
        </w:tc>
        <w:tc>
          <w:tcPr>
            <w:tcW w:w="224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441B734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Etapa de Seguimiento.</w:t>
            </w:r>
          </w:p>
        </w:tc>
      </w:tr>
      <w:tr w:rsidR="00083CA4" w:rsidRPr="002A7673" w14:paraId="4C12DD94" w14:textId="77777777" w:rsidTr="00F129A6">
        <w:trPr>
          <w:trHeight w:val="300"/>
          <w:jc w:val="center"/>
        </w:trPr>
        <w:tc>
          <w:tcPr>
            <w:tcW w:w="1432"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center"/>
          </w:tcPr>
          <w:p w14:paraId="7E67163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 4</w:t>
            </w:r>
          </w:p>
        </w:tc>
        <w:tc>
          <w:tcPr>
            <w:tcW w:w="99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53CBC44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Familia</w:t>
            </w:r>
          </w:p>
        </w:tc>
        <w:tc>
          <w:tcPr>
            <w:tcW w:w="226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4B3677B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Cristian Martínez Hernández</w:t>
            </w:r>
          </w:p>
        </w:tc>
        <w:tc>
          <w:tcPr>
            <w:tcW w:w="1290" w:type="dxa"/>
            <w:tcBorders>
              <w:top w:val="nil"/>
              <w:left w:val="nil"/>
              <w:bottom w:val="single" w:sz="4" w:space="0" w:color="000000"/>
              <w:right w:val="single" w:sz="4" w:space="0" w:color="000000"/>
            </w:tcBorders>
            <w:tcMar>
              <w:top w:w="0" w:type="dxa"/>
              <w:left w:w="70" w:type="dxa"/>
              <w:bottom w:w="0" w:type="dxa"/>
              <w:right w:w="70" w:type="dxa"/>
            </w:tcMar>
            <w:vAlign w:val="center"/>
          </w:tcPr>
          <w:p w14:paraId="039C8F9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CACMFJ</w:t>
            </w:r>
          </w:p>
        </w:tc>
        <w:tc>
          <w:tcPr>
            <w:tcW w:w="180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283D45F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Ordinaria</w:t>
            </w:r>
          </w:p>
        </w:tc>
        <w:tc>
          <w:tcPr>
            <w:tcW w:w="224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51B29BE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Etapa de Implementación</w:t>
            </w:r>
          </w:p>
        </w:tc>
      </w:tr>
      <w:tr w:rsidR="00083CA4" w:rsidRPr="002A7673" w14:paraId="2E5740A0" w14:textId="77777777" w:rsidTr="00F129A6">
        <w:trPr>
          <w:trHeight w:val="300"/>
          <w:jc w:val="center"/>
        </w:trPr>
        <w:tc>
          <w:tcPr>
            <w:tcW w:w="1432"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center"/>
          </w:tcPr>
          <w:p w14:paraId="0ACB649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Profesional en Derecho 3B</w:t>
            </w:r>
          </w:p>
        </w:tc>
        <w:tc>
          <w:tcPr>
            <w:tcW w:w="99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37DF997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Penal</w:t>
            </w:r>
          </w:p>
        </w:tc>
        <w:tc>
          <w:tcPr>
            <w:tcW w:w="226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180EB66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Carlos Jiménez González</w:t>
            </w:r>
          </w:p>
        </w:tc>
        <w:tc>
          <w:tcPr>
            <w:tcW w:w="1290" w:type="dxa"/>
            <w:tcBorders>
              <w:top w:val="nil"/>
              <w:left w:val="nil"/>
              <w:bottom w:val="single" w:sz="4" w:space="0" w:color="000000"/>
              <w:right w:val="single" w:sz="4" w:space="0" w:color="000000"/>
            </w:tcBorders>
            <w:tcMar>
              <w:top w:w="0" w:type="dxa"/>
              <w:left w:w="70" w:type="dxa"/>
              <w:bottom w:w="0" w:type="dxa"/>
              <w:right w:w="70" w:type="dxa"/>
            </w:tcMar>
            <w:vAlign w:val="center"/>
          </w:tcPr>
          <w:p w14:paraId="07778CC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Sala Tercera</w:t>
            </w:r>
          </w:p>
        </w:tc>
        <w:tc>
          <w:tcPr>
            <w:tcW w:w="180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106019C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P.C.G.S.</w:t>
            </w:r>
          </w:p>
        </w:tc>
        <w:tc>
          <w:tcPr>
            <w:tcW w:w="224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51C9308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Covid-19, Gestiones Comisión</w:t>
            </w:r>
          </w:p>
        </w:tc>
      </w:tr>
      <w:tr w:rsidR="00083CA4" w:rsidRPr="002A7673" w14:paraId="20EA2F18" w14:textId="77777777" w:rsidTr="00F129A6">
        <w:trPr>
          <w:trHeight w:val="300"/>
          <w:jc w:val="center"/>
        </w:trPr>
        <w:tc>
          <w:tcPr>
            <w:tcW w:w="1432"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center"/>
          </w:tcPr>
          <w:p w14:paraId="6456F99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Juez Supernumerario</w:t>
            </w:r>
          </w:p>
        </w:tc>
        <w:tc>
          <w:tcPr>
            <w:tcW w:w="99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77B1E9E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Genérico</w:t>
            </w:r>
          </w:p>
        </w:tc>
        <w:tc>
          <w:tcPr>
            <w:tcW w:w="226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7F67FB4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José Rodolfo Barrantes Chan</w:t>
            </w:r>
          </w:p>
        </w:tc>
        <w:tc>
          <w:tcPr>
            <w:tcW w:w="1290" w:type="dxa"/>
            <w:tcBorders>
              <w:top w:val="nil"/>
              <w:left w:val="nil"/>
              <w:bottom w:val="single" w:sz="4" w:space="0" w:color="000000"/>
              <w:right w:val="single" w:sz="4" w:space="0" w:color="000000"/>
            </w:tcBorders>
            <w:tcMar>
              <w:top w:w="0" w:type="dxa"/>
              <w:left w:w="70" w:type="dxa"/>
              <w:bottom w:w="0" w:type="dxa"/>
              <w:right w:w="70" w:type="dxa"/>
            </w:tcMar>
            <w:vAlign w:val="center"/>
          </w:tcPr>
          <w:p w14:paraId="5320502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CACMFJ</w:t>
            </w:r>
          </w:p>
        </w:tc>
        <w:tc>
          <w:tcPr>
            <w:tcW w:w="1807" w:type="dxa"/>
            <w:tcBorders>
              <w:top w:val="nil"/>
              <w:left w:val="nil"/>
              <w:bottom w:val="single" w:sz="4" w:space="0" w:color="000000"/>
              <w:right w:val="single" w:sz="4" w:space="0" w:color="000000"/>
            </w:tcBorders>
            <w:tcMar>
              <w:top w:w="0" w:type="dxa"/>
              <w:left w:w="70" w:type="dxa"/>
              <w:bottom w:w="0" w:type="dxa"/>
              <w:right w:w="70" w:type="dxa"/>
            </w:tcMar>
            <w:vAlign w:val="center"/>
          </w:tcPr>
          <w:p w14:paraId="19AEBA6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Ordinaria</w:t>
            </w:r>
          </w:p>
        </w:tc>
        <w:tc>
          <w:tcPr>
            <w:tcW w:w="2246" w:type="dxa"/>
            <w:tcBorders>
              <w:top w:val="nil"/>
              <w:left w:val="nil"/>
              <w:bottom w:val="single" w:sz="4" w:space="0" w:color="000000"/>
              <w:right w:val="single" w:sz="4" w:space="0" w:color="000000"/>
            </w:tcBorders>
            <w:tcMar>
              <w:top w:w="0" w:type="dxa"/>
              <w:left w:w="70" w:type="dxa"/>
              <w:bottom w:w="0" w:type="dxa"/>
              <w:right w:w="70" w:type="dxa"/>
            </w:tcMar>
            <w:vAlign w:val="center"/>
          </w:tcPr>
          <w:p w14:paraId="5F321F5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Supernumerario</w:t>
            </w:r>
          </w:p>
        </w:tc>
      </w:tr>
    </w:tbl>
    <w:p w14:paraId="531D6C4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Notas: * Actualmente plaza vacante, sin nombramiento.</w:t>
      </w:r>
    </w:p>
    <w:p w14:paraId="2AD0DC3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299C980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Fuente: elaboración propia a partir de oficio PJ-DGH-SAP-265-2020</w:t>
      </w:r>
    </w:p>
    <w:p w14:paraId="777FFB0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3CF5E1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Se aprecia que en términos generales existe una gestoría por materia, con excepción de la Civil, en que se han destacado dos Gestores. La clase de puesto obedece a la categoría máxima que se presenta en cada materia, para efectos de las gestorías que asumen reformas la mayor carga de trabajo se considera durante la fase de implementación, actualmente lo que corresponde a la gestoría en Civil, se encuentra en etapa de seguimiento, al igual que la gestoría en Familia, la cual es asumida por un recurso “gestor”, con la coadyuvancia de 1 profesional del CACMFJ.  </w:t>
      </w:r>
    </w:p>
    <w:p w14:paraId="45598B1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7390EE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Se percibe que existen materias que no cuentan con gestoría ya que únicamente Civil, Laboral, Familia y Penal (Permiso con goce de salario), cuentan con al menos un recurso destacado de manera específica para la materia, por lo que de contar con una gestoría podría generar mayores mejoras y modernización de los despachos relacionados. </w:t>
      </w:r>
    </w:p>
    <w:p w14:paraId="02FD73D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05189E5"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Los puestos conocidos como “Gestor” se han otorgado en su mayoría para atender las necesidades que surgen a raíz de la implementación de diferentes reformas procesales tales como: Laboral, Civil, Familia, Agrario, así como para la ejecución de proyectos como el del “Juzgado Modelo de Pensiones Alimentarias”, o bien para la atención de la emergencia de la pandemia como es el caso de la Materia Penal.</w:t>
      </w:r>
    </w:p>
    <w:p w14:paraId="6323F60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5A2413B"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Si bien se estima que la plaza de Jueza o Juez 5 (Gestor de materia civil), ha realizado una función medular en la entrada en vigencia del Nuevo Código Procesal Civil, y actualmente en las labores de seguimiento de los despachos que conocen materia civil y cobratoria, esta Dirección estima que la plaza, ya cumplió con su objetivo y que al finalizar el 2021, poco más de tres años después de la Reforma Civil, ya las oficinas se encuentran adaptadas a los cambios que se originaron de la reforma.  </w:t>
      </w:r>
    </w:p>
    <w:p w14:paraId="6CAD7AB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6493869"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Al considerar la funciones estratégicas y medulares de la gestoría, se estima que con un recurso (plaza ordinaria otorgada anteriormente) se puede atender lo relevante y necesario para garantizar una buena gestoría </w:t>
      </w:r>
      <w:r w:rsidRPr="002A7673">
        <w:rPr>
          <w:rFonts w:ascii="Times New Roman" w:eastAsia="Calibri" w:hAnsi="Times New Roman" w:cs="Times New Roman"/>
          <w:i/>
          <w:iCs/>
          <w:sz w:val="26"/>
          <w:szCs w:val="26"/>
        </w:rPr>
        <w:lastRenderedPageBreak/>
        <w:t xml:space="preserve">para los despachos relacionados, situación que se evidenció desde octubre 2020 hasta la fecha en donde la gestoría, ha sido asumida por un único recurso (plaza extraordinaria). </w:t>
      </w:r>
    </w:p>
    <w:p w14:paraId="5205F912"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A311B1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Esto sin duda, requiere redireccionar y priorizar los esfuerzos que atenderá ese recurso y realizar modificaciones en la forma de abordar las necesidades que presentan los 69 despachos con la atención de la materia, así como la forma de abordar los casos que estimulen la autogestión de las oficinas, para que contribuyan a estabilizar la cantidad de asuntos que ingresan y circulan en esos despachos.</w:t>
      </w:r>
    </w:p>
    <w:p w14:paraId="58E8AB8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10A1F8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 importante hacer notar que también existen otras necesidades que presentan las otras materias que podría considerarse un planteamiento con los recursos.</w:t>
      </w:r>
    </w:p>
    <w:p w14:paraId="2C68800C"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40050588"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Plazas de Jueza o Juez 2 y Técnica o Técnico Judicial 1</w:t>
      </w:r>
    </w:p>
    <w:p w14:paraId="1BB1FC9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1633D997"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Las plazas se han concedido para la atención de planes de descongestionamiento en diferentes despachos que conocen de materia cobratoria del país, la cual se ha evidenciado en diferentes informes que es la que genera la mayor carga de trabajo a la institución, representando más del 50% del circulante total.</w:t>
      </w:r>
    </w:p>
    <w:p w14:paraId="5E2F3A30"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54D8367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3.2.2.4. Labores realizadas en el 2020</w:t>
      </w:r>
    </w:p>
    <w:p w14:paraId="05ADD30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7884EFE1"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Las plazas se encuentran adscritas al Centro de Apoyo y de acuerdo con esa dependencia, durante el 2020 las plazas se dedicaron a ejecutar varios planes de trabajo, que se basaron en la producción esperada para cada plaza de persona juzgadora y técnica judicial en condición extraordinaria.</w:t>
      </w:r>
    </w:p>
    <w:p w14:paraId="1EF38A1E"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000672A6"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El plan de trabajo diseñado para estas plazas consistió en la tramitación mínima de 27 asuntos diarios resueltos por plaza de persona técnica judicial, donde el juez (a) recibe la producción de 2 personas técnicas a razón de una cuota diaria de mínimo 54 procesos firmados, para un promedio de 1.134 asuntos por mes y 12.757,5 en el año por equipo de trabajo (1 Juez (a) y 2 Técnicos Judiciales). Para un total por los 2 equipos de trabajo (2 jueces y 4 técnicos) de 25.515 asuntos mínimos durante el año.</w:t>
      </w:r>
    </w:p>
    <w:p w14:paraId="1269044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1D6C814"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Este plan de trabajo quedó sujeto a la situación actual de cada despacho, por lo que en algunos casos sufrió variación, únicamente en cuanto a la cuota establecida.</w:t>
      </w:r>
    </w:p>
    <w:p w14:paraId="07C6810D"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p>
    <w:p w14:paraId="6551928F" w14:textId="77777777" w:rsidR="00083CA4" w:rsidRPr="002A7673" w:rsidRDefault="00083CA4" w:rsidP="00F129A6">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 continuación, se presentan los resultados alcanzados por el personal que ocupó las plazas extraordinarias objeto de estudio e integrantes del Plan de Descongestionamiento 2020, para la atención del trámite de la materia:  </w:t>
      </w:r>
    </w:p>
    <w:p w14:paraId="057052B1" w14:textId="77777777" w:rsidR="00083CA4" w:rsidRPr="002A7673" w:rsidRDefault="00083CA4" w:rsidP="005F7139">
      <w:pPr>
        <w:spacing w:after="0" w:line="240" w:lineRule="auto"/>
        <w:rPr>
          <w:rFonts w:ascii="Times New Roman" w:eastAsia="Calibri" w:hAnsi="Times New Roman" w:cs="Times New Roman"/>
          <w:i/>
          <w:iCs/>
        </w:rPr>
      </w:pPr>
    </w:p>
    <w:p w14:paraId="41210281" w14:textId="77777777" w:rsidR="00083CA4" w:rsidRPr="002A7673" w:rsidRDefault="00083CA4" w:rsidP="00F129A6">
      <w:pPr>
        <w:spacing w:after="0" w:line="240" w:lineRule="auto"/>
        <w:jc w:val="center"/>
        <w:rPr>
          <w:rFonts w:ascii="Times New Roman" w:eastAsia="Calibri" w:hAnsi="Times New Roman" w:cs="Times New Roman"/>
          <w:b/>
          <w:i/>
          <w:iCs/>
          <w:sz w:val="26"/>
          <w:szCs w:val="26"/>
        </w:rPr>
      </w:pPr>
      <w:r w:rsidRPr="002A7673">
        <w:rPr>
          <w:rFonts w:ascii="Times New Roman" w:eastAsia="Calibri" w:hAnsi="Times New Roman" w:cs="Times New Roman"/>
          <w:b/>
          <w:i/>
          <w:iCs/>
          <w:sz w:val="26"/>
          <w:szCs w:val="26"/>
        </w:rPr>
        <w:t>Gráfico 1</w:t>
      </w:r>
    </w:p>
    <w:p w14:paraId="2A69DD2A" w14:textId="77777777" w:rsidR="00F129A6" w:rsidRPr="002A7673" w:rsidRDefault="00F129A6" w:rsidP="00F129A6">
      <w:pPr>
        <w:spacing w:after="0" w:line="240" w:lineRule="auto"/>
        <w:jc w:val="center"/>
        <w:rPr>
          <w:rFonts w:ascii="Times New Roman" w:eastAsia="Calibri" w:hAnsi="Times New Roman" w:cs="Times New Roman"/>
          <w:b/>
          <w:i/>
          <w:iCs/>
          <w:sz w:val="26"/>
          <w:szCs w:val="26"/>
        </w:rPr>
      </w:pPr>
    </w:p>
    <w:p w14:paraId="3A5666FB" w14:textId="77777777" w:rsidR="00083CA4" w:rsidRPr="002A7673" w:rsidRDefault="00083CA4" w:rsidP="00F129A6">
      <w:pPr>
        <w:spacing w:after="0" w:line="240" w:lineRule="auto"/>
        <w:jc w:val="center"/>
        <w:rPr>
          <w:rFonts w:ascii="Times New Roman" w:eastAsia="Calibri" w:hAnsi="Times New Roman" w:cs="Times New Roman"/>
          <w:i/>
          <w:iCs/>
        </w:rPr>
      </w:pPr>
      <w:r w:rsidRPr="002A7673">
        <w:rPr>
          <w:rFonts w:ascii="Times New Roman" w:eastAsia="Calibri" w:hAnsi="Times New Roman" w:cs="Times New Roman"/>
          <w:noProof/>
          <w:lang w:eastAsia="es-CR"/>
        </w:rPr>
        <w:drawing>
          <wp:inline distT="0" distB="0" distL="0" distR="0" wp14:anchorId="14437ED5" wp14:editId="7C657017">
            <wp:extent cx="3092450" cy="23050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pic:nvPicPr>
                  <pic:blipFill>
                    <a:blip r:embed="rId60">
                      <a:extLst>
                        <a:ext uri="{28A0092B-C50C-407E-A947-70E740481C1C}">
                          <a14:useLocalDpi xmlns:a14="http://schemas.microsoft.com/office/drawing/2010/main" val="0"/>
                        </a:ext>
                      </a:extLst>
                    </a:blip>
                    <a:srcRect t="2341" r="822" b="11490"/>
                    <a:stretch>
                      <a:fillRect/>
                    </a:stretch>
                  </pic:blipFill>
                  <pic:spPr>
                    <a:xfrm>
                      <a:off x="0" y="0"/>
                      <a:ext cx="3092450" cy="2305050"/>
                    </a:xfrm>
                    <a:prstGeom prst="rect">
                      <a:avLst/>
                    </a:prstGeom>
                  </pic:spPr>
                </pic:pic>
              </a:graphicData>
            </a:graphic>
          </wp:inline>
        </w:drawing>
      </w:r>
    </w:p>
    <w:p w14:paraId="1FB9730B" w14:textId="77777777" w:rsidR="00083CA4" w:rsidRPr="002A7673" w:rsidRDefault="00083CA4" w:rsidP="00F129A6">
      <w:pPr>
        <w:spacing w:after="0" w:line="240" w:lineRule="auto"/>
        <w:ind w:left="851"/>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Fuente: Centro de Apoyo, Coordinación y Mejoramiento de la Función Jurisdiccional</w:t>
      </w:r>
    </w:p>
    <w:p w14:paraId="287F27E4" w14:textId="77777777" w:rsidR="00083CA4" w:rsidRPr="002A7673" w:rsidRDefault="00083CA4" w:rsidP="005F7139">
      <w:pPr>
        <w:spacing w:after="0" w:line="240" w:lineRule="auto"/>
        <w:rPr>
          <w:rFonts w:ascii="Times New Roman" w:eastAsia="Calibri" w:hAnsi="Times New Roman" w:cs="Times New Roman"/>
          <w:i/>
          <w:iCs/>
          <w:sz w:val="26"/>
          <w:szCs w:val="26"/>
        </w:rPr>
      </w:pPr>
    </w:p>
    <w:p w14:paraId="312A26D4" w14:textId="77777777" w:rsidR="00083CA4" w:rsidRPr="002A7673" w:rsidRDefault="00083CA4" w:rsidP="005F7139">
      <w:pPr>
        <w:spacing w:after="0" w:line="240" w:lineRule="auto"/>
        <w:rPr>
          <w:rFonts w:ascii="Times New Roman" w:eastAsia="Calibri" w:hAnsi="Times New Roman" w:cs="Times New Roman"/>
          <w:i/>
          <w:iCs/>
          <w:sz w:val="26"/>
          <w:szCs w:val="26"/>
        </w:rPr>
      </w:pPr>
    </w:p>
    <w:p w14:paraId="3920540E" w14:textId="77777777" w:rsidR="00083CA4" w:rsidRPr="002A7673" w:rsidRDefault="00083CA4" w:rsidP="00F129A6">
      <w:pPr>
        <w:spacing w:after="0" w:line="240" w:lineRule="auto"/>
        <w:jc w:val="center"/>
        <w:rPr>
          <w:rFonts w:ascii="Times New Roman" w:eastAsia="Calibri" w:hAnsi="Times New Roman" w:cs="Times New Roman"/>
          <w:b/>
          <w:i/>
          <w:iCs/>
          <w:sz w:val="26"/>
          <w:szCs w:val="26"/>
        </w:rPr>
      </w:pPr>
      <w:r w:rsidRPr="002A7673">
        <w:rPr>
          <w:rFonts w:ascii="Times New Roman" w:eastAsia="Calibri" w:hAnsi="Times New Roman" w:cs="Times New Roman"/>
          <w:b/>
          <w:i/>
          <w:iCs/>
          <w:sz w:val="26"/>
          <w:szCs w:val="26"/>
        </w:rPr>
        <w:t>Gráfico 2</w:t>
      </w:r>
    </w:p>
    <w:p w14:paraId="28456A0A" w14:textId="77777777" w:rsidR="00083CA4" w:rsidRPr="002A7673" w:rsidRDefault="00083CA4" w:rsidP="005F7139">
      <w:pPr>
        <w:spacing w:after="0" w:line="240" w:lineRule="auto"/>
        <w:rPr>
          <w:rFonts w:ascii="Times New Roman" w:eastAsia="Calibri" w:hAnsi="Times New Roman" w:cs="Times New Roman"/>
          <w:i/>
          <w:iCs/>
        </w:rPr>
      </w:pPr>
    </w:p>
    <w:p w14:paraId="0A01CA04" w14:textId="77777777" w:rsidR="00083CA4" w:rsidRPr="002A7673" w:rsidRDefault="00083CA4" w:rsidP="00F129A6">
      <w:pPr>
        <w:spacing w:after="0" w:line="240" w:lineRule="auto"/>
        <w:jc w:val="center"/>
        <w:rPr>
          <w:rFonts w:ascii="Times New Roman" w:eastAsia="Calibri" w:hAnsi="Times New Roman" w:cs="Times New Roman"/>
          <w:i/>
          <w:iCs/>
        </w:rPr>
      </w:pPr>
      <w:r w:rsidRPr="002A7673">
        <w:rPr>
          <w:rFonts w:ascii="Times New Roman" w:eastAsia="Calibri" w:hAnsi="Times New Roman" w:cs="Times New Roman"/>
          <w:noProof/>
          <w:lang w:eastAsia="es-CR"/>
        </w:rPr>
        <w:lastRenderedPageBreak/>
        <w:drawing>
          <wp:inline distT="0" distB="0" distL="0" distR="0" wp14:anchorId="5A8A23D5" wp14:editId="008D776D">
            <wp:extent cx="3321050" cy="25717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pic:nvPicPr>
                  <pic:blipFill>
                    <a:blip r:embed="rId61">
                      <a:extLst>
                        <a:ext uri="{28A0092B-C50C-407E-A947-70E740481C1C}">
                          <a14:useLocalDpi xmlns:a14="http://schemas.microsoft.com/office/drawing/2010/main" val="0"/>
                        </a:ext>
                      </a:extLst>
                    </a:blip>
                    <a:srcRect r="2377" b="1428"/>
                    <a:stretch>
                      <a:fillRect/>
                    </a:stretch>
                  </pic:blipFill>
                  <pic:spPr>
                    <a:xfrm>
                      <a:off x="0" y="0"/>
                      <a:ext cx="3321050" cy="2571750"/>
                    </a:xfrm>
                    <a:prstGeom prst="rect">
                      <a:avLst/>
                    </a:prstGeom>
                  </pic:spPr>
                </pic:pic>
              </a:graphicData>
            </a:graphic>
          </wp:inline>
        </w:drawing>
      </w:r>
    </w:p>
    <w:p w14:paraId="01AFC0C4" w14:textId="77777777" w:rsidR="00083CA4" w:rsidRPr="002A7673" w:rsidRDefault="00A26EFE" w:rsidP="00A26EFE">
      <w:pPr>
        <w:spacing w:after="0" w:line="240" w:lineRule="auto"/>
        <w:ind w:left="851"/>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 </w:t>
      </w:r>
      <w:r w:rsidR="00083CA4" w:rsidRPr="002A7673">
        <w:rPr>
          <w:rFonts w:ascii="Times New Roman" w:eastAsia="Calibri" w:hAnsi="Times New Roman" w:cs="Times New Roman"/>
          <w:i/>
          <w:iCs/>
          <w:sz w:val="26"/>
          <w:szCs w:val="26"/>
        </w:rPr>
        <w:t>Fuente: Centro de Apoyo, Coordinación y Mejoramiento de la Función Jurisdiccional</w:t>
      </w:r>
    </w:p>
    <w:p w14:paraId="4E82D35A" w14:textId="77777777" w:rsidR="00083CA4" w:rsidRPr="002A7673" w:rsidRDefault="00083CA4" w:rsidP="005F7139">
      <w:pPr>
        <w:spacing w:after="0" w:line="240" w:lineRule="auto"/>
        <w:rPr>
          <w:rFonts w:ascii="Times New Roman" w:eastAsia="Calibri" w:hAnsi="Times New Roman" w:cs="Times New Roman"/>
          <w:i/>
          <w:iCs/>
        </w:rPr>
      </w:pPr>
    </w:p>
    <w:p w14:paraId="0BF30DB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Como se visualiza de los gráficos anteriores, el recurso extraordinario cumplió los planes de acuerdo con la producción esperada (ajustada</w:t>
      </w:r>
      <w:r w:rsidRPr="002A7673">
        <w:rPr>
          <w:rFonts w:ascii="Times New Roman" w:eastAsia="Calibri" w:hAnsi="Times New Roman" w:cs="Times New Roman"/>
          <w:i/>
          <w:iCs/>
          <w:sz w:val="26"/>
          <w:szCs w:val="26"/>
        </w:rPr>
        <w:footnoteReference w:customMarkFollows="1" w:id="1"/>
        <w:t xml:space="preserve">1), obteniendo rendimientos por arriba del 100%, por lo que a continuación se evidencia el rendimiento individual por cada una de las plazas extraordinarias: </w:t>
      </w:r>
    </w:p>
    <w:p w14:paraId="06623D84" w14:textId="77777777" w:rsidR="00083CA4" w:rsidRPr="002A7673" w:rsidRDefault="00083CA4" w:rsidP="005F7139">
      <w:pPr>
        <w:spacing w:after="0" w:line="240" w:lineRule="auto"/>
        <w:rPr>
          <w:rFonts w:ascii="Times New Roman" w:eastAsia="Calibri" w:hAnsi="Times New Roman" w:cs="Times New Roman"/>
          <w:i/>
          <w:iCs/>
        </w:rPr>
      </w:pPr>
    </w:p>
    <w:tbl>
      <w:tblPr>
        <w:tblW w:w="0" w:type="auto"/>
        <w:jc w:val="center"/>
        <w:tblLayout w:type="fixed"/>
        <w:tblCellMar>
          <w:left w:w="0" w:type="dxa"/>
          <w:right w:w="0" w:type="dxa"/>
        </w:tblCellMar>
        <w:tblLook w:val="0000" w:firstRow="0" w:lastRow="0" w:firstColumn="0" w:lastColumn="0" w:noHBand="0" w:noVBand="0"/>
      </w:tblPr>
      <w:tblGrid>
        <w:gridCol w:w="519"/>
        <w:gridCol w:w="957"/>
        <w:gridCol w:w="1769"/>
        <w:gridCol w:w="1523"/>
        <w:gridCol w:w="1518"/>
        <w:gridCol w:w="1525"/>
        <w:gridCol w:w="1596"/>
      </w:tblGrid>
      <w:tr w:rsidR="00083CA4" w:rsidRPr="002A7673" w14:paraId="42AED979" w14:textId="77777777" w:rsidTr="005F7139">
        <w:trPr>
          <w:trHeight w:val="400"/>
          <w:jc w:val="center"/>
        </w:trPr>
        <w:tc>
          <w:tcPr>
            <w:tcW w:w="519" w:type="dxa"/>
            <w:tcBorders>
              <w:top w:val="nil"/>
              <w:left w:val="nil"/>
              <w:bottom w:val="nil"/>
              <w:right w:val="nil"/>
            </w:tcBorders>
            <w:tcMar>
              <w:top w:w="0" w:type="dxa"/>
              <w:left w:w="108" w:type="dxa"/>
              <w:bottom w:w="0" w:type="dxa"/>
              <w:right w:w="108" w:type="dxa"/>
            </w:tcMar>
          </w:tcPr>
          <w:p w14:paraId="01DE932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Clase</w:t>
            </w:r>
          </w:p>
        </w:tc>
        <w:tc>
          <w:tcPr>
            <w:tcW w:w="957" w:type="dxa"/>
            <w:tcBorders>
              <w:top w:val="nil"/>
              <w:left w:val="nil"/>
              <w:bottom w:val="nil"/>
              <w:right w:val="nil"/>
            </w:tcBorders>
            <w:tcMar>
              <w:top w:w="0" w:type="dxa"/>
              <w:left w:w="108" w:type="dxa"/>
              <w:bottom w:w="0" w:type="dxa"/>
              <w:right w:w="108" w:type="dxa"/>
            </w:tcMar>
          </w:tcPr>
          <w:p w14:paraId="52BEDF8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N° plaza</w:t>
            </w:r>
          </w:p>
        </w:tc>
        <w:tc>
          <w:tcPr>
            <w:tcW w:w="1769" w:type="dxa"/>
            <w:tcBorders>
              <w:top w:val="nil"/>
              <w:left w:val="nil"/>
              <w:bottom w:val="nil"/>
              <w:right w:val="nil"/>
            </w:tcBorders>
            <w:tcMar>
              <w:top w:w="0" w:type="dxa"/>
              <w:left w:w="108" w:type="dxa"/>
              <w:bottom w:w="0" w:type="dxa"/>
              <w:right w:w="108" w:type="dxa"/>
            </w:tcMar>
          </w:tcPr>
          <w:p w14:paraId="7F91507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Condición</w:t>
            </w:r>
          </w:p>
        </w:tc>
        <w:tc>
          <w:tcPr>
            <w:tcW w:w="1523" w:type="dxa"/>
            <w:tcBorders>
              <w:top w:val="nil"/>
              <w:left w:val="nil"/>
              <w:bottom w:val="nil"/>
              <w:right w:val="nil"/>
            </w:tcBorders>
            <w:tcMar>
              <w:top w:w="0" w:type="dxa"/>
              <w:left w:w="108" w:type="dxa"/>
              <w:bottom w:w="0" w:type="dxa"/>
              <w:right w:w="108" w:type="dxa"/>
            </w:tcMar>
          </w:tcPr>
          <w:p w14:paraId="04CA19E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Producción esperada1]</w:t>
            </w:r>
          </w:p>
        </w:tc>
        <w:tc>
          <w:tcPr>
            <w:tcW w:w="1518" w:type="dxa"/>
            <w:tcBorders>
              <w:top w:val="nil"/>
              <w:left w:val="nil"/>
              <w:bottom w:val="nil"/>
              <w:right w:val="nil"/>
            </w:tcBorders>
            <w:tcMar>
              <w:top w:w="0" w:type="dxa"/>
              <w:left w:w="108" w:type="dxa"/>
              <w:bottom w:w="0" w:type="dxa"/>
              <w:right w:w="108" w:type="dxa"/>
            </w:tcMar>
          </w:tcPr>
          <w:p w14:paraId="5850F08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Producción ajustada2]</w:t>
            </w:r>
          </w:p>
        </w:tc>
        <w:tc>
          <w:tcPr>
            <w:tcW w:w="1525" w:type="dxa"/>
            <w:tcBorders>
              <w:top w:val="nil"/>
              <w:left w:val="nil"/>
              <w:bottom w:val="nil"/>
              <w:right w:val="nil"/>
            </w:tcBorders>
            <w:tcMar>
              <w:top w:w="0" w:type="dxa"/>
              <w:left w:w="108" w:type="dxa"/>
              <w:bottom w:w="0" w:type="dxa"/>
              <w:right w:w="108" w:type="dxa"/>
            </w:tcMar>
          </w:tcPr>
          <w:p w14:paraId="342993E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Producción realizada3]</w:t>
            </w:r>
          </w:p>
        </w:tc>
        <w:tc>
          <w:tcPr>
            <w:tcW w:w="1596" w:type="dxa"/>
            <w:tcBorders>
              <w:top w:val="nil"/>
              <w:left w:val="nil"/>
              <w:bottom w:val="nil"/>
              <w:right w:val="nil"/>
            </w:tcBorders>
            <w:tcMar>
              <w:top w:w="0" w:type="dxa"/>
              <w:left w:w="108" w:type="dxa"/>
              <w:bottom w:w="0" w:type="dxa"/>
              <w:right w:w="108" w:type="dxa"/>
            </w:tcMar>
          </w:tcPr>
          <w:p w14:paraId="3A1B418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Rendimiento</w:t>
            </w:r>
          </w:p>
        </w:tc>
      </w:tr>
      <w:tr w:rsidR="00083CA4" w:rsidRPr="002A7673" w14:paraId="5830AFB9" w14:textId="77777777" w:rsidTr="005F7139">
        <w:trPr>
          <w:trHeight w:val="291"/>
          <w:jc w:val="center"/>
        </w:trPr>
        <w:tc>
          <w:tcPr>
            <w:tcW w:w="519" w:type="dxa"/>
            <w:tcBorders>
              <w:top w:val="nil"/>
              <w:left w:val="nil"/>
              <w:bottom w:val="nil"/>
              <w:right w:val="nil"/>
            </w:tcBorders>
            <w:tcMar>
              <w:top w:w="0" w:type="dxa"/>
              <w:left w:w="108" w:type="dxa"/>
              <w:bottom w:w="0" w:type="dxa"/>
              <w:right w:w="108" w:type="dxa"/>
            </w:tcMar>
          </w:tcPr>
          <w:p w14:paraId="48D9DE9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 2</w:t>
            </w:r>
          </w:p>
        </w:tc>
        <w:tc>
          <w:tcPr>
            <w:tcW w:w="957" w:type="dxa"/>
            <w:tcBorders>
              <w:top w:val="nil"/>
              <w:left w:val="nil"/>
              <w:bottom w:val="nil"/>
              <w:right w:val="nil"/>
            </w:tcBorders>
            <w:tcMar>
              <w:top w:w="0" w:type="dxa"/>
              <w:left w:w="108" w:type="dxa"/>
              <w:bottom w:w="0" w:type="dxa"/>
              <w:right w:w="108" w:type="dxa"/>
            </w:tcMar>
          </w:tcPr>
          <w:p w14:paraId="693CDBF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379821</w:t>
            </w:r>
          </w:p>
          <w:p w14:paraId="5ED034ED"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769" w:type="dxa"/>
            <w:tcBorders>
              <w:top w:val="nil"/>
              <w:left w:val="nil"/>
              <w:bottom w:val="nil"/>
              <w:right w:val="nil"/>
            </w:tcBorders>
            <w:tcMar>
              <w:top w:w="0" w:type="dxa"/>
              <w:left w:w="108" w:type="dxa"/>
              <w:bottom w:w="0" w:type="dxa"/>
              <w:right w:w="108" w:type="dxa"/>
            </w:tcMar>
          </w:tcPr>
          <w:p w14:paraId="748B54E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523" w:type="dxa"/>
            <w:tcBorders>
              <w:top w:val="nil"/>
              <w:left w:val="nil"/>
              <w:bottom w:val="nil"/>
              <w:right w:val="nil"/>
            </w:tcBorders>
            <w:tcMar>
              <w:top w:w="0" w:type="dxa"/>
              <w:left w:w="108" w:type="dxa"/>
              <w:bottom w:w="0" w:type="dxa"/>
              <w:right w:w="108" w:type="dxa"/>
            </w:tcMar>
          </w:tcPr>
          <w:p w14:paraId="2044A52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12531</w:t>
            </w:r>
          </w:p>
        </w:tc>
        <w:tc>
          <w:tcPr>
            <w:tcW w:w="1518" w:type="dxa"/>
            <w:tcBorders>
              <w:top w:val="nil"/>
              <w:left w:val="nil"/>
              <w:bottom w:val="nil"/>
              <w:right w:val="nil"/>
            </w:tcBorders>
            <w:tcMar>
              <w:top w:w="0" w:type="dxa"/>
              <w:left w:w="108" w:type="dxa"/>
              <w:bottom w:w="0" w:type="dxa"/>
              <w:right w:w="108" w:type="dxa"/>
            </w:tcMar>
          </w:tcPr>
          <w:p w14:paraId="048028B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9179,48</w:t>
            </w:r>
          </w:p>
        </w:tc>
        <w:tc>
          <w:tcPr>
            <w:tcW w:w="1525" w:type="dxa"/>
            <w:tcBorders>
              <w:top w:val="nil"/>
              <w:left w:val="nil"/>
              <w:bottom w:val="nil"/>
              <w:right w:val="nil"/>
            </w:tcBorders>
            <w:tcMar>
              <w:top w:w="0" w:type="dxa"/>
              <w:left w:w="108" w:type="dxa"/>
              <w:bottom w:w="0" w:type="dxa"/>
              <w:right w:w="108" w:type="dxa"/>
            </w:tcMar>
          </w:tcPr>
          <w:p w14:paraId="43A7287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9292</w:t>
            </w:r>
          </w:p>
        </w:tc>
        <w:tc>
          <w:tcPr>
            <w:tcW w:w="1596" w:type="dxa"/>
            <w:tcBorders>
              <w:top w:val="nil"/>
              <w:left w:val="nil"/>
              <w:bottom w:val="nil"/>
              <w:right w:val="nil"/>
            </w:tcBorders>
            <w:tcMar>
              <w:top w:w="0" w:type="dxa"/>
              <w:left w:w="108" w:type="dxa"/>
              <w:bottom w:w="0" w:type="dxa"/>
              <w:right w:w="108" w:type="dxa"/>
            </w:tcMar>
          </w:tcPr>
          <w:p w14:paraId="7EC7F5E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101%</w:t>
            </w:r>
          </w:p>
        </w:tc>
      </w:tr>
      <w:tr w:rsidR="00083CA4" w:rsidRPr="002A7673" w14:paraId="41377BE0" w14:textId="77777777" w:rsidTr="005F7139">
        <w:trPr>
          <w:trHeight w:val="175"/>
          <w:jc w:val="center"/>
        </w:trPr>
        <w:tc>
          <w:tcPr>
            <w:tcW w:w="519" w:type="dxa"/>
            <w:tcBorders>
              <w:top w:val="nil"/>
              <w:left w:val="nil"/>
              <w:bottom w:val="nil"/>
              <w:right w:val="nil"/>
            </w:tcBorders>
            <w:tcMar>
              <w:top w:w="0" w:type="dxa"/>
              <w:left w:w="108" w:type="dxa"/>
              <w:bottom w:w="0" w:type="dxa"/>
              <w:right w:w="108" w:type="dxa"/>
            </w:tcMar>
          </w:tcPr>
          <w:p w14:paraId="5ED2372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 2</w:t>
            </w:r>
          </w:p>
        </w:tc>
        <w:tc>
          <w:tcPr>
            <w:tcW w:w="957" w:type="dxa"/>
            <w:tcBorders>
              <w:top w:val="nil"/>
              <w:left w:val="nil"/>
              <w:bottom w:val="nil"/>
              <w:right w:val="nil"/>
            </w:tcBorders>
            <w:tcMar>
              <w:top w:w="0" w:type="dxa"/>
              <w:left w:w="108" w:type="dxa"/>
              <w:bottom w:w="0" w:type="dxa"/>
              <w:right w:w="108" w:type="dxa"/>
            </w:tcMar>
          </w:tcPr>
          <w:p w14:paraId="4199CE8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379820</w:t>
            </w:r>
          </w:p>
          <w:p w14:paraId="4495975E"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769" w:type="dxa"/>
            <w:tcBorders>
              <w:top w:val="nil"/>
              <w:left w:val="nil"/>
              <w:bottom w:val="nil"/>
              <w:right w:val="nil"/>
            </w:tcBorders>
            <w:tcMar>
              <w:top w:w="0" w:type="dxa"/>
              <w:left w:w="108" w:type="dxa"/>
              <w:bottom w:w="0" w:type="dxa"/>
              <w:right w:w="108" w:type="dxa"/>
            </w:tcMar>
          </w:tcPr>
          <w:p w14:paraId="39DCC81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523" w:type="dxa"/>
            <w:tcBorders>
              <w:top w:val="nil"/>
              <w:left w:val="nil"/>
              <w:bottom w:val="nil"/>
              <w:right w:val="nil"/>
            </w:tcBorders>
            <w:tcMar>
              <w:top w:w="0" w:type="dxa"/>
              <w:left w:w="108" w:type="dxa"/>
              <w:bottom w:w="0" w:type="dxa"/>
              <w:right w:w="108" w:type="dxa"/>
            </w:tcMar>
          </w:tcPr>
          <w:p w14:paraId="65F402A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12828</w:t>
            </w:r>
          </w:p>
        </w:tc>
        <w:tc>
          <w:tcPr>
            <w:tcW w:w="1518" w:type="dxa"/>
            <w:tcBorders>
              <w:top w:val="nil"/>
              <w:left w:val="nil"/>
              <w:bottom w:val="nil"/>
              <w:right w:val="nil"/>
            </w:tcBorders>
            <w:tcMar>
              <w:top w:w="0" w:type="dxa"/>
              <w:left w:w="108" w:type="dxa"/>
              <w:bottom w:w="0" w:type="dxa"/>
              <w:right w:w="108" w:type="dxa"/>
            </w:tcMar>
          </w:tcPr>
          <w:p w14:paraId="5D1594C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9149,4</w:t>
            </w:r>
          </w:p>
        </w:tc>
        <w:tc>
          <w:tcPr>
            <w:tcW w:w="1525" w:type="dxa"/>
            <w:tcBorders>
              <w:top w:val="nil"/>
              <w:left w:val="nil"/>
              <w:bottom w:val="nil"/>
              <w:right w:val="nil"/>
            </w:tcBorders>
            <w:tcMar>
              <w:top w:w="0" w:type="dxa"/>
              <w:left w:w="108" w:type="dxa"/>
              <w:bottom w:w="0" w:type="dxa"/>
              <w:right w:w="108" w:type="dxa"/>
            </w:tcMar>
          </w:tcPr>
          <w:p w14:paraId="1FF9A2A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9500</w:t>
            </w:r>
          </w:p>
        </w:tc>
        <w:tc>
          <w:tcPr>
            <w:tcW w:w="1596" w:type="dxa"/>
            <w:tcBorders>
              <w:top w:val="nil"/>
              <w:left w:val="nil"/>
              <w:bottom w:val="nil"/>
              <w:right w:val="nil"/>
            </w:tcBorders>
            <w:tcMar>
              <w:top w:w="0" w:type="dxa"/>
              <w:left w:w="108" w:type="dxa"/>
              <w:bottom w:w="0" w:type="dxa"/>
              <w:right w:w="108" w:type="dxa"/>
            </w:tcMar>
          </w:tcPr>
          <w:p w14:paraId="46E102D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104%</w:t>
            </w:r>
          </w:p>
        </w:tc>
      </w:tr>
      <w:tr w:rsidR="00083CA4" w:rsidRPr="002A7673" w14:paraId="0DD5061B" w14:textId="77777777" w:rsidTr="005F7139">
        <w:trPr>
          <w:trHeight w:val="253"/>
          <w:jc w:val="center"/>
        </w:trPr>
        <w:tc>
          <w:tcPr>
            <w:tcW w:w="519" w:type="dxa"/>
            <w:tcBorders>
              <w:top w:val="nil"/>
              <w:left w:val="nil"/>
              <w:bottom w:val="nil"/>
              <w:right w:val="nil"/>
            </w:tcBorders>
            <w:tcMar>
              <w:top w:w="0" w:type="dxa"/>
              <w:left w:w="108" w:type="dxa"/>
              <w:bottom w:w="0" w:type="dxa"/>
              <w:right w:w="108" w:type="dxa"/>
            </w:tcMar>
          </w:tcPr>
          <w:p w14:paraId="089824E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Téc. Judici</w:t>
            </w:r>
            <w:r w:rsidRPr="002A7673">
              <w:rPr>
                <w:rFonts w:ascii="Times New Roman" w:eastAsia="Calibri" w:hAnsi="Times New Roman" w:cs="Times New Roman"/>
                <w:i/>
                <w:iCs/>
                <w:sz w:val="26"/>
                <w:szCs w:val="26"/>
              </w:rPr>
              <w:lastRenderedPageBreak/>
              <w:t>al 1</w:t>
            </w:r>
          </w:p>
        </w:tc>
        <w:tc>
          <w:tcPr>
            <w:tcW w:w="957" w:type="dxa"/>
            <w:tcBorders>
              <w:top w:val="nil"/>
              <w:left w:val="nil"/>
              <w:bottom w:val="nil"/>
              <w:right w:val="nil"/>
            </w:tcBorders>
            <w:tcMar>
              <w:top w:w="0" w:type="dxa"/>
              <w:left w:w="108" w:type="dxa"/>
              <w:bottom w:w="0" w:type="dxa"/>
              <w:right w:w="108" w:type="dxa"/>
            </w:tcMar>
          </w:tcPr>
          <w:p w14:paraId="4FCD8F2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379837</w:t>
            </w:r>
          </w:p>
          <w:p w14:paraId="1BF9E36D"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769" w:type="dxa"/>
            <w:tcBorders>
              <w:top w:val="nil"/>
              <w:left w:val="nil"/>
              <w:bottom w:val="nil"/>
              <w:right w:val="nil"/>
            </w:tcBorders>
            <w:tcMar>
              <w:top w:w="0" w:type="dxa"/>
              <w:left w:w="108" w:type="dxa"/>
              <w:bottom w:w="0" w:type="dxa"/>
              <w:right w:w="108" w:type="dxa"/>
            </w:tcMar>
          </w:tcPr>
          <w:p w14:paraId="5C9683A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523" w:type="dxa"/>
            <w:tcBorders>
              <w:top w:val="nil"/>
              <w:left w:val="nil"/>
              <w:bottom w:val="nil"/>
              <w:right w:val="nil"/>
            </w:tcBorders>
            <w:tcMar>
              <w:top w:w="0" w:type="dxa"/>
              <w:left w:w="108" w:type="dxa"/>
              <w:bottom w:w="0" w:type="dxa"/>
              <w:right w:w="108" w:type="dxa"/>
            </w:tcMar>
          </w:tcPr>
          <w:p w14:paraId="1546245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6265,5</w:t>
            </w:r>
          </w:p>
        </w:tc>
        <w:tc>
          <w:tcPr>
            <w:tcW w:w="1518" w:type="dxa"/>
            <w:tcBorders>
              <w:top w:val="nil"/>
              <w:left w:val="nil"/>
              <w:bottom w:val="nil"/>
              <w:right w:val="nil"/>
            </w:tcBorders>
            <w:tcMar>
              <w:top w:w="0" w:type="dxa"/>
              <w:left w:w="108" w:type="dxa"/>
              <w:bottom w:w="0" w:type="dxa"/>
              <w:right w:w="108" w:type="dxa"/>
            </w:tcMar>
          </w:tcPr>
          <w:p w14:paraId="3EEDFD8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4206,175</w:t>
            </w:r>
          </w:p>
        </w:tc>
        <w:tc>
          <w:tcPr>
            <w:tcW w:w="1525" w:type="dxa"/>
            <w:tcBorders>
              <w:top w:val="nil"/>
              <w:left w:val="nil"/>
              <w:bottom w:val="nil"/>
              <w:right w:val="nil"/>
            </w:tcBorders>
            <w:tcMar>
              <w:top w:w="0" w:type="dxa"/>
              <w:left w:w="108" w:type="dxa"/>
              <w:bottom w:w="0" w:type="dxa"/>
              <w:right w:w="108" w:type="dxa"/>
            </w:tcMar>
          </w:tcPr>
          <w:p w14:paraId="4B249DB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4579</w:t>
            </w:r>
          </w:p>
        </w:tc>
        <w:tc>
          <w:tcPr>
            <w:tcW w:w="1596" w:type="dxa"/>
            <w:tcBorders>
              <w:top w:val="nil"/>
              <w:left w:val="nil"/>
              <w:bottom w:val="nil"/>
              <w:right w:val="nil"/>
            </w:tcBorders>
            <w:tcMar>
              <w:top w:w="0" w:type="dxa"/>
              <w:left w:w="108" w:type="dxa"/>
              <w:bottom w:w="0" w:type="dxa"/>
              <w:right w:w="108" w:type="dxa"/>
            </w:tcMar>
          </w:tcPr>
          <w:p w14:paraId="56C2E4E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109%</w:t>
            </w:r>
          </w:p>
        </w:tc>
      </w:tr>
      <w:tr w:rsidR="00083CA4" w:rsidRPr="002A7673" w14:paraId="1CE7F4C0" w14:textId="77777777" w:rsidTr="005F7139">
        <w:trPr>
          <w:trHeight w:val="591"/>
          <w:jc w:val="center"/>
        </w:trPr>
        <w:tc>
          <w:tcPr>
            <w:tcW w:w="519" w:type="dxa"/>
            <w:tcBorders>
              <w:top w:val="nil"/>
              <w:left w:val="nil"/>
              <w:bottom w:val="nil"/>
              <w:right w:val="nil"/>
            </w:tcBorders>
            <w:tcMar>
              <w:top w:w="0" w:type="dxa"/>
              <w:left w:w="108" w:type="dxa"/>
              <w:bottom w:w="0" w:type="dxa"/>
              <w:right w:w="108" w:type="dxa"/>
            </w:tcMar>
          </w:tcPr>
          <w:p w14:paraId="4058018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Téc. Judicial 1</w:t>
            </w:r>
          </w:p>
        </w:tc>
        <w:tc>
          <w:tcPr>
            <w:tcW w:w="957" w:type="dxa"/>
            <w:tcBorders>
              <w:top w:val="nil"/>
              <w:left w:val="nil"/>
              <w:bottom w:val="nil"/>
              <w:right w:val="nil"/>
            </w:tcBorders>
            <w:tcMar>
              <w:top w:w="0" w:type="dxa"/>
              <w:left w:w="108" w:type="dxa"/>
              <w:bottom w:w="0" w:type="dxa"/>
              <w:right w:w="108" w:type="dxa"/>
            </w:tcMar>
          </w:tcPr>
          <w:p w14:paraId="0B3EF84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379838</w:t>
            </w:r>
          </w:p>
          <w:p w14:paraId="09C76EAC"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769" w:type="dxa"/>
            <w:tcBorders>
              <w:top w:val="nil"/>
              <w:left w:val="nil"/>
              <w:bottom w:val="nil"/>
              <w:right w:val="nil"/>
            </w:tcBorders>
            <w:tcMar>
              <w:top w:w="0" w:type="dxa"/>
              <w:left w:w="108" w:type="dxa"/>
              <w:bottom w:w="0" w:type="dxa"/>
              <w:right w:w="108" w:type="dxa"/>
            </w:tcMar>
          </w:tcPr>
          <w:p w14:paraId="42ED7CC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523" w:type="dxa"/>
            <w:tcBorders>
              <w:top w:val="nil"/>
              <w:left w:val="nil"/>
              <w:bottom w:val="nil"/>
              <w:right w:val="nil"/>
            </w:tcBorders>
            <w:tcMar>
              <w:top w:w="0" w:type="dxa"/>
              <w:left w:w="108" w:type="dxa"/>
              <w:bottom w:w="0" w:type="dxa"/>
              <w:right w:w="108" w:type="dxa"/>
            </w:tcMar>
          </w:tcPr>
          <w:p w14:paraId="2BD88BE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6265,5</w:t>
            </w:r>
          </w:p>
        </w:tc>
        <w:tc>
          <w:tcPr>
            <w:tcW w:w="1518" w:type="dxa"/>
            <w:tcBorders>
              <w:top w:val="nil"/>
              <w:left w:val="nil"/>
              <w:bottom w:val="nil"/>
              <w:right w:val="nil"/>
            </w:tcBorders>
            <w:tcMar>
              <w:top w:w="0" w:type="dxa"/>
              <w:left w:w="108" w:type="dxa"/>
              <w:bottom w:w="0" w:type="dxa"/>
              <w:right w:w="108" w:type="dxa"/>
            </w:tcMar>
          </w:tcPr>
          <w:p w14:paraId="2D7CCE5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5107,1</w:t>
            </w:r>
          </w:p>
        </w:tc>
        <w:tc>
          <w:tcPr>
            <w:tcW w:w="1525" w:type="dxa"/>
            <w:tcBorders>
              <w:top w:val="nil"/>
              <w:left w:val="nil"/>
              <w:bottom w:val="nil"/>
              <w:right w:val="nil"/>
            </w:tcBorders>
            <w:tcMar>
              <w:top w:w="0" w:type="dxa"/>
              <w:left w:w="108" w:type="dxa"/>
              <w:bottom w:w="0" w:type="dxa"/>
              <w:right w:w="108" w:type="dxa"/>
            </w:tcMar>
          </w:tcPr>
          <w:p w14:paraId="28042E1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5419</w:t>
            </w:r>
          </w:p>
        </w:tc>
        <w:tc>
          <w:tcPr>
            <w:tcW w:w="1596" w:type="dxa"/>
            <w:tcBorders>
              <w:top w:val="nil"/>
              <w:left w:val="nil"/>
              <w:bottom w:val="nil"/>
              <w:right w:val="nil"/>
            </w:tcBorders>
            <w:tcMar>
              <w:top w:w="0" w:type="dxa"/>
              <w:left w:w="108" w:type="dxa"/>
              <w:bottom w:w="0" w:type="dxa"/>
              <w:right w:w="108" w:type="dxa"/>
            </w:tcMar>
          </w:tcPr>
          <w:p w14:paraId="43688CA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106%</w:t>
            </w:r>
          </w:p>
        </w:tc>
      </w:tr>
      <w:tr w:rsidR="00083CA4" w:rsidRPr="002A7673" w14:paraId="79C624C8" w14:textId="77777777" w:rsidTr="005F7139">
        <w:trPr>
          <w:trHeight w:val="600"/>
          <w:jc w:val="center"/>
        </w:trPr>
        <w:tc>
          <w:tcPr>
            <w:tcW w:w="519" w:type="dxa"/>
            <w:tcBorders>
              <w:top w:val="nil"/>
              <w:left w:val="nil"/>
              <w:bottom w:val="nil"/>
              <w:right w:val="nil"/>
            </w:tcBorders>
            <w:tcMar>
              <w:top w:w="0" w:type="dxa"/>
              <w:left w:w="108" w:type="dxa"/>
              <w:bottom w:w="0" w:type="dxa"/>
              <w:right w:w="108" w:type="dxa"/>
            </w:tcMar>
          </w:tcPr>
          <w:p w14:paraId="09A531A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Téc. Judicial 1</w:t>
            </w:r>
          </w:p>
        </w:tc>
        <w:tc>
          <w:tcPr>
            <w:tcW w:w="957" w:type="dxa"/>
            <w:tcBorders>
              <w:top w:val="nil"/>
              <w:left w:val="nil"/>
              <w:bottom w:val="nil"/>
              <w:right w:val="nil"/>
            </w:tcBorders>
            <w:tcMar>
              <w:top w:w="0" w:type="dxa"/>
              <w:left w:w="108" w:type="dxa"/>
              <w:bottom w:w="0" w:type="dxa"/>
              <w:right w:w="108" w:type="dxa"/>
            </w:tcMar>
          </w:tcPr>
          <w:p w14:paraId="216FC87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379839</w:t>
            </w:r>
          </w:p>
          <w:p w14:paraId="58693D90"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769" w:type="dxa"/>
            <w:tcBorders>
              <w:top w:val="nil"/>
              <w:left w:val="nil"/>
              <w:bottom w:val="nil"/>
              <w:right w:val="nil"/>
            </w:tcBorders>
            <w:tcMar>
              <w:top w:w="0" w:type="dxa"/>
              <w:left w:w="108" w:type="dxa"/>
              <w:bottom w:w="0" w:type="dxa"/>
              <w:right w:w="108" w:type="dxa"/>
            </w:tcMar>
          </w:tcPr>
          <w:p w14:paraId="586BA51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523" w:type="dxa"/>
            <w:tcBorders>
              <w:top w:val="nil"/>
              <w:left w:val="nil"/>
              <w:bottom w:val="nil"/>
              <w:right w:val="nil"/>
            </w:tcBorders>
            <w:tcMar>
              <w:top w:w="0" w:type="dxa"/>
              <w:left w:w="108" w:type="dxa"/>
              <w:bottom w:w="0" w:type="dxa"/>
              <w:right w:w="108" w:type="dxa"/>
            </w:tcMar>
          </w:tcPr>
          <w:p w14:paraId="34A92CC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6414</w:t>
            </w:r>
          </w:p>
        </w:tc>
        <w:tc>
          <w:tcPr>
            <w:tcW w:w="1518" w:type="dxa"/>
            <w:tcBorders>
              <w:top w:val="nil"/>
              <w:left w:val="nil"/>
              <w:bottom w:val="nil"/>
              <w:right w:val="nil"/>
            </w:tcBorders>
            <w:tcMar>
              <w:top w:w="0" w:type="dxa"/>
              <w:left w:w="108" w:type="dxa"/>
              <w:bottom w:w="0" w:type="dxa"/>
              <w:right w:w="108" w:type="dxa"/>
            </w:tcMar>
          </w:tcPr>
          <w:p w14:paraId="5927F52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5156,9025</w:t>
            </w:r>
          </w:p>
        </w:tc>
        <w:tc>
          <w:tcPr>
            <w:tcW w:w="1525" w:type="dxa"/>
            <w:tcBorders>
              <w:top w:val="nil"/>
              <w:left w:val="nil"/>
              <w:bottom w:val="nil"/>
              <w:right w:val="nil"/>
            </w:tcBorders>
            <w:tcMar>
              <w:top w:w="0" w:type="dxa"/>
              <w:left w:w="108" w:type="dxa"/>
              <w:bottom w:w="0" w:type="dxa"/>
              <w:right w:w="108" w:type="dxa"/>
            </w:tcMar>
          </w:tcPr>
          <w:p w14:paraId="6CF4ED1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5249</w:t>
            </w:r>
          </w:p>
        </w:tc>
        <w:tc>
          <w:tcPr>
            <w:tcW w:w="1596" w:type="dxa"/>
            <w:tcBorders>
              <w:top w:val="nil"/>
              <w:left w:val="nil"/>
              <w:bottom w:val="nil"/>
              <w:right w:val="nil"/>
            </w:tcBorders>
            <w:tcMar>
              <w:top w:w="0" w:type="dxa"/>
              <w:left w:w="108" w:type="dxa"/>
              <w:bottom w:w="0" w:type="dxa"/>
              <w:right w:w="108" w:type="dxa"/>
            </w:tcMar>
          </w:tcPr>
          <w:p w14:paraId="0B37E12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102%</w:t>
            </w:r>
          </w:p>
        </w:tc>
      </w:tr>
      <w:tr w:rsidR="00083CA4" w:rsidRPr="002A7673" w14:paraId="26F47200" w14:textId="77777777" w:rsidTr="005F7139">
        <w:trPr>
          <w:trHeight w:val="600"/>
          <w:jc w:val="center"/>
        </w:trPr>
        <w:tc>
          <w:tcPr>
            <w:tcW w:w="519" w:type="dxa"/>
            <w:tcBorders>
              <w:top w:val="nil"/>
              <w:left w:val="nil"/>
              <w:bottom w:val="nil"/>
              <w:right w:val="nil"/>
            </w:tcBorders>
            <w:tcMar>
              <w:top w:w="0" w:type="dxa"/>
              <w:left w:w="108" w:type="dxa"/>
              <w:bottom w:w="0" w:type="dxa"/>
              <w:right w:w="108" w:type="dxa"/>
            </w:tcMar>
          </w:tcPr>
          <w:p w14:paraId="417DF7A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Téc. Judicial 1</w:t>
            </w:r>
          </w:p>
        </w:tc>
        <w:tc>
          <w:tcPr>
            <w:tcW w:w="957" w:type="dxa"/>
            <w:tcBorders>
              <w:top w:val="nil"/>
              <w:left w:val="nil"/>
              <w:bottom w:val="nil"/>
              <w:right w:val="nil"/>
            </w:tcBorders>
            <w:tcMar>
              <w:top w:w="0" w:type="dxa"/>
              <w:left w:w="108" w:type="dxa"/>
              <w:bottom w:w="0" w:type="dxa"/>
              <w:right w:w="108" w:type="dxa"/>
            </w:tcMar>
          </w:tcPr>
          <w:p w14:paraId="1892AA3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379840</w:t>
            </w:r>
          </w:p>
          <w:p w14:paraId="4D98028D"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769" w:type="dxa"/>
            <w:tcBorders>
              <w:top w:val="nil"/>
              <w:left w:val="nil"/>
              <w:bottom w:val="nil"/>
              <w:right w:val="nil"/>
            </w:tcBorders>
            <w:tcMar>
              <w:top w:w="0" w:type="dxa"/>
              <w:left w:w="108" w:type="dxa"/>
              <w:bottom w:w="0" w:type="dxa"/>
              <w:right w:w="108" w:type="dxa"/>
            </w:tcMar>
          </w:tcPr>
          <w:p w14:paraId="5BA6B28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523" w:type="dxa"/>
            <w:tcBorders>
              <w:top w:val="nil"/>
              <w:left w:val="nil"/>
              <w:bottom w:val="nil"/>
              <w:right w:val="nil"/>
            </w:tcBorders>
            <w:tcMar>
              <w:top w:w="0" w:type="dxa"/>
              <w:left w:w="108" w:type="dxa"/>
              <w:bottom w:w="0" w:type="dxa"/>
              <w:right w:w="108" w:type="dxa"/>
            </w:tcMar>
          </w:tcPr>
          <w:p w14:paraId="251B3CE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6414</w:t>
            </w:r>
          </w:p>
        </w:tc>
        <w:tc>
          <w:tcPr>
            <w:tcW w:w="1518" w:type="dxa"/>
            <w:tcBorders>
              <w:top w:val="nil"/>
              <w:left w:val="nil"/>
              <w:bottom w:val="nil"/>
              <w:right w:val="nil"/>
            </w:tcBorders>
            <w:tcMar>
              <w:top w:w="0" w:type="dxa"/>
              <w:left w:w="108" w:type="dxa"/>
              <w:bottom w:w="0" w:type="dxa"/>
              <w:right w:w="108" w:type="dxa"/>
            </w:tcMar>
          </w:tcPr>
          <w:p w14:paraId="20FB762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4640,3375</w:t>
            </w:r>
          </w:p>
        </w:tc>
        <w:tc>
          <w:tcPr>
            <w:tcW w:w="1525" w:type="dxa"/>
            <w:tcBorders>
              <w:top w:val="nil"/>
              <w:left w:val="nil"/>
              <w:bottom w:val="nil"/>
              <w:right w:val="nil"/>
            </w:tcBorders>
            <w:tcMar>
              <w:top w:w="0" w:type="dxa"/>
              <w:left w:w="108" w:type="dxa"/>
              <w:bottom w:w="0" w:type="dxa"/>
              <w:right w:w="108" w:type="dxa"/>
            </w:tcMar>
          </w:tcPr>
          <w:p w14:paraId="69F09E0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4717</w:t>
            </w:r>
          </w:p>
        </w:tc>
        <w:tc>
          <w:tcPr>
            <w:tcW w:w="1596" w:type="dxa"/>
            <w:tcBorders>
              <w:top w:val="nil"/>
              <w:left w:val="nil"/>
              <w:bottom w:val="nil"/>
              <w:right w:val="nil"/>
            </w:tcBorders>
            <w:tcMar>
              <w:top w:w="0" w:type="dxa"/>
              <w:left w:w="108" w:type="dxa"/>
              <w:bottom w:w="0" w:type="dxa"/>
              <w:right w:w="108" w:type="dxa"/>
            </w:tcMar>
          </w:tcPr>
          <w:p w14:paraId="4EEAF63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102%</w:t>
            </w:r>
          </w:p>
        </w:tc>
      </w:tr>
    </w:tbl>
    <w:p w14:paraId="0AC6318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Fuente: Informes de labores del personal de apoyo. </w:t>
      </w:r>
    </w:p>
    <w:p w14:paraId="70680055"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0E19E5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 Representa la carga de trabajo que se espera en un puesto dedicado al 100% de su gestión. 2] Representa la carga de trabajo ajustada al tiempo efectivo de trabajo (tomando en cuenta vacaciones, incapacidades, permisos con goce o sin goce, fallas o inconvenientes en el sistema, capacitaciones, citas médicas, periodo de lactancia, u otros). 3]Representa la carga de trabajo y el rendimiento de lo que realizó.</w:t>
      </w:r>
    </w:p>
    <w:p w14:paraId="4A85156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E92CC0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Nota: Las cuotas esperadas varían entre ambos equipos de trabajo (1 juez/a y 2 Técnicos) debido a la situación de los despachos que atendieron. </w:t>
      </w:r>
    </w:p>
    <w:p w14:paraId="10AB4BC5"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68682D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Si bien es cierto todo el recurso asignado cumple con rendimientos superiores al 100% considerando la producción ajustada, es importante destacar que al considerar la producción esperada el rendimiento general cae a un 76.41%, lo cual implica que existen imprevistos que afectan la capacidad de respuesta e inciden tanto en el desempeño o impacto general. </w:t>
      </w:r>
    </w:p>
    <w:p w14:paraId="4155FD0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AD97CC5"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De la revisión de las causas de ajuste que se presentaron en el 2020, se evidencia que en su mayoría estas corresponden a fallas en el sistema, problemas de acceso y permisos para ingreso, vacaciones, incapacidades, otras situaciones presentadas por la pandemia provocada por el covid-19, reuniones, ajustes intermensuales en cuota de trabajo y con muy poca representación el tema de ascenso de una plaza de técnico en condición ordinaria que no fue sustituida, esto genera una variación y ajuste en el flujo de trabajo de la persona juzgadora. </w:t>
      </w:r>
    </w:p>
    <w:p w14:paraId="2494490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7C1E1D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No obstante, la utilización de dicho recurso generó réditos e impactó la labor de los despachos en los que brindó colaboración, especialmente en 5 de estos, más que todo en lo que a plazos de respuesta se refiere. El siguiente cuadro muestra los despachos donde se impactó más con los planes de trabajo: </w:t>
      </w:r>
    </w:p>
    <w:p w14:paraId="1400CDB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DE0C78F" w14:textId="77777777" w:rsidR="00083CA4" w:rsidRPr="002A7673" w:rsidRDefault="00083CA4" w:rsidP="00A26EFE">
      <w:pPr>
        <w:spacing w:after="0" w:line="240" w:lineRule="auto"/>
        <w:jc w:val="center"/>
        <w:rPr>
          <w:rFonts w:ascii="Times New Roman" w:eastAsia="Calibri" w:hAnsi="Times New Roman" w:cs="Times New Roman"/>
          <w:i/>
          <w:iCs/>
        </w:rPr>
      </w:pPr>
      <w:r w:rsidRPr="002A7673">
        <w:rPr>
          <w:rFonts w:ascii="Times New Roman" w:eastAsia="Calibri" w:hAnsi="Times New Roman" w:cs="Times New Roman"/>
          <w:noProof/>
          <w:lang w:eastAsia="es-CR"/>
        </w:rPr>
        <w:drawing>
          <wp:inline distT="0" distB="0" distL="0" distR="0" wp14:anchorId="4E2B4A4B" wp14:editId="6DCDF3D7">
            <wp:extent cx="4572000" cy="250825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pic:nvPicPr>
                  <pic:blipFill>
                    <a:blip r:embed="rId62">
                      <a:extLst>
                        <a:ext uri="{28A0092B-C50C-407E-A947-70E740481C1C}">
                          <a14:useLocalDpi xmlns:a14="http://schemas.microsoft.com/office/drawing/2010/main" val="0"/>
                        </a:ext>
                      </a:extLst>
                    </a:blip>
                    <a:stretch>
                      <a:fillRect/>
                    </a:stretch>
                  </pic:blipFill>
                  <pic:spPr>
                    <a:xfrm>
                      <a:off x="0" y="0"/>
                      <a:ext cx="4572000" cy="2508250"/>
                    </a:xfrm>
                    <a:prstGeom prst="rect">
                      <a:avLst/>
                    </a:prstGeom>
                  </pic:spPr>
                </pic:pic>
              </a:graphicData>
            </a:graphic>
          </wp:inline>
        </w:drawing>
      </w:r>
    </w:p>
    <w:p w14:paraId="3354B03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Fuente: Centro de Apoyo, Coordinación y Mejoramiento de la Función Jurisdiccional</w:t>
      </w:r>
    </w:p>
    <w:p w14:paraId="52F9CE3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54697E8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Destacan la atención los resultados obtenidos del Juzgado de Cobro de Puntarenas y Cobro de Liberia. En el Juzgado de Cobro de Puntarenas se logró una reducción mayor a 3 meses en la atención de las demandas nuevas y de 3 meses en la atención de los expedientes con escritos y en el Juzgado de Cobro de Liberia se logró una disminución de 5 meses en el plazo de las demandas nuevas y 4 meses en el plazo de escritos.     </w:t>
      </w:r>
    </w:p>
    <w:p w14:paraId="6E27093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A9A0BA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3.2.2.5. Labores por realizar en el 2021-2022</w:t>
      </w:r>
    </w:p>
    <w:p w14:paraId="32BCE83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4267AA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Para el 2021, se espera dar continuidad al Plan de descongestionamiento en la materia de Cobro, reduciendo como mínimo 12.757,5 expedientes de la entrada total (escritos + demandas nuevas) por equipo de trabajo, durante el año 2020 y 2021 de aprobarse la continuidad de las plazas. </w:t>
      </w:r>
    </w:p>
    <w:p w14:paraId="233D04C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6EC4C0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rPr>
      </w:pPr>
      <w:r w:rsidRPr="002A7673">
        <w:rPr>
          <w:rFonts w:ascii="Times New Roman" w:eastAsia="Calibri" w:hAnsi="Times New Roman" w:cs="Times New Roman"/>
          <w:i/>
          <w:iCs/>
          <w:sz w:val="26"/>
          <w:szCs w:val="26"/>
        </w:rPr>
        <w:t>Es decir, por plaza de persona juzgadora se esperaría una cuota diaria de mínimo 54 asuntos firmados, a razón de 27 asuntos diarios resueltos como mínimo por plaza de persona técnica judicial (se asignaría 2 técnicos/as por Juez/a), para un total por los 2 equipos de trabajo (2 jueces y 4 técnicos) de 25.515 a</w:t>
      </w:r>
      <w:r w:rsidRPr="002A7673">
        <w:rPr>
          <w:rFonts w:ascii="Times New Roman" w:eastAsia="Calibri" w:hAnsi="Times New Roman" w:cs="Times New Roman"/>
          <w:i/>
          <w:iCs/>
        </w:rPr>
        <w:t>suntos mínimos durante el año. Brindando colaboración a los siguientes despachos cobratorios:</w:t>
      </w:r>
    </w:p>
    <w:p w14:paraId="622CD825" w14:textId="77777777" w:rsidR="00083CA4" w:rsidRPr="002A7673" w:rsidRDefault="00083CA4" w:rsidP="005F7139">
      <w:pPr>
        <w:spacing w:after="0" w:line="240" w:lineRule="auto"/>
        <w:rPr>
          <w:rFonts w:ascii="Times New Roman" w:eastAsia="Calibri" w:hAnsi="Times New Roman" w:cs="Times New Roman"/>
          <w:i/>
          <w:iCs/>
        </w:rPr>
      </w:pPr>
    </w:p>
    <w:tbl>
      <w:tblPr>
        <w:tblW w:w="0" w:type="auto"/>
        <w:jc w:val="center"/>
        <w:tblLayout w:type="fixed"/>
        <w:tblCellMar>
          <w:left w:w="0" w:type="dxa"/>
          <w:right w:w="0" w:type="dxa"/>
        </w:tblCellMar>
        <w:tblLook w:val="0000" w:firstRow="0" w:lastRow="0" w:firstColumn="0" w:lastColumn="0" w:noHBand="0" w:noVBand="0"/>
      </w:tblPr>
      <w:tblGrid>
        <w:gridCol w:w="2437"/>
        <w:gridCol w:w="2082"/>
        <w:gridCol w:w="1370"/>
        <w:gridCol w:w="3274"/>
      </w:tblGrid>
      <w:tr w:rsidR="00083CA4" w:rsidRPr="002A7673" w14:paraId="05758174" w14:textId="77777777" w:rsidTr="005F7139">
        <w:trPr>
          <w:trHeight w:val="1590"/>
          <w:jc w:val="center"/>
        </w:trPr>
        <w:tc>
          <w:tcPr>
            <w:tcW w:w="2437" w:type="dxa"/>
            <w:tcBorders>
              <w:top w:val="single" w:sz="8" w:space="0" w:color="000000"/>
              <w:left w:val="single" w:sz="8" w:space="0" w:color="000000"/>
              <w:bottom w:val="nil"/>
              <w:right w:val="nil"/>
            </w:tcBorders>
            <w:shd w:val="clear" w:color="auto" w:fill="333F4F"/>
            <w:tcMar>
              <w:top w:w="0" w:type="dxa"/>
              <w:left w:w="70" w:type="dxa"/>
              <w:bottom w:w="0" w:type="dxa"/>
              <w:right w:w="70" w:type="dxa"/>
            </w:tcMar>
            <w:vAlign w:val="center"/>
          </w:tcPr>
          <w:p w14:paraId="6D6CE12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Cantidad de personal </w:t>
            </w:r>
          </w:p>
        </w:tc>
        <w:tc>
          <w:tcPr>
            <w:tcW w:w="2082" w:type="dxa"/>
            <w:tcBorders>
              <w:top w:val="single" w:sz="8" w:space="0" w:color="000000"/>
              <w:left w:val="single" w:sz="8" w:space="0" w:color="000000"/>
              <w:bottom w:val="nil"/>
              <w:right w:val="nil"/>
            </w:tcBorders>
            <w:shd w:val="clear" w:color="auto" w:fill="333F4F"/>
            <w:tcMar>
              <w:top w:w="0" w:type="dxa"/>
              <w:left w:w="70" w:type="dxa"/>
              <w:bottom w:w="0" w:type="dxa"/>
              <w:right w:w="70" w:type="dxa"/>
            </w:tcMar>
            <w:vAlign w:val="center"/>
          </w:tcPr>
          <w:p w14:paraId="05075E1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Despacho</w:t>
            </w:r>
          </w:p>
        </w:tc>
        <w:tc>
          <w:tcPr>
            <w:tcW w:w="1370" w:type="dxa"/>
            <w:tcBorders>
              <w:top w:val="single" w:sz="8" w:space="0" w:color="000000"/>
              <w:left w:val="single" w:sz="8" w:space="0" w:color="000000"/>
              <w:bottom w:val="nil"/>
              <w:right w:val="single" w:sz="8" w:space="0" w:color="000000"/>
            </w:tcBorders>
            <w:shd w:val="clear" w:color="auto" w:fill="333F4F"/>
            <w:tcMar>
              <w:top w:w="0" w:type="dxa"/>
              <w:left w:w="70" w:type="dxa"/>
              <w:bottom w:w="0" w:type="dxa"/>
              <w:right w:w="70" w:type="dxa"/>
            </w:tcMar>
            <w:vAlign w:val="center"/>
          </w:tcPr>
          <w:p w14:paraId="06B1F4E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Periodo estimado </w:t>
            </w:r>
          </w:p>
        </w:tc>
        <w:tc>
          <w:tcPr>
            <w:tcW w:w="3274" w:type="dxa"/>
            <w:tcBorders>
              <w:top w:val="single" w:sz="8" w:space="0" w:color="000000"/>
              <w:left w:val="nil"/>
              <w:bottom w:val="nil"/>
              <w:right w:val="single" w:sz="8" w:space="0" w:color="000000"/>
            </w:tcBorders>
            <w:shd w:val="clear" w:color="auto" w:fill="333F4F"/>
            <w:tcMar>
              <w:top w:w="0" w:type="dxa"/>
              <w:left w:w="70" w:type="dxa"/>
              <w:bottom w:w="0" w:type="dxa"/>
              <w:right w:w="70" w:type="dxa"/>
            </w:tcMar>
            <w:vAlign w:val="center"/>
          </w:tcPr>
          <w:p w14:paraId="740BD84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Cuota de expedientes mínima diaria por equipo de trabajo</w:t>
            </w:r>
          </w:p>
        </w:tc>
      </w:tr>
      <w:tr w:rsidR="00083CA4" w:rsidRPr="002A7673" w14:paraId="2526DAC5" w14:textId="77777777" w:rsidTr="005F7139">
        <w:trPr>
          <w:trHeight w:val="277"/>
          <w:jc w:val="center"/>
        </w:trPr>
        <w:tc>
          <w:tcPr>
            <w:tcW w:w="2437" w:type="dxa"/>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bottom"/>
          </w:tcPr>
          <w:p w14:paraId="07F3E84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 Juez(</w:t>
            </w:r>
            <w:proofErr w:type="spellStart"/>
            <w:r w:rsidRPr="002A7673">
              <w:rPr>
                <w:rFonts w:ascii="Times New Roman" w:eastAsia="Calibri" w:hAnsi="Times New Roman" w:cs="Times New Roman"/>
                <w:i/>
                <w:iCs/>
                <w:sz w:val="26"/>
                <w:szCs w:val="26"/>
              </w:rPr>
              <w:t>za</w:t>
            </w:r>
            <w:proofErr w:type="spellEnd"/>
            <w:r w:rsidRPr="002A7673">
              <w:rPr>
                <w:rFonts w:ascii="Times New Roman" w:eastAsia="Calibri" w:hAnsi="Times New Roman" w:cs="Times New Roman"/>
                <w:i/>
                <w:iCs/>
                <w:sz w:val="26"/>
                <w:szCs w:val="26"/>
              </w:rPr>
              <w:t>) y 2 Técnicos (as)</w:t>
            </w:r>
          </w:p>
        </w:tc>
        <w:tc>
          <w:tcPr>
            <w:tcW w:w="2082" w:type="dxa"/>
            <w:tcBorders>
              <w:top w:val="single" w:sz="4" w:space="0" w:color="000000"/>
              <w:left w:val="nil"/>
              <w:bottom w:val="single" w:sz="4" w:space="0" w:color="000000"/>
              <w:right w:val="single" w:sz="4" w:space="0" w:color="000000"/>
            </w:tcBorders>
            <w:shd w:val="clear" w:color="auto" w:fill="FFC000"/>
            <w:tcMar>
              <w:top w:w="0" w:type="dxa"/>
              <w:left w:w="70" w:type="dxa"/>
              <w:bottom w:w="0" w:type="dxa"/>
              <w:right w:w="70" w:type="dxa"/>
            </w:tcMar>
            <w:vAlign w:val="bottom"/>
          </w:tcPr>
          <w:p w14:paraId="3322BAE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Juzgado Primero de Cobro de SJ</w:t>
            </w:r>
          </w:p>
        </w:tc>
        <w:tc>
          <w:tcPr>
            <w:tcW w:w="1370" w:type="dxa"/>
            <w:tcBorders>
              <w:top w:val="single" w:sz="4" w:space="0" w:color="000000"/>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56699C0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3 meses </w:t>
            </w:r>
          </w:p>
        </w:tc>
        <w:tc>
          <w:tcPr>
            <w:tcW w:w="3274" w:type="dxa"/>
            <w:tcBorders>
              <w:top w:val="single" w:sz="4" w:space="0" w:color="000000"/>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2C932CB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54</w:t>
            </w:r>
          </w:p>
        </w:tc>
      </w:tr>
      <w:tr w:rsidR="00083CA4" w:rsidRPr="002A7673" w14:paraId="2517624B" w14:textId="77777777" w:rsidTr="005F7139">
        <w:trPr>
          <w:trHeight w:val="277"/>
          <w:jc w:val="center"/>
        </w:trPr>
        <w:tc>
          <w:tcPr>
            <w:tcW w:w="2437" w:type="dxa"/>
            <w:tcBorders>
              <w:top w:val="nil"/>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bottom"/>
          </w:tcPr>
          <w:p w14:paraId="5EA3883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 Juez(</w:t>
            </w:r>
            <w:proofErr w:type="spellStart"/>
            <w:r w:rsidRPr="002A7673">
              <w:rPr>
                <w:rFonts w:ascii="Times New Roman" w:eastAsia="Calibri" w:hAnsi="Times New Roman" w:cs="Times New Roman"/>
                <w:i/>
                <w:iCs/>
                <w:sz w:val="26"/>
                <w:szCs w:val="26"/>
              </w:rPr>
              <w:t>za</w:t>
            </w:r>
            <w:proofErr w:type="spellEnd"/>
            <w:r w:rsidRPr="002A7673">
              <w:rPr>
                <w:rFonts w:ascii="Times New Roman" w:eastAsia="Calibri" w:hAnsi="Times New Roman" w:cs="Times New Roman"/>
                <w:i/>
                <w:iCs/>
                <w:sz w:val="26"/>
                <w:szCs w:val="26"/>
              </w:rPr>
              <w:t>) y 2 Técnicos (as)</w:t>
            </w:r>
          </w:p>
        </w:tc>
        <w:tc>
          <w:tcPr>
            <w:tcW w:w="2082" w:type="dxa"/>
            <w:tcBorders>
              <w:top w:val="single" w:sz="4" w:space="0" w:color="000000"/>
              <w:left w:val="nil"/>
              <w:bottom w:val="single" w:sz="4" w:space="0" w:color="000000"/>
              <w:right w:val="single" w:sz="4" w:space="0" w:color="000000"/>
            </w:tcBorders>
            <w:shd w:val="clear" w:color="auto" w:fill="FFC000"/>
            <w:tcMar>
              <w:top w:w="0" w:type="dxa"/>
              <w:left w:w="70" w:type="dxa"/>
              <w:bottom w:w="0" w:type="dxa"/>
              <w:right w:w="70" w:type="dxa"/>
            </w:tcMar>
            <w:vAlign w:val="bottom"/>
          </w:tcPr>
          <w:p w14:paraId="42AC845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Juzgado Primero de Cobro de SJ</w:t>
            </w:r>
          </w:p>
        </w:tc>
        <w:tc>
          <w:tcPr>
            <w:tcW w:w="1370"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6F5E9EF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 meses</w:t>
            </w:r>
          </w:p>
        </w:tc>
        <w:tc>
          <w:tcPr>
            <w:tcW w:w="3274"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1C05C9B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54</w:t>
            </w:r>
          </w:p>
        </w:tc>
      </w:tr>
      <w:tr w:rsidR="00083CA4" w:rsidRPr="002A7673" w14:paraId="059518E4" w14:textId="77777777" w:rsidTr="005F7139">
        <w:trPr>
          <w:trHeight w:val="277"/>
          <w:jc w:val="center"/>
        </w:trPr>
        <w:tc>
          <w:tcPr>
            <w:tcW w:w="2437"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0D22ACA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 Juez(</w:t>
            </w:r>
            <w:proofErr w:type="spellStart"/>
            <w:r w:rsidRPr="002A7673">
              <w:rPr>
                <w:rFonts w:ascii="Times New Roman" w:eastAsia="Calibri" w:hAnsi="Times New Roman" w:cs="Times New Roman"/>
                <w:i/>
                <w:iCs/>
                <w:sz w:val="26"/>
                <w:szCs w:val="26"/>
              </w:rPr>
              <w:t>za</w:t>
            </w:r>
            <w:proofErr w:type="spellEnd"/>
            <w:r w:rsidRPr="002A7673">
              <w:rPr>
                <w:rFonts w:ascii="Times New Roman" w:eastAsia="Calibri" w:hAnsi="Times New Roman" w:cs="Times New Roman"/>
                <w:i/>
                <w:iCs/>
                <w:sz w:val="26"/>
                <w:szCs w:val="26"/>
              </w:rPr>
              <w:t>) y 2 Técnicos (as)</w:t>
            </w:r>
          </w:p>
        </w:tc>
        <w:tc>
          <w:tcPr>
            <w:tcW w:w="2082" w:type="dxa"/>
            <w:tcBorders>
              <w:top w:val="single" w:sz="4" w:space="0" w:color="000000"/>
              <w:left w:val="nil"/>
              <w:bottom w:val="single" w:sz="4" w:space="0" w:color="000000"/>
              <w:right w:val="single" w:sz="4" w:space="0" w:color="000000"/>
            </w:tcBorders>
            <w:shd w:val="clear" w:color="auto" w:fill="F8CBAD"/>
            <w:tcMar>
              <w:top w:w="0" w:type="dxa"/>
              <w:left w:w="70" w:type="dxa"/>
              <w:bottom w:w="0" w:type="dxa"/>
              <w:right w:w="70" w:type="dxa"/>
            </w:tcMar>
            <w:vAlign w:val="bottom"/>
          </w:tcPr>
          <w:p w14:paraId="0646D24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Juzgado Segundo de Cobro de SJ</w:t>
            </w:r>
          </w:p>
        </w:tc>
        <w:tc>
          <w:tcPr>
            <w:tcW w:w="1370"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65FE6D9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6 meses </w:t>
            </w:r>
          </w:p>
        </w:tc>
        <w:tc>
          <w:tcPr>
            <w:tcW w:w="3274"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6CBF651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54</w:t>
            </w:r>
          </w:p>
        </w:tc>
      </w:tr>
      <w:tr w:rsidR="00083CA4" w:rsidRPr="002A7673" w14:paraId="3FFDBC5E" w14:textId="77777777" w:rsidTr="005F7139">
        <w:trPr>
          <w:trHeight w:val="277"/>
          <w:jc w:val="center"/>
        </w:trPr>
        <w:tc>
          <w:tcPr>
            <w:tcW w:w="2437"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43E8A2E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 Juez(</w:t>
            </w:r>
            <w:proofErr w:type="spellStart"/>
            <w:r w:rsidRPr="002A7673">
              <w:rPr>
                <w:rFonts w:ascii="Times New Roman" w:eastAsia="Calibri" w:hAnsi="Times New Roman" w:cs="Times New Roman"/>
                <w:i/>
                <w:iCs/>
                <w:sz w:val="26"/>
                <w:szCs w:val="26"/>
              </w:rPr>
              <w:t>za</w:t>
            </w:r>
            <w:proofErr w:type="spellEnd"/>
            <w:r w:rsidRPr="002A7673">
              <w:rPr>
                <w:rFonts w:ascii="Times New Roman" w:eastAsia="Calibri" w:hAnsi="Times New Roman" w:cs="Times New Roman"/>
                <w:i/>
                <w:iCs/>
                <w:sz w:val="26"/>
                <w:szCs w:val="26"/>
              </w:rPr>
              <w:t>) y 2 Técnicos (as)</w:t>
            </w:r>
          </w:p>
        </w:tc>
        <w:tc>
          <w:tcPr>
            <w:tcW w:w="2082" w:type="dxa"/>
            <w:tcBorders>
              <w:top w:val="single" w:sz="4" w:space="0" w:color="000000"/>
              <w:left w:val="nil"/>
              <w:bottom w:val="single" w:sz="4" w:space="0" w:color="000000"/>
              <w:right w:val="single" w:sz="4" w:space="0" w:color="000000"/>
            </w:tcBorders>
            <w:shd w:val="clear" w:color="auto" w:fill="FFE699"/>
            <w:tcMar>
              <w:top w:w="0" w:type="dxa"/>
              <w:left w:w="70" w:type="dxa"/>
              <w:bottom w:w="0" w:type="dxa"/>
              <w:right w:w="70" w:type="dxa"/>
            </w:tcMar>
            <w:vAlign w:val="bottom"/>
          </w:tcPr>
          <w:p w14:paraId="4EBDEA4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Juzgado de Cobro de Santa Cruz </w:t>
            </w:r>
          </w:p>
        </w:tc>
        <w:tc>
          <w:tcPr>
            <w:tcW w:w="1370"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66D1A3B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6 meses </w:t>
            </w:r>
          </w:p>
        </w:tc>
        <w:tc>
          <w:tcPr>
            <w:tcW w:w="3274"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1383BD3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54</w:t>
            </w:r>
          </w:p>
        </w:tc>
      </w:tr>
      <w:tr w:rsidR="00083CA4" w:rsidRPr="002A7673" w14:paraId="060638A2" w14:textId="77777777" w:rsidTr="005F7139">
        <w:trPr>
          <w:trHeight w:val="277"/>
          <w:jc w:val="center"/>
        </w:trPr>
        <w:tc>
          <w:tcPr>
            <w:tcW w:w="2437"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04304B8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 Juez(</w:t>
            </w:r>
            <w:proofErr w:type="spellStart"/>
            <w:r w:rsidRPr="002A7673">
              <w:rPr>
                <w:rFonts w:ascii="Times New Roman" w:eastAsia="Calibri" w:hAnsi="Times New Roman" w:cs="Times New Roman"/>
                <w:i/>
                <w:iCs/>
                <w:sz w:val="26"/>
                <w:szCs w:val="26"/>
              </w:rPr>
              <w:t>za</w:t>
            </w:r>
            <w:proofErr w:type="spellEnd"/>
            <w:r w:rsidRPr="002A7673">
              <w:rPr>
                <w:rFonts w:ascii="Times New Roman" w:eastAsia="Calibri" w:hAnsi="Times New Roman" w:cs="Times New Roman"/>
                <w:i/>
                <w:iCs/>
                <w:sz w:val="26"/>
                <w:szCs w:val="26"/>
              </w:rPr>
              <w:t>) y 2 Técnicos (as)</w:t>
            </w:r>
          </w:p>
        </w:tc>
        <w:tc>
          <w:tcPr>
            <w:tcW w:w="2082" w:type="dxa"/>
            <w:tcBorders>
              <w:top w:val="single" w:sz="4" w:space="0" w:color="000000"/>
              <w:left w:val="nil"/>
              <w:bottom w:val="single" w:sz="4" w:space="0" w:color="000000"/>
              <w:right w:val="single" w:sz="4" w:space="0" w:color="000000"/>
            </w:tcBorders>
            <w:shd w:val="clear" w:color="auto" w:fill="00B050"/>
            <w:tcMar>
              <w:top w:w="0" w:type="dxa"/>
              <w:left w:w="70" w:type="dxa"/>
              <w:bottom w:w="0" w:type="dxa"/>
              <w:right w:w="70" w:type="dxa"/>
            </w:tcMar>
            <w:vAlign w:val="bottom"/>
          </w:tcPr>
          <w:p w14:paraId="4BCD2FD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Juzgado de Cobro de Pococí</w:t>
            </w:r>
          </w:p>
        </w:tc>
        <w:tc>
          <w:tcPr>
            <w:tcW w:w="1370"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19B00EE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 meses</w:t>
            </w:r>
          </w:p>
        </w:tc>
        <w:tc>
          <w:tcPr>
            <w:tcW w:w="3274"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1237E98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54</w:t>
            </w:r>
          </w:p>
        </w:tc>
      </w:tr>
      <w:tr w:rsidR="00083CA4" w:rsidRPr="002A7673" w14:paraId="42A32D9F" w14:textId="77777777" w:rsidTr="005F7139">
        <w:trPr>
          <w:trHeight w:val="277"/>
          <w:jc w:val="center"/>
        </w:trPr>
        <w:tc>
          <w:tcPr>
            <w:tcW w:w="2437" w:type="dxa"/>
            <w:tcBorders>
              <w:top w:val="nil"/>
              <w:left w:val="single" w:sz="4" w:space="0" w:color="000000"/>
              <w:bottom w:val="single" w:sz="4" w:space="0" w:color="000000"/>
              <w:right w:val="single" w:sz="4" w:space="0" w:color="000000"/>
            </w:tcBorders>
            <w:tcMar>
              <w:top w:w="0" w:type="dxa"/>
              <w:left w:w="70" w:type="dxa"/>
              <w:bottom w:w="0" w:type="dxa"/>
              <w:right w:w="70" w:type="dxa"/>
            </w:tcMar>
            <w:vAlign w:val="bottom"/>
          </w:tcPr>
          <w:p w14:paraId="37B763D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 Juez(</w:t>
            </w:r>
            <w:proofErr w:type="spellStart"/>
            <w:r w:rsidRPr="002A7673">
              <w:rPr>
                <w:rFonts w:ascii="Times New Roman" w:eastAsia="Calibri" w:hAnsi="Times New Roman" w:cs="Times New Roman"/>
                <w:i/>
                <w:iCs/>
                <w:sz w:val="26"/>
                <w:szCs w:val="26"/>
              </w:rPr>
              <w:t>za</w:t>
            </w:r>
            <w:proofErr w:type="spellEnd"/>
            <w:r w:rsidRPr="002A7673">
              <w:rPr>
                <w:rFonts w:ascii="Times New Roman" w:eastAsia="Calibri" w:hAnsi="Times New Roman" w:cs="Times New Roman"/>
                <w:i/>
                <w:iCs/>
                <w:sz w:val="26"/>
                <w:szCs w:val="26"/>
              </w:rPr>
              <w:t>) y 2 Técnicos (as)</w:t>
            </w:r>
          </w:p>
        </w:tc>
        <w:tc>
          <w:tcPr>
            <w:tcW w:w="2082" w:type="dxa"/>
            <w:tcBorders>
              <w:top w:val="single" w:sz="4" w:space="0" w:color="000000"/>
              <w:left w:val="nil"/>
              <w:bottom w:val="single" w:sz="4" w:space="0" w:color="000000"/>
              <w:right w:val="single" w:sz="4" w:space="0" w:color="000000"/>
            </w:tcBorders>
            <w:shd w:val="clear" w:color="auto" w:fill="FFFF00"/>
            <w:tcMar>
              <w:top w:w="0" w:type="dxa"/>
              <w:left w:w="70" w:type="dxa"/>
              <w:bottom w:w="0" w:type="dxa"/>
              <w:right w:w="70" w:type="dxa"/>
            </w:tcMar>
            <w:vAlign w:val="bottom"/>
          </w:tcPr>
          <w:p w14:paraId="117ED3E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Juzgado de Cobro de Alajuela</w:t>
            </w:r>
          </w:p>
        </w:tc>
        <w:tc>
          <w:tcPr>
            <w:tcW w:w="1370"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4994FF3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 meses</w:t>
            </w:r>
          </w:p>
        </w:tc>
        <w:tc>
          <w:tcPr>
            <w:tcW w:w="3274" w:type="dxa"/>
            <w:tcBorders>
              <w:top w:val="nil"/>
              <w:left w:val="nil"/>
              <w:bottom w:val="single" w:sz="4" w:space="0" w:color="000000"/>
              <w:right w:val="single" w:sz="4" w:space="0" w:color="000000"/>
            </w:tcBorders>
            <w:shd w:val="clear" w:color="auto" w:fill="FFFFFF"/>
            <w:tcMar>
              <w:top w:w="0" w:type="dxa"/>
              <w:left w:w="70" w:type="dxa"/>
              <w:bottom w:w="0" w:type="dxa"/>
              <w:right w:w="70" w:type="dxa"/>
            </w:tcMar>
            <w:vAlign w:val="bottom"/>
          </w:tcPr>
          <w:p w14:paraId="7410C6A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54</w:t>
            </w:r>
          </w:p>
        </w:tc>
      </w:tr>
    </w:tbl>
    <w:p w14:paraId="091A04F5" w14:textId="77777777" w:rsidR="00083CA4" w:rsidRPr="002A7673" w:rsidRDefault="00083CA4" w:rsidP="005F7139">
      <w:pPr>
        <w:spacing w:after="0" w:line="240" w:lineRule="auto"/>
        <w:rPr>
          <w:rFonts w:ascii="Times New Roman" w:eastAsia="Calibri" w:hAnsi="Times New Roman" w:cs="Times New Roman"/>
          <w:i/>
          <w:iCs/>
        </w:rPr>
      </w:pPr>
    </w:p>
    <w:p w14:paraId="463CD67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De mantenerse ese recurso apoyando los despachos señalados, se esperaría una cantidad semejante de producción para el 2021, es importante indicar que por la naturaleza de la labor y la dinámica propia de los despachos los planes de trabajo pueden sufrir modificaciones en función de las necesidades institucionales, por esta misma razón resulta prematuro formular o indicar cuales despachos se abordaran en el periodo 2022. </w:t>
      </w:r>
    </w:p>
    <w:p w14:paraId="26FC543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936C82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3.2.2.6. Criterio sobre la continuidad de las plazas</w:t>
      </w:r>
    </w:p>
    <w:p w14:paraId="05A9264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452F69A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 acuerdo con el criterio brindado por la Licda. Chacón Cubillo, Directora del Centro de Apoyo, la materia cobratoria, sigue incrementando su carga de trabajo, por lo que todo esfuerzo para lograr contener el alto circulante es necesario, y se estima necesario que las plazas se mantengan más allá del 2022, inclusive de forma ordinaria.</w:t>
      </w:r>
    </w:p>
    <w:p w14:paraId="46F449E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4C361B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Esta Dirección de Planificación considera que, si bien los recursos adicionales se habían concedido de manera extraordinaria para el 2021 con el fin de determinar el efecto que generaban los cambios en competencias territoriales y mejoras informáticas realizadas en esta materia, para la automatización de algunos de los procesos que se ejecutan en estas oficinas, el tiempo ha evidenciado que el circulante de materia cobratoria sigue en aumento, como se visualiza en el siguiente gráfico:</w:t>
      </w:r>
    </w:p>
    <w:p w14:paraId="76891BB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4F96B6B" w14:textId="77777777" w:rsidR="00083CA4" w:rsidRPr="002A7673" w:rsidRDefault="00083CA4" w:rsidP="00A26EFE">
      <w:pPr>
        <w:spacing w:after="0" w:line="240" w:lineRule="auto"/>
        <w:ind w:left="851" w:right="851"/>
        <w:jc w:val="center"/>
        <w:rPr>
          <w:rFonts w:ascii="Times New Roman" w:eastAsia="Calibri" w:hAnsi="Times New Roman" w:cs="Times New Roman"/>
          <w:b/>
          <w:i/>
          <w:iCs/>
          <w:sz w:val="26"/>
          <w:szCs w:val="26"/>
        </w:rPr>
      </w:pPr>
      <w:r w:rsidRPr="002A7673">
        <w:rPr>
          <w:rFonts w:ascii="Times New Roman" w:eastAsia="Calibri" w:hAnsi="Times New Roman" w:cs="Times New Roman"/>
          <w:b/>
          <w:i/>
          <w:iCs/>
          <w:sz w:val="26"/>
          <w:szCs w:val="26"/>
        </w:rPr>
        <w:t>Gráfico 1</w:t>
      </w:r>
    </w:p>
    <w:p w14:paraId="6F9A87DD" w14:textId="77777777" w:rsidR="00083CA4" w:rsidRPr="002A7673" w:rsidRDefault="00083CA4" w:rsidP="00A26EFE">
      <w:pPr>
        <w:spacing w:after="0" w:line="240" w:lineRule="auto"/>
        <w:ind w:left="851" w:right="851"/>
        <w:jc w:val="center"/>
        <w:rPr>
          <w:rFonts w:ascii="Times New Roman" w:eastAsia="Calibri" w:hAnsi="Times New Roman" w:cs="Times New Roman"/>
          <w:b/>
          <w:i/>
          <w:iCs/>
          <w:sz w:val="26"/>
          <w:szCs w:val="26"/>
        </w:rPr>
      </w:pPr>
      <w:r w:rsidRPr="002A7673">
        <w:rPr>
          <w:rFonts w:ascii="Times New Roman" w:eastAsia="Calibri" w:hAnsi="Times New Roman" w:cs="Times New Roman"/>
          <w:b/>
          <w:i/>
          <w:iCs/>
          <w:sz w:val="26"/>
          <w:szCs w:val="26"/>
        </w:rPr>
        <w:t>Comportamiento histórico de la materia de Cobro 2016 al 2020</w:t>
      </w:r>
    </w:p>
    <w:p w14:paraId="165B18A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 </w:t>
      </w:r>
    </w:p>
    <w:p w14:paraId="3FCCAF55"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Fuente: Centro de Apoyo, Coordinación y Mejoramiento de la Función Jurisdiccional</w:t>
      </w:r>
    </w:p>
    <w:p w14:paraId="2A6F175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2E0093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La gráfica anterior, permite demostrar el aumento constante del circulante final, el cual a pesar de la disminución que se presentó en la entrada para el 2020 se mantiene con tendencia creciente en los últimos 4 años analizados. Si bien, se generó una disminución en la entrada del año anterior se puede considerar que es atípica e invierte la tendencia histórica mostrada. </w:t>
      </w:r>
    </w:p>
    <w:p w14:paraId="67CDCF2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5D900A8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Entre las diversas razones que podrían justificar este comportamiento, se cree que en su mayoría es atribuida a los efectos de la pandemia provocada por el Covid-19, y las políticas y directrices que tomó el Gobierno, Banco Central e instituciones de Intermediación, no obstante, no se descarta que también es el resultado de la crisis económica que se enfrenta desde hace algunos años en el país, que seguirá presentando una tendencia al alza con valores elevados. </w:t>
      </w:r>
    </w:p>
    <w:p w14:paraId="79F05F8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58D249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 continuación, se muestra un detalle con la información de los principales juzgados de cobro del país. </w:t>
      </w:r>
    </w:p>
    <w:p w14:paraId="62C0B1CE" w14:textId="77777777" w:rsidR="00083CA4" w:rsidRPr="002A7673" w:rsidRDefault="00083CA4" w:rsidP="005F7139">
      <w:pPr>
        <w:spacing w:after="0" w:line="240" w:lineRule="auto"/>
        <w:rPr>
          <w:rFonts w:ascii="Times New Roman" w:eastAsia="Calibri" w:hAnsi="Times New Roman" w:cs="Times New Roman"/>
          <w:i/>
          <w:iCs/>
        </w:rPr>
      </w:pPr>
    </w:p>
    <w:p w14:paraId="15721197" w14:textId="77777777" w:rsidR="00083CA4" w:rsidRPr="002A7673" w:rsidRDefault="00083CA4" w:rsidP="00A26EFE">
      <w:pPr>
        <w:spacing w:after="0" w:line="240" w:lineRule="auto"/>
        <w:jc w:val="center"/>
        <w:rPr>
          <w:rFonts w:ascii="Times New Roman" w:eastAsia="Calibri" w:hAnsi="Times New Roman" w:cs="Times New Roman"/>
          <w:i/>
          <w:iCs/>
        </w:rPr>
      </w:pPr>
      <w:r w:rsidRPr="002A7673">
        <w:rPr>
          <w:rFonts w:ascii="Times New Roman" w:eastAsia="Calibri" w:hAnsi="Times New Roman" w:cs="Times New Roman"/>
          <w:noProof/>
          <w:lang w:eastAsia="es-CR"/>
        </w:rPr>
        <w:drawing>
          <wp:inline distT="0" distB="0" distL="0" distR="0" wp14:anchorId="1110672F" wp14:editId="3D533517">
            <wp:extent cx="4673599" cy="3822700"/>
            <wp:effectExtent l="0" t="0" r="0"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pic:nvPicPr>
                  <pic:blipFill>
                    <a:blip r:embed="rId63">
                      <a:extLst>
                        <a:ext uri="{28A0092B-C50C-407E-A947-70E740481C1C}">
                          <a14:useLocalDpi xmlns:a14="http://schemas.microsoft.com/office/drawing/2010/main" val="0"/>
                        </a:ext>
                      </a:extLst>
                    </a:blip>
                    <a:stretch>
                      <a:fillRect/>
                    </a:stretch>
                  </pic:blipFill>
                  <pic:spPr>
                    <a:xfrm>
                      <a:off x="0" y="0"/>
                      <a:ext cx="4673599" cy="3822700"/>
                    </a:xfrm>
                    <a:prstGeom prst="rect">
                      <a:avLst/>
                    </a:prstGeom>
                  </pic:spPr>
                </pic:pic>
              </a:graphicData>
            </a:graphic>
          </wp:inline>
        </w:drawing>
      </w:r>
    </w:p>
    <w:p w14:paraId="54199AF5"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Fuente: Elaboración propia a partir de información suministrada por el Centro de Apoyo, Coordinación y Mejoramiento de la Función Jurisdiccional</w:t>
      </w:r>
    </w:p>
    <w:p w14:paraId="755A7F5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BD3503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Tal como se aprecia en la gráfica existen juzgados con alta cantidad de escritos pendientes y que manejan plazos  elevados de atención, se debe considerar que para la mayoría de despachos el estándar en plazo de escritos está en 2, y estos van desde 2 a 5, por lo que se podría indicar que promedio el mismo está en la cifra de 3, con la anterior consideración se tienen solo 4 Juzgados con un plazo de escritos igual o menor a 3, lo que deja al 78% de los juzgados (15/19), por encima del estándar deseado. Se debe considerar que para lograr una mejora en los tiempos de atención se requiere de una ardua labor y aprovechamiento del limitado recurso. En ese sentido se vuelve de vital importancia contar con recurso flexible que permita atender los diferentes despachos de la materia. </w:t>
      </w:r>
    </w:p>
    <w:p w14:paraId="64B94FA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432B029"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Por lo anterior, esta Dirección determina que los recursos son necesarios para continuar coadyuvando con la atención de los planes de descongestionamiento de los despachos de materia cobratoria, pero de forma </w:t>
      </w:r>
      <w:r w:rsidRPr="002A7673">
        <w:rPr>
          <w:rFonts w:ascii="Times New Roman" w:eastAsia="Calibri" w:hAnsi="Times New Roman" w:cs="Times New Roman"/>
          <w:i/>
          <w:iCs/>
          <w:sz w:val="26"/>
          <w:szCs w:val="26"/>
        </w:rPr>
        <w:lastRenderedPageBreak/>
        <w:t>extraordinaria, ya que se pueden realizar modificaciones en la forma de abordar la materia cobratoria, así como se den mejoras informáticas que generen impacto y varíen las necesidades en las categorías de las plazas bajo análisis.</w:t>
      </w:r>
    </w:p>
    <w:p w14:paraId="179CE89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993BE9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3.6 Criterio general de la Dirección de Planificación</w:t>
      </w:r>
    </w:p>
    <w:p w14:paraId="3402DF7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D4314B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Los datos suministrados por las oficinas a las que se les otorgó el recurso extraordinario el año pasado y que fueron analizados en el presente informe, han permitido realizar una valoración de las labores llevadas a cabo por las plazas en el 2020.</w:t>
      </w:r>
    </w:p>
    <w:p w14:paraId="417EBDC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64404C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Asimismo, se tomó en cuenta factores como la temporalidad con que se concedió el recurso y el objetivo de su otorgamiento, que estaba asociado a la entrada en vigor del Nuevo Código Procesal Civil, por lo que los análisis permitieron determinar que algunas plazas cumplirán con su labor al cierre del presente año y no se visualiza su permanencia en el tiempo, así como otras que se considera necesaria su permanencia más allá del 2022, por el tipo de labor que desempeñan o porque se redireccionó su objetivo para la atención de otros requerimientos institucionales.</w:t>
      </w:r>
    </w:p>
    <w:p w14:paraId="6A779BE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9A40E4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Específicamente en el caso de la plaza de “gestor” o Juez 5, resulta relevante acotar que esta Dirección, ha señalado en informes anteriores la necesidad de recurso en otras dependencias, tal como en el informe 1996-PLA-EV-2020 del 8 de diciembre de 2020, relacionado con la prórroga de los planes de trabajo de la Sala Primera y Sala Segunda, y donde se señala la necesidad de recurso para la atención de la etapa de admisibilidad, por lo que se estima reasignar esa plaza para que se aboque a atender estos asuntos en la Sala Primera,  por lo que se podría sustituir la figura de un  permiso con goce de salario y sustitución de los dos con que se cuenta actualmente. Esto en concordancia con las limitaciones presupuestarias y la imperiosa necesidad de garantizar el uso eficiente de los recursos. </w:t>
      </w:r>
    </w:p>
    <w:p w14:paraId="75C4D08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A81766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3.7. Creación de plazas </w:t>
      </w:r>
    </w:p>
    <w:p w14:paraId="73A75A4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63E427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Se debe tener presente que en todo análisis de recurso humano o creación de una nueva oficina esta Dirección toma en consideración las disposiciones establecidas por Corte Plena en sesiones N°27-2017 de 21 de agosto de 2017, artículo XVI, N°28-2017 de 28 de agosto de 2017, artículo XV y N°29-2017 de 4 setiembre de 2017, artículo XVI, donde aprobó una </w:t>
      </w:r>
      <w:r w:rsidRPr="002A7673">
        <w:rPr>
          <w:rFonts w:ascii="Times New Roman" w:eastAsia="Calibri" w:hAnsi="Times New Roman" w:cs="Times New Roman"/>
          <w:i/>
          <w:iCs/>
          <w:sz w:val="26"/>
          <w:szCs w:val="26"/>
        </w:rPr>
        <w:lastRenderedPageBreak/>
        <w:t>serie de medidas de contención del gasto en el Poder Judicial, producto de la grave situación fiscal que enfrenta el país, entre las cuales aprobó que no se crearán plazas nuevas, salvo las correspondientes a la implementación de nuevas leyes, debidamente aprobadas por la Asamblea Legislativa, o bien cuenten con un estudio técnico de la Dirección de Planificación, sujeto a la disponibilidad de contenido presupuestario, por consiguiente los informes estarán orientados a no generar un aumento adicional en el presupuesto institucional por concepto de recurso humano y en buscar y reforzar la utilización de metodologías o prácticas que permitan la maximización de los recursos.</w:t>
      </w:r>
    </w:p>
    <w:p w14:paraId="4D8964F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AF424F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IV. Elementos Resolutivos</w:t>
      </w:r>
    </w:p>
    <w:p w14:paraId="7339DBA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DACBF6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Las plazas bajo análisis se concedieron con el objetivo de apoyar la </w:t>
      </w:r>
      <w:proofErr w:type="gramStart"/>
      <w:r w:rsidRPr="002A7673">
        <w:rPr>
          <w:rFonts w:ascii="Times New Roman" w:eastAsia="Calibri" w:hAnsi="Times New Roman" w:cs="Times New Roman"/>
          <w:i/>
          <w:iCs/>
          <w:sz w:val="26"/>
          <w:szCs w:val="26"/>
        </w:rPr>
        <w:t>entrada en vigencia</w:t>
      </w:r>
      <w:proofErr w:type="gramEnd"/>
      <w:r w:rsidRPr="002A7673">
        <w:rPr>
          <w:rFonts w:ascii="Times New Roman" w:eastAsia="Calibri" w:hAnsi="Times New Roman" w:cs="Times New Roman"/>
          <w:i/>
          <w:iCs/>
          <w:sz w:val="26"/>
          <w:szCs w:val="26"/>
        </w:rPr>
        <w:t xml:space="preserve"> del Nuevo Código Procesal Civil (Ley 9342) en octubre de 2018, lo que generó un impacto en el procedimiento, la competencia y la estructura organizacional de los despachos judiciales que se encargan de la tramitación de la materia civil.</w:t>
      </w:r>
    </w:p>
    <w:p w14:paraId="3736D61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4DC0E34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 otorgada a la Dirección de Tecnología de Información (Profesional en Informática 2)</w:t>
      </w:r>
    </w:p>
    <w:p w14:paraId="7BDB5B2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945C56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4.2. El recurso concedido se ha venido otorgando desde el 2016 con la finalidad de apoyar el desarrollo de las mejoras informáticas requeridas en los sistemas que utilizan los despachos judiciales que conocen materia civil, como el Sistema de Gestión, Escritorio Virtual, el SREM y el CERODOC, entre otros.</w:t>
      </w:r>
    </w:p>
    <w:p w14:paraId="74B21A2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FA1B33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4.3. Para el 2020, el recurso extraordinario desarrollo 47 funcionalidades, sobrepasando, lo que se tenían planeadas desarrollar, para un resultado superior del 100% de rendimiento respecto al objetivo establecido para el 2020.</w:t>
      </w:r>
    </w:p>
    <w:p w14:paraId="2966152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4C4786D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4.4. El recurso también se dedicó a la atención de usuarios, apoyo y seguimiento al uso de dichas mejoras en todas las oficinas civiles.</w:t>
      </w:r>
    </w:p>
    <w:p w14:paraId="6F0BB22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EBD6A4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4.5. Para el 2021, el recurso adicional se dedicará al desarrollo de 7 nuevos módulos, los cuales son de alta complejidad.</w:t>
      </w:r>
    </w:p>
    <w:p w14:paraId="33A36BA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F66C10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 xml:space="preserve">4.6. La </w:t>
      </w:r>
      <w:proofErr w:type="spellStart"/>
      <w:r w:rsidRPr="002A7673">
        <w:rPr>
          <w:rFonts w:ascii="Times New Roman" w:eastAsia="Calibri" w:hAnsi="Times New Roman" w:cs="Times New Roman"/>
          <w:i/>
          <w:iCs/>
          <w:sz w:val="26"/>
          <w:szCs w:val="26"/>
        </w:rPr>
        <w:t>Msc</w:t>
      </w:r>
      <w:proofErr w:type="spellEnd"/>
      <w:r w:rsidRPr="002A7673">
        <w:rPr>
          <w:rFonts w:ascii="Times New Roman" w:eastAsia="Calibri" w:hAnsi="Times New Roman" w:cs="Times New Roman"/>
          <w:i/>
          <w:iCs/>
          <w:sz w:val="26"/>
          <w:szCs w:val="26"/>
        </w:rPr>
        <w:t xml:space="preserve">. Vivian </w:t>
      </w:r>
      <w:proofErr w:type="spellStart"/>
      <w:r w:rsidRPr="002A7673">
        <w:rPr>
          <w:rFonts w:ascii="Times New Roman" w:eastAsia="Calibri" w:hAnsi="Times New Roman" w:cs="Times New Roman"/>
          <w:i/>
          <w:iCs/>
          <w:sz w:val="26"/>
          <w:szCs w:val="26"/>
        </w:rPr>
        <w:t>Rímola</w:t>
      </w:r>
      <w:proofErr w:type="spellEnd"/>
      <w:r w:rsidRPr="002A7673">
        <w:rPr>
          <w:rFonts w:ascii="Times New Roman" w:eastAsia="Calibri" w:hAnsi="Times New Roman" w:cs="Times New Roman"/>
          <w:i/>
          <w:iCs/>
          <w:sz w:val="26"/>
          <w:szCs w:val="26"/>
        </w:rPr>
        <w:t xml:space="preserve"> Soto, Jefa </w:t>
      </w:r>
      <w:proofErr w:type="spellStart"/>
      <w:r w:rsidRPr="002A7673">
        <w:rPr>
          <w:rFonts w:ascii="Times New Roman" w:eastAsia="Calibri" w:hAnsi="Times New Roman" w:cs="Times New Roman"/>
          <w:i/>
          <w:iCs/>
          <w:sz w:val="26"/>
          <w:szCs w:val="26"/>
        </w:rPr>
        <w:t>a.í</w:t>
      </w:r>
      <w:proofErr w:type="spellEnd"/>
      <w:r w:rsidRPr="002A7673">
        <w:rPr>
          <w:rFonts w:ascii="Times New Roman" w:eastAsia="Calibri" w:hAnsi="Times New Roman" w:cs="Times New Roman"/>
          <w:i/>
          <w:iCs/>
          <w:sz w:val="26"/>
          <w:szCs w:val="26"/>
        </w:rPr>
        <w:t xml:space="preserve"> del Subproceso Sistemas Jurisdiccionales de la Dirección de Tecnología de Información considera necesaria la permanencia del recurso extraordinario y en condición ordinaria, para atender las migraciones al nuevo Sistema de Gestión y dar manteniendo y sostenibilidad a los sistemas actuales.</w:t>
      </w:r>
    </w:p>
    <w:p w14:paraId="4408536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E748E2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4.7. Se logró evidenciar el buen uso del recurso extraordinario que ha sido concedido, no obstante, la plaza desde su origen se ha considerado que tenía una temporalidad claramente definida por el desarrollo e implementación de las mejoras requeridas para los sistemas que actualmente utilizan los despachos civiles; sin embargo, las nuevas labores de migrar las mejoras que se desarrollaron para los sistemas con que actualmente trabajan las oficinas al Nuevo Sistema de Gestión hacen ver la necesidad de contar con el recurso concedido para el 2022.</w:t>
      </w:r>
    </w:p>
    <w:p w14:paraId="287E520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11E751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 de Jueza o Juez 5 otorgada al Centro de Apoyo</w:t>
      </w:r>
    </w:p>
    <w:p w14:paraId="587DFDC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47E2EC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 plaza se otorgó con la finalidad de apoyar la Reforma Civil, en específico para el seguimiento y emisión de recomendaciones a los despachos conforme a su experiencia y como contraparte jurisdiccional en los procesos administrativos y de revisión de las recomendaciones emitidas por las plazas de seguimiento (Profesional 2) del Centro de Apoyo, Coordinación y Mejoramiento de la Función Jurisdiccional (CACMFJ) de los diagnósticos que realicen en los despachos que conocen materia civil.</w:t>
      </w:r>
    </w:p>
    <w:p w14:paraId="27D6A1C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0091C6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Para el 2020, la labor del recurso extraordinario se centró en las siguientes actividades, según la información con que cuenta esta Dirección:</w:t>
      </w:r>
    </w:p>
    <w:p w14:paraId="2893250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FFFA12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Revisión, emisión de observaciones y criterio técnico a 18 informes en consulta comunicados por la Dirección de Planificación. </w:t>
      </w:r>
    </w:p>
    <w:p w14:paraId="7CD656C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45CC8CB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Revisión de las recomendaciones emitidas por las plazas de seguimiento (Profesionales 2) del Centro de Apoyo, Coordinación y Mejoramiento de la Función Jurisdiccional en los diagnósticos realizados en los despachos que conforman la jurisdicción Civil en los siguientes informes emitidos por el CACMFJ. </w:t>
      </w:r>
    </w:p>
    <w:p w14:paraId="533F937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4908F22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73FA02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Elaboración de Informes a solicitud de la Comisión Civil.</w:t>
      </w:r>
    </w:p>
    <w:p w14:paraId="5EF0096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9A4A8F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Labores realizadas por Emergencia Covid-19, a partir de marzo del 2020.</w:t>
      </w:r>
    </w:p>
    <w:p w14:paraId="7CF3576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E6C3F4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Requerimientos de Prensa y Comunicación.</w:t>
      </w:r>
    </w:p>
    <w:p w14:paraId="39C3E68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B6E8B5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Coordinaciones con Normalización de la Dirección de Tecnología de la Información.</w:t>
      </w:r>
    </w:p>
    <w:p w14:paraId="4AE3CC4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021044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Se aportó el cronograma de actividades del 2021 y 2022, el cual incluye labores símiles a las realizadas en el 2019 y en el 2020, situación que hace ver que la atención de esas labores las puede asumir la plaza ordinaria de Jueza o Juez 5 en conjunto con las plazas de profesional 2 del CACMFJ asignadas de manera exclusiva a la atención de los despachos judiciales que conocen la materia civil. Principalmente, porque se encuentran en la etapa de seguimiento de la reforma. </w:t>
      </w:r>
    </w:p>
    <w:p w14:paraId="2DAD157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41E617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Del cronograma suministrado para el 2022 se identificaron actividades nuevas o de diferente índole a las indicadas en años anteriores tales como:</w:t>
      </w:r>
    </w:p>
    <w:p w14:paraId="7C8E9C4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60F100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Análisis del impacto de la distribución de la competencia producto de la reforma en las estructuras civiles. </w:t>
      </w:r>
      <w:r w:rsidRPr="002A7673">
        <w:rPr>
          <w:rFonts w:ascii="Times New Roman" w:eastAsia="Calibri" w:hAnsi="Times New Roman" w:cs="Times New Roman"/>
          <w:i/>
          <w:iCs/>
          <w:sz w:val="26"/>
          <w:szCs w:val="26"/>
        </w:rPr>
        <w:tab/>
      </w:r>
    </w:p>
    <w:p w14:paraId="0AE7100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5D5D8499"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Seguimiento a la aprobación e implementación de reforma concursal.</w:t>
      </w:r>
      <w:r w:rsidRPr="002A7673">
        <w:rPr>
          <w:rFonts w:ascii="Times New Roman" w:eastAsia="Calibri" w:hAnsi="Times New Roman" w:cs="Times New Roman"/>
          <w:i/>
          <w:iCs/>
          <w:sz w:val="26"/>
          <w:szCs w:val="26"/>
        </w:rPr>
        <w:tab/>
      </w:r>
    </w:p>
    <w:p w14:paraId="67B4CF0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E780E0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Análisis y valoración del impacto de la variación de la cuantía laboral que operó en el 2020 y el impacto de la variación de la cuantía civil (pendiente de aprobación) en despachos mixtos y especializados de las estructuras civiles.</w:t>
      </w:r>
      <w:r w:rsidRPr="002A7673">
        <w:rPr>
          <w:rFonts w:ascii="Times New Roman" w:eastAsia="Calibri" w:hAnsi="Times New Roman" w:cs="Times New Roman"/>
          <w:i/>
          <w:iCs/>
          <w:sz w:val="26"/>
          <w:szCs w:val="26"/>
        </w:rPr>
        <w:tab/>
      </w:r>
    </w:p>
    <w:p w14:paraId="7EBED005"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93F59D5"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Implementación y seguimiento a mejoras pendientes para el nuevo Sistema Integral de Apoyo a la Gestión de los Procesos Jurisdiccionales en las estructuras civiles que se proyecta iniciar a partir de finales del 2021.</w:t>
      </w:r>
      <w:r w:rsidRPr="002A7673">
        <w:rPr>
          <w:rFonts w:ascii="Times New Roman" w:eastAsia="Calibri" w:hAnsi="Times New Roman" w:cs="Times New Roman"/>
          <w:i/>
          <w:iCs/>
          <w:sz w:val="26"/>
          <w:szCs w:val="26"/>
        </w:rPr>
        <w:tab/>
      </w:r>
    </w:p>
    <w:p w14:paraId="0E6630B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167014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Análisis de propuestas para ajuste en competencias materiales entre Juzgados Especializados de Cobro, Juzgados Civiles y Tribunales Colegiados. </w:t>
      </w:r>
    </w:p>
    <w:p w14:paraId="67A971E9"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A83E56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(Labores que en el fondo están asociadas a la labor técnica de la Dirección de Planificación).</w:t>
      </w:r>
    </w:p>
    <w:p w14:paraId="6104FCC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762665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 licenciada Maricruz Chacón Cubillo, Directora del Centro de Apoyo, indicó la necesidad de continuar con las plazas de Gestores en materia civil y cobratoria, ya que esas plazas deben atender todos los despachos a nivel nacional que conocen dichas materias, lo que genera los insumos suficientes para visualizar la permanencia del recurso extraordinario en el tiempo.</w:t>
      </w:r>
    </w:p>
    <w:p w14:paraId="34FDD23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876F01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 determinó que existe necesidad de atender los asuntos de admisibilidad de la Sala Primera, por lo cual, se evidencia que la plaza actual extraordinaria podría ser destinada a cumplir esa labor, pero reasignada a Letrado para que coadyuven con la carga de trabajo de esos procesos.</w:t>
      </w:r>
    </w:p>
    <w:p w14:paraId="55E6315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B00E31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La estructura de las otras gestorías se compone en su mayoría por un “gestor” que recibe coadyuvancia de profesionales del Centro de Apoyo. </w:t>
      </w:r>
    </w:p>
    <w:p w14:paraId="6C1625C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8B342F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Únicamente se cuenta formalmente con gestoría en las materias de Civil, laboral, y Familia. </w:t>
      </w:r>
    </w:p>
    <w:p w14:paraId="001BEBB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4A2DE4D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 el aporte de los datos recibidos la Dirección de Planificación estima que la plaza ya cumplió con su objetivo y que, al finalizar el presente año, poco más de tres años después de la Reforma Civil, ya las oficinas se encuentran acopladas a los cambios que se originaron de la reforma.</w:t>
      </w:r>
    </w:p>
    <w:p w14:paraId="5DB078B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5613518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Al considerar la funciones estratégicas y medulares de la gestoría, se estima que con un recurso se puede atender lo relevante y necesario para garantizar una buena gestoría para los despachos relacionados, lo que sin duda, requiere de redireccionar los esfuerzos que atenderá ese recurso y realizar modificaciones en la forma de abordar las necesidades que presentan los despachos con la atención de la materia, así como presentar mejoras en la forma de abordar los casos que estimulen la autogestión de las oficinas para que contribuyan a estabilizar aún más la cantidad de asuntos que ingresan y circulan en esos despachos.</w:t>
      </w:r>
    </w:p>
    <w:p w14:paraId="3E2B947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8EB6CB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Plazas de Jueza o Juez 2 y Técnica o Técnico Judicial 1 otorgadas al Centro de Apoyo</w:t>
      </w:r>
    </w:p>
    <w:p w14:paraId="6AB5F63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1B3074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Las plazas fueron concedidas para atender los planes de descongestionamiento de los Juzgados Cobratorios del país.</w:t>
      </w:r>
    </w:p>
    <w:p w14:paraId="2C2BE9B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BB1FC0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Durante el 2020, el recurso extraordinario brindó colaboración con importante impacto en 5 despachos de diferentes circuitos en el país, obteniendo rendimientos por arriba del 100% tanto de las personas juzgadores como el personal técnico judicial.</w:t>
      </w:r>
    </w:p>
    <w:p w14:paraId="661E7D9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AC617E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Para el 2021 se espera brindarles colaboración a los siguientes despachos: </w:t>
      </w:r>
    </w:p>
    <w:p w14:paraId="5C8EC16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B9F05E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Juzgado Primero de Cobro de SJ</w:t>
      </w:r>
    </w:p>
    <w:p w14:paraId="4EB3500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Juzgado Segundo de Cobro de SJ</w:t>
      </w:r>
    </w:p>
    <w:p w14:paraId="501305C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Juzgado de Cobro de Santa Cruz </w:t>
      </w:r>
    </w:p>
    <w:p w14:paraId="04D14AD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Juzgado de Cobro de Pococí</w:t>
      </w:r>
    </w:p>
    <w:p w14:paraId="6C3189C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Juzgado de Cobro de Alajuela</w:t>
      </w:r>
    </w:p>
    <w:p w14:paraId="438059E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E07055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Por la dinámica propia de la materia y la variación en el estado de los despachos no se puede establecer un cronograma para el periodo 2022, ya que inclusive lo dispuesto para el 2021 es sujeto a ajustes según los requerimientos y necesidades de la institución. </w:t>
      </w:r>
    </w:p>
    <w:p w14:paraId="5E656499"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2D13B0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Para la licenciada Maricruz Chacón Cubillo, Directora del Centro de Apoyo, la materia Cobratoria, sigue incrementando su carga de trabajo, por lo que todo esfuerzo para lograr contener el alto circulante es necesario, resulta necesario que las plazas se mantengan posterior a 2021, inclusive de forma ordinaria.</w:t>
      </w:r>
    </w:p>
    <w:p w14:paraId="5FD2D95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6E85E8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La Dirección de Planificación considera que el aumento en la entrada y circulante de los juzgados que conocen la materia cobratoria hace ver la necesidad de conceder los recursos, adscritos al Centro de Apoyo, para darle continuidad a la atención de los planes de descongestionamiento de esa materia.</w:t>
      </w:r>
    </w:p>
    <w:p w14:paraId="0B7F5A4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FB72B9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Los datos suministrados por las oficinas a las que se les otorgó el recurso extraordinario el año pasado y que fueron analizados en el presente informe, han permitido realizar una valoración de las labores llevadas a cabo por las plazas en el 2020. Es a partir de la información recibida que se toman los elementos técnicos para las valoraciones respectivas.</w:t>
      </w:r>
    </w:p>
    <w:p w14:paraId="210FF28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BD736F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Para el análisis se tomaron en consideración elementos como la temporalidad por la que se otorgó el recurso y el objetivo establecido.</w:t>
      </w:r>
    </w:p>
    <w:p w14:paraId="0A64CED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585EF22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Los estudios que realiza la Dirección de Planificación toman en consideración los lineamientos establecidos por Corte Plena respecto a la no creación de plazas nuevas, en vista de la grave situación fiscal que afronta actualmente el país.</w:t>
      </w:r>
    </w:p>
    <w:p w14:paraId="4D7DA8C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8C09A8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V. Recomendaciones</w:t>
      </w:r>
    </w:p>
    <w:p w14:paraId="3FF43A4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76B9EF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rPr>
      </w:pPr>
      <w:r w:rsidRPr="002A7673">
        <w:rPr>
          <w:rFonts w:ascii="Times New Roman" w:eastAsia="Calibri" w:hAnsi="Times New Roman" w:cs="Times New Roman"/>
          <w:i/>
          <w:iCs/>
          <w:sz w:val="26"/>
          <w:szCs w:val="26"/>
        </w:rPr>
        <w:t>5.1 Cantidad de Recurso Humano recomendado para el 2022</w:t>
      </w:r>
    </w:p>
    <w:p w14:paraId="16BE2AEC" w14:textId="77777777" w:rsidR="00083CA4" w:rsidRPr="002A7673" w:rsidRDefault="00083CA4" w:rsidP="005F7139">
      <w:pPr>
        <w:spacing w:after="0" w:line="240" w:lineRule="auto"/>
        <w:rPr>
          <w:rFonts w:ascii="Times New Roman" w:eastAsia="Calibri" w:hAnsi="Times New Roman" w:cs="Times New Roman"/>
          <w:i/>
          <w:iCs/>
        </w:rPr>
      </w:pPr>
    </w:p>
    <w:tbl>
      <w:tblPr>
        <w:tblW w:w="9342" w:type="dxa"/>
        <w:jc w:val="center"/>
        <w:tblLayout w:type="fixed"/>
        <w:tblCellMar>
          <w:left w:w="0" w:type="dxa"/>
          <w:right w:w="0" w:type="dxa"/>
        </w:tblCellMar>
        <w:tblLook w:val="0000" w:firstRow="0" w:lastRow="0" w:firstColumn="0" w:lastColumn="0" w:noHBand="0" w:noVBand="0"/>
      </w:tblPr>
      <w:tblGrid>
        <w:gridCol w:w="1768"/>
        <w:gridCol w:w="1199"/>
        <w:gridCol w:w="1091"/>
        <w:gridCol w:w="1258"/>
        <w:gridCol w:w="1356"/>
        <w:gridCol w:w="1115"/>
        <w:gridCol w:w="1555"/>
      </w:tblGrid>
      <w:tr w:rsidR="00083CA4" w:rsidRPr="002A7673" w14:paraId="21151FC3" w14:textId="77777777" w:rsidTr="00A26EFE">
        <w:trPr>
          <w:trHeight w:val="288"/>
          <w:jc w:val="center"/>
        </w:trPr>
        <w:tc>
          <w:tcPr>
            <w:tcW w:w="1768" w:type="dxa"/>
            <w:vMerge w:val="restart"/>
            <w:tcBorders>
              <w:top w:val="single" w:sz="8" w:space="0" w:color="000000"/>
              <w:left w:val="single" w:sz="8" w:space="0" w:color="000000"/>
              <w:bottom w:val="nil"/>
              <w:right w:val="single" w:sz="8" w:space="0" w:color="000000"/>
            </w:tcBorders>
            <w:shd w:val="clear" w:color="auto" w:fill="E6E6E6"/>
            <w:tcMar>
              <w:top w:w="0" w:type="dxa"/>
              <w:left w:w="70" w:type="dxa"/>
              <w:bottom w:w="0" w:type="dxa"/>
              <w:right w:w="70" w:type="dxa"/>
            </w:tcMar>
            <w:vAlign w:val="center"/>
          </w:tcPr>
          <w:p w14:paraId="1881544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Despacho</w:t>
            </w:r>
          </w:p>
        </w:tc>
        <w:tc>
          <w:tcPr>
            <w:tcW w:w="1199" w:type="dxa"/>
            <w:tcBorders>
              <w:top w:val="single" w:sz="8" w:space="0" w:color="000000"/>
              <w:left w:val="nil"/>
              <w:bottom w:val="nil"/>
              <w:right w:val="single" w:sz="8" w:space="0" w:color="000000"/>
            </w:tcBorders>
            <w:shd w:val="clear" w:color="auto" w:fill="E6E6E6"/>
            <w:tcMar>
              <w:top w:w="0" w:type="dxa"/>
              <w:left w:w="70" w:type="dxa"/>
              <w:bottom w:w="0" w:type="dxa"/>
              <w:right w:w="70" w:type="dxa"/>
            </w:tcMar>
            <w:vAlign w:val="center"/>
          </w:tcPr>
          <w:p w14:paraId="348A4E7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Cantidad</w:t>
            </w:r>
          </w:p>
        </w:tc>
        <w:tc>
          <w:tcPr>
            <w:tcW w:w="1091" w:type="dxa"/>
            <w:vMerge w:val="restart"/>
            <w:tcBorders>
              <w:top w:val="single" w:sz="8" w:space="0" w:color="000000"/>
              <w:left w:val="single" w:sz="8" w:space="0" w:color="000000"/>
              <w:bottom w:val="nil"/>
              <w:right w:val="single" w:sz="8" w:space="0" w:color="000000"/>
            </w:tcBorders>
            <w:shd w:val="clear" w:color="auto" w:fill="E6E6E6"/>
            <w:tcMar>
              <w:top w:w="0" w:type="dxa"/>
              <w:left w:w="70" w:type="dxa"/>
              <w:bottom w:w="0" w:type="dxa"/>
              <w:right w:w="70" w:type="dxa"/>
            </w:tcMar>
            <w:vAlign w:val="center"/>
          </w:tcPr>
          <w:p w14:paraId="38F18AB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Tipo de plaza</w:t>
            </w:r>
          </w:p>
        </w:tc>
        <w:tc>
          <w:tcPr>
            <w:tcW w:w="1258" w:type="dxa"/>
            <w:vMerge w:val="restart"/>
            <w:tcBorders>
              <w:top w:val="single" w:sz="8" w:space="0" w:color="000000"/>
              <w:left w:val="single" w:sz="8" w:space="0" w:color="000000"/>
              <w:bottom w:val="nil"/>
              <w:right w:val="single" w:sz="8" w:space="0" w:color="000000"/>
            </w:tcBorders>
            <w:shd w:val="clear" w:color="auto" w:fill="E6E6E6"/>
            <w:tcMar>
              <w:top w:w="0" w:type="dxa"/>
              <w:left w:w="70" w:type="dxa"/>
              <w:bottom w:w="0" w:type="dxa"/>
              <w:right w:w="70" w:type="dxa"/>
            </w:tcMar>
            <w:vAlign w:val="center"/>
          </w:tcPr>
          <w:p w14:paraId="25646E7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Condición actual</w:t>
            </w:r>
          </w:p>
        </w:tc>
        <w:tc>
          <w:tcPr>
            <w:tcW w:w="1356" w:type="dxa"/>
            <w:vMerge w:val="restart"/>
            <w:tcBorders>
              <w:top w:val="single" w:sz="8" w:space="0" w:color="000000"/>
              <w:left w:val="single" w:sz="8" w:space="0" w:color="000000"/>
              <w:bottom w:val="nil"/>
              <w:right w:val="single" w:sz="8" w:space="0" w:color="000000"/>
            </w:tcBorders>
            <w:shd w:val="clear" w:color="auto" w:fill="E6E6E6"/>
            <w:tcMar>
              <w:top w:w="0" w:type="dxa"/>
              <w:left w:w="70" w:type="dxa"/>
              <w:bottom w:w="0" w:type="dxa"/>
              <w:right w:w="70" w:type="dxa"/>
            </w:tcMar>
            <w:vAlign w:val="center"/>
          </w:tcPr>
          <w:p w14:paraId="18EFBEF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Recomendación</w:t>
            </w:r>
          </w:p>
        </w:tc>
        <w:tc>
          <w:tcPr>
            <w:tcW w:w="1115" w:type="dxa"/>
            <w:vMerge w:val="restart"/>
            <w:tcBorders>
              <w:top w:val="single" w:sz="8" w:space="0" w:color="000000"/>
              <w:left w:val="single" w:sz="8" w:space="0" w:color="000000"/>
              <w:bottom w:val="nil"/>
              <w:right w:val="single" w:sz="8" w:space="0" w:color="000000"/>
            </w:tcBorders>
            <w:shd w:val="clear" w:color="auto" w:fill="E6E6E6"/>
            <w:tcMar>
              <w:top w:w="0" w:type="dxa"/>
              <w:left w:w="70" w:type="dxa"/>
              <w:bottom w:w="0" w:type="dxa"/>
              <w:right w:w="70" w:type="dxa"/>
            </w:tcMar>
            <w:vAlign w:val="center"/>
          </w:tcPr>
          <w:p w14:paraId="407D4EB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Período</w:t>
            </w:r>
          </w:p>
        </w:tc>
        <w:tc>
          <w:tcPr>
            <w:tcW w:w="1555" w:type="dxa"/>
            <w:vMerge w:val="restart"/>
            <w:tcBorders>
              <w:top w:val="single" w:sz="8" w:space="0" w:color="000000"/>
              <w:left w:val="single" w:sz="8" w:space="0" w:color="000000"/>
              <w:bottom w:val="nil"/>
              <w:right w:val="single" w:sz="8" w:space="0" w:color="000000"/>
            </w:tcBorders>
            <w:shd w:val="clear" w:color="auto" w:fill="E6E6E6"/>
            <w:tcMar>
              <w:top w:w="0" w:type="dxa"/>
              <w:left w:w="70" w:type="dxa"/>
              <w:bottom w:w="0" w:type="dxa"/>
              <w:right w:w="70" w:type="dxa"/>
            </w:tcMar>
            <w:vAlign w:val="center"/>
          </w:tcPr>
          <w:p w14:paraId="22408AA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Costo estimado</w:t>
            </w:r>
          </w:p>
        </w:tc>
      </w:tr>
      <w:tr w:rsidR="00083CA4" w:rsidRPr="002A7673" w14:paraId="0BDFD8D1" w14:textId="77777777" w:rsidTr="00A26EFE">
        <w:trPr>
          <w:trHeight w:val="60"/>
          <w:jc w:val="center"/>
        </w:trPr>
        <w:tc>
          <w:tcPr>
            <w:tcW w:w="1768" w:type="dxa"/>
            <w:vMerge/>
            <w:tcBorders>
              <w:top w:val="single" w:sz="8" w:space="0" w:color="000000"/>
              <w:left w:val="single" w:sz="8" w:space="0" w:color="000000"/>
              <w:bottom w:val="nil"/>
              <w:right w:val="single" w:sz="8" w:space="0" w:color="000000"/>
            </w:tcBorders>
            <w:tcMar>
              <w:top w:w="0" w:type="dxa"/>
              <w:left w:w="70" w:type="dxa"/>
              <w:bottom w:w="0" w:type="dxa"/>
              <w:right w:w="70" w:type="dxa"/>
            </w:tcMar>
            <w:vAlign w:val="center"/>
          </w:tcPr>
          <w:p w14:paraId="42703A8E"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199" w:type="dxa"/>
            <w:tcBorders>
              <w:top w:val="nil"/>
              <w:left w:val="nil"/>
              <w:bottom w:val="nil"/>
              <w:right w:val="single" w:sz="8" w:space="0" w:color="000000"/>
            </w:tcBorders>
            <w:shd w:val="clear" w:color="auto" w:fill="E6E6E6"/>
            <w:tcMar>
              <w:top w:w="0" w:type="dxa"/>
              <w:left w:w="70" w:type="dxa"/>
              <w:bottom w:w="0" w:type="dxa"/>
              <w:right w:w="70" w:type="dxa"/>
            </w:tcMar>
            <w:vAlign w:val="center"/>
          </w:tcPr>
          <w:p w14:paraId="668334B2"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091" w:type="dxa"/>
            <w:vMerge/>
            <w:tcBorders>
              <w:top w:val="single" w:sz="8" w:space="0" w:color="000000"/>
              <w:left w:val="single" w:sz="8" w:space="0" w:color="000000"/>
              <w:bottom w:val="nil"/>
              <w:right w:val="single" w:sz="8" w:space="0" w:color="000000"/>
            </w:tcBorders>
            <w:tcMar>
              <w:top w:w="0" w:type="dxa"/>
              <w:left w:w="70" w:type="dxa"/>
              <w:bottom w:w="0" w:type="dxa"/>
              <w:right w:w="70" w:type="dxa"/>
            </w:tcMar>
            <w:vAlign w:val="center"/>
          </w:tcPr>
          <w:p w14:paraId="52898C12"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258" w:type="dxa"/>
            <w:vMerge/>
            <w:tcBorders>
              <w:top w:val="single" w:sz="8" w:space="0" w:color="000000"/>
              <w:left w:val="single" w:sz="8" w:space="0" w:color="000000"/>
              <w:bottom w:val="nil"/>
              <w:right w:val="single" w:sz="8" w:space="0" w:color="000000"/>
            </w:tcBorders>
            <w:tcMar>
              <w:top w:w="0" w:type="dxa"/>
              <w:left w:w="70" w:type="dxa"/>
              <w:bottom w:w="0" w:type="dxa"/>
              <w:right w:w="70" w:type="dxa"/>
            </w:tcMar>
            <w:vAlign w:val="center"/>
          </w:tcPr>
          <w:p w14:paraId="01CF6E9A"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356" w:type="dxa"/>
            <w:vMerge/>
            <w:tcBorders>
              <w:top w:val="single" w:sz="8" w:space="0" w:color="000000"/>
              <w:left w:val="single" w:sz="8" w:space="0" w:color="000000"/>
              <w:bottom w:val="nil"/>
              <w:right w:val="single" w:sz="8" w:space="0" w:color="000000"/>
            </w:tcBorders>
            <w:tcMar>
              <w:top w:w="0" w:type="dxa"/>
              <w:left w:w="70" w:type="dxa"/>
              <w:bottom w:w="0" w:type="dxa"/>
              <w:right w:w="70" w:type="dxa"/>
            </w:tcMar>
            <w:vAlign w:val="center"/>
          </w:tcPr>
          <w:p w14:paraId="0DD2B82E"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115" w:type="dxa"/>
            <w:vMerge/>
            <w:tcBorders>
              <w:top w:val="single" w:sz="8" w:space="0" w:color="000000"/>
              <w:left w:val="single" w:sz="8" w:space="0" w:color="000000"/>
              <w:bottom w:val="nil"/>
              <w:right w:val="single" w:sz="8" w:space="0" w:color="000000"/>
            </w:tcBorders>
            <w:tcMar>
              <w:top w:w="0" w:type="dxa"/>
              <w:left w:w="70" w:type="dxa"/>
              <w:bottom w:w="0" w:type="dxa"/>
              <w:right w:w="70" w:type="dxa"/>
            </w:tcMar>
            <w:vAlign w:val="center"/>
          </w:tcPr>
          <w:p w14:paraId="67F072F6"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555" w:type="dxa"/>
            <w:vMerge/>
            <w:tcBorders>
              <w:top w:val="single" w:sz="8" w:space="0" w:color="000000"/>
              <w:left w:val="single" w:sz="8" w:space="0" w:color="000000"/>
              <w:bottom w:val="nil"/>
              <w:right w:val="single" w:sz="8" w:space="0" w:color="000000"/>
            </w:tcBorders>
            <w:tcMar>
              <w:top w:w="0" w:type="dxa"/>
              <w:left w:w="70" w:type="dxa"/>
              <w:bottom w:w="0" w:type="dxa"/>
              <w:right w:w="70" w:type="dxa"/>
            </w:tcMar>
            <w:vAlign w:val="center"/>
          </w:tcPr>
          <w:p w14:paraId="0E772555" w14:textId="77777777" w:rsidR="00083CA4" w:rsidRPr="002A7673" w:rsidRDefault="00083CA4" w:rsidP="005F7139">
            <w:pPr>
              <w:spacing w:after="0" w:line="240" w:lineRule="auto"/>
              <w:rPr>
                <w:rFonts w:ascii="Times New Roman" w:eastAsia="Calibri" w:hAnsi="Times New Roman" w:cs="Times New Roman"/>
                <w:i/>
                <w:iCs/>
                <w:sz w:val="26"/>
                <w:szCs w:val="26"/>
              </w:rPr>
            </w:pPr>
          </w:p>
        </w:tc>
      </w:tr>
      <w:tr w:rsidR="00083CA4" w:rsidRPr="002A7673" w14:paraId="668557E9" w14:textId="77777777" w:rsidTr="00A26EFE">
        <w:trPr>
          <w:trHeight w:val="300"/>
          <w:jc w:val="center"/>
        </w:trPr>
        <w:tc>
          <w:tcPr>
            <w:tcW w:w="1768" w:type="dxa"/>
            <w:vMerge w:val="restart"/>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258D807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Centro de Apoyo, Coordinación y Mejoramiento de la Función Jurisdiccional</w:t>
            </w:r>
          </w:p>
          <w:p w14:paraId="408684C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(Plan de Descongestionamiento</w:t>
            </w:r>
          </w:p>
        </w:tc>
        <w:tc>
          <w:tcPr>
            <w:tcW w:w="1199" w:type="dxa"/>
            <w:tcBorders>
              <w:top w:val="single" w:sz="8" w:space="0" w:color="000000"/>
              <w:left w:val="nil"/>
              <w:bottom w:val="single" w:sz="8" w:space="0" w:color="000000"/>
              <w:right w:val="single" w:sz="8" w:space="0" w:color="000000"/>
            </w:tcBorders>
            <w:tcMar>
              <w:top w:w="0" w:type="dxa"/>
              <w:left w:w="70" w:type="dxa"/>
              <w:bottom w:w="0" w:type="dxa"/>
              <w:right w:w="70" w:type="dxa"/>
            </w:tcMar>
            <w:vAlign w:val="center"/>
          </w:tcPr>
          <w:p w14:paraId="03A1034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w:t>
            </w:r>
          </w:p>
        </w:tc>
        <w:tc>
          <w:tcPr>
            <w:tcW w:w="1091" w:type="dxa"/>
            <w:tcBorders>
              <w:top w:val="single" w:sz="8" w:space="0" w:color="000000"/>
              <w:left w:val="nil"/>
              <w:bottom w:val="single" w:sz="8" w:space="0" w:color="000000"/>
              <w:right w:val="single" w:sz="8" w:space="0" w:color="000000"/>
            </w:tcBorders>
            <w:tcMar>
              <w:top w:w="0" w:type="dxa"/>
              <w:left w:w="70" w:type="dxa"/>
              <w:bottom w:w="0" w:type="dxa"/>
              <w:right w:w="70" w:type="dxa"/>
            </w:tcMar>
            <w:vAlign w:val="center"/>
          </w:tcPr>
          <w:p w14:paraId="5306FEE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Jueza o Juez 2</w:t>
            </w:r>
          </w:p>
        </w:tc>
        <w:tc>
          <w:tcPr>
            <w:tcW w:w="1258" w:type="dxa"/>
            <w:tcBorders>
              <w:top w:val="single" w:sz="8" w:space="0" w:color="000000"/>
              <w:left w:val="nil"/>
              <w:bottom w:val="single" w:sz="8" w:space="0" w:color="000000"/>
              <w:right w:val="single" w:sz="8" w:space="0" w:color="000000"/>
            </w:tcBorders>
            <w:tcMar>
              <w:top w:w="0" w:type="dxa"/>
              <w:left w:w="70" w:type="dxa"/>
              <w:bottom w:w="0" w:type="dxa"/>
              <w:right w:w="70" w:type="dxa"/>
            </w:tcMar>
            <w:vAlign w:val="center"/>
          </w:tcPr>
          <w:p w14:paraId="4E6E9EE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356" w:type="dxa"/>
            <w:tcBorders>
              <w:top w:val="single" w:sz="8" w:space="0" w:color="000000"/>
              <w:left w:val="nil"/>
              <w:bottom w:val="single" w:sz="8" w:space="0" w:color="000000"/>
              <w:right w:val="single" w:sz="8" w:space="0" w:color="000000"/>
            </w:tcBorders>
            <w:tcMar>
              <w:top w:w="0" w:type="dxa"/>
              <w:left w:w="70" w:type="dxa"/>
              <w:bottom w:w="0" w:type="dxa"/>
              <w:right w:w="70" w:type="dxa"/>
            </w:tcMar>
            <w:vAlign w:val="center"/>
          </w:tcPr>
          <w:p w14:paraId="04D3688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Ordinaria</w:t>
            </w:r>
          </w:p>
        </w:tc>
        <w:tc>
          <w:tcPr>
            <w:tcW w:w="1115" w:type="dxa"/>
            <w:tcBorders>
              <w:top w:val="single" w:sz="8" w:space="0" w:color="000000"/>
              <w:left w:val="nil"/>
              <w:bottom w:val="single" w:sz="8" w:space="0" w:color="000000"/>
              <w:right w:val="single" w:sz="8" w:space="0" w:color="000000"/>
            </w:tcBorders>
            <w:tcMar>
              <w:top w:w="0" w:type="dxa"/>
              <w:left w:w="70" w:type="dxa"/>
              <w:bottom w:w="0" w:type="dxa"/>
              <w:right w:w="70" w:type="dxa"/>
            </w:tcMar>
            <w:vAlign w:val="center"/>
          </w:tcPr>
          <w:p w14:paraId="3D5DBDA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2022</w:t>
            </w:r>
          </w:p>
        </w:tc>
        <w:tc>
          <w:tcPr>
            <w:tcW w:w="1555" w:type="dxa"/>
            <w:tcBorders>
              <w:top w:val="single" w:sz="8" w:space="0" w:color="000000"/>
              <w:left w:val="nil"/>
              <w:bottom w:val="single" w:sz="8" w:space="0" w:color="000000"/>
              <w:right w:val="single" w:sz="8" w:space="0" w:color="000000"/>
            </w:tcBorders>
            <w:tcMar>
              <w:top w:w="0" w:type="dxa"/>
              <w:left w:w="70" w:type="dxa"/>
              <w:bottom w:w="0" w:type="dxa"/>
              <w:right w:w="70" w:type="dxa"/>
            </w:tcMar>
            <w:vAlign w:val="center"/>
          </w:tcPr>
          <w:p w14:paraId="5040F1B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₡105 166 000,00</w:t>
            </w:r>
          </w:p>
        </w:tc>
      </w:tr>
      <w:tr w:rsidR="00083CA4" w:rsidRPr="002A7673" w14:paraId="00FA4558" w14:textId="77777777" w:rsidTr="00A26EFE">
        <w:trPr>
          <w:trHeight w:val="420"/>
          <w:jc w:val="center"/>
        </w:trPr>
        <w:tc>
          <w:tcPr>
            <w:tcW w:w="1768" w:type="dxa"/>
            <w:vMerge/>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248A7776"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1199" w:type="dxa"/>
            <w:tcBorders>
              <w:top w:val="nil"/>
              <w:left w:val="nil"/>
              <w:bottom w:val="single" w:sz="8" w:space="0" w:color="000000"/>
              <w:right w:val="single" w:sz="8" w:space="0" w:color="000000"/>
            </w:tcBorders>
            <w:tcMar>
              <w:top w:w="0" w:type="dxa"/>
              <w:left w:w="70" w:type="dxa"/>
              <w:bottom w:w="0" w:type="dxa"/>
              <w:right w:w="70" w:type="dxa"/>
            </w:tcMar>
            <w:vAlign w:val="center"/>
          </w:tcPr>
          <w:p w14:paraId="6F15C05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4</w:t>
            </w:r>
          </w:p>
        </w:tc>
        <w:tc>
          <w:tcPr>
            <w:tcW w:w="1091" w:type="dxa"/>
            <w:tcBorders>
              <w:top w:val="nil"/>
              <w:left w:val="nil"/>
              <w:bottom w:val="single" w:sz="8" w:space="0" w:color="000000"/>
              <w:right w:val="single" w:sz="8" w:space="0" w:color="000000"/>
            </w:tcBorders>
            <w:tcMar>
              <w:top w:w="0" w:type="dxa"/>
              <w:left w:w="70" w:type="dxa"/>
              <w:bottom w:w="0" w:type="dxa"/>
              <w:right w:w="70" w:type="dxa"/>
            </w:tcMar>
            <w:vAlign w:val="center"/>
          </w:tcPr>
          <w:p w14:paraId="30806E3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Técnica o Técnico Judicial</w:t>
            </w:r>
          </w:p>
        </w:tc>
        <w:tc>
          <w:tcPr>
            <w:tcW w:w="1258" w:type="dxa"/>
            <w:tcBorders>
              <w:top w:val="nil"/>
              <w:left w:val="nil"/>
              <w:bottom w:val="single" w:sz="8" w:space="0" w:color="000000"/>
              <w:right w:val="single" w:sz="8" w:space="0" w:color="000000"/>
            </w:tcBorders>
            <w:tcMar>
              <w:top w:w="0" w:type="dxa"/>
              <w:left w:w="70" w:type="dxa"/>
              <w:bottom w:w="0" w:type="dxa"/>
              <w:right w:w="70" w:type="dxa"/>
            </w:tcMar>
            <w:vAlign w:val="center"/>
          </w:tcPr>
          <w:p w14:paraId="4A1239F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356" w:type="dxa"/>
            <w:tcBorders>
              <w:top w:val="nil"/>
              <w:left w:val="nil"/>
              <w:bottom w:val="single" w:sz="8" w:space="0" w:color="000000"/>
              <w:right w:val="single" w:sz="8" w:space="0" w:color="000000"/>
            </w:tcBorders>
            <w:tcMar>
              <w:top w:w="0" w:type="dxa"/>
              <w:left w:w="70" w:type="dxa"/>
              <w:bottom w:w="0" w:type="dxa"/>
              <w:right w:w="70" w:type="dxa"/>
            </w:tcMar>
            <w:vAlign w:val="center"/>
          </w:tcPr>
          <w:p w14:paraId="38473CE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Ordinaria</w:t>
            </w:r>
          </w:p>
        </w:tc>
        <w:tc>
          <w:tcPr>
            <w:tcW w:w="1115" w:type="dxa"/>
            <w:tcBorders>
              <w:top w:val="nil"/>
              <w:left w:val="nil"/>
              <w:bottom w:val="single" w:sz="8" w:space="0" w:color="000000"/>
              <w:right w:val="single" w:sz="8" w:space="0" w:color="000000"/>
            </w:tcBorders>
            <w:tcMar>
              <w:top w:w="0" w:type="dxa"/>
              <w:left w:w="70" w:type="dxa"/>
              <w:bottom w:w="0" w:type="dxa"/>
              <w:right w:w="70" w:type="dxa"/>
            </w:tcMar>
            <w:vAlign w:val="center"/>
          </w:tcPr>
          <w:p w14:paraId="1FF776C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2022</w:t>
            </w:r>
          </w:p>
        </w:tc>
        <w:tc>
          <w:tcPr>
            <w:tcW w:w="1555" w:type="dxa"/>
            <w:tcBorders>
              <w:top w:val="nil"/>
              <w:left w:val="nil"/>
              <w:bottom w:val="single" w:sz="8" w:space="0" w:color="000000"/>
              <w:right w:val="single" w:sz="8" w:space="0" w:color="000000"/>
            </w:tcBorders>
            <w:tcMar>
              <w:top w:w="0" w:type="dxa"/>
              <w:left w:w="70" w:type="dxa"/>
              <w:bottom w:w="0" w:type="dxa"/>
              <w:right w:w="70" w:type="dxa"/>
            </w:tcMar>
            <w:vAlign w:val="center"/>
          </w:tcPr>
          <w:p w14:paraId="73939CF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₡56 020 000,00</w:t>
            </w:r>
          </w:p>
        </w:tc>
      </w:tr>
      <w:tr w:rsidR="00083CA4" w:rsidRPr="002A7673" w14:paraId="4DE23159" w14:textId="77777777" w:rsidTr="00A26EFE">
        <w:trPr>
          <w:trHeight w:val="624"/>
          <w:jc w:val="center"/>
        </w:trPr>
        <w:tc>
          <w:tcPr>
            <w:tcW w:w="1768" w:type="dxa"/>
            <w:tcBorders>
              <w:top w:val="nil"/>
              <w:left w:val="single" w:sz="8" w:space="0" w:color="000000"/>
              <w:bottom w:val="single" w:sz="8" w:space="0" w:color="000000"/>
              <w:right w:val="single" w:sz="8" w:space="0" w:color="000000"/>
            </w:tcBorders>
            <w:tcMar>
              <w:top w:w="0" w:type="dxa"/>
              <w:left w:w="70" w:type="dxa"/>
              <w:bottom w:w="0" w:type="dxa"/>
              <w:right w:w="70" w:type="dxa"/>
            </w:tcMar>
            <w:vAlign w:val="center"/>
          </w:tcPr>
          <w:p w14:paraId="1C42F3B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Dirección de Tecnología de Información</w:t>
            </w:r>
          </w:p>
        </w:tc>
        <w:tc>
          <w:tcPr>
            <w:tcW w:w="1199" w:type="dxa"/>
            <w:tcBorders>
              <w:top w:val="nil"/>
              <w:left w:val="nil"/>
              <w:bottom w:val="single" w:sz="8" w:space="0" w:color="000000"/>
              <w:right w:val="single" w:sz="8" w:space="0" w:color="000000"/>
            </w:tcBorders>
            <w:tcMar>
              <w:top w:w="0" w:type="dxa"/>
              <w:left w:w="70" w:type="dxa"/>
              <w:bottom w:w="0" w:type="dxa"/>
              <w:right w:w="70" w:type="dxa"/>
            </w:tcMar>
            <w:vAlign w:val="center"/>
          </w:tcPr>
          <w:p w14:paraId="4F8BCC6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w:t>
            </w:r>
          </w:p>
        </w:tc>
        <w:tc>
          <w:tcPr>
            <w:tcW w:w="1091" w:type="dxa"/>
            <w:tcBorders>
              <w:top w:val="nil"/>
              <w:left w:val="nil"/>
              <w:bottom w:val="single" w:sz="8" w:space="0" w:color="000000"/>
              <w:right w:val="single" w:sz="8" w:space="0" w:color="000000"/>
            </w:tcBorders>
            <w:tcMar>
              <w:top w:w="0" w:type="dxa"/>
              <w:left w:w="70" w:type="dxa"/>
              <w:bottom w:w="0" w:type="dxa"/>
              <w:right w:w="70" w:type="dxa"/>
            </w:tcMar>
            <w:vAlign w:val="center"/>
          </w:tcPr>
          <w:p w14:paraId="412C8CF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Profesional en Informática 2</w:t>
            </w:r>
          </w:p>
        </w:tc>
        <w:tc>
          <w:tcPr>
            <w:tcW w:w="1258" w:type="dxa"/>
            <w:tcBorders>
              <w:top w:val="nil"/>
              <w:left w:val="nil"/>
              <w:bottom w:val="single" w:sz="8" w:space="0" w:color="000000"/>
              <w:right w:val="single" w:sz="8" w:space="0" w:color="000000"/>
            </w:tcBorders>
            <w:tcMar>
              <w:top w:w="0" w:type="dxa"/>
              <w:left w:w="70" w:type="dxa"/>
              <w:bottom w:w="0" w:type="dxa"/>
              <w:right w:w="70" w:type="dxa"/>
            </w:tcMar>
            <w:vAlign w:val="center"/>
          </w:tcPr>
          <w:p w14:paraId="65292BF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356" w:type="dxa"/>
            <w:tcBorders>
              <w:top w:val="nil"/>
              <w:left w:val="nil"/>
              <w:bottom w:val="single" w:sz="8" w:space="0" w:color="000000"/>
              <w:right w:val="single" w:sz="8" w:space="0" w:color="000000"/>
            </w:tcBorders>
            <w:tcMar>
              <w:top w:w="0" w:type="dxa"/>
              <w:left w:w="70" w:type="dxa"/>
              <w:bottom w:w="0" w:type="dxa"/>
              <w:right w:w="70" w:type="dxa"/>
            </w:tcMar>
            <w:vAlign w:val="center"/>
          </w:tcPr>
          <w:p w14:paraId="7789423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Ordinaria</w:t>
            </w:r>
          </w:p>
        </w:tc>
        <w:tc>
          <w:tcPr>
            <w:tcW w:w="1115" w:type="dxa"/>
            <w:tcBorders>
              <w:top w:val="nil"/>
              <w:left w:val="nil"/>
              <w:bottom w:val="single" w:sz="8" w:space="0" w:color="000000"/>
              <w:right w:val="single" w:sz="8" w:space="0" w:color="000000"/>
            </w:tcBorders>
            <w:tcMar>
              <w:top w:w="0" w:type="dxa"/>
              <w:left w:w="70" w:type="dxa"/>
              <w:bottom w:w="0" w:type="dxa"/>
              <w:right w:w="70" w:type="dxa"/>
            </w:tcMar>
            <w:vAlign w:val="center"/>
          </w:tcPr>
          <w:p w14:paraId="67BEA98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2022</w:t>
            </w:r>
          </w:p>
        </w:tc>
        <w:tc>
          <w:tcPr>
            <w:tcW w:w="1555" w:type="dxa"/>
            <w:tcBorders>
              <w:top w:val="nil"/>
              <w:left w:val="nil"/>
              <w:bottom w:val="single" w:sz="8" w:space="0" w:color="000000"/>
              <w:right w:val="single" w:sz="8" w:space="0" w:color="000000"/>
            </w:tcBorders>
            <w:tcMar>
              <w:top w:w="0" w:type="dxa"/>
              <w:left w:w="70" w:type="dxa"/>
              <w:bottom w:w="0" w:type="dxa"/>
              <w:right w:w="70" w:type="dxa"/>
            </w:tcMar>
            <w:vAlign w:val="center"/>
          </w:tcPr>
          <w:p w14:paraId="187B511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₡35 314 000,00</w:t>
            </w:r>
          </w:p>
        </w:tc>
      </w:tr>
      <w:tr w:rsidR="00083CA4" w:rsidRPr="002A7673" w14:paraId="1D0BE9F7" w14:textId="77777777" w:rsidTr="00A26EFE">
        <w:trPr>
          <w:trHeight w:val="300"/>
          <w:jc w:val="center"/>
        </w:trPr>
        <w:tc>
          <w:tcPr>
            <w:tcW w:w="7787" w:type="dxa"/>
            <w:gridSpan w:val="6"/>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tcPr>
          <w:p w14:paraId="798C0F4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Total</w:t>
            </w:r>
          </w:p>
        </w:tc>
        <w:tc>
          <w:tcPr>
            <w:tcW w:w="1555" w:type="dxa"/>
            <w:tcBorders>
              <w:top w:val="nil"/>
              <w:left w:val="nil"/>
              <w:bottom w:val="single" w:sz="8" w:space="0" w:color="000000"/>
              <w:right w:val="single" w:sz="8" w:space="0" w:color="000000"/>
            </w:tcBorders>
            <w:tcMar>
              <w:top w:w="0" w:type="dxa"/>
              <w:left w:w="70" w:type="dxa"/>
              <w:bottom w:w="0" w:type="dxa"/>
              <w:right w:w="70" w:type="dxa"/>
            </w:tcMar>
            <w:vAlign w:val="center"/>
          </w:tcPr>
          <w:p w14:paraId="0D33F35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₡196 500 000,</w:t>
            </w:r>
            <w:r w:rsidRPr="002A7673">
              <w:rPr>
                <w:rFonts w:ascii="Times New Roman" w:eastAsia="Calibri" w:hAnsi="Times New Roman" w:cs="Times New Roman"/>
                <w:i/>
                <w:iCs/>
                <w:sz w:val="26"/>
                <w:szCs w:val="26"/>
              </w:rPr>
              <w:lastRenderedPageBreak/>
              <w:t>00</w:t>
            </w:r>
          </w:p>
        </w:tc>
      </w:tr>
    </w:tbl>
    <w:p w14:paraId="6D1B5E8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FUENTE: Elaboración propia con datos suministrados por el Subproceso de Formulación del   Presupuesto y Portafolio de Proyecto Institucional, para el 2022.</w:t>
      </w:r>
    </w:p>
    <w:p w14:paraId="4E064AE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274E62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5.2 Las plazas recomendadas al Centro de Apoyo, Coordinación y Mejoramiento de la Función Jurisdiccional se conceden con la finalidad de seguir atendiendo los planes de descongestionamiento en los despachos que conocen materia cobratoria. Al existir una cuota de rendimiento esperada se debe mantener el seguimiento por parte del Centro, a fin de monitorear los resultados y evitar un impacto negativo que complique la carga de trabajo de esta materia. </w:t>
      </w:r>
    </w:p>
    <w:p w14:paraId="39AF06C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 </w:t>
      </w:r>
    </w:p>
    <w:p w14:paraId="0AA4674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5.3. Se recomienda la continuidad de la plaza de Profesional en Informática para el 2022 de manera ordinaria, ya que existe un cronograma de trabajo definido en donde se especifican los requerimientos a implementar, las mejoras a realizar en el nuevo Sistema de Gestión, ya que es la nueva herramienta para el registro de la información en esta materia, además, de las labores que deberá desempeñar dando mantenimiento y sostenibilidad al nuevo sistema informático, todo según cronograma remitido por la Dirección de Tecnología de la Información.</w:t>
      </w:r>
    </w:p>
    <w:p w14:paraId="601BA85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0173595"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Para este caso no sería requerido equipo y mobiliario para la plaza, el cual fue otorgado en períodos presupuestarios anteriores.</w:t>
      </w:r>
    </w:p>
    <w:p w14:paraId="356F4C4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9CE0DA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Plaza de Jueza o Juez 5 otorgada al Centro de Apoyo</w:t>
      </w:r>
    </w:p>
    <w:p w14:paraId="40EE423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F6F189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5.4. Con fundamento en los elementos recopilados y analizados por esta Dirección en el presente estudio, se procede a brindar tres escenarios para la utilización de este recurso: </w:t>
      </w:r>
    </w:p>
    <w:p w14:paraId="340E2B5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EA0CEE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Escenario 1</w:t>
      </w:r>
    </w:p>
    <w:p w14:paraId="1A2ED6F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1F9105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Considerando los siguientes aspectos:</w:t>
      </w:r>
    </w:p>
    <w:p w14:paraId="1AF5320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4B8BF3A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El Centro de Apoyo tiene dos plazas de gestor en materia Civil (una en condición ordinaria y la otra extraordinaria), las cuales desempeñan labores similares y cuentan con el apoyo de dos recursos de Profesional 2 </w:t>
      </w:r>
      <w:r w:rsidRPr="002A7673">
        <w:rPr>
          <w:rFonts w:ascii="Times New Roman" w:eastAsia="Calibri" w:hAnsi="Times New Roman" w:cs="Times New Roman"/>
          <w:i/>
          <w:iCs/>
          <w:sz w:val="26"/>
          <w:szCs w:val="26"/>
        </w:rPr>
        <w:lastRenderedPageBreak/>
        <w:t xml:space="preserve">dedicados de manera exclusiva al seguimiento de los despachos que conocen la materia Civil y Cobratoria. </w:t>
      </w:r>
    </w:p>
    <w:p w14:paraId="530F3CB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A98F34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Por el tiempo transcurrido desde la implementación de la Reforma Procesal Civil (más de dos año y medio), se podría concluir que las oficinas se encuentren acopladas a los cambios que originó la reforma, lo que eventualmente propicia una disminución natural en las consultas de los despachos judiciales.</w:t>
      </w:r>
    </w:p>
    <w:p w14:paraId="28BA9B0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9D93A8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 podría estimar que las labores de gestoría en materia Civil se podrían ejecutar solo por la plaza de Jueza o Juez 5 otorgada de manera ordinaria.</w:t>
      </w:r>
    </w:p>
    <w:p w14:paraId="3DA6F34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48CEF6E1"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Por lo anterior, se recomienda que la plaza de Jueza o Juez 5 (Gestora o Gestor de materia Civil) otorgada al Centro de Apoyo, Coordinación y Mejoramiento de la Función Jurisdiccional, de forma extraordinaria, se recalifique a Profesional en Derecho 3B, para que forme parte de la estructura ordinaria de la Sala Primera a partir del 2022, la cual deberá atender la admisibilidad de los casos que entran a esa Sala, de conformidad con el plan de trabajo propuesto por la Dirección de Planificación mediante informe 873-PLA-2020, aprobado por Corte Plena en sesión 73-2020 del 14 de diciembre de 2020, artículo XIII.</w:t>
      </w:r>
    </w:p>
    <w:p w14:paraId="46E1EFA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4B3B24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En caso de aprobarse el presente escenario, se debe tomar en cuenta el costo de la plaza de Profesional en Derecho 3B:</w:t>
      </w:r>
    </w:p>
    <w:p w14:paraId="5CCC55F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tbl>
      <w:tblPr>
        <w:tblW w:w="9429" w:type="dxa"/>
        <w:tblInd w:w="70" w:type="dxa"/>
        <w:tblLayout w:type="fixed"/>
        <w:tblCellMar>
          <w:left w:w="0" w:type="dxa"/>
          <w:right w:w="0" w:type="dxa"/>
        </w:tblCellMar>
        <w:tblLook w:val="0000" w:firstRow="0" w:lastRow="0" w:firstColumn="0" w:lastColumn="0" w:noHBand="0" w:noVBand="0"/>
      </w:tblPr>
      <w:tblGrid>
        <w:gridCol w:w="1159"/>
        <w:gridCol w:w="1176"/>
        <w:gridCol w:w="1208"/>
        <w:gridCol w:w="2142"/>
        <w:gridCol w:w="1336"/>
        <w:gridCol w:w="984"/>
        <w:gridCol w:w="1424"/>
      </w:tblGrid>
      <w:tr w:rsidR="00083CA4" w:rsidRPr="002A7673" w14:paraId="18CB63A0" w14:textId="77777777" w:rsidTr="00A26EFE">
        <w:trPr>
          <w:trHeight w:val="859"/>
        </w:trPr>
        <w:tc>
          <w:tcPr>
            <w:tcW w:w="1159"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260AD9B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Despacho</w:t>
            </w:r>
          </w:p>
        </w:tc>
        <w:tc>
          <w:tcPr>
            <w:tcW w:w="1176"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094E49E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Cantidad</w:t>
            </w:r>
          </w:p>
        </w:tc>
        <w:tc>
          <w:tcPr>
            <w:tcW w:w="1208"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1B75B3E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Tipo de plaza</w:t>
            </w:r>
          </w:p>
        </w:tc>
        <w:tc>
          <w:tcPr>
            <w:tcW w:w="2142"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0D846DD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Condición actual</w:t>
            </w:r>
          </w:p>
        </w:tc>
        <w:tc>
          <w:tcPr>
            <w:tcW w:w="1336"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2C772D7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Recomendación</w:t>
            </w:r>
          </w:p>
        </w:tc>
        <w:tc>
          <w:tcPr>
            <w:tcW w:w="984"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7318364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Período</w:t>
            </w:r>
          </w:p>
        </w:tc>
        <w:tc>
          <w:tcPr>
            <w:tcW w:w="1424"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02E7FC6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Costo estimado</w:t>
            </w:r>
          </w:p>
        </w:tc>
      </w:tr>
      <w:tr w:rsidR="00083CA4" w:rsidRPr="002A7673" w14:paraId="36D88A3A" w14:textId="77777777" w:rsidTr="00A26EFE">
        <w:trPr>
          <w:trHeight w:val="575"/>
        </w:trPr>
        <w:tc>
          <w:tcPr>
            <w:tcW w:w="1159"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DB9A0E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Sala Primera</w:t>
            </w:r>
          </w:p>
        </w:tc>
        <w:tc>
          <w:tcPr>
            <w:tcW w:w="117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55FB6F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w:t>
            </w:r>
          </w:p>
        </w:tc>
        <w:tc>
          <w:tcPr>
            <w:tcW w:w="1208"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3FAAF7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Profesional en Derecho 3B</w:t>
            </w:r>
          </w:p>
        </w:tc>
        <w:tc>
          <w:tcPr>
            <w:tcW w:w="214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6329651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 (actualmente plaza de Juez 5 concedida al Centro de Apoyo)</w:t>
            </w:r>
          </w:p>
        </w:tc>
        <w:tc>
          <w:tcPr>
            <w:tcW w:w="133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6189B9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Ordinario</w:t>
            </w:r>
          </w:p>
        </w:tc>
        <w:tc>
          <w:tcPr>
            <w:tcW w:w="98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3915E77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2022</w:t>
            </w:r>
          </w:p>
        </w:tc>
        <w:tc>
          <w:tcPr>
            <w:tcW w:w="1424"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85CAFF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54.496.000,00</w:t>
            </w:r>
          </w:p>
        </w:tc>
      </w:tr>
    </w:tbl>
    <w:p w14:paraId="2C3B9C94" w14:textId="77777777" w:rsidR="00083CA4" w:rsidRPr="002A7673" w:rsidRDefault="00083CA4" w:rsidP="005F7139">
      <w:pPr>
        <w:spacing w:after="0" w:line="240" w:lineRule="auto"/>
        <w:rPr>
          <w:rFonts w:ascii="Times New Roman" w:eastAsia="Calibri" w:hAnsi="Times New Roman" w:cs="Times New Roman"/>
          <w:i/>
          <w:iCs/>
        </w:rPr>
      </w:pPr>
    </w:p>
    <w:p w14:paraId="05F2948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Cabe indicar que debido a que la plaza extraordinaria de Jueza o Juez 5 concedida al Centro de Apoyo, Coordinación y Mejoramiento de la Función Jurisdiccional viene operando desde períodos anteriores, deberá esa oficina trasladar el equipo y mobiliario otorgados a esa plaza a la Sala </w:t>
      </w:r>
      <w:r w:rsidRPr="002A7673">
        <w:rPr>
          <w:rFonts w:ascii="Times New Roman" w:eastAsia="Calibri" w:hAnsi="Times New Roman" w:cs="Times New Roman"/>
          <w:i/>
          <w:iCs/>
          <w:sz w:val="26"/>
          <w:szCs w:val="26"/>
        </w:rPr>
        <w:lastRenderedPageBreak/>
        <w:t>Primera, para que el Profesional en Derecho 3B que se recomienda en el presente estudio pueda realizar las labores correspondientes.</w:t>
      </w:r>
    </w:p>
    <w:p w14:paraId="463828A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37C57F2"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Escenario 2</w:t>
      </w:r>
    </w:p>
    <w:p w14:paraId="0446D17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BDF2B2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Prorrogar la continuidad de la plaza de Jueza o Juez 5 (Gestora o Gestor de materia civil), adscrita actualmente al Centro de Apoyo, Coordinación y Mejoramiento de la Función Jurisdiccional, en condición extraordinaria para el 2022, para que continúe con la ejecución de las labores que ha venido desempeñando, posterior a la entrada en vigencia del Nuevo Código Procesal Civil, que coadyuvan en la mejora de la gestión de los despachos de materia civil y cobratoria (actualmente 69 oficinas judiciales), </w:t>
      </w:r>
    </w:p>
    <w:p w14:paraId="2B887933"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D9E6C2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Para lo anterior, deberá el Centro de Apoyo formular indicadores individualizados para ambas plazas de “gestor” que permita maximizar la utilización del recurso y contar con los insumos suficientes que evidencien la labor realizada de manera cualitativa y cuantitativa, con el objeto de determinar la continuidad de la plaza, posterior al 2022, sea en condición extraordinaria u ordinaria.</w:t>
      </w:r>
    </w:p>
    <w:p w14:paraId="31A8BB3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123D22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En caso de aprobarse el presente escenario, se debe tomar en consideración el costo asociado a la plaza de Jueza o Juez 5:</w:t>
      </w:r>
    </w:p>
    <w:p w14:paraId="4642D8F8" w14:textId="77777777" w:rsidR="00083CA4" w:rsidRPr="002A7673" w:rsidRDefault="00083CA4" w:rsidP="005F7139">
      <w:pPr>
        <w:spacing w:after="0" w:line="240" w:lineRule="auto"/>
        <w:rPr>
          <w:rFonts w:ascii="Times New Roman" w:eastAsia="Calibri" w:hAnsi="Times New Roman" w:cs="Times New Roman"/>
          <w:i/>
          <w:iCs/>
        </w:rPr>
      </w:pPr>
    </w:p>
    <w:tbl>
      <w:tblPr>
        <w:tblW w:w="9356" w:type="dxa"/>
        <w:jc w:val="center"/>
        <w:tblLayout w:type="fixed"/>
        <w:tblCellMar>
          <w:left w:w="0" w:type="dxa"/>
          <w:right w:w="0" w:type="dxa"/>
        </w:tblCellMar>
        <w:tblLook w:val="0000" w:firstRow="0" w:lastRow="0" w:firstColumn="0" w:lastColumn="0" w:noHBand="0" w:noVBand="0"/>
      </w:tblPr>
      <w:tblGrid>
        <w:gridCol w:w="2426"/>
        <w:gridCol w:w="1113"/>
        <w:gridCol w:w="776"/>
        <w:gridCol w:w="1300"/>
        <w:gridCol w:w="1336"/>
        <w:gridCol w:w="982"/>
        <w:gridCol w:w="1423"/>
      </w:tblGrid>
      <w:tr w:rsidR="00083CA4" w:rsidRPr="002A7673" w14:paraId="4B011B7B" w14:textId="77777777" w:rsidTr="00A26EFE">
        <w:trPr>
          <w:trHeight w:val="859"/>
          <w:jc w:val="center"/>
        </w:trPr>
        <w:tc>
          <w:tcPr>
            <w:tcW w:w="2426"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0D8A8D0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Despacho</w:t>
            </w:r>
          </w:p>
        </w:tc>
        <w:tc>
          <w:tcPr>
            <w:tcW w:w="1113"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1750B40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Cantidad</w:t>
            </w:r>
          </w:p>
        </w:tc>
        <w:tc>
          <w:tcPr>
            <w:tcW w:w="776"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0E169D9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Tipo de plaza</w:t>
            </w:r>
          </w:p>
        </w:tc>
        <w:tc>
          <w:tcPr>
            <w:tcW w:w="1300"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14A8CD8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Condición actual</w:t>
            </w:r>
          </w:p>
        </w:tc>
        <w:tc>
          <w:tcPr>
            <w:tcW w:w="1336"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2AE075F4"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Recomendación</w:t>
            </w:r>
          </w:p>
        </w:tc>
        <w:tc>
          <w:tcPr>
            <w:tcW w:w="982"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0019CBF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Período</w:t>
            </w:r>
          </w:p>
        </w:tc>
        <w:tc>
          <w:tcPr>
            <w:tcW w:w="1423"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78B175C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Costo estimado</w:t>
            </w:r>
          </w:p>
        </w:tc>
      </w:tr>
      <w:tr w:rsidR="00083CA4" w:rsidRPr="002A7673" w14:paraId="4592B31F" w14:textId="77777777" w:rsidTr="00A26EFE">
        <w:trPr>
          <w:trHeight w:val="575"/>
          <w:jc w:val="center"/>
        </w:trPr>
        <w:tc>
          <w:tcPr>
            <w:tcW w:w="242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488156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Centro de Apoyo, Coordinación y Mejoramiento de la Función Jurisdiccional</w:t>
            </w:r>
          </w:p>
        </w:tc>
        <w:tc>
          <w:tcPr>
            <w:tcW w:w="111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3AAC4F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w:t>
            </w:r>
          </w:p>
        </w:tc>
        <w:tc>
          <w:tcPr>
            <w:tcW w:w="77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9535E2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Jueza o Juez 5</w:t>
            </w:r>
          </w:p>
        </w:tc>
        <w:tc>
          <w:tcPr>
            <w:tcW w:w="130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E4F9B9E"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33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F11BEB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98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6CE1C7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2022</w:t>
            </w:r>
          </w:p>
        </w:tc>
        <w:tc>
          <w:tcPr>
            <w:tcW w:w="142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C25EA1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66.125.000,00</w:t>
            </w:r>
          </w:p>
        </w:tc>
      </w:tr>
    </w:tbl>
    <w:p w14:paraId="27EE97A3" w14:textId="77777777" w:rsidR="00083CA4" w:rsidRPr="002A7673" w:rsidRDefault="00083CA4" w:rsidP="005F7139">
      <w:pPr>
        <w:spacing w:after="0" w:line="240" w:lineRule="auto"/>
        <w:rPr>
          <w:rFonts w:ascii="Times New Roman" w:eastAsia="Calibri" w:hAnsi="Times New Roman" w:cs="Times New Roman"/>
          <w:i/>
          <w:iCs/>
        </w:rPr>
      </w:pPr>
    </w:p>
    <w:p w14:paraId="073C06D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Para este caso no sería requerido equipo y mobiliario para la plaza, el cual fue otorgado en períodos presupuestarios anteriores.</w:t>
      </w:r>
    </w:p>
    <w:p w14:paraId="24DFD3B4"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9C9798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Escenario 3</w:t>
      </w:r>
    </w:p>
    <w:p w14:paraId="01491C46"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CCE5B2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En vista de que los recursos existentes en la institución son limitados y existen otras necesidades que se deben atender, se plantea la posibilidad </w:t>
      </w:r>
      <w:r w:rsidRPr="002A7673">
        <w:rPr>
          <w:rFonts w:ascii="Times New Roman" w:eastAsia="Calibri" w:hAnsi="Times New Roman" w:cs="Times New Roman"/>
          <w:i/>
          <w:iCs/>
          <w:sz w:val="26"/>
          <w:szCs w:val="26"/>
        </w:rPr>
        <w:lastRenderedPageBreak/>
        <w:t>de maximizar el uso de este, destinándolo a apoyar otras materias que no tienen gestoría, especialmente en materias que ve la Sala Primera como Contencioso Administrativo y Agrario, y en caso de ser necesario y posible se brinde apoyo a la gestoría de la materia Civil o cualquier otra materia que lo requiera.</w:t>
      </w:r>
    </w:p>
    <w:p w14:paraId="438CE4E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0F374F29"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Con este escenario se busca el máximo aprovechamiento del recurso, al ejercer la gestoría en otras jurisprudencias y con ello generar una mejora continua en los despachos que atienda. </w:t>
      </w:r>
    </w:p>
    <w:p w14:paraId="57E4A36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95E43AB"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En caso de aprobarse el presente escenario, se debe tomar en consideración el costo asociado a la plaza de Jueza o Juez 5:</w:t>
      </w:r>
    </w:p>
    <w:p w14:paraId="3056E45E" w14:textId="77777777" w:rsidR="00083CA4" w:rsidRPr="002A7673" w:rsidRDefault="00083CA4" w:rsidP="005F7139">
      <w:pPr>
        <w:spacing w:after="0" w:line="240" w:lineRule="auto"/>
        <w:rPr>
          <w:rFonts w:ascii="Times New Roman" w:eastAsia="Calibri" w:hAnsi="Times New Roman" w:cs="Times New Roman"/>
          <w:i/>
          <w:iCs/>
        </w:rPr>
      </w:pPr>
    </w:p>
    <w:tbl>
      <w:tblPr>
        <w:tblW w:w="9423" w:type="dxa"/>
        <w:tblInd w:w="75" w:type="dxa"/>
        <w:tblLayout w:type="fixed"/>
        <w:tblCellMar>
          <w:left w:w="0" w:type="dxa"/>
          <w:right w:w="0" w:type="dxa"/>
        </w:tblCellMar>
        <w:tblLook w:val="0000" w:firstRow="0" w:lastRow="0" w:firstColumn="0" w:lastColumn="0" w:noHBand="0" w:noVBand="0"/>
      </w:tblPr>
      <w:tblGrid>
        <w:gridCol w:w="2426"/>
        <w:gridCol w:w="1180"/>
        <w:gridCol w:w="776"/>
        <w:gridCol w:w="1300"/>
        <w:gridCol w:w="1336"/>
        <w:gridCol w:w="982"/>
        <w:gridCol w:w="1423"/>
      </w:tblGrid>
      <w:tr w:rsidR="00083CA4" w:rsidRPr="002A7673" w14:paraId="4095969F" w14:textId="77777777" w:rsidTr="00A26EFE">
        <w:trPr>
          <w:trHeight w:val="859"/>
        </w:trPr>
        <w:tc>
          <w:tcPr>
            <w:tcW w:w="2426"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1083BDB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Despacho</w:t>
            </w:r>
          </w:p>
        </w:tc>
        <w:tc>
          <w:tcPr>
            <w:tcW w:w="1180"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29111D7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Cantidad</w:t>
            </w:r>
          </w:p>
        </w:tc>
        <w:tc>
          <w:tcPr>
            <w:tcW w:w="776"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10A378B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Tipo de plaza</w:t>
            </w:r>
          </w:p>
        </w:tc>
        <w:tc>
          <w:tcPr>
            <w:tcW w:w="1300"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6A5A6682"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Condición actual</w:t>
            </w:r>
          </w:p>
        </w:tc>
        <w:tc>
          <w:tcPr>
            <w:tcW w:w="1336"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291B7041"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Recomendación</w:t>
            </w:r>
          </w:p>
        </w:tc>
        <w:tc>
          <w:tcPr>
            <w:tcW w:w="982"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1CAE3E1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Período</w:t>
            </w:r>
          </w:p>
        </w:tc>
        <w:tc>
          <w:tcPr>
            <w:tcW w:w="1423" w:type="dxa"/>
            <w:tcBorders>
              <w:top w:val="single" w:sz="4" w:space="0" w:color="000000"/>
              <w:left w:val="single" w:sz="4" w:space="0" w:color="000000"/>
              <w:bottom w:val="single" w:sz="4" w:space="0" w:color="000000"/>
              <w:right w:val="single" w:sz="4" w:space="0" w:color="000000"/>
            </w:tcBorders>
            <w:shd w:val="clear" w:color="auto" w:fill="E6E6E6"/>
            <w:tcMar>
              <w:top w:w="0" w:type="dxa"/>
              <w:left w:w="70" w:type="dxa"/>
              <w:bottom w:w="0" w:type="dxa"/>
              <w:right w:w="70" w:type="dxa"/>
            </w:tcMar>
            <w:vAlign w:val="center"/>
          </w:tcPr>
          <w:p w14:paraId="6390AEF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Costo estimado</w:t>
            </w:r>
          </w:p>
        </w:tc>
      </w:tr>
      <w:tr w:rsidR="00083CA4" w:rsidRPr="002A7673" w14:paraId="4960172A" w14:textId="77777777" w:rsidTr="00A26EFE">
        <w:trPr>
          <w:trHeight w:val="575"/>
        </w:trPr>
        <w:tc>
          <w:tcPr>
            <w:tcW w:w="242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45C0178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Centro de Apoyo, Coordinación y Mejoramiento de la Función Jurisdiccional</w:t>
            </w:r>
          </w:p>
        </w:tc>
        <w:tc>
          <w:tcPr>
            <w:tcW w:w="118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553274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1</w:t>
            </w:r>
          </w:p>
        </w:tc>
        <w:tc>
          <w:tcPr>
            <w:tcW w:w="77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1216A01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Jueza o Juez 5</w:t>
            </w:r>
          </w:p>
        </w:tc>
        <w:tc>
          <w:tcPr>
            <w:tcW w:w="130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09086F5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1336"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3A4466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Extraordinaria</w:t>
            </w:r>
          </w:p>
        </w:tc>
        <w:tc>
          <w:tcPr>
            <w:tcW w:w="982"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702DC98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2022</w:t>
            </w:r>
          </w:p>
        </w:tc>
        <w:tc>
          <w:tcPr>
            <w:tcW w:w="1423"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tcPr>
          <w:p w14:paraId="27999118"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66.125.000,00</w:t>
            </w:r>
          </w:p>
        </w:tc>
      </w:tr>
    </w:tbl>
    <w:p w14:paraId="0665911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Para este caso no sería requerido equipo y mobiliario para la plaza, el cual fue otorgado en períodos presupuestarios anteriores.</w:t>
      </w:r>
    </w:p>
    <w:p w14:paraId="017C936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232F7AAF"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5.6 Otros requerimientos (equipo, alquiler, espacio, vehículos, etc.)</w:t>
      </w:r>
    </w:p>
    <w:p w14:paraId="6F82621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7FAF65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Estas plazas vienen funcionando desde periodos anteriores, por lo que cuentan con los requerimientos necesarios para su funcionamiento.</w:t>
      </w:r>
    </w:p>
    <w:p w14:paraId="71CA781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7F6E2BF9"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VI Anexos</w:t>
      </w:r>
    </w:p>
    <w:p w14:paraId="4099E804" w14:textId="77777777" w:rsidR="00083CA4" w:rsidRPr="002A7673" w:rsidRDefault="00083CA4" w:rsidP="005F7139">
      <w:pPr>
        <w:spacing w:after="0" w:line="240" w:lineRule="auto"/>
        <w:rPr>
          <w:rFonts w:ascii="Times New Roman" w:eastAsia="Calibri" w:hAnsi="Times New Roman" w:cs="Times New Roman"/>
          <w:i/>
          <w:iCs/>
        </w:rPr>
      </w:pPr>
    </w:p>
    <w:tbl>
      <w:tblPr>
        <w:tblW w:w="0" w:type="auto"/>
        <w:tblInd w:w="113" w:type="dxa"/>
        <w:tblLayout w:type="fixed"/>
        <w:tblCellMar>
          <w:left w:w="0" w:type="dxa"/>
          <w:right w:w="0" w:type="dxa"/>
        </w:tblCellMar>
        <w:tblLook w:val="0000" w:firstRow="0" w:lastRow="0" w:firstColumn="0" w:lastColumn="0" w:noHBand="0" w:noVBand="0"/>
      </w:tblPr>
      <w:tblGrid>
        <w:gridCol w:w="2883"/>
        <w:gridCol w:w="2931"/>
        <w:gridCol w:w="3014"/>
      </w:tblGrid>
      <w:tr w:rsidR="00083CA4" w:rsidRPr="002A7673" w14:paraId="4E44773C" w14:textId="77777777" w:rsidTr="005F7139">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6C55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Anexo</w:t>
            </w:r>
          </w:p>
        </w:tc>
        <w:tc>
          <w:tcPr>
            <w:tcW w:w="2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AD2C9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Descripción</w:t>
            </w:r>
          </w:p>
        </w:tc>
        <w:tc>
          <w:tcPr>
            <w:tcW w:w="3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4671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Documentos Adjuntos</w:t>
            </w:r>
          </w:p>
        </w:tc>
      </w:tr>
      <w:tr w:rsidR="00083CA4" w:rsidRPr="002A7673" w14:paraId="5676D3BC" w14:textId="77777777" w:rsidTr="005F7139">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F1F8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6.1 Bitácora de Actividades</w:t>
            </w:r>
          </w:p>
        </w:tc>
        <w:tc>
          <w:tcPr>
            <w:tcW w:w="2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932A4" w14:textId="77777777" w:rsidR="00083CA4" w:rsidRPr="002A7673" w:rsidRDefault="00083CA4" w:rsidP="005F7139">
            <w:pPr>
              <w:spacing w:after="0" w:line="240" w:lineRule="auto"/>
              <w:rPr>
                <w:rFonts w:ascii="Times New Roman" w:eastAsia="Calibri" w:hAnsi="Times New Roman" w:cs="Times New Roman"/>
                <w:i/>
                <w:iCs/>
                <w:sz w:val="26"/>
                <w:szCs w:val="26"/>
              </w:rPr>
            </w:pPr>
            <w:bookmarkStart w:id="8" w:name="_MON_1676115360"/>
            <w:bookmarkEnd w:id="8"/>
            <w:r w:rsidRPr="002A7673">
              <w:rPr>
                <w:rFonts w:ascii="Times New Roman" w:eastAsia="Calibri" w:hAnsi="Times New Roman" w:cs="Times New Roman"/>
                <w:i/>
                <w:iCs/>
                <w:sz w:val="26"/>
                <w:szCs w:val="26"/>
              </w:rPr>
              <w:t>Bitácora Actividades Gestores 2019</w:t>
            </w:r>
          </w:p>
        </w:tc>
        <w:tc>
          <w:tcPr>
            <w:tcW w:w="3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68AB0C" w14:textId="77777777" w:rsidR="00083CA4" w:rsidRPr="002A7673" w:rsidRDefault="00083CA4" w:rsidP="005F7139">
            <w:pPr>
              <w:spacing w:after="0" w:line="240" w:lineRule="auto"/>
              <w:rPr>
                <w:rFonts w:ascii="Times New Roman" w:eastAsia="Calibri" w:hAnsi="Times New Roman" w:cs="Times New Roman"/>
                <w:i/>
                <w:iCs/>
                <w:sz w:val="26"/>
                <w:szCs w:val="26"/>
              </w:rPr>
            </w:pPr>
          </w:p>
        </w:tc>
      </w:tr>
      <w:tr w:rsidR="00083CA4" w:rsidRPr="002A7673" w14:paraId="01EB8471" w14:textId="77777777" w:rsidTr="005F7139">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5AE30"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6.2. Cronograma de trabajo gestores de materia civil 2020 y 2021</w:t>
            </w:r>
          </w:p>
          <w:p w14:paraId="1A182794" w14:textId="77777777" w:rsidR="00083CA4" w:rsidRPr="002A7673" w:rsidRDefault="00083CA4" w:rsidP="005F7139">
            <w:pPr>
              <w:spacing w:after="0" w:line="240" w:lineRule="auto"/>
              <w:rPr>
                <w:rFonts w:ascii="Times New Roman" w:eastAsia="Calibri" w:hAnsi="Times New Roman" w:cs="Times New Roman"/>
                <w:i/>
                <w:iCs/>
                <w:sz w:val="26"/>
                <w:szCs w:val="26"/>
              </w:rPr>
            </w:pPr>
          </w:p>
        </w:tc>
        <w:tc>
          <w:tcPr>
            <w:tcW w:w="2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31ED3" w14:textId="77777777" w:rsidR="00083CA4" w:rsidRPr="002A7673" w:rsidRDefault="00083CA4" w:rsidP="005F7139">
            <w:pPr>
              <w:spacing w:after="0" w:line="240" w:lineRule="auto"/>
              <w:rPr>
                <w:rFonts w:ascii="Times New Roman" w:eastAsia="Calibri" w:hAnsi="Times New Roman" w:cs="Times New Roman"/>
                <w:i/>
                <w:iCs/>
                <w:sz w:val="26"/>
                <w:szCs w:val="26"/>
              </w:rPr>
            </w:pPr>
            <w:bookmarkStart w:id="9" w:name="_MON_1675142206"/>
            <w:bookmarkEnd w:id="9"/>
            <w:r w:rsidRPr="002A7673">
              <w:rPr>
                <w:rFonts w:ascii="Times New Roman" w:eastAsia="Calibri" w:hAnsi="Times New Roman" w:cs="Times New Roman"/>
                <w:i/>
                <w:iCs/>
                <w:sz w:val="26"/>
                <w:szCs w:val="26"/>
              </w:rPr>
              <w:t>Cronograma presentado en el 2020.</w:t>
            </w:r>
          </w:p>
        </w:tc>
        <w:tc>
          <w:tcPr>
            <w:tcW w:w="3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B25820" w14:textId="77777777" w:rsidR="00083CA4" w:rsidRPr="002A7673" w:rsidRDefault="00083CA4" w:rsidP="005F7139">
            <w:pPr>
              <w:spacing w:after="0" w:line="240" w:lineRule="auto"/>
              <w:rPr>
                <w:rFonts w:ascii="Times New Roman" w:eastAsia="Calibri" w:hAnsi="Times New Roman" w:cs="Times New Roman"/>
                <w:i/>
                <w:iCs/>
                <w:sz w:val="26"/>
                <w:szCs w:val="26"/>
              </w:rPr>
            </w:pPr>
            <w:bookmarkStart w:id="10" w:name="_MON_1676115376"/>
            <w:bookmarkEnd w:id="10"/>
          </w:p>
        </w:tc>
      </w:tr>
      <w:tr w:rsidR="00083CA4" w:rsidRPr="002A7673" w14:paraId="6E0438E6" w14:textId="77777777" w:rsidTr="005F7139">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49B19"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lastRenderedPageBreak/>
              <w:t>6.3. Oficio 064-CACMFJ-JEF-2021</w:t>
            </w:r>
          </w:p>
        </w:tc>
        <w:tc>
          <w:tcPr>
            <w:tcW w:w="2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EE2D4" w14:textId="77777777" w:rsidR="00083CA4" w:rsidRPr="002A7673" w:rsidRDefault="00083CA4" w:rsidP="005F7139">
            <w:pPr>
              <w:spacing w:after="0" w:line="240" w:lineRule="auto"/>
              <w:rPr>
                <w:rFonts w:ascii="Times New Roman" w:eastAsia="Calibri" w:hAnsi="Times New Roman" w:cs="Times New Roman"/>
                <w:i/>
                <w:iCs/>
                <w:sz w:val="26"/>
                <w:szCs w:val="26"/>
              </w:rPr>
            </w:pPr>
            <w:bookmarkStart w:id="11" w:name="_MON_1675062982"/>
            <w:bookmarkEnd w:id="11"/>
            <w:r w:rsidRPr="002A7673">
              <w:rPr>
                <w:rFonts w:ascii="Times New Roman" w:eastAsia="Calibri" w:hAnsi="Times New Roman" w:cs="Times New Roman"/>
                <w:i/>
                <w:iCs/>
                <w:sz w:val="26"/>
                <w:szCs w:val="26"/>
              </w:rPr>
              <w:t>Oficio 064-CACMFJ-JEF-2021-Justificación plazas extraordinarias Jurisdicción Civil</w:t>
            </w:r>
          </w:p>
        </w:tc>
        <w:tc>
          <w:tcPr>
            <w:tcW w:w="3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50BA35" w14:textId="77777777" w:rsidR="00083CA4" w:rsidRPr="002A7673" w:rsidRDefault="00083CA4" w:rsidP="005F7139">
            <w:pPr>
              <w:spacing w:after="0" w:line="240" w:lineRule="auto"/>
              <w:rPr>
                <w:rFonts w:ascii="Times New Roman" w:eastAsia="Calibri" w:hAnsi="Times New Roman" w:cs="Times New Roman"/>
                <w:i/>
                <w:iCs/>
                <w:sz w:val="26"/>
                <w:szCs w:val="26"/>
              </w:rPr>
            </w:pPr>
          </w:p>
        </w:tc>
      </w:tr>
      <w:tr w:rsidR="00083CA4" w:rsidRPr="002A7673" w14:paraId="5F539C80" w14:textId="77777777" w:rsidTr="005F7139">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7D1DC"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6.4 Cronograma de trabajo gestores materia Civil 2021</w:t>
            </w:r>
          </w:p>
        </w:tc>
        <w:tc>
          <w:tcPr>
            <w:tcW w:w="2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AAA88" w14:textId="77777777" w:rsidR="00083CA4" w:rsidRPr="002A7673" w:rsidRDefault="00083CA4" w:rsidP="005F7139">
            <w:pPr>
              <w:spacing w:after="0" w:line="240" w:lineRule="auto"/>
              <w:rPr>
                <w:rFonts w:ascii="Times New Roman" w:eastAsia="Calibri" w:hAnsi="Times New Roman" w:cs="Times New Roman"/>
                <w:i/>
                <w:iCs/>
                <w:sz w:val="26"/>
                <w:szCs w:val="26"/>
              </w:rPr>
            </w:pPr>
            <w:bookmarkStart w:id="12" w:name="_MON_1676115392"/>
            <w:bookmarkEnd w:id="12"/>
            <w:r w:rsidRPr="002A7673">
              <w:rPr>
                <w:rFonts w:ascii="Times New Roman" w:eastAsia="Calibri" w:hAnsi="Times New Roman" w:cs="Times New Roman"/>
                <w:i/>
                <w:iCs/>
                <w:sz w:val="26"/>
                <w:szCs w:val="26"/>
              </w:rPr>
              <w:t>Cronograma presentado en el oficio 064-CACMFJ-JEF-2021</w:t>
            </w:r>
          </w:p>
        </w:tc>
        <w:tc>
          <w:tcPr>
            <w:tcW w:w="3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3CF36F" w14:textId="77777777" w:rsidR="00083CA4" w:rsidRPr="002A7673" w:rsidRDefault="00083CA4" w:rsidP="005F7139">
            <w:pPr>
              <w:spacing w:after="0" w:line="240" w:lineRule="auto"/>
              <w:rPr>
                <w:rFonts w:ascii="Times New Roman" w:eastAsia="Calibri" w:hAnsi="Times New Roman" w:cs="Times New Roman"/>
                <w:i/>
                <w:iCs/>
                <w:sz w:val="26"/>
                <w:szCs w:val="26"/>
              </w:rPr>
            </w:pPr>
          </w:p>
        </w:tc>
      </w:tr>
      <w:tr w:rsidR="00083CA4" w:rsidRPr="002A7673" w14:paraId="354A6F96" w14:textId="77777777" w:rsidTr="005F7139">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7B6AA"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6.5 Cronograma de trabajo gestores materia civil 2022</w:t>
            </w:r>
          </w:p>
        </w:tc>
        <w:tc>
          <w:tcPr>
            <w:tcW w:w="2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75B45" w14:textId="77777777" w:rsidR="00083CA4" w:rsidRPr="002A7673" w:rsidRDefault="00083CA4" w:rsidP="005F7139">
            <w:pPr>
              <w:spacing w:after="0" w:line="240" w:lineRule="auto"/>
              <w:rPr>
                <w:rFonts w:ascii="Times New Roman" w:eastAsia="Calibri" w:hAnsi="Times New Roman" w:cs="Times New Roman"/>
                <w:i/>
                <w:iCs/>
                <w:sz w:val="26"/>
                <w:szCs w:val="26"/>
              </w:rPr>
            </w:pPr>
            <w:bookmarkStart w:id="13" w:name="_MON_1675679808"/>
            <w:bookmarkEnd w:id="13"/>
            <w:r w:rsidRPr="002A7673">
              <w:rPr>
                <w:rFonts w:ascii="Times New Roman" w:eastAsia="Calibri" w:hAnsi="Times New Roman" w:cs="Times New Roman"/>
                <w:i/>
                <w:iCs/>
                <w:sz w:val="26"/>
                <w:szCs w:val="26"/>
              </w:rPr>
              <w:t>Cronograma presentado en el oficio 064-CACMFJ-JEF-2021</w:t>
            </w:r>
          </w:p>
        </w:tc>
        <w:tc>
          <w:tcPr>
            <w:tcW w:w="3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1532CB" w14:textId="77777777" w:rsidR="00083CA4" w:rsidRPr="002A7673" w:rsidRDefault="00083CA4" w:rsidP="005F7139">
            <w:pPr>
              <w:spacing w:after="0" w:line="240" w:lineRule="auto"/>
              <w:rPr>
                <w:rFonts w:ascii="Times New Roman" w:eastAsia="Calibri" w:hAnsi="Times New Roman" w:cs="Times New Roman"/>
                <w:i/>
                <w:iCs/>
                <w:sz w:val="26"/>
                <w:szCs w:val="26"/>
              </w:rPr>
            </w:pPr>
          </w:p>
        </w:tc>
      </w:tr>
      <w:tr w:rsidR="00083CA4" w:rsidRPr="002A7673" w14:paraId="62BEC228" w14:textId="77777777" w:rsidTr="005F7139">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A79F2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6.6 Plan de Trabajo Ejecutado plaza DTI</w:t>
            </w:r>
          </w:p>
        </w:tc>
        <w:tc>
          <w:tcPr>
            <w:tcW w:w="2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91E7A6"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Plan de trabajo ejecutado por plaza en análisis </w:t>
            </w:r>
          </w:p>
        </w:tc>
        <w:tc>
          <w:tcPr>
            <w:tcW w:w="3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709989" w14:textId="77777777" w:rsidR="00083CA4" w:rsidRPr="002A7673" w:rsidRDefault="00083CA4" w:rsidP="005F7139">
            <w:pPr>
              <w:spacing w:after="0" w:line="240" w:lineRule="auto"/>
              <w:rPr>
                <w:rFonts w:ascii="Times New Roman" w:eastAsia="Calibri" w:hAnsi="Times New Roman" w:cs="Times New Roman"/>
                <w:i/>
                <w:iCs/>
                <w:sz w:val="26"/>
                <w:szCs w:val="26"/>
              </w:rPr>
            </w:pPr>
            <w:bookmarkStart w:id="14" w:name="_MON_1676115409"/>
            <w:bookmarkEnd w:id="14"/>
          </w:p>
        </w:tc>
      </w:tr>
      <w:tr w:rsidR="00083CA4" w:rsidRPr="002A7673" w14:paraId="352781C3" w14:textId="77777777" w:rsidTr="005F7139">
        <w:tc>
          <w:tcPr>
            <w:tcW w:w="28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2B6ADF"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6.7 Plan de Trabajo Plaza DTI 2021 y 2022</w:t>
            </w:r>
          </w:p>
        </w:tc>
        <w:tc>
          <w:tcPr>
            <w:tcW w:w="2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FCDE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Plan de trabajo a ejecutar periodos 2021 y 2022</w:t>
            </w:r>
          </w:p>
        </w:tc>
        <w:tc>
          <w:tcPr>
            <w:tcW w:w="30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7A9EB7" w14:textId="77777777" w:rsidR="00083CA4" w:rsidRPr="002A7673" w:rsidRDefault="00083CA4" w:rsidP="005F7139">
            <w:pPr>
              <w:spacing w:after="0" w:line="240" w:lineRule="auto"/>
              <w:rPr>
                <w:rFonts w:ascii="Times New Roman" w:eastAsia="Calibri" w:hAnsi="Times New Roman" w:cs="Times New Roman"/>
                <w:i/>
                <w:iCs/>
                <w:sz w:val="26"/>
                <w:szCs w:val="26"/>
              </w:rPr>
            </w:pPr>
            <w:bookmarkStart w:id="15" w:name="_MON_1676115421"/>
            <w:bookmarkEnd w:id="15"/>
          </w:p>
        </w:tc>
      </w:tr>
    </w:tbl>
    <w:p w14:paraId="47A9E0EC" w14:textId="77777777" w:rsidR="00083CA4" w:rsidRPr="002A7673" w:rsidRDefault="00083CA4" w:rsidP="005F7139">
      <w:pPr>
        <w:spacing w:after="0" w:line="240" w:lineRule="auto"/>
        <w:rPr>
          <w:rFonts w:ascii="Times New Roman" w:eastAsia="Calibri" w:hAnsi="Times New Roman" w:cs="Times New Roman"/>
          <w:i/>
          <w:iCs/>
        </w:rPr>
      </w:pPr>
    </w:p>
    <w:tbl>
      <w:tblPr>
        <w:tblW w:w="0" w:type="auto"/>
        <w:tblInd w:w="113" w:type="dxa"/>
        <w:tblLayout w:type="fixed"/>
        <w:tblCellMar>
          <w:left w:w="0" w:type="dxa"/>
          <w:right w:w="0" w:type="dxa"/>
        </w:tblCellMar>
        <w:tblLook w:val="0000" w:firstRow="0" w:lastRow="0" w:firstColumn="0" w:lastColumn="0" w:noHBand="0" w:noVBand="0"/>
      </w:tblPr>
      <w:tblGrid>
        <w:gridCol w:w="1838"/>
        <w:gridCol w:w="7038"/>
      </w:tblGrid>
      <w:tr w:rsidR="00083CA4" w:rsidRPr="002A7673" w14:paraId="68E01E7C" w14:textId="77777777" w:rsidTr="005F7139">
        <w:trPr>
          <w:trHeight w:val="339"/>
        </w:trPr>
        <w:tc>
          <w:tcPr>
            <w:tcW w:w="1838" w:type="dxa"/>
            <w:tcBorders>
              <w:top w:val="single" w:sz="4" w:space="0" w:color="000000"/>
              <w:left w:val="single" w:sz="4" w:space="0" w:color="000000"/>
              <w:bottom w:val="single" w:sz="4" w:space="0" w:color="000000"/>
              <w:right w:val="single" w:sz="4" w:space="0" w:color="000000"/>
            </w:tcBorders>
            <w:shd w:val="clear" w:color="auto" w:fill="B3B3B3"/>
            <w:tcMar>
              <w:top w:w="0" w:type="dxa"/>
              <w:left w:w="108" w:type="dxa"/>
              <w:bottom w:w="0" w:type="dxa"/>
              <w:right w:w="108" w:type="dxa"/>
            </w:tcMar>
          </w:tcPr>
          <w:p w14:paraId="5B26885D"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Realizado por:</w:t>
            </w:r>
          </w:p>
        </w:tc>
        <w:tc>
          <w:tcPr>
            <w:tcW w:w="70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4A2E53"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Ing. Erick Manuel Sánchez Duarte, Profesional 2</w:t>
            </w:r>
          </w:p>
        </w:tc>
      </w:tr>
      <w:tr w:rsidR="00083CA4" w:rsidRPr="002A7673" w14:paraId="63C60204" w14:textId="77777777" w:rsidTr="005F7139">
        <w:trPr>
          <w:trHeight w:val="339"/>
        </w:trPr>
        <w:tc>
          <w:tcPr>
            <w:tcW w:w="1838" w:type="dxa"/>
            <w:tcBorders>
              <w:top w:val="single" w:sz="4" w:space="0" w:color="000000"/>
              <w:left w:val="single" w:sz="4" w:space="0" w:color="000000"/>
              <w:bottom w:val="single" w:sz="4" w:space="0" w:color="000000"/>
              <w:right w:val="single" w:sz="4" w:space="0" w:color="000000"/>
            </w:tcBorders>
            <w:shd w:val="clear" w:color="auto" w:fill="B3B3B3"/>
            <w:tcMar>
              <w:top w:w="0" w:type="dxa"/>
              <w:left w:w="108" w:type="dxa"/>
              <w:bottom w:w="0" w:type="dxa"/>
              <w:right w:w="108" w:type="dxa"/>
            </w:tcMar>
          </w:tcPr>
          <w:p w14:paraId="78FE707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Aprobado por:</w:t>
            </w:r>
          </w:p>
        </w:tc>
        <w:tc>
          <w:tcPr>
            <w:tcW w:w="70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2D2A8B"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Lic. </w:t>
            </w:r>
            <w:proofErr w:type="spellStart"/>
            <w:r w:rsidRPr="002A7673">
              <w:rPr>
                <w:rFonts w:ascii="Times New Roman" w:eastAsia="Calibri" w:hAnsi="Times New Roman" w:cs="Times New Roman"/>
                <w:i/>
                <w:iCs/>
                <w:sz w:val="26"/>
                <w:szCs w:val="26"/>
              </w:rPr>
              <w:t>Ginethe</w:t>
            </w:r>
            <w:proofErr w:type="spellEnd"/>
            <w:r w:rsidRPr="002A7673">
              <w:rPr>
                <w:rFonts w:ascii="Times New Roman" w:eastAsia="Calibri" w:hAnsi="Times New Roman" w:cs="Times New Roman"/>
                <w:i/>
                <w:iCs/>
                <w:sz w:val="26"/>
                <w:szCs w:val="26"/>
              </w:rPr>
              <w:t xml:space="preserve"> Retana Ureña, Jefe del Subproceso de Organización Institucional.</w:t>
            </w:r>
          </w:p>
        </w:tc>
      </w:tr>
      <w:tr w:rsidR="00083CA4" w:rsidRPr="002A7673" w14:paraId="160A0D23" w14:textId="77777777" w:rsidTr="005F7139">
        <w:trPr>
          <w:trHeight w:val="324"/>
        </w:trPr>
        <w:tc>
          <w:tcPr>
            <w:tcW w:w="1838" w:type="dxa"/>
            <w:tcBorders>
              <w:top w:val="single" w:sz="4" w:space="0" w:color="000000"/>
              <w:left w:val="single" w:sz="4" w:space="0" w:color="000000"/>
              <w:bottom w:val="single" w:sz="4" w:space="0" w:color="000000"/>
              <w:right w:val="single" w:sz="4" w:space="0" w:color="000000"/>
            </w:tcBorders>
            <w:shd w:val="clear" w:color="auto" w:fill="B3B3B3"/>
            <w:tcMar>
              <w:top w:w="0" w:type="dxa"/>
              <w:left w:w="108" w:type="dxa"/>
              <w:bottom w:w="0" w:type="dxa"/>
              <w:right w:w="108" w:type="dxa"/>
            </w:tcMar>
          </w:tcPr>
          <w:p w14:paraId="3E484665"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Visto bueno:</w:t>
            </w:r>
          </w:p>
        </w:tc>
        <w:tc>
          <w:tcPr>
            <w:tcW w:w="70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C15C97" w14:textId="77777777" w:rsidR="00083CA4" w:rsidRPr="002A7673" w:rsidRDefault="00083CA4" w:rsidP="005F7139">
            <w:pPr>
              <w:spacing w:after="0" w:line="240" w:lineRule="auto"/>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Licda. Nacira Valverde Bermúdez, Directora </w:t>
            </w:r>
            <w:proofErr w:type="spellStart"/>
            <w:r w:rsidRPr="002A7673">
              <w:rPr>
                <w:rFonts w:ascii="Times New Roman" w:eastAsia="Calibri" w:hAnsi="Times New Roman" w:cs="Times New Roman"/>
                <w:i/>
                <w:iCs/>
                <w:sz w:val="26"/>
                <w:szCs w:val="26"/>
              </w:rPr>
              <w:t>a.i.</w:t>
            </w:r>
            <w:proofErr w:type="spellEnd"/>
            <w:r w:rsidRPr="002A7673">
              <w:rPr>
                <w:rFonts w:ascii="Times New Roman" w:eastAsia="Calibri" w:hAnsi="Times New Roman" w:cs="Times New Roman"/>
                <w:i/>
                <w:iCs/>
                <w:sz w:val="26"/>
                <w:szCs w:val="26"/>
              </w:rPr>
              <w:t xml:space="preserve"> de Planificación</w:t>
            </w:r>
          </w:p>
        </w:tc>
      </w:tr>
    </w:tbl>
    <w:p w14:paraId="1AA6A9FF" w14:textId="77777777" w:rsidR="00083CA4" w:rsidRPr="002A7673" w:rsidRDefault="00083CA4" w:rsidP="005F7139">
      <w:pPr>
        <w:spacing w:after="0" w:line="240" w:lineRule="auto"/>
        <w:rPr>
          <w:rFonts w:ascii="Times New Roman" w:eastAsia="Calibri" w:hAnsi="Times New Roman" w:cs="Times New Roman"/>
          <w:i/>
          <w:iCs/>
        </w:rPr>
      </w:pPr>
    </w:p>
    <w:p w14:paraId="06D44A8C"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rPr>
        <w:t xml:space="preserve">En la reunión de trabajo del pasado 5 de marzo, se discutió que en vista de que los recursos </w:t>
      </w:r>
      <w:r w:rsidRPr="002A7673">
        <w:rPr>
          <w:rFonts w:ascii="Times New Roman" w:eastAsia="Calibri" w:hAnsi="Times New Roman" w:cs="Times New Roman"/>
          <w:i/>
          <w:iCs/>
          <w:sz w:val="26"/>
          <w:szCs w:val="26"/>
        </w:rPr>
        <w:t xml:space="preserve">existentes en la institución son limitados y existen otras necesidades que se deben atender en materia de gestoría, se plantea la posibilidad de que el Juez 5 apoye también a otras materias que no tienen gestoría, especialmente en materias que ve la Sala Primera como Contencioso Administrativo y Agrario, y en caso de ser necesario y posible, que brinde apoyo a la gestoría de la materia Civil o cualquier otra materia que lo requiera. </w:t>
      </w:r>
    </w:p>
    <w:p w14:paraId="193C8519"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41CAD850"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Deberá la Dirección de Planificación dar prioridad a emitir el informe solicitado por este Consejo Superior, en relación con las labores a realizar por los distintos gestores. </w:t>
      </w:r>
    </w:p>
    <w:p w14:paraId="1DD952CD"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54A3EDE" w14:textId="77777777" w:rsidR="00083CA4" w:rsidRPr="002A7673" w:rsidRDefault="00083CA4" w:rsidP="00A26EFE">
      <w:pPr>
        <w:spacing w:after="0" w:line="240" w:lineRule="auto"/>
        <w:ind w:left="851" w:right="851"/>
        <w:jc w:val="center"/>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-0-</w:t>
      </w:r>
    </w:p>
    <w:p w14:paraId="7C5A8D8E"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38F588A8"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Se acordó: 1) Se aprueba el escenario número 3 que dice: En vista de que los recursos existentes en la institución son limitados y existen otras necesidades que se deben atender, se plantea la posibilidad de maximizar el </w:t>
      </w:r>
      <w:r w:rsidRPr="002A7673">
        <w:rPr>
          <w:rFonts w:ascii="Times New Roman" w:eastAsia="Calibri" w:hAnsi="Times New Roman" w:cs="Times New Roman"/>
          <w:i/>
          <w:iCs/>
          <w:sz w:val="26"/>
          <w:szCs w:val="26"/>
        </w:rPr>
        <w:lastRenderedPageBreak/>
        <w:t>uso de este, destinándolo a apoyar otras materias que no tienen gestoría, especialmente en materias que ve la Sala Primera como Contencioso Administrativo y Agrario, y en caso de ser necesario y posible se brinde apoyo a la gestoría de la materia Civil o cualquier otra materia que lo requiera. Con este escenario se busca el máximo aprovechamiento del recurso, al ejercer la gestoría en otras jurisdicciones y con ello generar una mejora continua en los despachos que atienda, contenido en el Informe 248-PLA-RH-OI-2021, estudio de Requerimiento Humano sobre la Continuidad de las plazas otorgadas como resultado de la promulgación del Nuevo Código Procesal Civil, en el entendido que la condición de la plaza será ordinaria. 2) Se estará a la espera del análisis global del presupuesto 2022, para presentar una propuesta que integre todas las necesidades institucionales. Se declara acuerdo firme.”</w:t>
      </w:r>
    </w:p>
    <w:p w14:paraId="3E88697A" w14:textId="77777777" w:rsidR="00A26EFE" w:rsidRPr="002A7673" w:rsidRDefault="00A26EFE" w:rsidP="00A26EFE">
      <w:pPr>
        <w:spacing w:after="0" w:line="240" w:lineRule="auto"/>
        <w:ind w:left="851" w:right="851" w:firstLine="709"/>
        <w:jc w:val="both"/>
        <w:rPr>
          <w:rFonts w:ascii="Times New Roman" w:eastAsia="Calibri" w:hAnsi="Times New Roman" w:cs="Times New Roman"/>
          <w:i/>
          <w:iCs/>
          <w:sz w:val="26"/>
          <w:szCs w:val="26"/>
        </w:rPr>
      </w:pPr>
    </w:p>
    <w:p w14:paraId="12433C00"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Atentamente, </w:t>
      </w:r>
    </w:p>
    <w:p w14:paraId="386174D6"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p>
    <w:p w14:paraId="0DCC0F5C"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Kenneth Aguilar Hernández</w:t>
      </w:r>
    </w:p>
    <w:p w14:paraId="6875F930"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Prosecretario General interino</w:t>
      </w:r>
    </w:p>
    <w:p w14:paraId="10E58C31"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Secretaría General de la Corte</w:t>
      </w:r>
    </w:p>
    <w:p w14:paraId="514000E7"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1F6F743D"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proofErr w:type="spellStart"/>
      <w:r w:rsidRPr="002A7673">
        <w:rPr>
          <w:rFonts w:ascii="Times New Roman" w:eastAsia="Calibri" w:hAnsi="Times New Roman" w:cs="Times New Roman"/>
          <w:i/>
          <w:iCs/>
          <w:sz w:val="26"/>
          <w:szCs w:val="26"/>
        </w:rPr>
        <w:t>Cc</w:t>
      </w:r>
      <w:proofErr w:type="spellEnd"/>
      <w:r w:rsidRPr="002A7673">
        <w:rPr>
          <w:rFonts w:ascii="Times New Roman" w:eastAsia="Calibri" w:hAnsi="Times New Roman" w:cs="Times New Roman"/>
          <w:i/>
          <w:iCs/>
          <w:sz w:val="26"/>
          <w:szCs w:val="26"/>
        </w:rPr>
        <w:t>:</w:t>
      </w:r>
    </w:p>
    <w:p w14:paraId="11CB053B"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Sala Primera </w:t>
      </w:r>
    </w:p>
    <w:p w14:paraId="34945D56"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Comisión de la Jurisdicción Agraria</w:t>
      </w:r>
    </w:p>
    <w:p w14:paraId="3ACD68DC"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Comisión de la Jurisdicción Civil</w:t>
      </w:r>
    </w:p>
    <w:p w14:paraId="753C97BC"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Comisión de la Jurisdicción Contencioso, Administrativa y Civil de Hacienda</w:t>
      </w:r>
    </w:p>
    <w:p w14:paraId="30960301"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Comisión de la Jurisdicción de Familia, Niñez y Adolescencia</w:t>
      </w:r>
    </w:p>
    <w:p w14:paraId="05FE1303"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Comisión de la Jurisdicción Laboral</w:t>
      </w:r>
    </w:p>
    <w:p w14:paraId="7F2BFECD"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proofErr w:type="spellStart"/>
      <w:r w:rsidRPr="002A7673">
        <w:rPr>
          <w:rFonts w:ascii="Times New Roman" w:eastAsia="Calibri" w:hAnsi="Times New Roman" w:cs="Times New Roman"/>
          <w:i/>
          <w:iCs/>
          <w:sz w:val="26"/>
          <w:szCs w:val="26"/>
        </w:rPr>
        <w:t>Comision</w:t>
      </w:r>
      <w:proofErr w:type="spellEnd"/>
      <w:r w:rsidRPr="002A7673">
        <w:rPr>
          <w:rFonts w:ascii="Times New Roman" w:eastAsia="Calibri" w:hAnsi="Times New Roman" w:cs="Times New Roman"/>
          <w:i/>
          <w:iCs/>
          <w:sz w:val="26"/>
          <w:szCs w:val="26"/>
        </w:rPr>
        <w:t xml:space="preserve"> de la Jurisdicción Penal</w:t>
      </w:r>
    </w:p>
    <w:p w14:paraId="55DAFED3"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Dirección de Tecnología de Información </w:t>
      </w:r>
    </w:p>
    <w:p w14:paraId="4D6EC456"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Centro de Apoyo, Coordinación y Mejoramiento de la Función Jurisdiccional</w:t>
      </w:r>
    </w:p>
    <w:p w14:paraId="2D6EEF5C"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Diligencias / </w:t>
      </w:r>
      <w:proofErr w:type="spellStart"/>
      <w:r w:rsidRPr="002A7673">
        <w:rPr>
          <w:rFonts w:ascii="Times New Roman" w:eastAsia="Calibri" w:hAnsi="Times New Roman" w:cs="Times New Roman"/>
          <w:i/>
          <w:iCs/>
          <w:sz w:val="26"/>
          <w:szCs w:val="26"/>
        </w:rPr>
        <w:t>Refs</w:t>
      </w:r>
      <w:proofErr w:type="spellEnd"/>
      <w:r w:rsidRPr="002A7673">
        <w:rPr>
          <w:rFonts w:ascii="Times New Roman" w:eastAsia="Calibri" w:hAnsi="Times New Roman" w:cs="Times New Roman"/>
          <w:i/>
          <w:iCs/>
          <w:sz w:val="26"/>
          <w:szCs w:val="26"/>
        </w:rPr>
        <w:t xml:space="preserve">: (2601-2021) </w:t>
      </w:r>
    </w:p>
    <w:p w14:paraId="13E16747"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Stephanie A.</w:t>
      </w:r>
    </w:p>
    <w:p w14:paraId="4943D3E0"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Luego de deliberar ampliamente, se dispone:</w:t>
      </w:r>
    </w:p>
    <w:p w14:paraId="4A242459"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rPr>
      </w:pPr>
    </w:p>
    <w:p w14:paraId="67933A5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highlight w:val="white"/>
        </w:rPr>
      </w:pPr>
      <w:r w:rsidRPr="002A7673">
        <w:rPr>
          <w:rFonts w:ascii="Times New Roman" w:eastAsia="Calibri" w:hAnsi="Times New Roman" w:cs="Times New Roman"/>
          <w:i/>
          <w:iCs/>
          <w:sz w:val="26"/>
          <w:szCs w:val="26"/>
        </w:rPr>
        <w:t>SE ACUERDA: 1° Se toma nota del Oficio N° 2509-2021 de 17 de marzo de 2021 donde se comunica el acuerdo tomado por el Consejo Superior del Poder Judicial, en sesión extraordinaria N° 21-2021 celebrada el 12 de marzo de 2021, Artículo XX, en el que se aprobó el Escenario N° 3 expuesto por la Dirección de Planificación en el Informe 248-PLA-RH-OI-</w:t>
      </w:r>
      <w:r w:rsidRPr="002A7673">
        <w:rPr>
          <w:rFonts w:ascii="Times New Roman" w:eastAsia="Calibri" w:hAnsi="Times New Roman" w:cs="Times New Roman"/>
          <w:i/>
          <w:iCs/>
          <w:sz w:val="26"/>
          <w:szCs w:val="26"/>
        </w:rPr>
        <w:lastRenderedPageBreak/>
        <w:t>2021 que es un estudio de Requerimiento Humano sobre la Continuidad de las plazas otorgadas como resultado de la promulgación del Nuevo Código Procesal Civil. 2° Recomendar a la Dirección de Planificación y a las y los integrantes del Consejo Superior incorporar en el análisis global del presupuesto 2022, incrementar el apoyo a la Jurisdicción Agraria con ocasión de la implementación del Código Procesal Agraria en planes de descongestionamiento de los despachos que la conforman para propiciar una mejora continua en éstos, en 2021, 2022 que es lo de análisis y para valoración de impacto en 2023. 3° Se declara firme este acuerdo por unanimidad. Comuníquese a la Dirección de Planificación y a la Secretaría General de la Corte con la colaboración de la Gestora Agraria, Rebeca Salazar Alcócer, Coordinadora del Proyecto de Implementación del Código Procesal Agrario.</w:t>
      </w:r>
    </w:p>
    <w:p w14:paraId="16328E9A" w14:textId="77777777" w:rsidR="00083CA4" w:rsidRPr="002A7673" w:rsidRDefault="00083CA4" w:rsidP="00A26EFE">
      <w:pPr>
        <w:spacing w:after="0" w:line="240" w:lineRule="auto"/>
        <w:ind w:left="851" w:right="851" w:firstLine="709"/>
        <w:jc w:val="both"/>
        <w:rPr>
          <w:rFonts w:ascii="Times New Roman" w:eastAsia="Calibri" w:hAnsi="Times New Roman" w:cs="Times New Roman"/>
          <w:i/>
          <w:iCs/>
          <w:sz w:val="26"/>
          <w:szCs w:val="26"/>
          <w:highlight w:val="white"/>
        </w:rPr>
      </w:pPr>
    </w:p>
    <w:p w14:paraId="2C955FBF"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highlight w:val="white"/>
        </w:rPr>
      </w:pPr>
      <w:r w:rsidRPr="002A7673">
        <w:rPr>
          <w:rFonts w:ascii="Times New Roman" w:eastAsia="Calibri" w:hAnsi="Times New Roman" w:cs="Times New Roman"/>
          <w:i/>
          <w:iCs/>
          <w:sz w:val="26"/>
          <w:szCs w:val="26"/>
          <w:highlight w:val="white"/>
        </w:rPr>
        <w:t xml:space="preserve">Cordialmente, </w:t>
      </w:r>
    </w:p>
    <w:p w14:paraId="7986E5E5"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highlight w:val="white"/>
        </w:rPr>
      </w:pPr>
    </w:p>
    <w:p w14:paraId="472E7548"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p>
    <w:p w14:paraId="5C5624FE"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Jueza Rebeca Salazar Alcócer </w:t>
      </w:r>
    </w:p>
    <w:p w14:paraId="6FD61C4E"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Gestora Agraria </w:t>
      </w:r>
    </w:p>
    <w:p w14:paraId="0408DC18"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Coordinadora Proyecto de Implementación Código Procesal Agrario </w:t>
      </w:r>
    </w:p>
    <w:p w14:paraId="62F02CA7"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p>
    <w:p w14:paraId="32EDFBC1"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Copias: </w:t>
      </w:r>
    </w:p>
    <w:p w14:paraId="6EDFE2F8" w14:textId="77777777"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Magistrado Luis Guillermo Rivas </w:t>
      </w:r>
      <w:proofErr w:type="spellStart"/>
      <w:r w:rsidRPr="002A7673">
        <w:rPr>
          <w:rFonts w:ascii="Times New Roman" w:eastAsia="Calibri" w:hAnsi="Times New Roman" w:cs="Times New Roman"/>
          <w:i/>
          <w:iCs/>
          <w:sz w:val="26"/>
          <w:szCs w:val="26"/>
        </w:rPr>
        <w:t>Loáiciga</w:t>
      </w:r>
      <w:proofErr w:type="spellEnd"/>
      <w:r w:rsidRPr="002A7673">
        <w:rPr>
          <w:rFonts w:ascii="Times New Roman" w:eastAsia="Calibri" w:hAnsi="Times New Roman" w:cs="Times New Roman"/>
          <w:i/>
          <w:iCs/>
          <w:sz w:val="26"/>
          <w:szCs w:val="26"/>
        </w:rPr>
        <w:t xml:space="preserve"> </w:t>
      </w:r>
    </w:p>
    <w:p w14:paraId="1E13255A" w14:textId="2F6AC622" w:rsidR="00083CA4" w:rsidRPr="002A7673" w:rsidRDefault="00083CA4" w:rsidP="00A26EFE">
      <w:pPr>
        <w:spacing w:after="0" w:line="240" w:lineRule="auto"/>
        <w:ind w:left="851" w:right="851"/>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Comisión de la Jurisdicción Agraria </w:t>
      </w:r>
    </w:p>
    <w:p w14:paraId="2E3FD9D3" w14:textId="77777777" w:rsidR="00C1639B" w:rsidRPr="002A7673" w:rsidRDefault="00C1639B" w:rsidP="00A26EFE">
      <w:pPr>
        <w:spacing w:after="0" w:line="240" w:lineRule="auto"/>
        <w:ind w:left="851" w:right="851"/>
        <w:jc w:val="both"/>
        <w:rPr>
          <w:rFonts w:ascii="Times New Roman" w:eastAsia="Calibri" w:hAnsi="Times New Roman" w:cs="Times New Roman"/>
          <w:i/>
          <w:iCs/>
          <w:sz w:val="26"/>
          <w:szCs w:val="26"/>
        </w:rPr>
      </w:pPr>
    </w:p>
    <w:p w14:paraId="5F8CBED7" w14:textId="11649776" w:rsidR="00083CA4" w:rsidRPr="002A7673" w:rsidRDefault="00C1639B" w:rsidP="00C1639B">
      <w:pPr>
        <w:spacing w:after="0" w:line="480" w:lineRule="auto"/>
        <w:ind w:left="851" w:right="851" w:firstLine="709"/>
        <w:jc w:val="center"/>
        <w:rPr>
          <w:rFonts w:ascii="Times New Roman" w:eastAsia="Calibri" w:hAnsi="Times New Roman" w:cs="Times New Roman"/>
          <w:sz w:val="28"/>
          <w:szCs w:val="28"/>
        </w:rPr>
      </w:pPr>
      <w:r w:rsidRPr="002A7673">
        <w:rPr>
          <w:rFonts w:ascii="Times New Roman" w:eastAsia="Calibri" w:hAnsi="Times New Roman" w:cs="Times New Roman"/>
          <w:sz w:val="28"/>
          <w:szCs w:val="28"/>
        </w:rPr>
        <w:t>-0-</w:t>
      </w:r>
    </w:p>
    <w:p w14:paraId="1326D1C2" w14:textId="33839770" w:rsidR="00083CA4" w:rsidRPr="002A7673" w:rsidRDefault="00083CA4" w:rsidP="00E37699">
      <w:pPr>
        <w:spacing w:after="0" w:line="480" w:lineRule="auto"/>
        <w:ind w:firstLine="709"/>
        <w:jc w:val="both"/>
        <w:rPr>
          <w:rFonts w:ascii="Times New Roman" w:eastAsia="Calibri" w:hAnsi="Times New Roman" w:cs="Times New Roman"/>
          <w:b/>
          <w:sz w:val="28"/>
          <w:szCs w:val="28"/>
        </w:rPr>
      </w:pPr>
      <w:r w:rsidRPr="002A7673">
        <w:rPr>
          <w:rFonts w:ascii="Times New Roman" w:eastAsia="Calibri" w:hAnsi="Times New Roman" w:cs="Times New Roman"/>
          <w:b/>
          <w:bCs/>
          <w:sz w:val="28"/>
          <w:szCs w:val="28"/>
        </w:rPr>
        <w:t>Se acordó</w:t>
      </w:r>
      <w:r w:rsidRPr="002A7673">
        <w:rPr>
          <w:rFonts w:ascii="Times New Roman" w:eastAsia="Calibri" w:hAnsi="Times New Roman" w:cs="Times New Roman"/>
          <w:b/>
          <w:sz w:val="28"/>
          <w:szCs w:val="28"/>
        </w:rPr>
        <w:t>:  1)</w:t>
      </w:r>
      <w:r w:rsidRPr="002A7673">
        <w:rPr>
          <w:rFonts w:ascii="Times New Roman" w:eastAsia="Calibri" w:hAnsi="Times New Roman" w:cs="Times New Roman"/>
          <w:sz w:val="28"/>
          <w:szCs w:val="28"/>
        </w:rPr>
        <w:t xml:space="preserve"> Tomar nota del oficio No. 60-PICPA-2021</w:t>
      </w:r>
      <w:r w:rsidRPr="002A7673">
        <w:rPr>
          <w:rFonts w:ascii="Times New Roman" w:eastAsia="Calibri" w:hAnsi="Times New Roman" w:cs="Times New Roman"/>
          <w:b/>
          <w:sz w:val="28"/>
          <w:szCs w:val="28"/>
        </w:rPr>
        <w:t>.  2)</w:t>
      </w:r>
      <w:r w:rsidRPr="002A7673">
        <w:rPr>
          <w:rFonts w:ascii="Times New Roman" w:eastAsia="Calibri" w:hAnsi="Times New Roman" w:cs="Times New Roman"/>
          <w:sz w:val="28"/>
          <w:szCs w:val="28"/>
        </w:rPr>
        <w:t xml:space="preserve"> Indicar a la Comisión de la Jurisdicción Agraria que conforme la disponibilidad presupuestaria en el año 2022, se valorará esta necesidad planteada, tal y como se ha venido reforzando y brindando el recurso en el año 2021, todo en función de las posibilidades presupuestarias del Poder Judicial</w:t>
      </w:r>
      <w:r w:rsidR="00A26EFE" w:rsidRPr="002A7673">
        <w:rPr>
          <w:rFonts w:ascii="Times New Roman" w:eastAsia="Calibri" w:hAnsi="Times New Roman" w:cs="Times New Roman"/>
          <w:sz w:val="28"/>
          <w:szCs w:val="28"/>
        </w:rPr>
        <w:t xml:space="preserve">. </w:t>
      </w:r>
      <w:r w:rsidR="00A26EFE" w:rsidRPr="002A7673">
        <w:rPr>
          <w:rFonts w:ascii="Times New Roman" w:eastAsia="Calibri" w:hAnsi="Times New Roman" w:cs="Times New Roman"/>
          <w:b/>
          <w:sz w:val="28"/>
          <w:szCs w:val="28"/>
        </w:rPr>
        <w:t>Se declara acuerdo firme.</w:t>
      </w:r>
    </w:p>
    <w:p w14:paraId="757772C3" w14:textId="404348C5" w:rsidR="001C531A" w:rsidRPr="00CB2D90" w:rsidRDefault="00083CA4" w:rsidP="00CB2D90">
      <w:pPr>
        <w:keepNext/>
        <w:shd w:val="clear" w:color="auto" w:fill="FFFFFF"/>
        <w:autoSpaceDE w:val="0"/>
        <w:autoSpaceDN w:val="0"/>
        <w:spacing w:after="0" w:line="360" w:lineRule="auto"/>
        <w:jc w:val="center"/>
        <w:outlineLvl w:val="0"/>
        <w:rPr>
          <w:rFonts w:ascii="Times New Roman" w:eastAsia="Times New Roman" w:hAnsi="Times New Roman" w:cs="Times New Roman"/>
          <w:b/>
          <w:bCs/>
          <w:kern w:val="36"/>
          <w:sz w:val="28"/>
          <w:szCs w:val="28"/>
          <w:u w:val="single"/>
          <w:lang w:eastAsia="es-ES"/>
        </w:rPr>
      </w:pPr>
      <w:r w:rsidRPr="002A7673">
        <w:rPr>
          <w:rFonts w:ascii="Times New Roman" w:eastAsia="Times New Roman" w:hAnsi="Times New Roman" w:cs="Times New Roman"/>
          <w:b/>
          <w:bCs/>
          <w:kern w:val="36"/>
          <w:sz w:val="28"/>
          <w:szCs w:val="28"/>
          <w:u w:val="single"/>
          <w:lang w:eastAsia="es-ES"/>
        </w:rPr>
        <w:lastRenderedPageBreak/>
        <w:t>ARTÍCULO VI</w:t>
      </w:r>
    </w:p>
    <w:p w14:paraId="027A9A48" w14:textId="77777777" w:rsidR="00083CA4" w:rsidRPr="002A7673" w:rsidRDefault="00083CA4" w:rsidP="00CB2D90">
      <w:pPr>
        <w:autoSpaceDE w:val="0"/>
        <w:autoSpaceDN w:val="0"/>
        <w:adjustRightInd w:val="0"/>
        <w:spacing w:after="0" w:line="480" w:lineRule="auto"/>
        <w:jc w:val="both"/>
        <w:rPr>
          <w:rFonts w:ascii="Times New Roman" w:eastAsia="Calibri" w:hAnsi="Times New Roman" w:cs="Times New Roman"/>
          <w:b/>
          <w:bCs/>
          <w:sz w:val="28"/>
          <w:szCs w:val="28"/>
        </w:rPr>
      </w:pPr>
      <w:r w:rsidRPr="002A7673">
        <w:rPr>
          <w:rFonts w:ascii="Times New Roman" w:eastAsia="Calibri" w:hAnsi="Times New Roman" w:cs="Times New Roman"/>
          <w:b/>
          <w:bCs/>
          <w:sz w:val="28"/>
          <w:szCs w:val="28"/>
        </w:rPr>
        <w:t xml:space="preserve">Documento N° </w:t>
      </w:r>
      <w:r w:rsidRPr="002A7673">
        <w:rPr>
          <w:rFonts w:ascii="Times New Roman" w:eastAsia="Calibri" w:hAnsi="Times New Roman" w:cs="Times New Roman"/>
          <w:b/>
          <w:bCs/>
          <w:color w:val="00B050"/>
          <w:sz w:val="28"/>
          <w:szCs w:val="28"/>
        </w:rPr>
        <w:t>4391-2021</w:t>
      </w:r>
    </w:p>
    <w:p w14:paraId="347D5DF3" w14:textId="77777777" w:rsidR="00083CA4" w:rsidRPr="002A7673" w:rsidRDefault="00083CA4" w:rsidP="005F7139">
      <w:pPr>
        <w:shd w:val="clear" w:color="auto" w:fill="FFFFFF"/>
        <w:spacing w:after="0" w:line="360" w:lineRule="auto"/>
        <w:ind w:firstLine="708"/>
        <w:jc w:val="both"/>
        <w:rPr>
          <w:rFonts w:ascii="Times New Roman" w:eastAsia="Calibri" w:hAnsi="Times New Roman" w:cs="Times New Roman"/>
          <w:color w:val="000000"/>
          <w:sz w:val="28"/>
          <w:szCs w:val="28"/>
          <w:shd w:val="clear" w:color="auto" w:fill="FFFFFF"/>
        </w:rPr>
      </w:pPr>
      <w:r w:rsidRPr="002A7673">
        <w:rPr>
          <w:rFonts w:ascii="Times New Roman" w:eastAsia="Calibri" w:hAnsi="Times New Roman" w:cs="Times New Roman"/>
          <w:sz w:val="28"/>
          <w:szCs w:val="28"/>
        </w:rPr>
        <w:t xml:space="preserve">En reunión de trabajo del pasado 16 de abril, la Licenciada Nacira Valverde Bermúdez informó </w:t>
      </w:r>
      <w:r w:rsidRPr="002A7673">
        <w:rPr>
          <w:rFonts w:ascii="Times New Roman" w:eastAsia="Calibri" w:hAnsi="Times New Roman" w:cs="Times New Roman"/>
          <w:color w:val="000000"/>
          <w:sz w:val="28"/>
          <w:szCs w:val="28"/>
          <w:shd w:val="clear" w:color="auto" w:fill="FFFFFF"/>
        </w:rPr>
        <w:t xml:space="preserve">que mediante correo electrónico del pasado 19 de marzo, la señora Sandra Agüero Monge, Secretaria Ejecutiva de Comisiones remitió el oficio N°004-JVA-2021 enviado por la Magistrada Julia Varela Araya, en calidad de Coordinadora de la Comisión de Familia, Niñez y Adolescencia, en el que se hace referencia a la necesidad de la Defensa Pública en torno al servicio de  asistencia legal gratuita que brinda a aquellas personas que figuran como acreedoras alimentarias y que no cuentan con dinero para contratar los servicios de un abogado. </w:t>
      </w:r>
    </w:p>
    <w:p w14:paraId="488A0A0C" w14:textId="34BF46FA" w:rsidR="00083CA4" w:rsidRPr="002A7673" w:rsidRDefault="00083CA4" w:rsidP="005F7139">
      <w:pPr>
        <w:shd w:val="clear" w:color="auto" w:fill="FFFFFF"/>
        <w:spacing w:after="0" w:line="360" w:lineRule="auto"/>
        <w:ind w:firstLine="708"/>
        <w:jc w:val="both"/>
        <w:rPr>
          <w:rFonts w:ascii="Times New Roman" w:eastAsia="Calibri" w:hAnsi="Times New Roman" w:cs="Times New Roman"/>
          <w:color w:val="000000"/>
          <w:sz w:val="28"/>
          <w:szCs w:val="28"/>
          <w:shd w:val="clear" w:color="auto" w:fill="FFFFFF"/>
        </w:rPr>
      </w:pPr>
      <w:r w:rsidRPr="002A7673">
        <w:rPr>
          <w:rFonts w:ascii="Times New Roman" w:eastAsia="Calibri" w:hAnsi="Times New Roman" w:cs="Times New Roman"/>
          <w:color w:val="000000"/>
          <w:sz w:val="28"/>
          <w:szCs w:val="28"/>
          <w:shd w:val="clear" w:color="auto" w:fill="FFFFFF"/>
        </w:rPr>
        <w:t>Concretamente, la Comisión de Familia, Niñez y Adolescencia, acordó acoger la petición de la Dirección de la Defensa Pública, de solicitar a la Dirección de  Planificación,  que se incorporen en la mesa de trabajo para el análisis del presupuesto del  2022,  al personal de la Defensa Pública  que se designe, a efecto de trabajar la  necesidad de una  propuesta de 35 plazas de personas defensoras en pensiones alimentarias, para cumplir con las obligaciones legales vigentes, y se consideren los  requerimientos de las plazas para cumplir a partir del 2022 el mandato de los  artículos 42 y 56 del Código Procesal de Familia.</w:t>
      </w:r>
    </w:p>
    <w:p w14:paraId="72B045DF" w14:textId="77777777" w:rsidR="00083CA4" w:rsidRPr="002A7673" w:rsidRDefault="00083CA4" w:rsidP="005F7139">
      <w:pPr>
        <w:widowControl w:val="0"/>
        <w:autoSpaceDE w:val="0"/>
        <w:autoSpaceDN w:val="0"/>
        <w:adjustRightInd w:val="0"/>
        <w:spacing w:after="0" w:line="360" w:lineRule="auto"/>
        <w:ind w:right="-235" w:firstLine="708"/>
        <w:jc w:val="both"/>
        <w:rPr>
          <w:rFonts w:ascii="Times New Roman" w:eastAsia="Times New Roman" w:hAnsi="Times New Roman" w:cs="Times New Roman"/>
          <w:color w:val="000000"/>
          <w:sz w:val="28"/>
          <w:szCs w:val="28"/>
          <w:shd w:val="clear" w:color="auto" w:fill="FFFFFF"/>
          <w:lang w:eastAsia="es-CR"/>
        </w:rPr>
      </w:pPr>
      <w:r w:rsidRPr="002A7673">
        <w:rPr>
          <w:rFonts w:ascii="Times New Roman" w:eastAsia="Times New Roman" w:hAnsi="Times New Roman" w:cs="Times New Roman"/>
          <w:color w:val="000000"/>
          <w:sz w:val="28"/>
          <w:szCs w:val="28"/>
          <w:shd w:val="clear" w:color="auto" w:fill="FFFFFF"/>
          <w:lang w:eastAsia="es-CR"/>
        </w:rPr>
        <w:t>En el oficio indicado se cita lo siguiente:</w:t>
      </w:r>
    </w:p>
    <w:p w14:paraId="6F758235" w14:textId="77777777" w:rsidR="00083CA4" w:rsidRPr="002A7673" w:rsidRDefault="009279AF" w:rsidP="009279AF">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w:t>
      </w:r>
      <w:r w:rsidR="00083CA4" w:rsidRPr="002A7673">
        <w:rPr>
          <w:rFonts w:ascii="Times New Roman" w:eastAsia="Calibri" w:hAnsi="Times New Roman" w:cs="Times New Roman"/>
          <w:i/>
          <w:iCs/>
          <w:sz w:val="26"/>
          <w:szCs w:val="26"/>
        </w:rPr>
        <w:t xml:space="preserve">Estimada señora Valverde: </w:t>
      </w:r>
    </w:p>
    <w:p w14:paraId="0A111163"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p>
    <w:p w14:paraId="4BD4A641" w14:textId="77777777" w:rsidR="009279AF"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En mi condición de coordinadora de la Comisión de Familia, Niñez y Adolescencia; y con motivo de sesión virtual, N°01-2021 celebrada por sus integrantes el día 11 de febrero del presente año, artículo II, conoce el siguiente asunto:</w:t>
      </w:r>
    </w:p>
    <w:p w14:paraId="37FAFAA8"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 xml:space="preserve"> </w:t>
      </w:r>
    </w:p>
    <w:p w14:paraId="326EE037" w14:textId="77777777" w:rsidR="00083CA4" w:rsidRPr="002A7673" w:rsidRDefault="00083CA4" w:rsidP="009279AF">
      <w:pPr>
        <w:tabs>
          <w:tab w:val="left" w:pos="6237"/>
        </w:tabs>
        <w:autoSpaceDE w:val="0"/>
        <w:spacing w:after="0" w:line="240" w:lineRule="auto"/>
        <w:ind w:left="851" w:right="851" w:firstLine="709"/>
        <w:jc w:val="right"/>
        <w:rPr>
          <w:rFonts w:ascii="Times New Roman" w:eastAsia="Times New Roman" w:hAnsi="Times New Roman" w:cs="Times New Roman"/>
          <w:i/>
          <w:iCs/>
          <w:sz w:val="26"/>
          <w:szCs w:val="26"/>
        </w:rPr>
      </w:pPr>
      <w:r w:rsidRPr="002A7673">
        <w:rPr>
          <w:rFonts w:ascii="Times New Roman" w:eastAsia="Times New Roman" w:hAnsi="Times New Roman" w:cs="Times New Roman"/>
          <w:b/>
          <w:i/>
          <w:iCs/>
          <w:sz w:val="26"/>
          <w:szCs w:val="26"/>
        </w:rPr>
        <w:t>Oficio JEFDP-1352-2020</w:t>
      </w:r>
    </w:p>
    <w:p w14:paraId="629C6802" w14:textId="77777777" w:rsidR="00083CA4" w:rsidRPr="002A7673" w:rsidRDefault="00083CA4" w:rsidP="009279AF">
      <w:pPr>
        <w:tabs>
          <w:tab w:val="left" w:pos="6237"/>
        </w:tabs>
        <w:autoSpaceDE w:val="0"/>
        <w:spacing w:after="0" w:line="240" w:lineRule="auto"/>
        <w:ind w:left="851" w:right="851" w:firstLine="709"/>
        <w:jc w:val="right"/>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lastRenderedPageBreak/>
        <w:t>San José, 26 de octubre de 2020.</w:t>
      </w:r>
    </w:p>
    <w:p w14:paraId="254F0040"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b/>
          <w:bCs/>
          <w:i/>
          <w:iCs/>
          <w:sz w:val="26"/>
          <w:szCs w:val="26"/>
        </w:rPr>
      </w:pPr>
    </w:p>
    <w:p w14:paraId="62C963D3"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b/>
          <w:bCs/>
          <w:i/>
          <w:iCs/>
          <w:color w:val="000000"/>
          <w:sz w:val="26"/>
          <w:szCs w:val="26"/>
        </w:rPr>
      </w:pPr>
      <w:proofErr w:type="gramStart"/>
      <w:r w:rsidRPr="002A7673">
        <w:rPr>
          <w:rFonts w:ascii="Times New Roman" w:eastAsia="Times New Roman" w:hAnsi="Times New Roman" w:cs="Times New Roman"/>
          <w:b/>
          <w:bCs/>
          <w:i/>
          <w:iCs/>
          <w:color w:val="000000"/>
          <w:sz w:val="26"/>
          <w:szCs w:val="26"/>
        </w:rPr>
        <w:t>Señoras y señores</w:t>
      </w:r>
      <w:proofErr w:type="gramEnd"/>
      <w:r w:rsidRPr="002A7673">
        <w:rPr>
          <w:rFonts w:ascii="Times New Roman" w:eastAsia="Times New Roman" w:hAnsi="Times New Roman" w:cs="Times New Roman"/>
          <w:b/>
          <w:bCs/>
          <w:i/>
          <w:iCs/>
          <w:color w:val="000000"/>
          <w:sz w:val="26"/>
          <w:szCs w:val="26"/>
        </w:rPr>
        <w:t xml:space="preserve"> integrantes</w:t>
      </w:r>
    </w:p>
    <w:p w14:paraId="630787EB"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b/>
          <w:bCs/>
          <w:i/>
          <w:iCs/>
          <w:color w:val="000000"/>
          <w:sz w:val="26"/>
          <w:szCs w:val="26"/>
        </w:rPr>
      </w:pPr>
      <w:r w:rsidRPr="002A7673">
        <w:rPr>
          <w:rFonts w:ascii="Times New Roman" w:eastAsia="Times New Roman" w:hAnsi="Times New Roman" w:cs="Times New Roman"/>
          <w:b/>
          <w:bCs/>
          <w:i/>
          <w:iCs/>
          <w:color w:val="000000"/>
          <w:sz w:val="26"/>
          <w:szCs w:val="26"/>
        </w:rPr>
        <w:t xml:space="preserve">Comisión de la Jurisdicción de Familia, Niñez y Adolescencia </w:t>
      </w:r>
    </w:p>
    <w:p w14:paraId="32F61C49"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b/>
          <w:bCs/>
          <w:i/>
          <w:iCs/>
          <w:color w:val="000000"/>
          <w:sz w:val="26"/>
          <w:szCs w:val="26"/>
        </w:rPr>
        <w:t xml:space="preserve">Poder Judicial </w:t>
      </w:r>
    </w:p>
    <w:p w14:paraId="26A7F529"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b/>
          <w:bCs/>
          <w:i/>
          <w:iCs/>
          <w:sz w:val="26"/>
          <w:szCs w:val="26"/>
        </w:rPr>
      </w:pPr>
    </w:p>
    <w:p w14:paraId="1474FB2A"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Reciban un respetuoso saludo. </w:t>
      </w:r>
    </w:p>
    <w:p w14:paraId="66D448DB"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sz w:val="26"/>
          <w:szCs w:val="26"/>
        </w:rPr>
      </w:pPr>
    </w:p>
    <w:p w14:paraId="78FBE826"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 xml:space="preserve">La Defensa Pública desde el año de 1997, brinda asistencia legal gratuita a aquellas personas que figuran como acreedoras alimentarias y que no cuentan con dinero para contratar los servicios de un abogado. </w:t>
      </w:r>
    </w:p>
    <w:p w14:paraId="7305FDE7" w14:textId="77777777" w:rsidR="009279AF"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ab/>
      </w:r>
    </w:p>
    <w:p w14:paraId="47EA69C0"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 xml:space="preserve">El artículo 13 de la Ley de Pensiones Alimentarias, N°7654 de 19 de diciembre de 1996, dispone: </w:t>
      </w:r>
    </w:p>
    <w:p w14:paraId="06E7B4B5" w14:textId="77777777" w:rsidR="009279AF"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ab/>
      </w:r>
    </w:p>
    <w:p w14:paraId="020C41F3"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 Con el fin de hacer valer los derechos aquí consignados, quienes careciere de asistencia legal y de recursos económicos para pagarla, tendrán derecho a que el Estado se la suministre gratuitamente. Para este efecto, el Poder Judicial creará una sección especializada dentro del Departamento de Defensores Públicos. (…)”</w:t>
      </w:r>
    </w:p>
    <w:p w14:paraId="2B4AB19D" w14:textId="77777777" w:rsidR="009279AF"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ab/>
      </w:r>
    </w:p>
    <w:p w14:paraId="6B8C9F90"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Desde la Defensa Pública, se cuenta con una unidad especializada en la materia, la cobertura del servicio ha ido en ascenso, teniendo presencia en la mayoría de los juzgados que atienden esta materia, no obstante, aún nos queda mucho por hacer para lograr la cobertura en cada uno de los rincones del país.</w:t>
      </w:r>
    </w:p>
    <w:p w14:paraId="0CD24BC1" w14:textId="77777777" w:rsidR="009279AF"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ab/>
      </w:r>
    </w:p>
    <w:p w14:paraId="7AB0E913"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 xml:space="preserve">En el año 2017, a propósito del análisis del requerimiento humano para hacerle frente a las nuevas competencias que se le otorgaban a la Defensa Pública, en el Código Procesal de Familia, se determinó por parte de la Dirección de Planificación del Poder Judicial, en el informe </w:t>
      </w:r>
      <w:r w:rsidRPr="002A7673">
        <w:rPr>
          <w:rFonts w:ascii="Times New Roman" w:eastAsia="Times New Roman" w:hAnsi="Times New Roman" w:cs="Times New Roman"/>
          <w:i/>
          <w:iCs/>
          <w:sz w:val="26"/>
          <w:szCs w:val="26"/>
        </w:rPr>
        <w:t>N° 34-PLA-EV-2017,</w:t>
      </w:r>
      <w:r w:rsidRPr="002A7673">
        <w:rPr>
          <w:rFonts w:ascii="Times New Roman" w:eastAsia="Times New Roman" w:hAnsi="Times New Roman" w:cs="Times New Roman"/>
          <w:i/>
          <w:iCs/>
          <w:color w:val="000000"/>
          <w:sz w:val="26"/>
          <w:szCs w:val="26"/>
        </w:rPr>
        <w:t xml:space="preserve"> que la Defensa Pública requería un total de 33 plazas para lograr la cobertura nacional del servicio en materia de pensiones alimentarias, solo para la representación de la parte acreedora alimentaria. </w:t>
      </w:r>
    </w:p>
    <w:p w14:paraId="6FEA866B" w14:textId="77777777" w:rsidR="009279AF" w:rsidRPr="002A7673" w:rsidRDefault="00083CA4" w:rsidP="009279AF">
      <w:pPr>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ab/>
      </w:r>
    </w:p>
    <w:p w14:paraId="1333B547"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color w:val="000000"/>
          <w:sz w:val="26"/>
          <w:szCs w:val="26"/>
        </w:rPr>
        <w:t xml:space="preserve">En la actualidad, tenemos </w:t>
      </w:r>
      <w:r w:rsidRPr="002A7673">
        <w:rPr>
          <w:rFonts w:ascii="Times New Roman" w:eastAsia="Times New Roman" w:hAnsi="Times New Roman" w:cs="Times New Roman"/>
          <w:i/>
          <w:iCs/>
          <w:sz w:val="26"/>
          <w:szCs w:val="26"/>
        </w:rPr>
        <w:t>muchas regiones social económicamente deprimidas,</w:t>
      </w:r>
      <w:r w:rsidRPr="002A7673">
        <w:rPr>
          <w:rFonts w:ascii="Times New Roman" w:eastAsia="Times New Roman" w:hAnsi="Times New Roman" w:cs="Times New Roman"/>
          <w:i/>
          <w:iCs/>
          <w:color w:val="000000"/>
          <w:sz w:val="26"/>
          <w:szCs w:val="26"/>
        </w:rPr>
        <w:t xml:space="preserve"> donde las personas usuarias no cuenta con ninguna presencia de la Defensa Pública en materia alimentaria, por carecerse de plazas para hacerle frente a las necesidades de las personas acreedoras alimentarias que en su gran mayoría se encuentran en una situación de pobreza extrema, </w:t>
      </w:r>
      <w:r w:rsidRPr="002A7673">
        <w:rPr>
          <w:rFonts w:ascii="Times New Roman" w:eastAsia="Times New Roman" w:hAnsi="Times New Roman" w:cs="Times New Roman"/>
          <w:i/>
          <w:iCs/>
          <w:color w:val="000000"/>
          <w:sz w:val="26"/>
          <w:szCs w:val="26"/>
        </w:rPr>
        <w:lastRenderedPageBreak/>
        <w:t xml:space="preserve">niños, niñas, niños, adolescentes, madres jefas de hogar, adultos mayores, personas con discapacidad, que se encuentran es extrema condición de vulnerabilidad y que requieren y demandan se cumpla con lo que establece la Ley y lamentablemente la Defensa Pública no puede solventar esta demanda. </w:t>
      </w:r>
    </w:p>
    <w:p w14:paraId="41BE28C1" w14:textId="77777777" w:rsidR="009279AF" w:rsidRPr="002A7673" w:rsidRDefault="009279AF"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p>
    <w:p w14:paraId="372E444A" w14:textId="77777777" w:rsidR="00083CA4" w:rsidRPr="002A7673" w:rsidRDefault="00083CA4" w:rsidP="009279AF">
      <w:pPr>
        <w:shd w:val="clear" w:color="auto" w:fill="FFFFFF"/>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 xml:space="preserve">Así por ejemplo, se citan algunos lugares donde del todo no contamos con el servicio en la materia alimentaria: Turrubares, Puerto Jiménez, Osa, Atenas, Guácimo, </w:t>
      </w:r>
      <w:r w:rsidRPr="002A7673">
        <w:rPr>
          <w:rFonts w:ascii="Times New Roman" w:eastAsia="Times New Roman" w:hAnsi="Times New Roman" w:cs="Times New Roman"/>
          <w:i/>
          <w:iCs/>
          <w:sz w:val="26"/>
          <w:szCs w:val="26"/>
        </w:rPr>
        <w:t xml:space="preserve">Naranjo, Zarcero, Sarchí, </w:t>
      </w:r>
      <w:r w:rsidRPr="002A7673">
        <w:rPr>
          <w:rFonts w:ascii="Times New Roman" w:eastAsia="Times New Roman" w:hAnsi="Times New Roman" w:cs="Times New Roman"/>
          <w:i/>
          <w:iCs/>
          <w:color w:val="000000"/>
          <w:sz w:val="26"/>
          <w:szCs w:val="26"/>
        </w:rPr>
        <w:t xml:space="preserve">Tarrazú, Dota y León Cortés, </w:t>
      </w:r>
      <w:r w:rsidRPr="002A7673">
        <w:rPr>
          <w:rFonts w:ascii="Times New Roman" w:eastAsia="Times New Roman" w:hAnsi="Times New Roman" w:cs="Times New Roman"/>
          <w:i/>
          <w:iCs/>
          <w:sz w:val="26"/>
          <w:szCs w:val="26"/>
        </w:rPr>
        <w:t xml:space="preserve">San Mateo, Orotina, Aguirre y Parrita, </w:t>
      </w:r>
      <w:r w:rsidRPr="002A7673">
        <w:rPr>
          <w:rFonts w:ascii="Times New Roman" w:eastAsia="Times New Roman" w:hAnsi="Times New Roman" w:cs="Times New Roman"/>
          <w:i/>
          <w:iCs/>
          <w:color w:val="000000"/>
          <w:sz w:val="26"/>
          <w:szCs w:val="26"/>
        </w:rPr>
        <w:t xml:space="preserve">Monteverde, San Vito de Coto Brus, cantones que se ubican en zonas rurales, donde las mujeres, niños, niñas, adolescentes, personas adultas mayores o con discapacidad merecen un acompañamiento legal digno y no es posible que se genere una desigualdad en la atención por la ubicación geográfica. </w:t>
      </w:r>
    </w:p>
    <w:p w14:paraId="04FE8C00" w14:textId="77777777" w:rsidR="009279AF" w:rsidRPr="002A7673" w:rsidRDefault="009279AF" w:rsidP="009279AF">
      <w:pPr>
        <w:spacing w:after="0" w:line="240" w:lineRule="auto"/>
        <w:ind w:left="851" w:right="851" w:firstLine="709"/>
        <w:jc w:val="both"/>
        <w:rPr>
          <w:rFonts w:ascii="Times New Roman" w:eastAsia="Times New Roman" w:hAnsi="Times New Roman" w:cs="Times New Roman"/>
          <w:i/>
          <w:iCs/>
          <w:color w:val="000000"/>
          <w:sz w:val="26"/>
          <w:szCs w:val="26"/>
        </w:rPr>
      </w:pPr>
    </w:p>
    <w:p w14:paraId="344D898F"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color w:val="000000"/>
          <w:sz w:val="26"/>
          <w:szCs w:val="26"/>
        </w:rPr>
        <w:t>También, con la entrada en vigor</w:t>
      </w:r>
      <w:r w:rsidRPr="002A7673">
        <w:rPr>
          <w:rFonts w:ascii="Times New Roman" w:eastAsia="Times New Roman" w:hAnsi="Times New Roman" w:cs="Times New Roman"/>
          <w:b/>
          <w:i/>
          <w:iCs/>
          <w:color w:val="000000"/>
          <w:sz w:val="26"/>
          <w:szCs w:val="26"/>
        </w:rPr>
        <w:t xml:space="preserve"> </w:t>
      </w:r>
      <w:r w:rsidRPr="002A7673">
        <w:rPr>
          <w:rFonts w:ascii="Times New Roman" w:eastAsia="Times New Roman" w:hAnsi="Times New Roman" w:cs="Times New Roman"/>
          <w:i/>
          <w:iCs/>
          <w:color w:val="000000"/>
          <w:sz w:val="26"/>
          <w:szCs w:val="26"/>
        </w:rPr>
        <w:t xml:space="preserve">de la Ley de Acceso a la Justicia de los pueblos indígenas de Costa Rica No. 9593, desde el año 2018, se le encomendaron nuevas competencias a la Defensa Pública, entre las que destacan la de brindar asistencia legal gratuita a las personas indígenas tanto a la parte actora como a la parte demandada en cualquier proceso judicial, tal y como lo regula el artículo 7 de este cuerpo normativo. Esta ley ha provocado que se incremente la cantidad de personas usuarias que atiende la Defensa Pública y que anterior a esta ley no se asumían, así la representación de la </w:t>
      </w:r>
      <w:r w:rsidRPr="002A7673">
        <w:rPr>
          <w:rFonts w:ascii="Times New Roman" w:eastAsia="Times New Roman" w:hAnsi="Times New Roman" w:cs="Times New Roman"/>
          <w:bCs/>
          <w:i/>
          <w:iCs/>
          <w:sz w:val="26"/>
          <w:szCs w:val="26"/>
        </w:rPr>
        <w:t>parte demandada en procesos de pensiones alimentarias, todo tipo de proceso de familia tanto a la parte actora como a la parte demandada y a la víctima en procesos de violencia doméstica.</w:t>
      </w:r>
    </w:p>
    <w:p w14:paraId="1DA2F736" w14:textId="77777777" w:rsidR="009279AF" w:rsidRPr="002A7673" w:rsidRDefault="009279AF" w:rsidP="009279AF">
      <w:pPr>
        <w:spacing w:after="0" w:line="240" w:lineRule="auto"/>
        <w:ind w:left="851" w:right="851" w:firstLine="709"/>
        <w:jc w:val="both"/>
        <w:rPr>
          <w:rFonts w:ascii="Times New Roman" w:eastAsia="Times New Roman" w:hAnsi="Times New Roman" w:cs="Times New Roman"/>
          <w:i/>
          <w:iCs/>
          <w:sz w:val="26"/>
          <w:szCs w:val="26"/>
        </w:rPr>
      </w:pPr>
    </w:p>
    <w:p w14:paraId="0FF2984E"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A propósito de esta situación, tal y como </w:t>
      </w:r>
      <w:r w:rsidRPr="002A7673">
        <w:rPr>
          <w:rFonts w:ascii="Times New Roman" w:eastAsia="Times New Roman" w:hAnsi="Times New Roman" w:cs="Times New Roman"/>
          <w:i/>
          <w:iCs/>
          <w:sz w:val="26"/>
          <w:szCs w:val="26"/>
          <w:lang w:val="es-ES"/>
        </w:rPr>
        <w:t xml:space="preserve">consta en el Acta de Corte Plena Nº 031 – 2020, 02 de junio de 2020, </w:t>
      </w:r>
      <w:r w:rsidRPr="002A7673">
        <w:rPr>
          <w:rFonts w:ascii="Times New Roman" w:eastAsia="Times New Roman" w:hAnsi="Times New Roman" w:cs="Times New Roman"/>
          <w:i/>
          <w:iCs/>
          <w:sz w:val="26"/>
          <w:szCs w:val="26"/>
        </w:rPr>
        <w:t>por mayoría de diecisiete votos, se acordó: Aprobar por separado del Presupuesto ordinario del Poder Judicial, el requerimiento correspondiente de 33 plazas para la Defensa Pública, para cumplir con lo que dispone la Ley de Pensiones Alimentarias.</w:t>
      </w:r>
    </w:p>
    <w:p w14:paraId="68C998F6" w14:textId="77777777" w:rsidR="009279AF" w:rsidRPr="002A7673" w:rsidRDefault="009279AF" w:rsidP="009279AF">
      <w:pPr>
        <w:spacing w:after="0" w:line="240" w:lineRule="auto"/>
        <w:ind w:left="851" w:right="851" w:firstLine="709"/>
        <w:jc w:val="both"/>
        <w:rPr>
          <w:rFonts w:ascii="Times New Roman" w:eastAsia="Times New Roman" w:hAnsi="Times New Roman" w:cs="Times New Roman"/>
          <w:i/>
          <w:iCs/>
          <w:sz w:val="26"/>
          <w:szCs w:val="26"/>
        </w:rPr>
      </w:pPr>
    </w:p>
    <w:p w14:paraId="18FE1127"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En consonancia con lo acordado por Corte Plena, respecto del requerimiento correspondiente de las 33 plazas y 2 plazas para atender la materia indígena en la Defensa Pública, mediante oficio número 139-P-2020, de la Presidencia de la Corte dirigido al Ministerio de Hacienda, se solicitaron para el 2021, recursos para la atención de nuevas obligaciones legales y necesidades para la atención y acceso a la justicia de personas </w:t>
      </w:r>
      <w:r w:rsidRPr="002A7673">
        <w:rPr>
          <w:rFonts w:ascii="Times New Roman" w:eastAsia="Times New Roman" w:hAnsi="Times New Roman" w:cs="Times New Roman"/>
          <w:i/>
          <w:iCs/>
          <w:sz w:val="26"/>
          <w:szCs w:val="26"/>
        </w:rPr>
        <w:lastRenderedPageBreak/>
        <w:t xml:space="preserve">usuarias en materia de Pensiones Alimentarias, entre las que destaca, para el tema objeto de análisis: </w:t>
      </w:r>
    </w:p>
    <w:p w14:paraId="65E4BB57" w14:textId="77777777" w:rsidR="00083CA4" w:rsidRPr="002A7673" w:rsidRDefault="00083CA4" w:rsidP="00D527DE">
      <w:pPr>
        <w:numPr>
          <w:ilvl w:val="0"/>
          <w:numId w:val="8"/>
        </w:num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Atención y Acceso a la Justicia de Personas con asuntos relacionados a Pensiones Alimentarias: ¢1.628.606.596 (33 personas defensoras públicas).</w:t>
      </w:r>
    </w:p>
    <w:p w14:paraId="12F3DEF6" w14:textId="77777777" w:rsidR="00083CA4" w:rsidRPr="002A7673" w:rsidRDefault="00083CA4" w:rsidP="00D527DE">
      <w:pPr>
        <w:numPr>
          <w:ilvl w:val="0"/>
          <w:numId w:val="8"/>
        </w:num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Ley 9593 Acceso a la Justicia de los Pueblos Indígenas: ¢105.135.419.</w:t>
      </w:r>
    </w:p>
    <w:p w14:paraId="30BD3B7D"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p>
    <w:p w14:paraId="66A0061F"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Lamentablemente, como se informó en el oficio número 1480-PLA-PP-2020, del 22 de setiembre de 2020 a Corte Plena, el presupuesto solicitado para el financiamiento de la Ley 9593 Acceso a la Justicia de los Pueblos Indígenas y de los recursos para la atención y acceso a la justicia de personas con asuntos relacionados a Pensiones Alimentarias, </w:t>
      </w:r>
      <w:r w:rsidRPr="002A7673">
        <w:rPr>
          <w:rFonts w:ascii="Times New Roman" w:eastAsia="Times New Roman" w:hAnsi="Times New Roman" w:cs="Times New Roman"/>
          <w:b/>
          <w:i/>
          <w:iCs/>
          <w:sz w:val="26"/>
          <w:szCs w:val="26"/>
        </w:rPr>
        <w:t>no fueron incorporados por el Ministerio de Hacienda al presupuesto ordinario, ni se remitieron como requerimiento adicional a la Asamblea Legislativa</w:t>
      </w:r>
      <w:r w:rsidRPr="002A7673">
        <w:rPr>
          <w:rFonts w:ascii="Times New Roman" w:eastAsia="Times New Roman" w:hAnsi="Times New Roman" w:cs="Times New Roman"/>
          <w:i/>
          <w:iCs/>
          <w:sz w:val="26"/>
          <w:szCs w:val="26"/>
        </w:rPr>
        <w:t>.</w:t>
      </w:r>
    </w:p>
    <w:p w14:paraId="2417B9B1" w14:textId="77777777" w:rsidR="009279AF"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              </w:t>
      </w:r>
    </w:p>
    <w:p w14:paraId="3D3B7A64"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Esta situación incide negativamente en el derecho de acceso a la justicia de las personas acreedoras alimentarias y las personas indígenas, afectando la prestación del buen servicio público que caracteriza a la Defensa Pública. </w:t>
      </w:r>
    </w:p>
    <w:p w14:paraId="2DD325EC" w14:textId="77777777" w:rsidR="009279AF"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w:t>
      </w:r>
    </w:p>
    <w:p w14:paraId="18628F2D"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Se ha procurado  maximizar los recursos, así por ejemplo, antes no se contaba con plaza de pensiones alimentarias en zonas como Bribri y </w:t>
      </w:r>
      <w:proofErr w:type="spellStart"/>
      <w:r w:rsidRPr="002A7673">
        <w:rPr>
          <w:rFonts w:ascii="Times New Roman" w:eastAsia="Times New Roman" w:hAnsi="Times New Roman" w:cs="Times New Roman"/>
          <w:i/>
          <w:iCs/>
          <w:sz w:val="26"/>
          <w:szCs w:val="26"/>
        </w:rPr>
        <w:t>Sarapiqui</w:t>
      </w:r>
      <w:proofErr w:type="spellEnd"/>
      <w:r w:rsidRPr="002A7673">
        <w:rPr>
          <w:rFonts w:ascii="Times New Roman" w:eastAsia="Times New Roman" w:hAnsi="Times New Roman" w:cs="Times New Roman"/>
          <w:i/>
          <w:iCs/>
          <w:sz w:val="26"/>
          <w:szCs w:val="26"/>
        </w:rPr>
        <w:t xml:space="preserve"> y hoy día, gracias a esa maximización se brinda el servicio en pensiones alimentarias, se ha evidenciado la necesidad de contar con otra plaza en ambos lugares, en Bribri, en su mayoría las personas usuarias son personas indígenas y se debe representar a ambas partes en el proceso, en razón de  la Ley de Acceso a la Justicia de Pueblos Indígenas de Costa Rica y en Sarapiquí este último mes el circulante de la plaza en la materia rondaba los 451 asuntos activos, lo cual duplica la media nacional. </w:t>
      </w:r>
    </w:p>
    <w:p w14:paraId="181B6CEB" w14:textId="77777777" w:rsidR="009279AF" w:rsidRPr="002A7673" w:rsidRDefault="009279AF" w:rsidP="009279AF">
      <w:pPr>
        <w:spacing w:after="0" w:line="240" w:lineRule="auto"/>
        <w:ind w:left="851" w:right="851" w:firstLine="709"/>
        <w:jc w:val="both"/>
        <w:rPr>
          <w:rFonts w:ascii="Times New Roman" w:eastAsia="Times New Roman" w:hAnsi="Times New Roman" w:cs="Times New Roman"/>
          <w:i/>
          <w:iCs/>
          <w:sz w:val="26"/>
          <w:szCs w:val="26"/>
        </w:rPr>
      </w:pPr>
    </w:p>
    <w:p w14:paraId="6F2E365B"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El requerimiento de estas  plazas, es una respuesta a esta deuda histórica con las personas usuarias en condición de vulnerabilidad de estas zonas, donde la Defensa Pública no ha podido brindar el servicio en materia de pensiones alimentarias y que han pasado diferentes carencias tanto en lo económico como en el no acceso a la representación legal gratuita que podría brindarle la Defensa Pública, en el supuesto de contar con más plazas se podría alcanzar la cobertura nacional en pensiones alimentarias en correspondencia con las políticas de acceso a la justicia, derecho de defensa, </w:t>
      </w:r>
      <w:r w:rsidRPr="002A7673">
        <w:rPr>
          <w:rFonts w:ascii="Times New Roman" w:eastAsia="Times New Roman" w:hAnsi="Times New Roman" w:cs="Times New Roman"/>
          <w:i/>
          <w:iCs/>
          <w:sz w:val="26"/>
          <w:szCs w:val="26"/>
        </w:rPr>
        <w:lastRenderedPageBreak/>
        <w:t xml:space="preserve">debido proceso e igualdad, pilares fundamentales del sistema democrático que caracteriza al Estado costarricense.  </w:t>
      </w:r>
    </w:p>
    <w:p w14:paraId="5AE829BB" w14:textId="77777777" w:rsidR="009279AF" w:rsidRPr="002A7673" w:rsidRDefault="009279AF" w:rsidP="009279AF">
      <w:pPr>
        <w:spacing w:after="0" w:line="240" w:lineRule="auto"/>
        <w:ind w:left="851" w:right="851" w:firstLine="709"/>
        <w:jc w:val="both"/>
        <w:rPr>
          <w:rFonts w:ascii="Times New Roman" w:eastAsia="Times New Roman" w:hAnsi="Times New Roman" w:cs="Times New Roman"/>
          <w:i/>
          <w:iCs/>
          <w:sz w:val="26"/>
          <w:szCs w:val="26"/>
        </w:rPr>
      </w:pPr>
    </w:p>
    <w:p w14:paraId="1795E1B3"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Solo en el año 2019, se atendieron a 31.691 personas usuarias que requirieron los servicios de la Defensa Pública en pensiones alimentarias, para materializar el derecho humano de alimentos, el cual se encuentra interconectado con el derecho a la vida y a la supervivencia.  Asimismo, en materia de familia se atendieron 575 personas usuarias. </w:t>
      </w:r>
    </w:p>
    <w:p w14:paraId="6C003FAE" w14:textId="77777777" w:rsidR="009279AF"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              </w:t>
      </w:r>
    </w:p>
    <w:p w14:paraId="6097E421"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color w:val="000000"/>
          <w:sz w:val="26"/>
          <w:szCs w:val="26"/>
        </w:rPr>
      </w:pPr>
      <w:r w:rsidRPr="002A7673">
        <w:rPr>
          <w:rFonts w:ascii="Times New Roman" w:eastAsia="Times New Roman" w:hAnsi="Times New Roman" w:cs="Times New Roman"/>
          <w:i/>
          <w:iCs/>
          <w:sz w:val="26"/>
          <w:szCs w:val="26"/>
        </w:rPr>
        <w:t>En ese mismo orden de ideas, con la entrada en vigor del Código Procesal de Familia, el primero de octubre de 2022, y de contar con estas plazas se podría hacerles frente a las disposiciones contenidas respecto de la representación de la parte acreedora alimentaria que carezca de recursos para contratar un abogado particular, en congruencia con los principios de efectivización</w:t>
      </w:r>
      <w:r w:rsidRPr="002A7673">
        <w:rPr>
          <w:rFonts w:ascii="Times New Roman" w:eastAsia="Times New Roman" w:hAnsi="Times New Roman" w:cs="Times New Roman"/>
          <w:i/>
          <w:iCs/>
          <w:color w:val="000000"/>
          <w:sz w:val="26"/>
          <w:szCs w:val="26"/>
        </w:rPr>
        <w:t xml:space="preserve"> de derechos transversales y acceso a la justicia. </w:t>
      </w:r>
    </w:p>
    <w:p w14:paraId="3E17B1CF" w14:textId="77777777" w:rsidR="009279AF" w:rsidRPr="002A7673" w:rsidRDefault="009279AF" w:rsidP="009279AF">
      <w:pPr>
        <w:spacing w:after="0" w:line="240" w:lineRule="auto"/>
        <w:ind w:left="851" w:right="851" w:firstLine="709"/>
        <w:jc w:val="both"/>
        <w:rPr>
          <w:rFonts w:ascii="Times New Roman" w:eastAsia="Times New Roman" w:hAnsi="Times New Roman" w:cs="Times New Roman"/>
          <w:i/>
          <w:iCs/>
          <w:color w:val="000000"/>
          <w:sz w:val="26"/>
          <w:szCs w:val="26"/>
        </w:rPr>
      </w:pPr>
    </w:p>
    <w:p w14:paraId="2E0D3AA7"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color w:val="000000"/>
          <w:sz w:val="26"/>
          <w:szCs w:val="26"/>
        </w:rPr>
        <w:t xml:space="preserve">Por lo anterior, con el mayor de los respetos les solicito valorar la posibilidad de tomar un acuerdo como Comisión, para que se envié a la Dirección de Planificación este requerimiento y la Defensa Pública sea incluida a la brevedad en las mesas de trabajo de elaboración del presupuesto 2022 del Poder Judicial y se incluya esta necesidad de 35 plazas de personas defensoras en pensiones alimentarias. </w:t>
      </w:r>
    </w:p>
    <w:p w14:paraId="4C8FD416"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p>
    <w:p w14:paraId="44C82B68"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rPr>
      </w:pPr>
      <w:r w:rsidRPr="002A7673">
        <w:rPr>
          <w:rFonts w:ascii="Times New Roman" w:eastAsia="Times New Roman" w:hAnsi="Times New Roman" w:cs="Times New Roman"/>
          <w:i/>
          <w:iCs/>
          <w:sz w:val="26"/>
          <w:szCs w:val="26"/>
        </w:rPr>
        <w:t xml:space="preserve">Con muestras de mi consideración y estima, </w:t>
      </w:r>
    </w:p>
    <w:p w14:paraId="4E35FF56" w14:textId="77777777" w:rsidR="00083CA4" w:rsidRPr="002A7673" w:rsidRDefault="00083CA4" w:rsidP="005F7139">
      <w:pPr>
        <w:spacing w:after="0" w:line="360" w:lineRule="auto"/>
        <w:ind w:left="284"/>
        <w:jc w:val="both"/>
        <w:rPr>
          <w:rFonts w:ascii="Times New Roman" w:eastAsia="Times New Roman" w:hAnsi="Times New Roman" w:cs="Times New Roman"/>
          <w:i/>
          <w:iCs/>
        </w:rPr>
      </w:pPr>
    </w:p>
    <w:p w14:paraId="089155D2" w14:textId="77777777" w:rsidR="00083CA4" w:rsidRPr="002A7673" w:rsidRDefault="00083CA4" w:rsidP="005F7139">
      <w:pPr>
        <w:spacing w:after="0" w:line="240" w:lineRule="auto"/>
        <w:ind w:left="284"/>
        <w:jc w:val="center"/>
        <w:rPr>
          <w:rFonts w:ascii="Times New Roman" w:eastAsia="Times New Roman" w:hAnsi="Times New Roman" w:cs="Times New Roman"/>
          <w:i/>
          <w:iCs/>
          <w:sz w:val="26"/>
          <w:szCs w:val="26"/>
        </w:rPr>
      </w:pPr>
      <w:r w:rsidRPr="002A7673">
        <w:rPr>
          <w:rFonts w:ascii="Times New Roman" w:eastAsia="Times New Roman" w:hAnsi="Times New Roman" w:cs="Times New Roman"/>
          <w:b/>
          <w:bCs/>
          <w:i/>
          <w:iCs/>
          <w:sz w:val="26"/>
          <w:szCs w:val="26"/>
        </w:rPr>
        <w:t>M.sc. Juan Carlos Pérez Murillo.</w:t>
      </w:r>
    </w:p>
    <w:p w14:paraId="4A960905" w14:textId="77777777" w:rsidR="00083CA4" w:rsidRPr="002A7673" w:rsidRDefault="00083CA4" w:rsidP="005F7139">
      <w:pPr>
        <w:spacing w:after="0" w:line="240" w:lineRule="auto"/>
        <w:ind w:left="284"/>
        <w:jc w:val="center"/>
        <w:rPr>
          <w:rFonts w:ascii="Times New Roman" w:eastAsia="Times New Roman" w:hAnsi="Times New Roman" w:cs="Times New Roman"/>
          <w:b/>
          <w:bCs/>
          <w:i/>
          <w:iCs/>
          <w:sz w:val="26"/>
          <w:szCs w:val="26"/>
        </w:rPr>
      </w:pPr>
      <w:r w:rsidRPr="002A7673">
        <w:rPr>
          <w:rFonts w:ascii="Times New Roman" w:eastAsia="Times New Roman" w:hAnsi="Times New Roman" w:cs="Times New Roman"/>
          <w:b/>
          <w:bCs/>
          <w:i/>
          <w:iCs/>
          <w:sz w:val="26"/>
          <w:szCs w:val="26"/>
        </w:rPr>
        <w:t>Director</w:t>
      </w:r>
    </w:p>
    <w:p w14:paraId="78E4D357" w14:textId="77777777" w:rsidR="00083CA4" w:rsidRPr="002A7673" w:rsidRDefault="00083CA4" w:rsidP="005F7139">
      <w:pPr>
        <w:spacing w:after="0" w:line="240" w:lineRule="auto"/>
        <w:ind w:left="284"/>
        <w:jc w:val="center"/>
        <w:rPr>
          <w:rFonts w:ascii="Times New Roman" w:eastAsia="Times New Roman" w:hAnsi="Times New Roman" w:cs="Times New Roman"/>
          <w:b/>
          <w:bCs/>
          <w:i/>
          <w:iCs/>
          <w:sz w:val="26"/>
          <w:szCs w:val="26"/>
        </w:rPr>
      </w:pPr>
      <w:r w:rsidRPr="002A7673">
        <w:rPr>
          <w:rFonts w:ascii="Times New Roman" w:eastAsia="Times New Roman" w:hAnsi="Times New Roman" w:cs="Times New Roman"/>
          <w:b/>
          <w:bCs/>
          <w:i/>
          <w:iCs/>
          <w:sz w:val="26"/>
          <w:szCs w:val="26"/>
        </w:rPr>
        <w:t>Defensa Pública.</w:t>
      </w:r>
    </w:p>
    <w:p w14:paraId="7D8C983A" w14:textId="77777777" w:rsidR="00083CA4" w:rsidRPr="002A7673" w:rsidRDefault="00083CA4" w:rsidP="005F7139">
      <w:pPr>
        <w:spacing w:after="0" w:line="240" w:lineRule="auto"/>
        <w:ind w:left="284"/>
        <w:rPr>
          <w:rFonts w:ascii="Times New Roman" w:eastAsia="Calibri" w:hAnsi="Times New Roman" w:cs="Times New Roman"/>
          <w:i/>
          <w:iCs/>
        </w:rPr>
      </w:pPr>
    </w:p>
    <w:p w14:paraId="15B8F15E"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sz w:val="26"/>
          <w:szCs w:val="26"/>
          <w:lang w:val="es-ES"/>
        </w:rPr>
      </w:pPr>
      <w:r w:rsidRPr="002A7673">
        <w:rPr>
          <w:rFonts w:ascii="Times New Roman" w:eastAsia="Times New Roman" w:hAnsi="Times New Roman" w:cs="Times New Roman"/>
          <w:b/>
          <w:bCs/>
          <w:i/>
          <w:iCs/>
          <w:sz w:val="26"/>
          <w:szCs w:val="26"/>
          <w:lang w:val="es-ES"/>
        </w:rPr>
        <w:t xml:space="preserve">Se acuerda:  </w:t>
      </w:r>
      <w:r w:rsidRPr="002A7673">
        <w:rPr>
          <w:rFonts w:ascii="Times New Roman" w:eastAsia="Times New Roman" w:hAnsi="Times New Roman" w:cs="Times New Roman"/>
          <w:i/>
          <w:iCs/>
          <w:sz w:val="26"/>
          <w:szCs w:val="26"/>
          <w:lang w:val="es-ES"/>
        </w:rPr>
        <w:t xml:space="preserve">Acoger la solicitud que plantea la Dirección de la Defensa Pública, y solicitar  a la </w:t>
      </w:r>
      <w:proofErr w:type="spellStart"/>
      <w:r w:rsidRPr="002A7673">
        <w:rPr>
          <w:rFonts w:ascii="Times New Roman" w:eastAsia="Times New Roman" w:hAnsi="Times New Roman" w:cs="Times New Roman"/>
          <w:i/>
          <w:iCs/>
          <w:sz w:val="26"/>
          <w:szCs w:val="26"/>
          <w:lang w:val="es-ES"/>
        </w:rPr>
        <w:t>Direccion</w:t>
      </w:r>
      <w:proofErr w:type="spellEnd"/>
      <w:r w:rsidRPr="002A7673">
        <w:rPr>
          <w:rFonts w:ascii="Times New Roman" w:eastAsia="Times New Roman" w:hAnsi="Times New Roman" w:cs="Times New Roman"/>
          <w:i/>
          <w:iCs/>
          <w:sz w:val="26"/>
          <w:szCs w:val="26"/>
          <w:lang w:val="es-ES"/>
        </w:rPr>
        <w:t xml:space="preserve"> de  Planificación,  se incorporen en la mesa de trabajo para el análisis del presupuesto del  2022,  al personal de la Defensa Publica  que se designe, a efecto de trabajar la  necesidad de la  propuesta de las </w:t>
      </w:r>
      <w:r w:rsidRPr="002A7673">
        <w:rPr>
          <w:rFonts w:ascii="Times New Roman" w:eastAsia="Times New Roman" w:hAnsi="Times New Roman" w:cs="Times New Roman"/>
          <w:i/>
          <w:iCs/>
          <w:color w:val="000000"/>
          <w:sz w:val="26"/>
          <w:szCs w:val="26"/>
        </w:rPr>
        <w:t xml:space="preserve">35 plazas de personas defensoras en pensiones alimentarias, </w:t>
      </w:r>
      <w:r w:rsidRPr="002A7673">
        <w:rPr>
          <w:rFonts w:ascii="Times New Roman" w:eastAsia="Times New Roman" w:hAnsi="Times New Roman" w:cs="Times New Roman"/>
          <w:i/>
          <w:iCs/>
          <w:sz w:val="26"/>
          <w:szCs w:val="26"/>
          <w:lang w:val="es-ES"/>
        </w:rPr>
        <w:t xml:space="preserve"> para cumplir con las obligaciones legales vigentes, y se consideren los  requerimientos de las plazas para cumplir a partir del 2022 el mandato de los  artículos 42 y 56 del Código Procesal de Familia.</w:t>
      </w:r>
    </w:p>
    <w:p w14:paraId="73106635"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p>
    <w:p w14:paraId="572DEEE5"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Se tiene como acuerdo firme.</w:t>
      </w:r>
    </w:p>
    <w:p w14:paraId="1832B9E9"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p>
    <w:p w14:paraId="6D12D6A4"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De usted, con toda consideración y estima,</w:t>
      </w:r>
    </w:p>
    <w:p w14:paraId="06C137DC"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p>
    <w:p w14:paraId="3D88A426" w14:textId="77777777" w:rsidR="00083CA4" w:rsidRPr="002A7673" w:rsidRDefault="00083CA4" w:rsidP="005F7139">
      <w:pPr>
        <w:spacing w:after="0" w:line="360" w:lineRule="auto"/>
        <w:ind w:right="-232"/>
        <w:jc w:val="both"/>
        <w:rPr>
          <w:rFonts w:ascii="Times New Roman" w:eastAsia="Calibri" w:hAnsi="Times New Roman" w:cs="Times New Roman"/>
          <w:i/>
          <w:iCs/>
        </w:rPr>
      </w:pPr>
    </w:p>
    <w:p w14:paraId="3E0E2C9B" w14:textId="77777777" w:rsidR="00083CA4" w:rsidRPr="002A7673" w:rsidRDefault="00083CA4" w:rsidP="005F7139">
      <w:pPr>
        <w:spacing w:after="0" w:line="360" w:lineRule="auto"/>
        <w:ind w:right="-232"/>
        <w:jc w:val="both"/>
        <w:rPr>
          <w:rFonts w:ascii="Times New Roman" w:eastAsia="Calibri" w:hAnsi="Times New Roman" w:cs="Times New Roman"/>
          <w:i/>
          <w:iCs/>
        </w:rPr>
      </w:pPr>
    </w:p>
    <w:p w14:paraId="40D2183D" w14:textId="77777777" w:rsidR="00083CA4" w:rsidRPr="002A7673" w:rsidRDefault="00083CA4" w:rsidP="005F7139">
      <w:pPr>
        <w:spacing w:after="0" w:line="240" w:lineRule="auto"/>
        <w:ind w:right="-232"/>
        <w:jc w:val="center"/>
        <w:rPr>
          <w:rFonts w:ascii="Times New Roman" w:eastAsia="Times New Roman" w:hAnsi="Times New Roman" w:cs="Times New Roman"/>
          <w:b/>
          <w:bCs/>
          <w:i/>
          <w:iCs/>
          <w:sz w:val="26"/>
          <w:szCs w:val="26"/>
          <w:lang w:val="es-ES"/>
        </w:rPr>
      </w:pPr>
      <w:proofErr w:type="spellStart"/>
      <w:r w:rsidRPr="002A7673">
        <w:rPr>
          <w:rFonts w:ascii="Times New Roman" w:eastAsia="Times New Roman" w:hAnsi="Times New Roman" w:cs="Times New Roman"/>
          <w:b/>
          <w:bCs/>
          <w:i/>
          <w:iCs/>
          <w:sz w:val="26"/>
          <w:szCs w:val="26"/>
          <w:lang w:val="es-ES"/>
        </w:rPr>
        <w:t>M.s.c</w:t>
      </w:r>
      <w:proofErr w:type="spellEnd"/>
      <w:r w:rsidRPr="002A7673">
        <w:rPr>
          <w:rFonts w:ascii="Times New Roman" w:eastAsia="Times New Roman" w:hAnsi="Times New Roman" w:cs="Times New Roman"/>
          <w:b/>
          <w:bCs/>
          <w:i/>
          <w:iCs/>
          <w:sz w:val="26"/>
          <w:szCs w:val="26"/>
          <w:lang w:val="es-ES"/>
        </w:rPr>
        <w:t xml:space="preserve"> Julia Varela Araya, Magistrada</w:t>
      </w:r>
    </w:p>
    <w:p w14:paraId="56F8C582" w14:textId="77777777" w:rsidR="00083CA4" w:rsidRPr="002A7673" w:rsidRDefault="00083CA4" w:rsidP="005F7139">
      <w:pPr>
        <w:spacing w:after="0" w:line="240" w:lineRule="auto"/>
        <w:ind w:right="-232"/>
        <w:jc w:val="center"/>
        <w:rPr>
          <w:rFonts w:ascii="Times New Roman" w:eastAsia="Times New Roman" w:hAnsi="Times New Roman" w:cs="Times New Roman"/>
          <w:b/>
          <w:bCs/>
          <w:i/>
          <w:iCs/>
          <w:sz w:val="26"/>
          <w:szCs w:val="26"/>
          <w:lang w:val="es-ES"/>
        </w:rPr>
      </w:pPr>
      <w:r w:rsidRPr="002A7673">
        <w:rPr>
          <w:rFonts w:ascii="Times New Roman" w:eastAsia="Times New Roman" w:hAnsi="Times New Roman" w:cs="Times New Roman"/>
          <w:b/>
          <w:bCs/>
          <w:i/>
          <w:iCs/>
          <w:sz w:val="26"/>
          <w:szCs w:val="26"/>
          <w:lang w:val="es-ES"/>
        </w:rPr>
        <w:t>Coordinadora de la Comisión de la</w:t>
      </w:r>
    </w:p>
    <w:p w14:paraId="20BDF4E7" w14:textId="77777777" w:rsidR="00083CA4" w:rsidRPr="002A7673" w:rsidRDefault="00083CA4" w:rsidP="005F7139">
      <w:pPr>
        <w:spacing w:after="0" w:line="240" w:lineRule="auto"/>
        <w:ind w:right="-232"/>
        <w:jc w:val="center"/>
        <w:rPr>
          <w:rFonts w:ascii="Times New Roman" w:eastAsia="Times New Roman" w:hAnsi="Times New Roman" w:cs="Times New Roman"/>
          <w:i/>
          <w:iCs/>
          <w:sz w:val="26"/>
          <w:szCs w:val="26"/>
          <w:lang w:val="es-ES"/>
        </w:rPr>
      </w:pPr>
      <w:r w:rsidRPr="002A7673">
        <w:rPr>
          <w:rFonts w:ascii="Times New Roman" w:eastAsia="Times New Roman" w:hAnsi="Times New Roman" w:cs="Times New Roman"/>
          <w:b/>
          <w:bCs/>
          <w:i/>
          <w:iCs/>
          <w:sz w:val="26"/>
          <w:szCs w:val="26"/>
          <w:lang w:val="es-ES"/>
        </w:rPr>
        <w:t>Jurisdicción de Familia, Niñez y Adolescencia</w:t>
      </w:r>
    </w:p>
    <w:p w14:paraId="3269123E" w14:textId="77777777" w:rsidR="00083CA4" w:rsidRPr="002A7673" w:rsidRDefault="00083CA4" w:rsidP="005F7139">
      <w:pPr>
        <w:spacing w:after="0" w:line="240" w:lineRule="auto"/>
        <w:ind w:left="284" w:right="48"/>
        <w:jc w:val="both"/>
        <w:rPr>
          <w:rFonts w:ascii="Times New Roman" w:eastAsia="Times New Roman" w:hAnsi="Times New Roman" w:cs="Times New Roman"/>
          <w:i/>
          <w:iCs/>
          <w:sz w:val="26"/>
          <w:szCs w:val="26"/>
          <w:lang w:val="es-ES"/>
        </w:rPr>
      </w:pPr>
    </w:p>
    <w:p w14:paraId="03EDA394" w14:textId="77777777" w:rsidR="00083CA4" w:rsidRPr="002A7673" w:rsidRDefault="00083CA4" w:rsidP="009279AF">
      <w:pPr>
        <w:spacing w:after="0" w:line="240" w:lineRule="auto"/>
        <w:ind w:left="851" w:right="48"/>
        <w:jc w:val="both"/>
        <w:rPr>
          <w:rFonts w:ascii="Times New Roman" w:eastAsia="Times New Roman" w:hAnsi="Times New Roman" w:cs="Times New Roman"/>
          <w:i/>
          <w:iCs/>
          <w:sz w:val="26"/>
          <w:szCs w:val="26"/>
          <w:lang w:val="es-ES"/>
        </w:rPr>
      </w:pPr>
      <w:r w:rsidRPr="002A7673">
        <w:rPr>
          <w:rFonts w:ascii="Times New Roman" w:eastAsia="Times New Roman" w:hAnsi="Times New Roman" w:cs="Times New Roman"/>
          <w:i/>
          <w:iCs/>
          <w:sz w:val="26"/>
          <w:szCs w:val="26"/>
          <w:lang w:val="es-ES"/>
        </w:rPr>
        <w:t>JAV/</w:t>
      </w:r>
      <w:proofErr w:type="spellStart"/>
      <w:r w:rsidRPr="002A7673">
        <w:rPr>
          <w:rFonts w:ascii="Times New Roman" w:eastAsia="Times New Roman" w:hAnsi="Times New Roman" w:cs="Times New Roman"/>
          <w:i/>
          <w:iCs/>
          <w:sz w:val="26"/>
          <w:szCs w:val="26"/>
          <w:lang w:val="es-ES"/>
        </w:rPr>
        <w:t>sam</w:t>
      </w:r>
      <w:proofErr w:type="spellEnd"/>
    </w:p>
    <w:p w14:paraId="4EA90A14" w14:textId="77777777" w:rsidR="00083CA4" w:rsidRPr="002A7673" w:rsidRDefault="00083CA4" w:rsidP="009279AF">
      <w:pPr>
        <w:spacing w:after="0" w:line="240" w:lineRule="auto"/>
        <w:ind w:left="851" w:right="48"/>
        <w:jc w:val="both"/>
        <w:rPr>
          <w:rFonts w:ascii="Times New Roman" w:eastAsia="Times New Roman" w:hAnsi="Times New Roman" w:cs="Times New Roman"/>
          <w:i/>
          <w:iCs/>
          <w:sz w:val="26"/>
          <w:szCs w:val="26"/>
          <w:lang w:val="es-ES"/>
        </w:rPr>
      </w:pPr>
    </w:p>
    <w:p w14:paraId="45F48CA3" w14:textId="77777777" w:rsidR="00083CA4" w:rsidRPr="002A7673" w:rsidRDefault="00083CA4" w:rsidP="009279AF">
      <w:pPr>
        <w:spacing w:after="0" w:line="240" w:lineRule="auto"/>
        <w:ind w:left="851" w:right="48"/>
        <w:jc w:val="both"/>
        <w:rPr>
          <w:rFonts w:ascii="Times New Roman" w:eastAsia="Times New Roman" w:hAnsi="Times New Roman" w:cs="Times New Roman"/>
          <w:i/>
          <w:iCs/>
          <w:sz w:val="26"/>
          <w:szCs w:val="26"/>
          <w:lang w:val="es-ES"/>
        </w:rPr>
      </w:pPr>
      <w:r w:rsidRPr="002A7673">
        <w:rPr>
          <w:rFonts w:ascii="Times New Roman" w:eastAsia="Times New Roman" w:hAnsi="Times New Roman" w:cs="Times New Roman"/>
          <w:i/>
          <w:iCs/>
          <w:sz w:val="26"/>
          <w:szCs w:val="26"/>
          <w:lang w:val="es-ES"/>
        </w:rPr>
        <w:t xml:space="preserve">c. </w:t>
      </w:r>
      <w:r w:rsidRPr="002A7673">
        <w:rPr>
          <w:rFonts w:ascii="Times New Roman" w:eastAsia="Times New Roman" w:hAnsi="Times New Roman" w:cs="Times New Roman"/>
          <w:i/>
          <w:iCs/>
          <w:sz w:val="26"/>
          <w:szCs w:val="26"/>
          <w:lang w:val="es-ES"/>
        </w:rPr>
        <w:tab/>
        <w:t xml:space="preserve">Lic. Cristian Martínez Hernández – Juez Gestor </w:t>
      </w:r>
    </w:p>
    <w:p w14:paraId="51C42E38" w14:textId="77777777" w:rsidR="00083CA4" w:rsidRPr="002A7673" w:rsidRDefault="00083CA4" w:rsidP="009279AF">
      <w:pPr>
        <w:spacing w:after="0" w:line="240" w:lineRule="auto"/>
        <w:ind w:left="851" w:right="48"/>
        <w:jc w:val="both"/>
        <w:rPr>
          <w:rFonts w:ascii="Times New Roman" w:eastAsia="Times New Roman" w:hAnsi="Times New Roman" w:cs="Times New Roman"/>
          <w:i/>
          <w:iCs/>
          <w:sz w:val="26"/>
          <w:szCs w:val="26"/>
          <w:lang w:val="es-ES"/>
        </w:rPr>
      </w:pPr>
      <w:r w:rsidRPr="002A7673">
        <w:rPr>
          <w:rFonts w:ascii="Times New Roman" w:eastAsia="Times New Roman" w:hAnsi="Times New Roman" w:cs="Times New Roman"/>
          <w:i/>
          <w:iCs/>
          <w:sz w:val="26"/>
          <w:szCs w:val="26"/>
          <w:lang w:val="es-ES"/>
        </w:rPr>
        <w:tab/>
        <w:t xml:space="preserve">Máster Juan Carlos Pérez Murillo – Director Defensa Pública  </w:t>
      </w:r>
    </w:p>
    <w:p w14:paraId="73230A92" w14:textId="2CFB861E" w:rsidR="00083CA4" w:rsidRPr="002A7673" w:rsidRDefault="00083CA4" w:rsidP="00102DB7">
      <w:pPr>
        <w:spacing w:after="0" w:line="240" w:lineRule="auto"/>
        <w:ind w:left="851" w:right="48"/>
        <w:jc w:val="both"/>
        <w:rPr>
          <w:rFonts w:ascii="Times New Roman" w:eastAsia="Times New Roman" w:hAnsi="Times New Roman" w:cs="Times New Roman"/>
          <w:i/>
          <w:iCs/>
          <w:sz w:val="26"/>
          <w:szCs w:val="26"/>
          <w:lang w:val="es-ES"/>
        </w:rPr>
      </w:pPr>
      <w:r w:rsidRPr="002A7673">
        <w:rPr>
          <w:rFonts w:ascii="Times New Roman" w:eastAsia="Times New Roman" w:hAnsi="Times New Roman" w:cs="Times New Roman"/>
          <w:i/>
          <w:iCs/>
          <w:sz w:val="26"/>
          <w:szCs w:val="26"/>
          <w:lang w:val="es-ES"/>
        </w:rPr>
        <w:tab/>
        <w:t xml:space="preserve">Archivo </w:t>
      </w:r>
    </w:p>
    <w:p w14:paraId="4854F488" w14:textId="77777777" w:rsidR="00102DB7" w:rsidRPr="002A7673" w:rsidRDefault="00102DB7" w:rsidP="00102DB7">
      <w:pPr>
        <w:spacing w:after="0" w:line="240" w:lineRule="auto"/>
        <w:ind w:left="851" w:right="48"/>
        <w:jc w:val="both"/>
        <w:rPr>
          <w:rFonts w:ascii="Times New Roman" w:eastAsia="Times New Roman" w:hAnsi="Times New Roman" w:cs="Times New Roman"/>
          <w:i/>
          <w:iCs/>
          <w:sz w:val="26"/>
          <w:szCs w:val="26"/>
          <w:lang w:val="es-ES"/>
        </w:rPr>
      </w:pPr>
    </w:p>
    <w:p w14:paraId="2259893D" w14:textId="77777777" w:rsidR="00083CA4" w:rsidRPr="002A7673" w:rsidRDefault="00083CA4" w:rsidP="009279AF">
      <w:pPr>
        <w:numPr>
          <w:ilvl w:val="0"/>
          <w:numId w:val="1"/>
        </w:numPr>
        <w:spacing w:after="0" w:line="480" w:lineRule="auto"/>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     -</w:t>
      </w:r>
    </w:p>
    <w:p w14:paraId="5FF2A8EC" w14:textId="77777777" w:rsidR="00083CA4" w:rsidRPr="002A7673" w:rsidRDefault="00083CA4" w:rsidP="009279AF">
      <w:pPr>
        <w:shd w:val="clear" w:color="auto" w:fill="FFFFFF"/>
        <w:spacing w:after="0" w:line="240" w:lineRule="auto"/>
        <w:ind w:left="851" w:right="851" w:firstLine="709"/>
        <w:jc w:val="both"/>
        <w:rPr>
          <w:rFonts w:ascii="Times New Roman" w:eastAsia="Calibri" w:hAnsi="Times New Roman" w:cs="Times New Roman"/>
          <w:color w:val="000000"/>
          <w:sz w:val="26"/>
          <w:szCs w:val="26"/>
          <w:shd w:val="clear" w:color="auto" w:fill="FFFFFF"/>
        </w:rPr>
      </w:pPr>
      <w:r w:rsidRPr="002A7673">
        <w:rPr>
          <w:rFonts w:ascii="Times New Roman" w:eastAsia="Calibri" w:hAnsi="Times New Roman" w:cs="Times New Roman"/>
          <w:color w:val="000000"/>
          <w:sz w:val="26"/>
          <w:szCs w:val="26"/>
          <w:shd w:val="clear" w:color="auto" w:fill="FFFFFF"/>
        </w:rPr>
        <w:t>Al respecto, cabe señalar que Corte Plena en sesión 31-2020, del 2 de junio del 2020, artículo II, como parte del proceso de formulación y aprobación del proyecto de presupuesto del 2021, en relación con esta necesidad de la Defensa Pública, dispuso lo siguiente:</w:t>
      </w:r>
    </w:p>
    <w:p w14:paraId="7B4755AD" w14:textId="77777777" w:rsidR="009279AF" w:rsidRPr="002A7673" w:rsidRDefault="009279AF" w:rsidP="009279AF">
      <w:pPr>
        <w:spacing w:after="0" w:line="240" w:lineRule="auto"/>
        <w:ind w:left="851" w:right="851" w:firstLine="709"/>
        <w:jc w:val="both"/>
        <w:rPr>
          <w:rFonts w:ascii="Times New Roman" w:eastAsia="Times New Roman" w:hAnsi="Times New Roman" w:cs="Times New Roman"/>
          <w:b/>
          <w:bCs/>
          <w:i/>
          <w:iCs/>
          <w:sz w:val="26"/>
          <w:szCs w:val="26"/>
          <w:lang w:val="es-ES"/>
        </w:rPr>
      </w:pPr>
    </w:p>
    <w:p w14:paraId="7AAEB5EB"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b/>
          <w:bCs/>
          <w:i/>
          <w:iCs/>
          <w:sz w:val="26"/>
          <w:szCs w:val="26"/>
          <w:lang w:val="es-ES"/>
        </w:rPr>
      </w:pPr>
      <w:r w:rsidRPr="002A7673">
        <w:rPr>
          <w:rFonts w:ascii="Times New Roman" w:eastAsia="Times New Roman" w:hAnsi="Times New Roman" w:cs="Times New Roman"/>
          <w:b/>
          <w:bCs/>
          <w:i/>
          <w:iCs/>
          <w:sz w:val="26"/>
          <w:szCs w:val="26"/>
          <w:lang w:val="es-ES"/>
        </w:rPr>
        <w:t xml:space="preserve">“Se acordó: Aprobar por separado del Presupuesto ordinario del Poder Judicial, el requerimiento correspondiente de 33 plazas para la Defensa Pública, para cumplir con lo que dispone la Ley de Pensiones Alimentarias. Así votaron los magistrados y magistradas Cruz, Rivas, </w:t>
      </w:r>
      <w:proofErr w:type="spellStart"/>
      <w:r w:rsidRPr="002A7673">
        <w:rPr>
          <w:rFonts w:ascii="Times New Roman" w:eastAsia="Times New Roman" w:hAnsi="Times New Roman" w:cs="Times New Roman"/>
          <w:b/>
          <w:bCs/>
          <w:i/>
          <w:iCs/>
          <w:sz w:val="26"/>
          <w:szCs w:val="26"/>
          <w:lang w:val="es-ES"/>
        </w:rPr>
        <w:t>Molinari</w:t>
      </w:r>
      <w:proofErr w:type="spellEnd"/>
      <w:r w:rsidRPr="002A7673">
        <w:rPr>
          <w:rFonts w:ascii="Times New Roman" w:eastAsia="Times New Roman" w:hAnsi="Times New Roman" w:cs="Times New Roman"/>
          <w:b/>
          <w:bCs/>
          <w:i/>
          <w:iCs/>
          <w:sz w:val="26"/>
          <w:szCs w:val="26"/>
          <w:lang w:val="es-ES"/>
        </w:rPr>
        <w:t xml:space="preserve">, Vargas, Aguirre, Varela, Sánchez, Chacón, Ramírez, Solano, Burgos, Alfaro, Zúñiga, Hernández, Salazar Alvarado, Araya y Garro. </w:t>
      </w:r>
    </w:p>
    <w:p w14:paraId="1B86041D" w14:textId="77777777" w:rsidR="009279AF" w:rsidRPr="002A7673" w:rsidRDefault="009279AF" w:rsidP="009279AF">
      <w:pPr>
        <w:spacing w:after="0" w:line="240" w:lineRule="auto"/>
        <w:ind w:left="851" w:right="851" w:firstLine="709"/>
        <w:jc w:val="both"/>
        <w:rPr>
          <w:rFonts w:ascii="Times New Roman" w:eastAsia="Times New Roman" w:hAnsi="Times New Roman" w:cs="Times New Roman"/>
          <w:b/>
          <w:bCs/>
          <w:i/>
          <w:iCs/>
          <w:sz w:val="26"/>
          <w:szCs w:val="26"/>
          <w:lang w:val="es-ES"/>
        </w:rPr>
      </w:pPr>
    </w:p>
    <w:p w14:paraId="7F589D3B"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b/>
          <w:bCs/>
          <w:i/>
          <w:iCs/>
          <w:sz w:val="26"/>
          <w:szCs w:val="26"/>
          <w:lang w:val="es-ES"/>
        </w:rPr>
      </w:pPr>
      <w:r w:rsidRPr="002A7673">
        <w:rPr>
          <w:rFonts w:ascii="Times New Roman" w:eastAsia="Times New Roman" w:hAnsi="Times New Roman" w:cs="Times New Roman"/>
          <w:b/>
          <w:bCs/>
          <w:i/>
          <w:iCs/>
          <w:sz w:val="26"/>
          <w:szCs w:val="26"/>
          <w:lang w:val="es-ES"/>
        </w:rPr>
        <w:t>La Magistrada Rojas votó por no aprobarlo.”</w:t>
      </w:r>
    </w:p>
    <w:p w14:paraId="0594D254" w14:textId="77777777" w:rsidR="009279AF" w:rsidRPr="002A7673" w:rsidRDefault="009279AF" w:rsidP="009279AF">
      <w:pPr>
        <w:spacing w:after="0" w:line="240" w:lineRule="auto"/>
        <w:ind w:left="851" w:right="851" w:firstLine="709"/>
        <w:jc w:val="both"/>
        <w:rPr>
          <w:rFonts w:ascii="Times New Roman" w:eastAsia="Times New Roman" w:hAnsi="Times New Roman" w:cs="Times New Roman"/>
          <w:b/>
          <w:bCs/>
          <w:i/>
          <w:iCs/>
          <w:sz w:val="24"/>
          <w:szCs w:val="24"/>
          <w:lang w:val="es-ES"/>
        </w:rPr>
      </w:pPr>
    </w:p>
    <w:p w14:paraId="39559797" w14:textId="77777777" w:rsidR="00083CA4" w:rsidRPr="002A7673" w:rsidRDefault="00083CA4" w:rsidP="009279AF">
      <w:pPr>
        <w:numPr>
          <w:ilvl w:val="0"/>
          <w:numId w:val="1"/>
        </w:numPr>
        <w:spacing w:after="0" w:line="480" w:lineRule="auto"/>
        <w:ind w:left="0" w:hanging="11"/>
        <w:jc w:val="center"/>
        <w:rPr>
          <w:rFonts w:ascii="Times New Roman" w:eastAsia="Times New Roman" w:hAnsi="Times New Roman" w:cs="Times New Roman"/>
          <w:sz w:val="28"/>
          <w:szCs w:val="28"/>
          <w:lang w:val="es-ES" w:eastAsia="es-ES"/>
        </w:rPr>
      </w:pPr>
      <w:bookmarkStart w:id="16" w:name="_MON_1679117999"/>
      <w:bookmarkEnd w:id="16"/>
      <w:r w:rsidRPr="002A7673">
        <w:rPr>
          <w:rFonts w:ascii="Times New Roman" w:eastAsia="Times New Roman" w:hAnsi="Times New Roman" w:cs="Times New Roman"/>
          <w:sz w:val="28"/>
          <w:szCs w:val="28"/>
          <w:lang w:val="es-ES" w:eastAsia="es-ES"/>
        </w:rPr>
        <w:t>0     -</w:t>
      </w:r>
    </w:p>
    <w:p w14:paraId="23A542BD" w14:textId="77777777" w:rsidR="00083CA4" w:rsidRPr="002A7673" w:rsidRDefault="00083CA4" w:rsidP="009279AF">
      <w:pPr>
        <w:spacing w:after="0" w:line="240" w:lineRule="auto"/>
        <w:ind w:left="851" w:right="851" w:firstLine="709"/>
        <w:jc w:val="both"/>
        <w:rPr>
          <w:rFonts w:ascii="Times New Roman" w:eastAsia="Calibri" w:hAnsi="Times New Roman" w:cs="Times New Roman"/>
          <w:color w:val="000000"/>
          <w:sz w:val="26"/>
          <w:szCs w:val="26"/>
          <w:shd w:val="clear" w:color="auto" w:fill="FFFFFF"/>
          <w:lang w:eastAsia="es-CR"/>
        </w:rPr>
      </w:pPr>
      <w:r w:rsidRPr="002A7673">
        <w:rPr>
          <w:rFonts w:ascii="Times New Roman" w:eastAsia="Calibri" w:hAnsi="Times New Roman" w:cs="Times New Roman"/>
          <w:color w:val="000000"/>
          <w:sz w:val="26"/>
          <w:szCs w:val="26"/>
          <w:shd w:val="clear" w:color="auto" w:fill="FFFFFF"/>
          <w:lang w:eastAsia="es-CR"/>
        </w:rPr>
        <w:t xml:space="preserve">Por su parte, en torno a la formulación presupuestaria del 2022, el Consejo Superior del Poder Judicial, en sesión N° 118-2020 celebrada el 10 de diciembre del 2020, artículo XXXII, conoció y aprobó el informe </w:t>
      </w:r>
      <w:bookmarkStart w:id="17" w:name="x__Toc58314829"/>
      <w:bookmarkEnd w:id="17"/>
      <w:r w:rsidRPr="002A7673">
        <w:rPr>
          <w:rFonts w:ascii="Times New Roman" w:eastAsia="Calibri" w:hAnsi="Times New Roman" w:cs="Times New Roman"/>
          <w:color w:val="000000"/>
          <w:sz w:val="26"/>
          <w:szCs w:val="26"/>
          <w:shd w:val="clear" w:color="auto" w:fill="FFFFFF"/>
          <w:lang w:eastAsia="es-CR"/>
        </w:rPr>
        <w:t xml:space="preserve">N°1964-PLA-PP-2020, relacionado con la propuesta de directrices técnicas para guiar el proceso de formulación 2022 y el cronograma de las actividades a realizarse entre diciembre 2020 y junio 2021, relativas al proceso de </w:t>
      </w:r>
      <w:r w:rsidRPr="002A7673">
        <w:rPr>
          <w:rFonts w:ascii="Times New Roman" w:eastAsia="Calibri" w:hAnsi="Times New Roman" w:cs="Times New Roman"/>
          <w:color w:val="000000"/>
          <w:sz w:val="26"/>
          <w:szCs w:val="26"/>
          <w:shd w:val="clear" w:color="auto" w:fill="FFFFFF"/>
          <w:lang w:eastAsia="es-CR"/>
        </w:rPr>
        <w:lastRenderedPageBreak/>
        <w:t>formulación presupuestaria 2022, el cual, en relación con la creación de recurso humano consigna lo siguiente:</w:t>
      </w:r>
    </w:p>
    <w:p w14:paraId="15FE200F" w14:textId="77777777" w:rsidR="00083CA4" w:rsidRPr="002A7673" w:rsidRDefault="00083CA4" w:rsidP="009279AF">
      <w:pPr>
        <w:spacing w:after="0" w:line="240" w:lineRule="auto"/>
        <w:ind w:left="851" w:right="851" w:firstLine="709"/>
        <w:jc w:val="both"/>
        <w:rPr>
          <w:rFonts w:ascii="Times New Roman" w:eastAsia="Calibri" w:hAnsi="Times New Roman" w:cs="Times New Roman"/>
          <w:sz w:val="26"/>
          <w:szCs w:val="26"/>
          <w:lang w:eastAsia="es-CR"/>
        </w:rPr>
      </w:pPr>
      <w:r w:rsidRPr="002A7673">
        <w:rPr>
          <w:rFonts w:ascii="Times New Roman" w:eastAsia="Calibri" w:hAnsi="Times New Roman" w:cs="Times New Roman"/>
          <w:sz w:val="26"/>
          <w:szCs w:val="26"/>
          <w:lang w:val="es-ES" w:eastAsia="es-CR"/>
        </w:rPr>
        <w:t> </w:t>
      </w:r>
    </w:p>
    <w:p w14:paraId="5120994B" w14:textId="77777777" w:rsidR="00083CA4" w:rsidRPr="002A7673" w:rsidRDefault="00083CA4" w:rsidP="009279AF">
      <w:pPr>
        <w:spacing w:after="0" w:line="240" w:lineRule="auto"/>
        <w:ind w:left="851" w:right="851" w:firstLine="709"/>
        <w:jc w:val="both"/>
        <w:rPr>
          <w:rFonts w:ascii="Times New Roman" w:eastAsia="Calibri" w:hAnsi="Times New Roman" w:cs="Times New Roman"/>
          <w:b/>
          <w:bCs/>
          <w:sz w:val="26"/>
          <w:szCs w:val="26"/>
          <w:lang w:val="es-ES" w:eastAsia="es-CR"/>
        </w:rPr>
      </w:pPr>
      <w:bookmarkStart w:id="18" w:name="x__Toc528045424"/>
      <w:r w:rsidRPr="002A7673">
        <w:rPr>
          <w:rFonts w:ascii="Times New Roman" w:eastAsia="Calibri" w:hAnsi="Times New Roman" w:cs="Times New Roman"/>
          <w:b/>
          <w:bCs/>
          <w:sz w:val="26"/>
          <w:szCs w:val="26"/>
          <w:lang w:val="es-ES" w:eastAsia="es-CR"/>
        </w:rPr>
        <w:t xml:space="preserve">“(…) </w:t>
      </w:r>
    </w:p>
    <w:p w14:paraId="6AA5B4C6" w14:textId="77777777" w:rsidR="00083CA4" w:rsidRPr="002A7673" w:rsidRDefault="00083CA4" w:rsidP="009279AF">
      <w:pPr>
        <w:spacing w:after="0" w:line="240" w:lineRule="auto"/>
        <w:ind w:left="851" w:right="851" w:firstLine="709"/>
        <w:jc w:val="both"/>
        <w:rPr>
          <w:rFonts w:ascii="Times New Roman" w:eastAsia="Calibri" w:hAnsi="Times New Roman" w:cs="Times New Roman"/>
          <w:b/>
          <w:bCs/>
          <w:sz w:val="26"/>
          <w:szCs w:val="26"/>
          <w:u w:val="single"/>
          <w:lang w:val="es-ES" w:eastAsia="es-CR"/>
        </w:rPr>
      </w:pPr>
    </w:p>
    <w:p w14:paraId="72150AA9"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eastAsia="es-CR"/>
        </w:rPr>
      </w:pPr>
      <w:r w:rsidRPr="002A7673">
        <w:rPr>
          <w:rFonts w:ascii="Times New Roman" w:eastAsia="Calibri" w:hAnsi="Times New Roman" w:cs="Times New Roman"/>
          <w:b/>
          <w:bCs/>
          <w:i/>
          <w:iCs/>
          <w:sz w:val="26"/>
          <w:szCs w:val="26"/>
          <w:u w:val="single"/>
          <w:lang w:val="es-ES" w:eastAsia="es-CR"/>
        </w:rPr>
        <w:t>Creación de Plazas 202</w:t>
      </w:r>
      <w:bookmarkEnd w:id="18"/>
      <w:r w:rsidRPr="002A7673">
        <w:rPr>
          <w:rFonts w:ascii="Times New Roman" w:eastAsia="Calibri" w:hAnsi="Times New Roman" w:cs="Times New Roman"/>
          <w:b/>
          <w:bCs/>
          <w:i/>
          <w:iCs/>
          <w:sz w:val="26"/>
          <w:szCs w:val="26"/>
          <w:u w:val="single"/>
          <w:lang w:val="es-ES" w:eastAsia="es-CR"/>
        </w:rPr>
        <w:t>2</w:t>
      </w:r>
    </w:p>
    <w:p w14:paraId="2C46E377"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val="es-ES" w:eastAsia="es-CR"/>
        </w:rPr>
        <w:t> </w:t>
      </w:r>
    </w:p>
    <w:p w14:paraId="36911FA0"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val="es-ES" w:eastAsia="es-CR"/>
        </w:rPr>
        <w:t>En lo que respecta a la creación de plazas, la Corte Plena aprobó</w:t>
      </w:r>
      <w:r w:rsidRPr="002A7673">
        <w:rPr>
          <w:rFonts w:ascii="Times New Roman" w:eastAsia="Calibri" w:hAnsi="Times New Roman" w:cs="Times New Roman"/>
          <w:i/>
          <w:iCs/>
          <w:strike/>
          <w:sz w:val="26"/>
          <w:szCs w:val="26"/>
          <w:lang w:val="es-ES" w:eastAsia="es-CR"/>
        </w:rPr>
        <w:t xml:space="preserve"> </w:t>
      </w:r>
      <w:r w:rsidRPr="002A7673">
        <w:rPr>
          <w:rFonts w:ascii="Times New Roman" w:eastAsia="Calibri" w:hAnsi="Times New Roman" w:cs="Times New Roman"/>
          <w:i/>
          <w:iCs/>
          <w:sz w:val="26"/>
          <w:szCs w:val="26"/>
          <w:lang w:val="es-ES" w:eastAsia="es-CR"/>
        </w:rPr>
        <w:t xml:space="preserve">en sesión N°54-2019 del 18 de diciembre de 2019, artículo único, no crear plazas nuevas y valorar únicamente la condición y continuidad de las plazas extraordinarias existentes. </w:t>
      </w:r>
    </w:p>
    <w:p w14:paraId="78771D54"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val="es-ES" w:eastAsia="es-CR"/>
        </w:rPr>
        <w:t> </w:t>
      </w:r>
    </w:p>
    <w:p w14:paraId="0CAD286A"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val="es-ES" w:eastAsia="es-CR"/>
        </w:rPr>
        <w:t>CXXVIII.        La Dirección de Planificación estudiará las estructuras administrativas de los diferentes programas para determinar si desarrollan labores duplicadas o paralelas y redistribuir el recurso.</w:t>
      </w:r>
    </w:p>
    <w:p w14:paraId="69F41896" w14:textId="77777777" w:rsidR="00083CA4" w:rsidRPr="002A7673" w:rsidRDefault="00083CA4" w:rsidP="009279AF">
      <w:pPr>
        <w:spacing w:after="0" w:line="240" w:lineRule="auto"/>
        <w:ind w:left="851" w:right="851" w:firstLine="709"/>
        <w:rPr>
          <w:rFonts w:ascii="Times New Roman" w:eastAsia="Calibri" w:hAnsi="Times New Roman" w:cs="Times New Roman"/>
          <w:i/>
          <w:iCs/>
          <w:sz w:val="26"/>
          <w:szCs w:val="26"/>
          <w:lang w:eastAsia="es-CR"/>
        </w:rPr>
      </w:pPr>
      <w:r w:rsidRPr="002A7673">
        <w:rPr>
          <w:rFonts w:ascii="Times New Roman" w:eastAsia="Calibri" w:hAnsi="Times New Roman" w:cs="Times New Roman"/>
          <w:i/>
          <w:iCs/>
          <w:sz w:val="26"/>
          <w:szCs w:val="26"/>
          <w:lang w:val="es-ES" w:eastAsia="es-CR"/>
        </w:rPr>
        <w:t> </w:t>
      </w:r>
    </w:p>
    <w:p w14:paraId="54602787"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val="es-ES" w:eastAsia="es-CR"/>
        </w:rPr>
      </w:pPr>
      <w:r w:rsidRPr="002A7673">
        <w:rPr>
          <w:rFonts w:ascii="Times New Roman" w:eastAsia="Calibri" w:hAnsi="Times New Roman" w:cs="Times New Roman"/>
          <w:i/>
          <w:iCs/>
          <w:sz w:val="26"/>
          <w:szCs w:val="26"/>
          <w:lang w:val="es-ES" w:eastAsia="es-CR"/>
        </w:rPr>
        <w:t>CXXIX.             La Dirección de Planificación se abocará a realizar estudios donde potenciará la reorganización y el rediseño de los procesos para estandarizarlos.   En los estudios de reorganización, implementará modelos eficientes, que faciliten la toma de decisiones; lejos de contemplar la creación de nuevas plazas, se harán propuestas con las existentes y se identificarán los recursos ociosos para trasladarlos a áreas de trabajo donde se requieran. De igual manera, el personal de los despachos propiciará nuevas formas de organización y buenas prácticas de gestión.</w:t>
      </w:r>
    </w:p>
    <w:p w14:paraId="07D95B9C" w14:textId="77777777" w:rsidR="009279AF" w:rsidRPr="002A7673" w:rsidRDefault="009279AF" w:rsidP="009279AF">
      <w:pPr>
        <w:spacing w:after="0" w:line="240" w:lineRule="auto"/>
        <w:ind w:left="851" w:right="851" w:firstLine="709"/>
        <w:jc w:val="both"/>
        <w:rPr>
          <w:rFonts w:ascii="Times New Roman" w:eastAsia="Calibri" w:hAnsi="Times New Roman" w:cs="Times New Roman"/>
          <w:i/>
          <w:iCs/>
          <w:sz w:val="26"/>
          <w:szCs w:val="26"/>
          <w:lang w:eastAsia="es-CR"/>
        </w:rPr>
      </w:pPr>
    </w:p>
    <w:p w14:paraId="389C22EC" w14:textId="77777777" w:rsidR="00083CA4" w:rsidRPr="002A7673" w:rsidRDefault="00083CA4" w:rsidP="009279AF">
      <w:pPr>
        <w:numPr>
          <w:ilvl w:val="0"/>
          <w:numId w:val="1"/>
        </w:numPr>
        <w:spacing w:after="0" w:line="480" w:lineRule="auto"/>
        <w:ind w:left="0" w:hanging="11"/>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     -</w:t>
      </w:r>
    </w:p>
    <w:p w14:paraId="58F49ADD" w14:textId="77777777" w:rsidR="00083CA4" w:rsidRPr="002A7673" w:rsidRDefault="00083CA4" w:rsidP="009279AF">
      <w:pPr>
        <w:shd w:val="clear" w:color="auto" w:fill="FFFFFF"/>
        <w:spacing w:after="0" w:line="240" w:lineRule="auto"/>
        <w:ind w:left="851" w:right="851" w:firstLine="709"/>
        <w:jc w:val="both"/>
        <w:rPr>
          <w:rFonts w:ascii="Times New Roman" w:eastAsia="Calibri" w:hAnsi="Times New Roman" w:cs="Times New Roman"/>
          <w:color w:val="000000"/>
          <w:sz w:val="26"/>
          <w:szCs w:val="26"/>
          <w:shd w:val="clear" w:color="auto" w:fill="FFFFFF"/>
        </w:rPr>
      </w:pPr>
      <w:r w:rsidRPr="002A7673">
        <w:rPr>
          <w:rFonts w:ascii="Times New Roman" w:eastAsia="Calibri" w:hAnsi="Times New Roman" w:cs="Times New Roman"/>
          <w:color w:val="000000"/>
          <w:sz w:val="26"/>
          <w:szCs w:val="26"/>
          <w:shd w:val="clear" w:color="auto" w:fill="FFFFFF"/>
        </w:rPr>
        <w:t xml:space="preserve">Adicionalmente, el Consejo Superior en el acta 21-2021, del pasado 12 de marzo de 2021, artículo IV dispuso, entre otros aspectos que, en virtud de las restricciones presupuestarias impuestas al Poder Judicial, se revisarán únicamente las plazas extraordinarias que vienen vigentes del año 2021.  </w:t>
      </w:r>
    </w:p>
    <w:p w14:paraId="3AE5F60A" w14:textId="77777777" w:rsidR="00083CA4" w:rsidRPr="002A7673" w:rsidRDefault="00083CA4" w:rsidP="009279AF">
      <w:pPr>
        <w:spacing w:after="0" w:line="240" w:lineRule="auto"/>
        <w:ind w:left="851" w:right="851" w:firstLine="709"/>
        <w:jc w:val="both"/>
        <w:rPr>
          <w:rFonts w:ascii="Times New Roman" w:eastAsia="Calibri" w:hAnsi="Times New Roman" w:cs="Times New Roman"/>
          <w:sz w:val="26"/>
          <w:szCs w:val="26"/>
        </w:rPr>
      </w:pPr>
    </w:p>
    <w:p w14:paraId="231CAABC"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i/>
          <w:iCs/>
          <w:sz w:val="26"/>
          <w:szCs w:val="26"/>
        </w:rPr>
        <w:t>“(…)</w:t>
      </w:r>
    </w:p>
    <w:p w14:paraId="1DCEC49E" w14:textId="77777777" w:rsidR="009279AF" w:rsidRPr="002A7673" w:rsidRDefault="009279AF" w:rsidP="009279AF">
      <w:pPr>
        <w:spacing w:after="0" w:line="240" w:lineRule="auto"/>
        <w:ind w:left="851" w:right="851" w:firstLine="709"/>
        <w:jc w:val="both"/>
        <w:rPr>
          <w:rFonts w:ascii="Times New Roman" w:eastAsia="Calibri" w:hAnsi="Times New Roman" w:cs="Times New Roman"/>
          <w:i/>
          <w:iCs/>
          <w:sz w:val="26"/>
          <w:szCs w:val="26"/>
        </w:rPr>
      </w:pPr>
    </w:p>
    <w:p w14:paraId="20599E78" w14:textId="77777777" w:rsidR="00083CA4" w:rsidRPr="00CE52AB" w:rsidRDefault="00083CA4" w:rsidP="001C531A">
      <w:pPr>
        <w:keepNext/>
        <w:spacing w:after="0" w:line="240" w:lineRule="auto"/>
        <w:ind w:left="851" w:right="851"/>
        <w:jc w:val="center"/>
        <w:rPr>
          <w:rFonts w:ascii="Times New Roman" w:eastAsia="Calibri" w:hAnsi="Times New Roman" w:cs="Times New Roman"/>
          <w:b/>
          <w:bCs/>
          <w:i/>
          <w:iCs/>
          <w:sz w:val="26"/>
          <w:szCs w:val="26"/>
          <w:lang w:eastAsia="ar-SA"/>
        </w:rPr>
      </w:pPr>
      <w:r w:rsidRPr="00CE52AB">
        <w:rPr>
          <w:rFonts w:ascii="Times New Roman" w:eastAsia="Calibri" w:hAnsi="Times New Roman" w:cs="Times New Roman"/>
          <w:b/>
          <w:bCs/>
          <w:i/>
          <w:iCs/>
          <w:sz w:val="26"/>
          <w:szCs w:val="26"/>
          <w:lang w:eastAsia="ar-SA"/>
        </w:rPr>
        <w:t>ARTÍCULO IV</w:t>
      </w:r>
    </w:p>
    <w:p w14:paraId="2921167F" w14:textId="77777777" w:rsidR="009279AF" w:rsidRPr="002A7673" w:rsidRDefault="009279AF" w:rsidP="009279AF">
      <w:pPr>
        <w:spacing w:after="0" w:line="240" w:lineRule="auto"/>
        <w:ind w:left="851" w:right="851" w:firstLine="709"/>
        <w:jc w:val="both"/>
        <w:rPr>
          <w:rFonts w:ascii="Times New Roman" w:eastAsia="Calibri" w:hAnsi="Times New Roman" w:cs="Times New Roman"/>
          <w:b/>
          <w:bCs/>
          <w:i/>
          <w:iCs/>
          <w:sz w:val="26"/>
          <w:szCs w:val="26"/>
          <w:lang w:val="es-MX"/>
        </w:rPr>
      </w:pPr>
    </w:p>
    <w:p w14:paraId="7568C2C0" w14:textId="77777777" w:rsidR="00083CA4" w:rsidRPr="002A7673" w:rsidRDefault="00083CA4" w:rsidP="009279AF">
      <w:pPr>
        <w:spacing w:after="0" w:line="240" w:lineRule="auto"/>
        <w:ind w:left="851" w:right="851" w:firstLine="709"/>
        <w:jc w:val="both"/>
        <w:rPr>
          <w:rFonts w:ascii="Times New Roman" w:eastAsia="Calibri" w:hAnsi="Times New Roman" w:cs="Times New Roman"/>
          <w:b/>
          <w:bCs/>
          <w:i/>
          <w:iCs/>
          <w:sz w:val="26"/>
          <w:szCs w:val="26"/>
          <w:lang w:val="es-MX"/>
        </w:rPr>
      </w:pPr>
      <w:r w:rsidRPr="002A7673">
        <w:rPr>
          <w:rFonts w:ascii="Times New Roman" w:eastAsia="Calibri" w:hAnsi="Times New Roman" w:cs="Times New Roman"/>
          <w:b/>
          <w:bCs/>
          <w:i/>
          <w:iCs/>
          <w:sz w:val="26"/>
          <w:szCs w:val="26"/>
          <w:lang w:val="es-MX"/>
        </w:rPr>
        <w:t>DOCUMENTO N°</w:t>
      </w:r>
      <w:r w:rsidRPr="002A7673">
        <w:rPr>
          <w:rFonts w:ascii="Times New Roman" w:eastAsia="Calibri" w:hAnsi="Times New Roman" w:cs="Times New Roman"/>
          <w:b/>
          <w:bCs/>
          <w:i/>
          <w:iCs/>
          <w:color w:val="00B050"/>
          <w:sz w:val="26"/>
          <w:szCs w:val="26"/>
          <w:lang w:val="es-MX"/>
        </w:rPr>
        <w:t>2580-2021</w:t>
      </w:r>
    </w:p>
    <w:p w14:paraId="4F043DEE" w14:textId="77777777" w:rsidR="009279AF" w:rsidRPr="002A7673" w:rsidRDefault="009279AF" w:rsidP="009279AF">
      <w:pPr>
        <w:spacing w:after="0" w:line="240" w:lineRule="auto"/>
        <w:ind w:left="851" w:right="851" w:firstLine="709"/>
        <w:jc w:val="both"/>
        <w:rPr>
          <w:rFonts w:ascii="Times New Roman" w:eastAsia="Calibri" w:hAnsi="Times New Roman" w:cs="Times New Roman"/>
          <w:i/>
          <w:iCs/>
          <w:color w:val="000000"/>
          <w:sz w:val="26"/>
          <w:szCs w:val="26"/>
          <w:shd w:val="clear" w:color="auto" w:fill="FFFFFF"/>
        </w:rPr>
      </w:pPr>
    </w:p>
    <w:p w14:paraId="70C8A8CD"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val="es-MX"/>
        </w:rPr>
      </w:pPr>
      <w:r w:rsidRPr="002A7673">
        <w:rPr>
          <w:rFonts w:ascii="Times New Roman" w:eastAsia="Calibri" w:hAnsi="Times New Roman" w:cs="Times New Roman"/>
          <w:i/>
          <w:iCs/>
          <w:color w:val="000000"/>
          <w:sz w:val="26"/>
          <w:szCs w:val="26"/>
          <w:shd w:val="clear" w:color="auto" w:fill="FFFFFF"/>
        </w:rPr>
        <w:lastRenderedPageBreak/>
        <w:t xml:space="preserve">En reunión de trabajo del Consejo Superior del pasado 26 de febrero la licenciada Nacira Valverde Bermúdez, Directora de Planificación manifestó </w:t>
      </w:r>
      <w:r w:rsidRPr="002A7673">
        <w:rPr>
          <w:rFonts w:ascii="Times New Roman" w:eastAsia="Calibri" w:hAnsi="Times New Roman" w:cs="Times New Roman"/>
          <w:i/>
          <w:iCs/>
          <w:sz w:val="26"/>
          <w:szCs w:val="26"/>
          <w:lang w:val="es-MX"/>
        </w:rPr>
        <w:t>que en la Directrices de Formulación Presupuestarias aprobadas por el Consejo Superior para el año 2022, en línea con lo que ha venido abogando la Corte Plena sobre restricciones presupuestarias, se incluyó lo siguiente:</w:t>
      </w:r>
    </w:p>
    <w:p w14:paraId="5D00BC67" w14:textId="77777777" w:rsidR="009279AF" w:rsidRPr="002A7673" w:rsidRDefault="009279AF" w:rsidP="009279AF">
      <w:pPr>
        <w:spacing w:after="0" w:line="240" w:lineRule="auto"/>
        <w:ind w:left="851" w:right="851" w:firstLine="709"/>
        <w:jc w:val="both"/>
        <w:rPr>
          <w:rFonts w:ascii="Times New Roman" w:eastAsia="Calibri" w:hAnsi="Times New Roman" w:cs="Times New Roman"/>
          <w:i/>
          <w:iCs/>
          <w:color w:val="000000"/>
          <w:sz w:val="26"/>
          <w:szCs w:val="26"/>
        </w:rPr>
      </w:pPr>
      <w:bookmarkStart w:id="19" w:name="_Toc528045424"/>
      <w:bookmarkStart w:id="20" w:name="_Toc52372487"/>
    </w:p>
    <w:p w14:paraId="0048A60C" w14:textId="77777777" w:rsidR="00083CA4" w:rsidRPr="002A7673" w:rsidRDefault="00083CA4" w:rsidP="009279AF">
      <w:pPr>
        <w:spacing w:after="0" w:line="240" w:lineRule="auto"/>
        <w:ind w:left="851" w:right="851" w:firstLine="709"/>
        <w:jc w:val="both"/>
        <w:rPr>
          <w:rFonts w:ascii="Times New Roman" w:eastAsia="Calibri" w:hAnsi="Times New Roman" w:cs="Times New Roman"/>
          <w:b/>
          <w:bCs/>
          <w:i/>
          <w:iCs/>
          <w:color w:val="000000"/>
          <w:sz w:val="26"/>
          <w:szCs w:val="26"/>
        </w:rPr>
      </w:pPr>
      <w:r w:rsidRPr="002A7673">
        <w:rPr>
          <w:rFonts w:ascii="Times New Roman" w:eastAsia="Calibri" w:hAnsi="Times New Roman" w:cs="Times New Roman"/>
          <w:i/>
          <w:iCs/>
          <w:color w:val="000000"/>
          <w:sz w:val="26"/>
          <w:szCs w:val="26"/>
        </w:rPr>
        <w:t>“Creación de Plazas 202</w:t>
      </w:r>
      <w:bookmarkEnd w:id="19"/>
      <w:r w:rsidRPr="002A7673">
        <w:rPr>
          <w:rFonts w:ascii="Times New Roman" w:eastAsia="Calibri" w:hAnsi="Times New Roman" w:cs="Times New Roman"/>
          <w:i/>
          <w:iCs/>
          <w:color w:val="000000"/>
          <w:sz w:val="26"/>
          <w:szCs w:val="26"/>
        </w:rPr>
        <w:t>2</w:t>
      </w:r>
      <w:bookmarkEnd w:id="20"/>
    </w:p>
    <w:p w14:paraId="7E16B9AD"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color w:val="C00000"/>
          <w:sz w:val="26"/>
          <w:szCs w:val="26"/>
        </w:rPr>
      </w:pPr>
    </w:p>
    <w:p w14:paraId="48DE1F34"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color w:val="000000"/>
          <w:sz w:val="26"/>
          <w:szCs w:val="26"/>
        </w:rPr>
      </w:pPr>
      <w:r w:rsidRPr="002A7673">
        <w:rPr>
          <w:rFonts w:ascii="Times New Roman" w:eastAsia="Calibri" w:hAnsi="Times New Roman" w:cs="Times New Roman"/>
          <w:i/>
          <w:iCs/>
          <w:color w:val="000000"/>
          <w:sz w:val="26"/>
          <w:szCs w:val="26"/>
        </w:rPr>
        <w:t>En lo que respecta a la creación de plazas, la Corte Plena aprobó</w:t>
      </w:r>
      <w:r w:rsidRPr="002A7673">
        <w:rPr>
          <w:rFonts w:ascii="Times New Roman" w:eastAsia="Calibri" w:hAnsi="Times New Roman" w:cs="Times New Roman"/>
          <w:i/>
          <w:iCs/>
          <w:strike/>
          <w:color w:val="000000"/>
          <w:sz w:val="26"/>
          <w:szCs w:val="26"/>
        </w:rPr>
        <w:t xml:space="preserve"> </w:t>
      </w:r>
      <w:r w:rsidRPr="002A7673">
        <w:rPr>
          <w:rFonts w:ascii="Times New Roman" w:eastAsia="Calibri" w:hAnsi="Times New Roman" w:cs="Times New Roman"/>
          <w:i/>
          <w:iCs/>
          <w:color w:val="000000"/>
          <w:sz w:val="26"/>
          <w:szCs w:val="26"/>
        </w:rPr>
        <w:t xml:space="preserve">en sesión N°54-2019 del 18 de diciembre de 2019, artículo único, no crear plazas nuevas y valorar únicamente la condición y continuidad de las plazas extraordinarias existentes. </w:t>
      </w:r>
    </w:p>
    <w:p w14:paraId="0C5FF1C6"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color w:val="C00000"/>
          <w:sz w:val="26"/>
          <w:szCs w:val="26"/>
        </w:rPr>
      </w:pPr>
    </w:p>
    <w:p w14:paraId="57CAF146" w14:textId="77777777" w:rsidR="00083CA4" w:rsidRPr="002A7673" w:rsidRDefault="00083CA4" w:rsidP="00D527DE">
      <w:pPr>
        <w:numPr>
          <w:ilvl w:val="0"/>
          <w:numId w:val="9"/>
        </w:numPr>
        <w:tabs>
          <w:tab w:val="num" w:pos="1083"/>
        </w:tabs>
        <w:spacing w:after="0" w:line="240" w:lineRule="auto"/>
        <w:ind w:left="851" w:right="851" w:firstLine="709"/>
        <w:jc w:val="both"/>
        <w:rPr>
          <w:rFonts w:ascii="Times New Roman" w:eastAsia="Calibri" w:hAnsi="Times New Roman" w:cs="Times New Roman"/>
          <w:i/>
          <w:iCs/>
          <w:color w:val="000000"/>
          <w:sz w:val="26"/>
          <w:szCs w:val="26"/>
        </w:rPr>
      </w:pPr>
      <w:r w:rsidRPr="002A7673">
        <w:rPr>
          <w:rFonts w:ascii="Times New Roman" w:eastAsia="Calibri" w:hAnsi="Times New Roman" w:cs="Times New Roman"/>
          <w:i/>
          <w:iCs/>
          <w:color w:val="000000"/>
          <w:sz w:val="26"/>
          <w:szCs w:val="26"/>
        </w:rPr>
        <w:t>La Dirección de Planificación estudiará las estructuras administrativas de los diferentes programas para determinar si desarrollan labores duplicadas o paralelas y redistribuir el recurso.</w:t>
      </w:r>
    </w:p>
    <w:p w14:paraId="1F96FB0D"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i/>
          <w:iCs/>
          <w:color w:val="C00000"/>
          <w:sz w:val="26"/>
          <w:szCs w:val="26"/>
          <w:lang w:val="es-ES" w:eastAsia="es-ES"/>
        </w:rPr>
      </w:pPr>
    </w:p>
    <w:p w14:paraId="7E29D56B" w14:textId="77777777" w:rsidR="00083CA4" w:rsidRPr="002A7673" w:rsidRDefault="00083CA4" w:rsidP="00D527DE">
      <w:pPr>
        <w:numPr>
          <w:ilvl w:val="0"/>
          <w:numId w:val="9"/>
        </w:numPr>
        <w:tabs>
          <w:tab w:val="num" w:pos="1083"/>
        </w:tabs>
        <w:spacing w:after="0" w:line="240" w:lineRule="auto"/>
        <w:ind w:left="851" w:right="851" w:firstLine="709"/>
        <w:jc w:val="both"/>
        <w:rPr>
          <w:rFonts w:ascii="Times New Roman" w:eastAsia="Calibri" w:hAnsi="Times New Roman" w:cs="Times New Roman"/>
          <w:i/>
          <w:iCs/>
          <w:color w:val="000000"/>
          <w:sz w:val="26"/>
          <w:szCs w:val="26"/>
        </w:rPr>
      </w:pPr>
      <w:r w:rsidRPr="002A7673">
        <w:rPr>
          <w:rFonts w:ascii="Times New Roman" w:eastAsia="Calibri" w:hAnsi="Times New Roman" w:cs="Times New Roman"/>
          <w:i/>
          <w:iCs/>
          <w:color w:val="000000"/>
          <w:sz w:val="26"/>
          <w:szCs w:val="26"/>
        </w:rPr>
        <w:t>La Dirección de Planificación se abocará a realizar estudios donde potenciará la reorganización y el rediseño de los procesos para estandarizarlos.   En los estudios de reorganización, implementará modelos eficientes, que faciliten la toma de decisiones; lejos de contemplar la creación de nuevas plazas, se harán propuestas con las existentes y se identificarán los recursos ociosos para trasladarlos a áreas de trabajo donde se requieran. De igual manera, el personal de los despachos propiciará nuevas formas de organización y buenas prácticas de gestión”.</w:t>
      </w:r>
    </w:p>
    <w:p w14:paraId="25ED76D0"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val="es-MX"/>
        </w:rPr>
      </w:pPr>
    </w:p>
    <w:p w14:paraId="21F3D6AA" w14:textId="629434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val="es-MX"/>
        </w:rPr>
      </w:pPr>
      <w:r w:rsidRPr="002A7673">
        <w:rPr>
          <w:rFonts w:ascii="Times New Roman" w:eastAsia="Calibri" w:hAnsi="Times New Roman" w:cs="Times New Roman"/>
          <w:i/>
          <w:iCs/>
          <w:sz w:val="26"/>
          <w:szCs w:val="26"/>
          <w:lang w:val="es-MX"/>
        </w:rPr>
        <w:t>Además en el ofic</w:t>
      </w:r>
      <w:r w:rsidR="009279AF" w:rsidRPr="002A7673">
        <w:rPr>
          <w:rFonts w:ascii="Times New Roman" w:eastAsia="Calibri" w:hAnsi="Times New Roman" w:cs="Times New Roman"/>
          <w:i/>
          <w:iCs/>
          <w:sz w:val="26"/>
          <w:szCs w:val="26"/>
          <w:lang w:val="es-MX"/>
        </w:rPr>
        <w:t>io 115-PLA-PP-2021 </w:t>
      </w:r>
      <w:r w:rsidRPr="002A7673">
        <w:rPr>
          <w:rFonts w:ascii="Times New Roman" w:eastAsia="Calibri" w:hAnsi="Times New Roman" w:cs="Times New Roman"/>
          <w:i/>
          <w:iCs/>
          <w:sz w:val="26"/>
          <w:szCs w:val="26"/>
          <w:lang w:val="es-MX"/>
        </w:rPr>
        <w:t xml:space="preserve">que sustenta la programación de las reuniones de trabajo y sesiones extraordinarias del Consejo Superior en conocimiento de </w:t>
      </w:r>
      <w:proofErr w:type="gramStart"/>
      <w:r w:rsidRPr="002A7673">
        <w:rPr>
          <w:rFonts w:ascii="Times New Roman" w:eastAsia="Calibri" w:hAnsi="Times New Roman" w:cs="Times New Roman"/>
          <w:i/>
          <w:iCs/>
          <w:sz w:val="26"/>
          <w:szCs w:val="26"/>
          <w:lang w:val="es-MX"/>
        </w:rPr>
        <w:t>los  Anteproyectos</w:t>
      </w:r>
      <w:proofErr w:type="gramEnd"/>
      <w:r w:rsidRPr="002A7673">
        <w:rPr>
          <w:rFonts w:ascii="Times New Roman" w:eastAsia="Calibri" w:hAnsi="Times New Roman" w:cs="Times New Roman"/>
          <w:i/>
          <w:iCs/>
          <w:sz w:val="26"/>
          <w:szCs w:val="26"/>
          <w:lang w:val="es-MX"/>
        </w:rPr>
        <w:t xml:space="preserve"> de Presupuesto para 2022, conocerá lo relativo a la actualización de Leyes especiales, según el siguiente detalle:</w:t>
      </w:r>
    </w:p>
    <w:p w14:paraId="227F0E14" w14:textId="77777777" w:rsidR="009279AF" w:rsidRPr="002A7673" w:rsidRDefault="009279AF" w:rsidP="009279AF">
      <w:pPr>
        <w:spacing w:after="0" w:line="240" w:lineRule="auto"/>
        <w:ind w:left="851" w:right="851" w:firstLine="709"/>
        <w:jc w:val="both"/>
        <w:rPr>
          <w:rFonts w:ascii="Times New Roman" w:eastAsia="Calibri" w:hAnsi="Times New Roman" w:cs="Times New Roman"/>
          <w:i/>
          <w:iCs/>
          <w:sz w:val="26"/>
          <w:szCs w:val="26"/>
          <w:lang w:val="es-MX"/>
        </w:rPr>
      </w:pPr>
    </w:p>
    <w:p w14:paraId="7F4BD254" w14:textId="77777777" w:rsidR="00083CA4" w:rsidRPr="002A7673" w:rsidRDefault="00083CA4" w:rsidP="00D527DE">
      <w:pPr>
        <w:numPr>
          <w:ilvl w:val="1"/>
          <w:numId w:val="10"/>
        </w:numPr>
        <w:spacing w:after="0" w:line="240" w:lineRule="auto"/>
        <w:ind w:left="851" w:right="851" w:firstLine="709"/>
        <w:contextualSpacing/>
        <w:jc w:val="both"/>
        <w:rPr>
          <w:rFonts w:ascii="Times New Roman" w:eastAsia="Times New Roman" w:hAnsi="Times New Roman" w:cs="Times New Roman"/>
          <w:i/>
          <w:iCs/>
          <w:sz w:val="26"/>
          <w:szCs w:val="26"/>
          <w:lang w:eastAsia="es-ES"/>
        </w:rPr>
      </w:pPr>
      <w:r w:rsidRPr="002A7673">
        <w:rPr>
          <w:rFonts w:ascii="Times New Roman" w:eastAsia="Times New Roman" w:hAnsi="Times New Roman" w:cs="Times New Roman"/>
          <w:i/>
          <w:iCs/>
          <w:sz w:val="26"/>
          <w:szCs w:val="26"/>
          <w:lang w:val="es-ES" w:eastAsia="es-ES"/>
        </w:rPr>
        <w:t xml:space="preserve">Jurisdicción Especializada en Delincuencia Organizada </w:t>
      </w:r>
    </w:p>
    <w:p w14:paraId="1AD0E225" w14:textId="77777777" w:rsidR="00083CA4" w:rsidRPr="002A7673" w:rsidRDefault="00083CA4" w:rsidP="00D527DE">
      <w:pPr>
        <w:numPr>
          <w:ilvl w:val="1"/>
          <w:numId w:val="10"/>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Código Procesal Agrario</w:t>
      </w:r>
    </w:p>
    <w:p w14:paraId="5A806235" w14:textId="77777777" w:rsidR="00083CA4" w:rsidRPr="002A7673" w:rsidRDefault="00083CA4" w:rsidP="00D527DE">
      <w:pPr>
        <w:numPr>
          <w:ilvl w:val="1"/>
          <w:numId w:val="10"/>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Acceso a la Justicia para Poblaciones Indígenas</w:t>
      </w:r>
    </w:p>
    <w:p w14:paraId="0A447103" w14:textId="77777777" w:rsidR="00083CA4" w:rsidRPr="002A7673" w:rsidRDefault="00083CA4" w:rsidP="00D527DE">
      <w:pPr>
        <w:numPr>
          <w:ilvl w:val="1"/>
          <w:numId w:val="10"/>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Ley de Justicia Restaurativa</w:t>
      </w:r>
    </w:p>
    <w:p w14:paraId="7EB026D3" w14:textId="77777777" w:rsidR="00083CA4" w:rsidRPr="002A7673" w:rsidRDefault="00083CA4" w:rsidP="00D527DE">
      <w:pPr>
        <w:numPr>
          <w:ilvl w:val="1"/>
          <w:numId w:val="10"/>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Código Procesal Familia</w:t>
      </w:r>
    </w:p>
    <w:p w14:paraId="46CE6955" w14:textId="77777777" w:rsidR="00083CA4" w:rsidRPr="002A7673" w:rsidRDefault="00083CA4" w:rsidP="00D527DE">
      <w:pPr>
        <w:numPr>
          <w:ilvl w:val="1"/>
          <w:numId w:val="10"/>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Creación de jurisdicción en Asuntos Indígenas</w:t>
      </w:r>
    </w:p>
    <w:p w14:paraId="77ABC54E" w14:textId="77777777" w:rsidR="00083CA4" w:rsidRPr="002A7673" w:rsidRDefault="00083CA4" w:rsidP="00D527DE">
      <w:pPr>
        <w:numPr>
          <w:ilvl w:val="1"/>
          <w:numId w:val="10"/>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Ley de Bienestar Animal</w:t>
      </w:r>
    </w:p>
    <w:p w14:paraId="13BD42F7" w14:textId="77777777" w:rsidR="00083CA4" w:rsidRPr="002A7673" w:rsidRDefault="00083CA4" w:rsidP="00D527DE">
      <w:pPr>
        <w:numPr>
          <w:ilvl w:val="1"/>
          <w:numId w:val="10"/>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lastRenderedPageBreak/>
        <w:t>Atención y acceso a la Justicia de personas con asuntos relacionados a pensiones alimentarias.</w:t>
      </w:r>
    </w:p>
    <w:p w14:paraId="5EBEBA7F"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val="es-MX"/>
        </w:rPr>
      </w:pPr>
    </w:p>
    <w:p w14:paraId="56057FE3"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val="es-MX"/>
        </w:rPr>
      </w:pPr>
      <w:r w:rsidRPr="002A7673">
        <w:rPr>
          <w:rFonts w:ascii="Times New Roman" w:eastAsia="Calibri" w:hAnsi="Times New Roman" w:cs="Times New Roman"/>
          <w:i/>
          <w:iCs/>
          <w:sz w:val="26"/>
          <w:szCs w:val="26"/>
          <w:lang w:val="es-MX"/>
        </w:rPr>
        <w:t xml:space="preserve">Indica la Licenciada Nacira Valverde Bermúdez, </w:t>
      </w:r>
      <w:proofErr w:type="gramStart"/>
      <w:r w:rsidRPr="002A7673">
        <w:rPr>
          <w:rFonts w:ascii="Times New Roman" w:eastAsia="Calibri" w:hAnsi="Times New Roman" w:cs="Times New Roman"/>
          <w:i/>
          <w:iCs/>
          <w:sz w:val="26"/>
          <w:szCs w:val="26"/>
          <w:lang w:val="es-MX"/>
        </w:rPr>
        <w:t>que</w:t>
      </w:r>
      <w:proofErr w:type="gramEnd"/>
      <w:r w:rsidRPr="002A7673">
        <w:rPr>
          <w:rFonts w:ascii="Times New Roman" w:eastAsia="Calibri" w:hAnsi="Times New Roman" w:cs="Times New Roman"/>
          <w:i/>
          <w:iCs/>
          <w:sz w:val="26"/>
          <w:szCs w:val="26"/>
          <w:lang w:val="es-MX"/>
        </w:rPr>
        <w:t xml:space="preserve"> si bien esta ha sido la línea de trabajo marcada por la Corte Plena en los últimos ejercicios presupuestarios, sugiere que el contenido de este artículo sea puesto en conocimiento de la Corte Plena para lo que a bien tenga estimar. </w:t>
      </w:r>
    </w:p>
    <w:p w14:paraId="2C081AEE" w14:textId="77777777" w:rsidR="009279AF" w:rsidRPr="002A7673" w:rsidRDefault="009279AF" w:rsidP="009279AF">
      <w:pPr>
        <w:spacing w:after="0" w:line="240" w:lineRule="auto"/>
        <w:ind w:left="851" w:right="851" w:firstLine="709"/>
        <w:jc w:val="both"/>
        <w:rPr>
          <w:rFonts w:ascii="Times New Roman" w:eastAsia="Calibri" w:hAnsi="Times New Roman" w:cs="Times New Roman"/>
          <w:i/>
          <w:iCs/>
          <w:sz w:val="26"/>
          <w:szCs w:val="26"/>
          <w:lang w:val="es-MX"/>
        </w:rPr>
      </w:pPr>
    </w:p>
    <w:p w14:paraId="4DFDF2C7" w14:textId="77777777" w:rsidR="00083CA4" w:rsidRPr="002A7673" w:rsidRDefault="00083CA4" w:rsidP="009279AF">
      <w:pPr>
        <w:spacing w:after="0" w:line="240" w:lineRule="auto"/>
        <w:ind w:left="851" w:right="851"/>
        <w:jc w:val="center"/>
        <w:rPr>
          <w:rFonts w:ascii="Times New Roman" w:eastAsia="Calibri" w:hAnsi="Times New Roman" w:cs="Times New Roman"/>
          <w:b/>
          <w:bCs/>
          <w:iCs/>
          <w:sz w:val="26"/>
          <w:szCs w:val="26"/>
          <w:lang w:val="es-MX"/>
        </w:rPr>
      </w:pPr>
      <w:r w:rsidRPr="002A7673">
        <w:rPr>
          <w:rFonts w:ascii="Times New Roman" w:eastAsia="Calibri" w:hAnsi="Times New Roman" w:cs="Times New Roman"/>
          <w:b/>
          <w:bCs/>
          <w:iCs/>
          <w:sz w:val="26"/>
          <w:szCs w:val="26"/>
          <w:lang w:val="es-MX"/>
        </w:rPr>
        <w:t>-0-</w:t>
      </w:r>
    </w:p>
    <w:p w14:paraId="22579FBA" w14:textId="77777777" w:rsidR="009279AF" w:rsidRPr="002A7673" w:rsidRDefault="009279AF" w:rsidP="009279AF">
      <w:pPr>
        <w:spacing w:after="0" w:line="240" w:lineRule="auto"/>
        <w:ind w:left="851" w:right="851" w:firstLine="709"/>
        <w:jc w:val="both"/>
        <w:rPr>
          <w:rFonts w:ascii="Times New Roman" w:eastAsia="Calibri" w:hAnsi="Times New Roman" w:cs="Times New Roman"/>
          <w:b/>
          <w:bCs/>
          <w:i/>
          <w:iCs/>
          <w:color w:val="000000"/>
          <w:sz w:val="26"/>
          <w:szCs w:val="26"/>
          <w:shd w:val="clear" w:color="auto" w:fill="FFFFFF"/>
        </w:rPr>
      </w:pPr>
    </w:p>
    <w:p w14:paraId="16975779"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b/>
          <w:bCs/>
          <w:i/>
          <w:iCs/>
          <w:color w:val="000000"/>
          <w:sz w:val="26"/>
          <w:szCs w:val="26"/>
          <w:shd w:val="clear" w:color="auto" w:fill="FFFFFF"/>
        </w:rPr>
        <w:t xml:space="preserve">Se acordó: 1) </w:t>
      </w:r>
      <w:r w:rsidRPr="002A7673">
        <w:rPr>
          <w:rFonts w:ascii="Times New Roman" w:eastAsia="Calibri" w:hAnsi="Times New Roman" w:cs="Times New Roman"/>
          <w:i/>
          <w:iCs/>
          <w:color w:val="000000"/>
          <w:sz w:val="26"/>
          <w:szCs w:val="26"/>
          <w:shd w:val="clear" w:color="auto" w:fill="FFFFFF"/>
        </w:rPr>
        <w:t xml:space="preserve">Tomar nota de lo manifestado por la licenciada Nacira Valverde Bermúdez, Directora de Planificación.  </w:t>
      </w:r>
      <w:r w:rsidRPr="002A7673">
        <w:rPr>
          <w:rFonts w:ascii="Times New Roman" w:eastAsia="Calibri" w:hAnsi="Times New Roman" w:cs="Times New Roman"/>
          <w:b/>
          <w:bCs/>
          <w:i/>
          <w:iCs/>
          <w:color w:val="000000"/>
          <w:sz w:val="26"/>
          <w:szCs w:val="26"/>
          <w:shd w:val="clear" w:color="auto" w:fill="FFFFFF"/>
        </w:rPr>
        <w:t>2)</w:t>
      </w:r>
      <w:r w:rsidRPr="002A7673">
        <w:rPr>
          <w:rFonts w:ascii="Times New Roman" w:eastAsia="Calibri" w:hAnsi="Times New Roman" w:cs="Times New Roman"/>
          <w:i/>
          <w:iCs/>
          <w:color w:val="000000"/>
          <w:sz w:val="26"/>
          <w:szCs w:val="26"/>
          <w:shd w:val="clear" w:color="auto" w:fill="FFFFFF"/>
        </w:rPr>
        <w:t xml:space="preserve"> La Dirección de Planificación enviará un oficio a Corte Plena, informando el alcance de los estudios que se realizarán para el período de formulación 2022 en los siguientes términos: a) Por las restricciones presupuestarias impuestas al Poder Judicial, se revisarán únicamente las plazas extraordinarias que vienen vigentes del año 2021. b) En lo relativo a la actualización de los informes de Leyes especiales para Presupuesto 2022, la Dirección de Planificación revisará y actualizará, lo ya consignado, sin incluir requerimientos adicionales, según el siguiente detalle</w:t>
      </w:r>
      <w:r w:rsidRPr="002A7673">
        <w:rPr>
          <w:rFonts w:ascii="Times New Roman" w:eastAsia="Calibri" w:hAnsi="Times New Roman" w:cs="Times New Roman"/>
          <w:i/>
          <w:iCs/>
          <w:sz w:val="26"/>
          <w:szCs w:val="26"/>
        </w:rPr>
        <w:t>:</w:t>
      </w:r>
    </w:p>
    <w:p w14:paraId="47037993" w14:textId="77777777" w:rsidR="009279AF" w:rsidRPr="002A7673" w:rsidRDefault="009279AF" w:rsidP="009279AF">
      <w:pPr>
        <w:spacing w:after="0" w:line="240" w:lineRule="auto"/>
        <w:ind w:left="851" w:right="851" w:firstLine="709"/>
        <w:jc w:val="both"/>
        <w:rPr>
          <w:rFonts w:ascii="Times New Roman" w:eastAsia="Calibri" w:hAnsi="Times New Roman" w:cs="Times New Roman"/>
          <w:i/>
          <w:iCs/>
          <w:sz w:val="26"/>
          <w:szCs w:val="26"/>
          <w:shd w:val="clear" w:color="auto" w:fill="FFFFFF"/>
        </w:rPr>
      </w:pPr>
    </w:p>
    <w:p w14:paraId="6B5BD437" w14:textId="77777777" w:rsidR="00083CA4" w:rsidRPr="002A7673" w:rsidRDefault="00083CA4" w:rsidP="00D527DE">
      <w:pPr>
        <w:numPr>
          <w:ilvl w:val="0"/>
          <w:numId w:val="11"/>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 xml:space="preserve">Jurisdicción Especializada en Delincuencia Organizada </w:t>
      </w:r>
    </w:p>
    <w:p w14:paraId="3CE93DB0" w14:textId="77777777" w:rsidR="00083CA4" w:rsidRPr="002A7673" w:rsidRDefault="00083CA4" w:rsidP="00D527DE">
      <w:pPr>
        <w:numPr>
          <w:ilvl w:val="0"/>
          <w:numId w:val="11"/>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Código Procesal Agrario</w:t>
      </w:r>
    </w:p>
    <w:p w14:paraId="5AF05E94" w14:textId="77777777" w:rsidR="00083CA4" w:rsidRPr="002A7673" w:rsidRDefault="00083CA4" w:rsidP="00D527DE">
      <w:pPr>
        <w:numPr>
          <w:ilvl w:val="0"/>
          <w:numId w:val="11"/>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Acceso a la Justicia para Poblaciones Indígenas</w:t>
      </w:r>
    </w:p>
    <w:p w14:paraId="52694535" w14:textId="77777777" w:rsidR="00083CA4" w:rsidRPr="002A7673" w:rsidRDefault="00083CA4" w:rsidP="00D527DE">
      <w:pPr>
        <w:numPr>
          <w:ilvl w:val="0"/>
          <w:numId w:val="11"/>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Ley de Justicia Restaurativa</w:t>
      </w:r>
    </w:p>
    <w:p w14:paraId="2B90DC3F" w14:textId="77777777" w:rsidR="00083CA4" w:rsidRPr="002A7673" w:rsidRDefault="00083CA4" w:rsidP="00D527DE">
      <w:pPr>
        <w:numPr>
          <w:ilvl w:val="0"/>
          <w:numId w:val="11"/>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Código Procesal Familia</w:t>
      </w:r>
    </w:p>
    <w:p w14:paraId="6F5E1621" w14:textId="77777777" w:rsidR="00083CA4" w:rsidRPr="002A7673" w:rsidRDefault="00083CA4" w:rsidP="00D527DE">
      <w:pPr>
        <w:numPr>
          <w:ilvl w:val="0"/>
          <w:numId w:val="11"/>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Ley de Bienestar Animal</w:t>
      </w:r>
    </w:p>
    <w:p w14:paraId="0783E781" w14:textId="77777777" w:rsidR="00083CA4" w:rsidRPr="002A7673" w:rsidRDefault="00083CA4" w:rsidP="00D527DE">
      <w:pPr>
        <w:numPr>
          <w:ilvl w:val="0"/>
          <w:numId w:val="11"/>
        </w:numPr>
        <w:spacing w:after="0" w:line="240" w:lineRule="auto"/>
        <w:ind w:left="851" w:right="851" w:firstLine="709"/>
        <w:contextualSpacing/>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Atención y acceso a la Justicia de personas con asuntos relacionados a pensiones alimentarias.</w:t>
      </w:r>
    </w:p>
    <w:p w14:paraId="6A54E88C" w14:textId="77777777" w:rsidR="009279AF" w:rsidRPr="002A7673" w:rsidRDefault="009279AF" w:rsidP="009279AF">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i/>
          <w:iCs/>
          <w:color w:val="000000"/>
          <w:sz w:val="26"/>
          <w:szCs w:val="26"/>
          <w:u w:color="000000"/>
          <w:shd w:val="clear" w:color="auto" w:fill="FFFFFF"/>
          <w:lang w:val="es-ES" w:eastAsia="es-ES"/>
        </w:rPr>
      </w:pPr>
    </w:p>
    <w:p w14:paraId="566A34E6" w14:textId="77777777" w:rsidR="00083CA4" w:rsidRPr="002A7673" w:rsidRDefault="00083CA4" w:rsidP="009279AF">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i/>
          <w:iCs/>
          <w:color w:val="000000"/>
          <w:sz w:val="26"/>
          <w:szCs w:val="26"/>
          <w:u w:color="000000"/>
          <w:lang w:val="es-ES" w:eastAsia="es-ES"/>
        </w:rPr>
      </w:pPr>
      <w:r w:rsidRPr="002A7673">
        <w:rPr>
          <w:rFonts w:ascii="Times New Roman" w:eastAsia="Arial Unicode MS" w:hAnsi="Times New Roman" w:cs="Times New Roman"/>
          <w:i/>
          <w:iCs/>
          <w:color w:val="000000"/>
          <w:sz w:val="26"/>
          <w:szCs w:val="26"/>
          <w:u w:color="000000"/>
          <w:shd w:val="clear" w:color="auto" w:fill="FFFFFF"/>
          <w:lang w:val="es-ES" w:eastAsia="es-ES"/>
        </w:rPr>
        <w:t xml:space="preserve">c)  Se generará </w:t>
      </w:r>
      <w:r w:rsidRPr="002A7673">
        <w:rPr>
          <w:rFonts w:ascii="Times New Roman" w:eastAsia="Arial Unicode MS" w:hAnsi="Times New Roman" w:cs="Times New Roman"/>
          <w:i/>
          <w:iCs/>
          <w:color w:val="000000"/>
          <w:sz w:val="26"/>
          <w:szCs w:val="26"/>
          <w:u w:color="000000"/>
          <w:lang w:val="es-ES" w:eastAsia="es-ES"/>
        </w:rPr>
        <w:t>y analizará el estudio de la creación de jurisdicción en Asuntos Indígenas, a solicitud de la Presidencia de la Presidencia de la Corte.</w:t>
      </w:r>
    </w:p>
    <w:p w14:paraId="437C46ED" w14:textId="77777777" w:rsidR="009279AF" w:rsidRPr="002A7673" w:rsidRDefault="009279AF" w:rsidP="009279AF">
      <w:pPr>
        <w:spacing w:after="0" w:line="240" w:lineRule="auto"/>
        <w:ind w:left="851" w:right="851" w:firstLine="709"/>
        <w:jc w:val="both"/>
        <w:rPr>
          <w:rFonts w:ascii="Times New Roman" w:eastAsia="Calibri" w:hAnsi="Times New Roman" w:cs="Times New Roman"/>
          <w:i/>
          <w:iCs/>
          <w:sz w:val="26"/>
          <w:szCs w:val="26"/>
        </w:rPr>
      </w:pPr>
    </w:p>
    <w:p w14:paraId="11B9D71B" w14:textId="77777777" w:rsidR="009279AF" w:rsidRPr="002A7673" w:rsidRDefault="00083CA4" w:rsidP="009279AF">
      <w:pPr>
        <w:spacing w:after="0" w:line="240" w:lineRule="auto"/>
        <w:ind w:left="851" w:right="851" w:firstLine="709"/>
        <w:jc w:val="both"/>
        <w:rPr>
          <w:rFonts w:ascii="Times New Roman" w:eastAsia="Calibri" w:hAnsi="Times New Roman" w:cs="Times New Roman"/>
          <w:b/>
          <w:bCs/>
          <w:i/>
          <w:iCs/>
          <w:sz w:val="26"/>
          <w:szCs w:val="26"/>
          <w:lang w:val="es-MX"/>
        </w:rPr>
      </w:pPr>
      <w:r w:rsidRPr="002A7673">
        <w:rPr>
          <w:rFonts w:ascii="Times New Roman" w:eastAsia="Calibri" w:hAnsi="Times New Roman" w:cs="Times New Roman"/>
          <w:i/>
          <w:iCs/>
          <w:sz w:val="26"/>
          <w:szCs w:val="26"/>
        </w:rPr>
        <w:t>Estos informes constituyen nuevas obligaciones, por lo que, al no tener contenido para cubrirlas con el presupuesto ordinario, se presentarán de forma independiente</w:t>
      </w:r>
      <w:r w:rsidRPr="002A7673">
        <w:rPr>
          <w:rFonts w:ascii="Times New Roman" w:eastAsia="Calibri" w:hAnsi="Times New Roman" w:cs="Times New Roman"/>
          <w:i/>
          <w:iCs/>
          <w:sz w:val="26"/>
          <w:szCs w:val="26"/>
          <w:lang w:val="es-MX"/>
        </w:rPr>
        <w:t>.</w:t>
      </w:r>
      <w:r w:rsidRPr="002A7673">
        <w:rPr>
          <w:rFonts w:ascii="Times New Roman" w:eastAsia="Calibri" w:hAnsi="Times New Roman" w:cs="Times New Roman"/>
          <w:b/>
          <w:bCs/>
          <w:i/>
          <w:iCs/>
          <w:sz w:val="26"/>
          <w:szCs w:val="26"/>
          <w:lang w:val="es-MX"/>
        </w:rPr>
        <w:t xml:space="preserve"> Se declara este acuerdo firme.</w:t>
      </w:r>
      <w:r w:rsidR="009279AF" w:rsidRPr="002A7673">
        <w:rPr>
          <w:rFonts w:ascii="Times New Roman" w:eastAsia="Calibri" w:hAnsi="Times New Roman" w:cs="Times New Roman"/>
          <w:b/>
          <w:bCs/>
          <w:i/>
          <w:iCs/>
          <w:sz w:val="26"/>
          <w:szCs w:val="26"/>
          <w:lang w:val="es-MX"/>
        </w:rPr>
        <w:t>”</w:t>
      </w:r>
    </w:p>
    <w:p w14:paraId="217DD498"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lang w:val="es-MX"/>
        </w:rPr>
      </w:pPr>
      <w:r w:rsidRPr="002A7673">
        <w:rPr>
          <w:rFonts w:ascii="Times New Roman" w:eastAsia="Calibri" w:hAnsi="Times New Roman" w:cs="Times New Roman"/>
          <w:b/>
          <w:bCs/>
          <w:i/>
          <w:iCs/>
          <w:sz w:val="26"/>
          <w:szCs w:val="26"/>
          <w:lang w:val="es-MX"/>
        </w:rPr>
        <w:t xml:space="preserve"> </w:t>
      </w:r>
    </w:p>
    <w:p w14:paraId="73517E04" w14:textId="77777777" w:rsidR="00083CA4" w:rsidRPr="002A7673" w:rsidRDefault="00083CA4" w:rsidP="009279AF">
      <w:pPr>
        <w:numPr>
          <w:ilvl w:val="0"/>
          <w:numId w:val="1"/>
        </w:numPr>
        <w:spacing w:after="0" w:line="480" w:lineRule="auto"/>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     -</w:t>
      </w:r>
    </w:p>
    <w:p w14:paraId="185C6581" w14:textId="6456A85D" w:rsidR="00083CA4" w:rsidRPr="002A7673" w:rsidRDefault="00083CA4" w:rsidP="009279AF">
      <w:pPr>
        <w:spacing w:after="0" w:line="480" w:lineRule="auto"/>
        <w:ind w:firstLine="709"/>
        <w:jc w:val="both"/>
        <w:rPr>
          <w:rFonts w:ascii="Times New Roman" w:eastAsia="Calibri" w:hAnsi="Times New Roman" w:cs="Times New Roman"/>
          <w:color w:val="000000"/>
          <w:sz w:val="28"/>
          <w:szCs w:val="28"/>
          <w:shd w:val="clear" w:color="auto" w:fill="FFFFFF"/>
        </w:rPr>
      </w:pPr>
      <w:r w:rsidRPr="002A7673">
        <w:rPr>
          <w:rFonts w:ascii="Times New Roman" w:eastAsia="Calibri" w:hAnsi="Times New Roman" w:cs="Times New Roman"/>
          <w:b/>
          <w:bCs/>
          <w:sz w:val="28"/>
          <w:szCs w:val="28"/>
        </w:rPr>
        <w:lastRenderedPageBreak/>
        <w:t>Se acordó</w:t>
      </w:r>
      <w:r w:rsidR="009279AF" w:rsidRPr="002A7673">
        <w:rPr>
          <w:rFonts w:ascii="Times New Roman" w:eastAsia="Calibri" w:hAnsi="Times New Roman" w:cs="Times New Roman"/>
          <w:b/>
          <w:sz w:val="28"/>
          <w:szCs w:val="28"/>
        </w:rPr>
        <w:t xml:space="preserve">: </w:t>
      </w:r>
      <w:r w:rsidRPr="002A7673">
        <w:rPr>
          <w:rFonts w:ascii="Times New Roman" w:eastAsia="Calibri" w:hAnsi="Times New Roman" w:cs="Times New Roman"/>
          <w:sz w:val="28"/>
          <w:szCs w:val="28"/>
        </w:rPr>
        <w:t>Tomar nota del Oficio N</w:t>
      </w:r>
      <w:r w:rsidR="009279AF" w:rsidRPr="002A7673">
        <w:rPr>
          <w:rFonts w:ascii="Times New Roman" w:eastAsia="Calibri" w:hAnsi="Times New Roman" w:cs="Times New Roman"/>
          <w:sz w:val="28"/>
          <w:szCs w:val="28"/>
        </w:rPr>
        <w:t xml:space="preserve">°004-JVA-2021, </w:t>
      </w:r>
      <w:r w:rsidR="009279AF" w:rsidRPr="002A7673">
        <w:rPr>
          <w:rFonts w:ascii="Times New Roman" w:eastAsia="Calibri" w:hAnsi="Times New Roman" w:cs="Times New Roman"/>
          <w:color w:val="000000"/>
          <w:sz w:val="28"/>
          <w:szCs w:val="28"/>
          <w:shd w:val="clear" w:color="auto" w:fill="FFFFFF"/>
        </w:rPr>
        <w:t>enviado por la Magistrada Julia Varela Araya, en calidad de Coordinadora de la Comisión de Familia, Niñez y Adolescencia</w:t>
      </w:r>
      <w:r w:rsidR="00A50108" w:rsidRPr="002A7673">
        <w:rPr>
          <w:rFonts w:ascii="Times New Roman" w:eastAsia="Calibri" w:hAnsi="Times New Roman" w:cs="Times New Roman"/>
          <w:color w:val="000000"/>
          <w:sz w:val="28"/>
          <w:szCs w:val="28"/>
          <w:shd w:val="clear" w:color="auto" w:fill="FFFFFF"/>
        </w:rPr>
        <w:t>.</w:t>
      </w:r>
    </w:p>
    <w:p w14:paraId="2BAEB7B1" w14:textId="77777777" w:rsidR="009279AF" w:rsidRPr="002A7673" w:rsidRDefault="009279AF" w:rsidP="009279AF">
      <w:pPr>
        <w:spacing w:after="0" w:line="480" w:lineRule="auto"/>
        <w:ind w:firstLine="709"/>
        <w:jc w:val="both"/>
        <w:rPr>
          <w:rFonts w:ascii="Times New Roman" w:eastAsia="Calibri" w:hAnsi="Times New Roman" w:cs="Times New Roman"/>
          <w:strike/>
          <w:sz w:val="28"/>
          <w:szCs w:val="28"/>
        </w:rPr>
      </w:pPr>
      <w:r w:rsidRPr="002A7673">
        <w:rPr>
          <w:rFonts w:ascii="Times New Roman" w:eastAsia="Calibri" w:hAnsi="Times New Roman" w:cs="Times New Roman"/>
          <w:color w:val="000000"/>
          <w:sz w:val="28"/>
          <w:szCs w:val="28"/>
          <w:shd w:val="clear" w:color="auto" w:fill="FFFFFF"/>
        </w:rPr>
        <w:t>La Comisión de Familia, Niñez y Adolescencia</w:t>
      </w:r>
      <w:r w:rsidR="001C531A" w:rsidRPr="002A7673">
        <w:rPr>
          <w:rFonts w:ascii="Times New Roman" w:eastAsia="Calibri" w:hAnsi="Times New Roman" w:cs="Times New Roman"/>
          <w:color w:val="000000"/>
          <w:sz w:val="28"/>
          <w:szCs w:val="28"/>
          <w:shd w:val="clear" w:color="auto" w:fill="FFFFFF"/>
        </w:rPr>
        <w:t>, la Dirección de Planificación</w:t>
      </w:r>
      <w:r w:rsidRPr="002A7673">
        <w:rPr>
          <w:rFonts w:ascii="Times New Roman" w:eastAsia="Calibri" w:hAnsi="Times New Roman" w:cs="Times New Roman"/>
          <w:color w:val="000000"/>
          <w:sz w:val="28"/>
          <w:szCs w:val="28"/>
          <w:shd w:val="clear" w:color="auto" w:fill="FFFFFF"/>
        </w:rPr>
        <w:t xml:space="preserve"> y la Defensa Pública, tomarán nota para lo que corresponda. </w:t>
      </w:r>
      <w:r w:rsidRPr="002A7673">
        <w:rPr>
          <w:rFonts w:ascii="Times New Roman" w:eastAsia="Calibri" w:hAnsi="Times New Roman" w:cs="Times New Roman"/>
          <w:b/>
          <w:color w:val="000000"/>
          <w:sz w:val="28"/>
          <w:szCs w:val="28"/>
          <w:shd w:val="clear" w:color="auto" w:fill="FFFFFF"/>
        </w:rPr>
        <w:t>Se declara acuerdo firme.</w:t>
      </w:r>
    </w:p>
    <w:p w14:paraId="36B79201" w14:textId="505FA0CE" w:rsidR="001C531A" w:rsidRPr="00EF57CF" w:rsidRDefault="00083CA4" w:rsidP="00EF57CF">
      <w:pPr>
        <w:keepNext/>
        <w:shd w:val="clear" w:color="auto" w:fill="FFFFFF"/>
        <w:autoSpaceDE w:val="0"/>
        <w:autoSpaceDN w:val="0"/>
        <w:spacing w:after="0" w:line="360" w:lineRule="auto"/>
        <w:jc w:val="center"/>
        <w:outlineLvl w:val="0"/>
        <w:rPr>
          <w:rFonts w:ascii="Times New Roman" w:eastAsia="Times New Roman" w:hAnsi="Times New Roman" w:cs="Times New Roman"/>
          <w:b/>
          <w:bCs/>
          <w:kern w:val="36"/>
          <w:sz w:val="28"/>
          <w:szCs w:val="28"/>
          <w:u w:val="single"/>
          <w:lang w:eastAsia="es-ES"/>
        </w:rPr>
      </w:pPr>
      <w:r w:rsidRPr="002A7673">
        <w:rPr>
          <w:rFonts w:ascii="Times New Roman" w:eastAsia="Times New Roman" w:hAnsi="Times New Roman" w:cs="Times New Roman"/>
          <w:b/>
          <w:bCs/>
          <w:kern w:val="36"/>
          <w:sz w:val="28"/>
          <w:szCs w:val="28"/>
          <w:u w:val="single"/>
          <w:lang w:eastAsia="es-ES"/>
        </w:rPr>
        <w:t>ARTÍCULO VII</w:t>
      </w:r>
    </w:p>
    <w:p w14:paraId="3B691165" w14:textId="77777777" w:rsidR="00083CA4" w:rsidRPr="002A7673" w:rsidRDefault="00083CA4" w:rsidP="009279AF">
      <w:pPr>
        <w:autoSpaceDE w:val="0"/>
        <w:autoSpaceDN w:val="0"/>
        <w:adjustRightInd w:val="0"/>
        <w:spacing w:after="0" w:line="480" w:lineRule="auto"/>
        <w:jc w:val="both"/>
        <w:rPr>
          <w:rFonts w:ascii="Times New Roman" w:eastAsia="Calibri" w:hAnsi="Times New Roman" w:cs="Times New Roman"/>
          <w:b/>
          <w:bCs/>
          <w:sz w:val="28"/>
          <w:szCs w:val="28"/>
        </w:rPr>
      </w:pPr>
      <w:r w:rsidRPr="002A7673">
        <w:rPr>
          <w:rFonts w:ascii="Times New Roman" w:eastAsia="Calibri" w:hAnsi="Times New Roman" w:cs="Times New Roman"/>
          <w:b/>
          <w:bCs/>
          <w:sz w:val="28"/>
          <w:szCs w:val="28"/>
        </w:rPr>
        <w:t xml:space="preserve">Documento N° </w:t>
      </w:r>
      <w:r w:rsidRPr="002A7673">
        <w:rPr>
          <w:rFonts w:ascii="Times New Roman" w:eastAsia="Calibri" w:hAnsi="Times New Roman" w:cs="Times New Roman"/>
          <w:b/>
          <w:bCs/>
          <w:color w:val="00B050"/>
          <w:sz w:val="28"/>
          <w:szCs w:val="28"/>
        </w:rPr>
        <w:t>4392-2021</w:t>
      </w:r>
    </w:p>
    <w:p w14:paraId="48CD3226" w14:textId="77777777" w:rsidR="00083CA4" w:rsidRPr="002A7673" w:rsidRDefault="00083CA4" w:rsidP="005F7139">
      <w:pPr>
        <w:spacing w:after="0" w:line="360" w:lineRule="auto"/>
        <w:ind w:firstLine="708"/>
        <w:jc w:val="both"/>
        <w:rPr>
          <w:rFonts w:ascii="Times New Roman" w:eastAsia="Calibri" w:hAnsi="Times New Roman" w:cs="Times New Roman"/>
          <w:color w:val="000000"/>
          <w:sz w:val="28"/>
          <w:szCs w:val="28"/>
          <w:shd w:val="clear" w:color="auto" w:fill="FFFFFF"/>
        </w:rPr>
      </w:pPr>
      <w:r w:rsidRPr="002A7673">
        <w:rPr>
          <w:rFonts w:ascii="Times New Roman" w:eastAsia="Calibri" w:hAnsi="Times New Roman" w:cs="Times New Roman"/>
          <w:sz w:val="28"/>
          <w:szCs w:val="28"/>
        </w:rPr>
        <w:t xml:space="preserve">En reunión de trabajo del pasado 16 de abril, la Licenciada Nacira Valverde Bermúdez indicó </w:t>
      </w:r>
      <w:r w:rsidRPr="002A7673">
        <w:rPr>
          <w:rFonts w:ascii="Times New Roman" w:eastAsia="Calibri" w:hAnsi="Times New Roman" w:cs="Times New Roman"/>
          <w:color w:val="000000"/>
          <w:sz w:val="28"/>
          <w:szCs w:val="28"/>
          <w:shd w:val="clear" w:color="auto" w:fill="FFFFFF"/>
        </w:rPr>
        <w:t xml:space="preserve">que mediante correo electrónico de fecha 23 de marzo pasado, la Dirección de Gestión Humana remite oficio 162-CAP-2021, que contiene el detalle del presupuesto requerido para el 2022 para la atención de las poblaciones indígenas, lo anterior según acuerdo tomado por la Subcomisión de Acceso a la Justicia de Pueblos Indígenas, celebrada el 6 de marzo de 2020. </w:t>
      </w:r>
    </w:p>
    <w:p w14:paraId="0309A936" w14:textId="77777777" w:rsidR="00083CA4" w:rsidRPr="002A7673" w:rsidRDefault="00083CA4" w:rsidP="005F7139">
      <w:pPr>
        <w:spacing w:after="0" w:line="360" w:lineRule="auto"/>
        <w:ind w:firstLine="708"/>
        <w:jc w:val="both"/>
        <w:rPr>
          <w:rFonts w:ascii="Times New Roman" w:eastAsia="Calibri" w:hAnsi="Times New Roman" w:cs="Times New Roman"/>
          <w:color w:val="000000"/>
          <w:sz w:val="28"/>
          <w:szCs w:val="28"/>
          <w:shd w:val="clear" w:color="auto" w:fill="FFFFFF"/>
        </w:rPr>
      </w:pPr>
      <w:r w:rsidRPr="002A7673">
        <w:rPr>
          <w:rFonts w:ascii="Times New Roman" w:eastAsia="Calibri" w:hAnsi="Times New Roman" w:cs="Times New Roman"/>
          <w:color w:val="000000"/>
          <w:sz w:val="28"/>
          <w:szCs w:val="28"/>
          <w:shd w:val="clear" w:color="auto" w:fill="FFFFFF"/>
        </w:rPr>
        <w:t xml:space="preserve">En este oficio se indica que para el 2022 la proyección de la formulación de dicho presupuesto se gestionó directamente en el Programa Administrativo (926) con la Dirección Nacional de Justicia Restaurativa, en el Programa Jurisdiccional (927) con la Escuela Judicial, mientras que en el OIJ y la Defensa Pública con las Unidades de Capacitación respectivas y en el caso del Ministerio Público, con la Fiscalía de Asuntos Indígenas y la Oficina de Atención de Víctimas y Testigos. </w:t>
      </w:r>
    </w:p>
    <w:p w14:paraId="24AD2215" w14:textId="77777777" w:rsidR="00083CA4" w:rsidRPr="002A7673" w:rsidRDefault="00083CA4" w:rsidP="005F7139">
      <w:pPr>
        <w:spacing w:after="0" w:line="360" w:lineRule="auto"/>
        <w:ind w:firstLine="708"/>
        <w:jc w:val="both"/>
        <w:rPr>
          <w:rFonts w:ascii="Times New Roman" w:eastAsia="Calibri" w:hAnsi="Times New Roman" w:cs="Times New Roman"/>
          <w:color w:val="000000"/>
          <w:sz w:val="28"/>
          <w:szCs w:val="28"/>
          <w:shd w:val="clear" w:color="auto" w:fill="FFFFFF"/>
        </w:rPr>
      </w:pPr>
      <w:r w:rsidRPr="002A7673">
        <w:rPr>
          <w:rFonts w:ascii="Times New Roman" w:eastAsia="Calibri" w:hAnsi="Times New Roman" w:cs="Times New Roman"/>
          <w:color w:val="000000"/>
          <w:sz w:val="28"/>
          <w:szCs w:val="28"/>
          <w:shd w:val="clear" w:color="auto" w:fill="FFFFFF"/>
        </w:rPr>
        <w:t>En total para el 2022 se solicitan ¢7.349.500 desglosados por subpartida de la siguiente forma:</w:t>
      </w:r>
    </w:p>
    <w:p w14:paraId="21015294" w14:textId="77777777" w:rsidR="00083CA4" w:rsidRPr="002A7673" w:rsidRDefault="00083CA4" w:rsidP="005F7139">
      <w:pPr>
        <w:spacing w:after="0" w:line="360" w:lineRule="auto"/>
        <w:ind w:firstLine="708"/>
        <w:rPr>
          <w:rFonts w:ascii="Times New Roman" w:eastAsia="Calibri" w:hAnsi="Times New Roman" w:cs="Times New Roman"/>
        </w:rPr>
      </w:pPr>
    </w:p>
    <w:tbl>
      <w:tblPr>
        <w:tblStyle w:val="Tablaconcuadrcula"/>
        <w:tblW w:w="0" w:type="auto"/>
        <w:jc w:val="center"/>
        <w:tblLook w:val="04A0" w:firstRow="1" w:lastRow="0" w:firstColumn="1" w:lastColumn="0" w:noHBand="0" w:noVBand="1"/>
      </w:tblPr>
      <w:tblGrid>
        <w:gridCol w:w="1474"/>
        <w:gridCol w:w="3025"/>
        <w:gridCol w:w="1417"/>
      </w:tblGrid>
      <w:tr w:rsidR="00083CA4" w:rsidRPr="002A7673" w14:paraId="5B2469F8" w14:textId="77777777" w:rsidTr="00083CA4">
        <w:trPr>
          <w:jc w:val="center"/>
        </w:trPr>
        <w:tc>
          <w:tcPr>
            <w:tcW w:w="1365" w:type="dxa"/>
            <w:shd w:val="clear" w:color="auto" w:fill="BFBFBF"/>
            <w:vAlign w:val="center"/>
          </w:tcPr>
          <w:p w14:paraId="4AC9C52B" w14:textId="77777777" w:rsidR="00083CA4" w:rsidRPr="002A7673" w:rsidRDefault="00083CA4" w:rsidP="005F7139">
            <w:pPr>
              <w:spacing w:line="360" w:lineRule="auto"/>
              <w:jc w:val="center"/>
              <w:rPr>
                <w:sz w:val="26"/>
                <w:szCs w:val="26"/>
              </w:rPr>
            </w:pPr>
            <w:r w:rsidRPr="002A7673">
              <w:rPr>
                <w:b/>
                <w:bCs/>
                <w:sz w:val="26"/>
                <w:szCs w:val="26"/>
              </w:rPr>
              <w:t>Subpartida</w:t>
            </w:r>
          </w:p>
        </w:tc>
        <w:tc>
          <w:tcPr>
            <w:tcW w:w="3025" w:type="dxa"/>
            <w:shd w:val="clear" w:color="auto" w:fill="BFBFBF"/>
            <w:vAlign w:val="center"/>
          </w:tcPr>
          <w:p w14:paraId="399DCE73" w14:textId="77777777" w:rsidR="00083CA4" w:rsidRPr="002A7673" w:rsidRDefault="00083CA4" w:rsidP="005F7139">
            <w:pPr>
              <w:spacing w:line="360" w:lineRule="auto"/>
              <w:jc w:val="center"/>
              <w:rPr>
                <w:sz w:val="26"/>
                <w:szCs w:val="26"/>
              </w:rPr>
            </w:pPr>
            <w:r w:rsidRPr="002A7673">
              <w:rPr>
                <w:b/>
                <w:bCs/>
                <w:sz w:val="26"/>
                <w:szCs w:val="26"/>
              </w:rPr>
              <w:t>Actividad</w:t>
            </w:r>
          </w:p>
        </w:tc>
        <w:tc>
          <w:tcPr>
            <w:tcW w:w="1417" w:type="dxa"/>
            <w:shd w:val="clear" w:color="auto" w:fill="BFBFBF"/>
            <w:vAlign w:val="center"/>
          </w:tcPr>
          <w:p w14:paraId="7605E4B8" w14:textId="77777777" w:rsidR="00083CA4" w:rsidRPr="002A7673" w:rsidRDefault="00083CA4" w:rsidP="005F7139">
            <w:pPr>
              <w:spacing w:line="360" w:lineRule="auto"/>
              <w:jc w:val="center"/>
              <w:rPr>
                <w:sz w:val="26"/>
                <w:szCs w:val="26"/>
              </w:rPr>
            </w:pPr>
            <w:r w:rsidRPr="002A7673">
              <w:rPr>
                <w:b/>
                <w:bCs/>
                <w:sz w:val="26"/>
                <w:szCs w:val="26"/>
              </w:rPr>
              <w:t>Monto</w:t>
            </w:r>
          </w:p>
        </w:tc>
      </w:tr>
      <w:tr w:rsidR="00083CA4" w:rsidRPr="002A7673" w14:paraId="3F1BB34B" w14:textId="77777777" w:rsidTr="005F7139">
        <w:trPr>
          <w:jc w:val="center"/>
        </w:trPr>
        <w:tc>
          <w:tcPr>
            <w:tcW w:w="1365" w:type="dxa"/>
          </w:tcPr>
          <w:p w14:paraId="1F022424" w14:textId="77777777" w:rsidR="00083CA4" w:rsidRPr="002A7673" w:rsidRDefault="00083CA4" w:rsidP="005F7139">
            <w:pPr>
              <w:spacing w:line="360" w:lineRule="auto"/>
              <w:jc w:val="center"/>
              <w:rPr>
                <w:sz w:val="26"/>
                <w:szCs w:val="26"/>
              </w:rPr>
            </w:pPr>
            <w:r w:rsidRPr="002A7673">
              <w:rPr>
                <w:sz w:val="26"/>
                <w:szCs w:val="26"/>
              </w:rPr>
              <w:lastRenderedPageBreak/>
              <w:t>10502</w:t>
            </w:r>
          </w:p>
        </w:tc>
        <w:tc>
          <w:tcPr>
            <w:tcW w:w="3025" w:type="dxa"/>
          </w:tcPr>
          <w:p w14:paraId="303132C6" w14:textId="77777777" w:rsidR="00083CA4" w:rsidRPr="002A7673" w:rsidRDefault="00083CA4" w:rsidP="005F7139">
            <w:pPr>
              <w:spacing w:line="360" w:lineRule="auto"/>
              <w:rPr>
                <w:sz w:val="26"/>
                <w:szCs w:val="26"/>
              </w:rPr>
            </w:pPr>
            <w:r w:rsidRPr="002A7673">
              <w:rPr>
                <w:sz w:val="26"/>
                <w:szCs w:val="26"/>
              </w:rPr>
              <w:t>Viáticos dentro del País</w:t>
            </w:r>
          </w:p>
        </w:tc>
        <w:tc>
          <w:tcPr>
            <w:tcW w:w="1417" w:type="dxa"/>
          </w:tcPr>
          <w:p w14:paraId="6A75AA85" w14:textId="77777777" w:rsidR="00083CA4" w:rsidRPr="002A7673" w:rsidRDefault="00083CA4" w:rsidP="005F7139">
            <w:pPr>
              <w:spacing w:line="360" w:lineRule="auto"/>
              <w:jc w:val="right"/>
              <w:rPr>
                <w:sz w:val="26"/>
                <w:szCs w:val="26"/>
              </w:rPr>
            </w:pPr>
            <w:r w:rsidRPr="002A7673">
              <w:rPr>
                <w:sz w:val="26"/>
                <w:szCs w:val="26"/>
              </w:rPr>
              <w:t>532.500</w:t>
            </w:r>
          </w:p>
        </w:tc>
      </w:tr>
      <w:tr w:rsidR="00083CA4" w:rsidRPr="002A7673" w14:paraId="0A540EF0" w14:textId="77777777" w:rsidTr="005F7139">
        <w:trPr>
          <w:jc w:val="center"/>
        </w:trPr>
        <w:tc>
          <w:tcPr>
            <w:tcW w:w="1365" w:type="dxa"/>
          </w:tcPr>
          <w:p w14:paraId="24BA0B35" w14:textId="77777777" w:rsidR="00083CA4" w:rsidRPr="002A7673" w:rsidRDefault="00083CA4" w:rsidP="005F7139">
            <w:pPr>
              <w:spacing w:line="360" w:lineRule="auto"/>
              <w:jc w:val="center"/>
              <w:rPr>
                <w:sz w:val="26"/>
                <w:szCs w:val="26"/>
              </w:rPr>
            </w:pPr>
            <w:r w:rsidRPr="002A7673">
              <w:rPr>
                <w:sz w:val="26"/>
                <w:szCs w:val="26"/>
              </w:rPr>
              <w:t>10701</w:t>
            </w:r>
          </w:p>
        </w:tc>
        <w:tc>
          <w:tcPr>
            <w:tcW w:w="3025" w:type="dxa"/>
          </w:tcPr>
          <w:p w14:paraId="104CA442" w14:textId="77777777" w:rsidR="00083CA4" w:rsidRPr="002A7673" w:rsidRDefault="00083CA4" w:rsidP="005F7139">
            <w:pPr>
              <w:spacing w:line="360" w:lineRule="auto"/>
              <w:rPr>
                <w:sz w:val="26"/>
                <w:szCs w:val="26"/>
              </w:rPr>
            </w:pPr>
            <w:r w:rsidRPr="002A7673">
              <w:rPr>
                <w:sz w:val="26"/>
                <w:szCs w:val="26"/>
              </w:rPr>
              <w:t xml:space="preserve">Actividades de Capacitación </w:t>
            </w:r>
          </w:p>
        </w:tc>
        <w:tc>
          <w:tcPr>
            <w:tcW w:w="1417" w:type="dxa"/>
          </w:tcPr>
          <w:p w14:paraId="67462DB3" w14:textId="77777777" w:rsidR="00083CA4" w:rsidRPr="002A7673" w:rsidRDefault="00083CA4" w:rsidP="005F7139">
            <w:pPr>
              <w:spacing w:line="360" w:lineRule="auto"/>
              <w:jc w:val="right"/>
              <w:rPr>
                <w:sz w:val="26"/>
                <w:szCs w:val="26"/>
              </w:rPr>
            </w:pPr>
            <w:r w:rsidRPr="002A7673">
              <w:rPr>
                <w:sz w:val="26"/>
                <w:szCs w:val="26"/>
              </w:rPr>
              <w:t>6.817.000</w:t>
            </w:r>
          </w:p>
        </w:tc>
      </w:tr>
      <w:tr w:rsidR="00083CA4" w:rsidRPr="002A7673" w14:paraId="7B72B178" w14:textId="77777777" w:rsidTr="00083CA4">
        <w:trPr>
          <w:jc w:val="center"/>
        </w:trPr>
        <w:tc>
          <w:tcPr>
            <w:tcW w:w="4390" w:type="dxa"/>
            <w:gridSpan w:val="2"/>
            <w:shd w:val="clear" w:color="auto" w:fill="BFBFBF"/>
            <w:vAlign w:val="center"/>
          </w:tcPr>
          <w:p w14:paraId="55CDB7AC" w14:textId="77777777" w:rsidR="00083CA4" w:rsidRPr="002A7673" w:rsidRDefault="00083CA4" w:rsidP="005F7139">
            <w:pPr>
              <w:spacing w:line="360" w:lineRule="auto"/>
              <w:jc w:val="center"/>
              <w:rPr>
                <w:b/>
                <w:bCs/>
                <w:sz w:val="26"/>
                <w:szCs w:val="26"/>
              </w:rPr>
            </w:pPr>
            <w:r w:rsidRPr="002A7673">
              <w:rPr>
                <w:b/>
                <w:bCs/>
                <w:sz w:val="26"/>
                <w:szCs w:val="26"/>
              </w:rPr>
              <w:t>TOTAL</w:t>
            </w:r>
          </w:p>
        </w:tc>
        <w:tc>
          <w:tcPr>
            <w:tcW w:w="1417" w:type="dxa"/>
            <w:shd w:val="clear" w:color="auto" w:fill="BFBFBF"/>
            <w:vAlign w:val="center"/>
          </w:tcPr>
          <w:p w14:paraId="500C1AF3" w14:textId="77777777" w:rsidR="00083CA4" w:rsidRPr="002A7673" w:rsidRDefault="00083CA4" w:rsidP="005F7139">
            <w:pPr>
              <w:spacing w:line="360" w:lineRule="auto"/>
              <w:jc w:val="right"/>
              <w:rPr>
                <w:b/>
                <w:bCs/>
                <w:sz w:val="26"/>
                <w:szCs w:val="26"/>
              </w:rPr>
            </w:pPr>
            <w:r w:rsidRPr="002A7673">
              <w:rPr>
                <w:b/>
                <w:bCs/>
                <w:sz w:val="26"/>
                <w:szCs w:val="26"/>
              </w:rPr>
              <w:t>7.349.500</w:t>
            </w:r>
          </w:p>
        </w:tc>
      </w:tr>
    </w:tbl>
    <w:p w14:paraId="7A0F3696" w14:textId="77777777" w:rsidR="00083CA4" w:rsidRPr="002A7673" w:rsidRDefault="00083CA4" w:rsidP="005F7139">
      <w:pPr>
        <w:spacing w:after="0" w:line="360" w:lineRule="auto"/>
        <w:ind w:firstLine="708"/>
        <w:rPr>
          <w:rFonts w:ascii="Times New Roman" w:eastAsia="Calibri" w:hAnsi="Times New Roman" w:cs="Times New Roman"/>
        </w:rPr>
      </w:pPr>
    </w:p>
    <w:p w14:paraId="34AE0B35" w14:textId="77777777" w:rsidR="00083CA4" w:rsidRPr="002A7673" w:rsidRDefault="00083CA4" w:rsidP="005F7139">
      <w:pPr>
        <w:spacing w:after="0" w:line="360" w:lineRule="auto"/>
        <w:ind w:firstLine="708"/>
        <w:rPr>
          <w:rFonts w:ascii="Times New Roman" w:eastAsia="Calibri" w:hAnsi="Times New Roman" w:cs="Times New Roman"/>
          <w:color w:val="000000"/>
          <w:sz w:val="28"/>
          <w:szCs w:val="28"/>
          <w:shd w:val="clear" w:color="auto" w:fill="FFFFFF"/>
        </w:rPr>
      </w:pPr>
    </w:p>
    <w:p w14:paraId="13F0CDB1" w14:textId="77777777" w:rsidR="00083CA4" w:rsidRPr="002A7673" w:rsidRDefault="00083CA4" w:rsidP="009279AF">
      <w:pPr>
        <w:spacing w:after="0" w:line="240" w:lineRule="auto"/>
        <w:ind w:left="851" w:right="851" w:firstLine="709"/>
        <w:jc w:val="both"/>
        <w:rPr>
          <w:rFonts w:ascii="Times New Roman" w:eastAsia="Calibri" w:hAnsi="Times New Roman" w:cs="Times New Roman"/>
          <w:color w:val="000000"/>
          <w:sz w:val="26"/>
          <w:szCs w:val="26"/>
          <w:shd w:val="clear" w:color="auto" w:fill="FFFFFF"/>
        </w:rPr>
      </w:pPr>
      <w:r w:rsidRPr="002A7673">
        <w:rPr>
          <w:rFonts w:ascii="Times New Roman" w:eastAsia="Calibri" w:hAnsi="Times New Roman" w:cs="Times New Roman"/>
          <w:color w:val="000000"/>
          <w:sz w:val="26"/>
          <w:szCs w:val="26"/>
          <w:shd w:val="clear" w:color="auto" w:fill="FFFFFF"/>
        </w:rPr>
        <w:t>El detalle de este presupuesto por Programa Presupuestario se presenta a continuación:</w:t>
      </w:r>
    </w:p>
    <w:p w14:paraId="180FC630" w14:textId="77777777" w:rsidR="00083CA4" w:rsidRPr="002A7673" w:rsidRDefault="00083CA4" w:rsidP="005F7139">
      <w:pPr>
        <w:spacing w:after="0" w:line="360" w:lineRule="auto"/>
        <w:rPr>
          <w:rFonts w:ascii="Times New Roman" w:eastAsia="Calibri" w:hAnsi="Times New Roman" w:cs="Times New Roman"/>
        </w:rPr>
      </w:pPr>
    </w:p>
    <w:tbl>
      <w:tblPr>
        <w:tblStyle w:val="Tablaconcuadrcula"/>
        <w:tblW w:w="0" w:type="auto"/>
        <w:jc w:val="center"/>
        <w:tblLook w:val="04A0" w:firstRow="1" w:lastRow="0" w:firstColumn="1" w:lastColumn="0" w:noHBand="0" w:noVBand="1"/>
      </w:tblPr>
      <w:tblGrid>
        <w:gridCol w:w="2405"/>
        <w:gridCol w:w="1843"/>
        <w:gridCol w:w="2126"/>
        <w:gridCol w:w="1256"/>
      </w:tblGrid>
      <w:tr w:rsidR="005F7139" w:rsidRPr="002A7673" w14:paraId="2F2D38BC" w14:textId="77777777" w:rsidTr="00083CA4">
        <w:trPr>
          <w:jc w:val="center"/>
        </w:trPr>
        <w:tc>
          <w:tcPr>
            <w:tcW w:w="2405" w:type="dxa"/>
            <w:vMerge w:val="restart"/>
            <w:shd w:val="clear" w:color="auto" w:fill="BFBFBF"/>
            <w:vAlign w:val="center"/>
          </w:tcPr>
          <w:p w14:paraId="3032CC78" w14:textId="77777777" w:rsidR="00083CA4" w:rsidRPr="002A7673" w:rsidRDefault="00083CA4" w:rsidP="005F7139">
            <w:pPr>
              <w:spacing w:line="360" w:lineRule="auto"/>
              <w:jc w:val="center"/>
              <w:rPr>
                <w:b/>
                <w:bCs/>
                <w:sz w:val="26"/>
                <w:szCs w:val="26"/>
              </w:rPr>
            </w:pPr>
            <w:r w:rsidRPr="002A7673">
              <w:rPr>
                <w:b/>
                <w:bCs/>
                <w:sz w:val="26"/>
                <w:szCs w:val="26"/>
              </w:rPr>
              <w:t>Programa Presupuestario</w:t>
            </w:r>
          </w:p>
        </w:tc>
        <w:tc>
          <w:tcPr>
            <w:tcW w:w="3969" w:type="dxa"/>
            <w:gridSpan w:val="2"/>
            <w:shd w:val="clear" w:color="auto" w:fill="BFBFBF"/>
          </w:tcPr>
          <w:p w14:paraId="27DAF7CE" w14:textId="77777777" w:rsidR="00083CA4" w:rsidRPr="002A7673" w:rsidRDefault="00083CA4" w:rsidP="005F7139">
            <w:pPr>
              <w:spacing w:line="360" w:lineRule="auto"/>
              <w:jc w:val="center"/>
              <w:rPr>
                <w:b/>
                <w:bCs/>
                <w:sz w:val="26"/>
                <w:szCs w:val="26"/>
              </w:rPr>
            </w:pPr>
            <w:r w:rsidRPr="002A7673">
              <w:rPr>
                <w:b/>
                <w:bCs/>
                <w:sz w:val="26"/>
                <w:szCs w:val="26"/>
              </w:rPr>
              <w:t>Subpartida</w:t>
            </w:r>
          </w:p>
        </w:tc>
        <w:tc>
          <w:tcPr>
            <w:tcW w:w="1134" w:type="dxa"/>
            <w:vMerge w:val="restart"/>
            <w:shd w:val="clear" w:color="auto" w:fill="BFBFBF"/>
            <w:vAlign w:val="center"/>
          </w:tcPr>
          <w:p w14:paraId="16615602" w14:textId="77777777" w:rsidR="00083CA4" w:rsidRPr="002A7673" w:rsidRDefault="00083CA4" w:rsidP="005F7139">
            <w:pPr>
              <w:spacing w:line="360" w:lineRule="auto"/>
              <w:jc w:val="center"/>
              <w:rPr>
                <w:b/>
                <w:bCs/>
                <w:sz w:val="26"/>
                <w:szCs w:val="26"/>
              </w:rPr>
            </w:pPr>
            <w:r w:rsidRPr="002A7673">
              <w:rPr>
                <w:b/>
                <w:bCs/>
                <w:sz w:val="26"/>
                <w:szCs w:val="26"/>
              </w:rPr>
              <w:t>Total</w:t>
            </w:r>
          </w:p>
        </w:tc>
      </w:tr>
      <w:tr w:rsidR="00083CA4" w:rsidRPr="002A7673" w14:paraId="1A1BA6FA" w14:textId="77777777" w:rsidTr="00083CA4">
        <w:trPr>
          <w:trHeight w:val="823"/>
          <w:jc w:val="center"/>
        </w:trPr>
        <w:tc>
          <w:tcPr>
            <w:tcW w:w="2405" w:type="dxa"/>
            <w:vMerge/>
            <w:shd w:val="clear" w:color="auto" w:fill="BFBFBF"/>
          </w:tcPr>
          <w:p w14:paraId="74E64C00" w14:textId="77777777" w:rsidR="00083CA4" w:rsidRPr="002A7673" w:rsidRDefault="00083CA4" w:rsidP="005F7139">
            <w:pPr>
              <w:spacing w:line="360" w:lineRule="auto"/>
              <w:rPr>
                <w:b/>
                <w:bCs/>
                <w:sz w:val="26"/>
                <w:szCs w:val="26"/>
              </w:rPr>
            </w:pPr>
          </w:p>
        </w:tc>
        <w:tc>
          <w:tcPr>
            <w:tcW w:w="1843" w:type="dxa"/>
            <w:shd w:val="clear" w:color="auto" w:fill="BFBFBF"/>
            <w:vAlign w:val="center"/>
          </w:tcPr>
          <w:p w14:paraId="41FE95AF" w14:textId="77777777" w:rsidR="00083CA4" w:rsidRPr="002A7673" w:rsidRDefault="00083CA4" w:rsidP="005F7139">
            <w:pPr>
              <w:spacing w:line="360" w:lineRule="auto"/>
              <w:jc w:val="center"/>
              <w:rPr>
                <w:b/>
                <w:bCs/>
                <w:sz w:val="26"/>
                <w:szCs w:val="26"/>
              </w:rPr>
            </w:pPr>
            <w:r w:rsidRPr="002A7673">
              <w:rPr>
                <w:b/>
                <w:bCs/>
                <w:sz w:val="26"/>
                <w:szCs w:val="26"/>
              </w:rPr>
              <w:t>10502 Viáticos dentro del País</w:t>
            </w:r>
          </w:p>
        </w:tc>
        <w:tc>
          <w:tcPr>
            <w:tcW w:w="2126" w:type="dxa"/>
            <w:shd w:val="clear" w:color="auto" w:fill="BFBFBF"/>
            <w:vAlign w:val="center"/>
          </w:tcPr>
          <w:p w14:paraId="5EC133D0" w14:textId="77777777" w:rsidR="00083CA4" w:rsidRPr="002A7673" w:rsidRDefault="00083CA4" w:rsidP="005F7139">
            <w:pPr>
              <w:spacing w:line="360" w:lineRule="auto"/>
              <w:jc w:val="center"/>
              <w:rPr>
                <w:b/>
                <w:bCs/>
                <w:sz w:val="26"/>
                <w:szCs w:val="26"/>
              </w:rPr>
            </w:pPr>
            <w:r w:rsidRPr="002A7673">
              <w:rPr>
                <w:b/>
                <w:bCs/>
                <w:sz w:val="26"/>
                <w:szCs w:val="26"/>
              </w:rPr>
              <w:t>10701 Actividades de Capacitación</w:t>
            </w:r>
          </w:p>
        </w:tc>
        <w:tc>
          <w:tcPr>
            <w:tcW w:w="1134" w:type="dxa"/>
            <w:vMerge/>
            <w:shd w:val="clear" w:color="auto" w:fill="BFBFBF"/>
          </w:tcPr>
          <w:p w14:paraId="34ED9937" w14:textId="77777777" w:rsidR="00083CA4" w:rsidRPr="002A7673" w:rsidRDefault="00083CA4" w:rsidP="005F7139">
            <w:pPr>
              <w:spacing w:line="360" w:lineRule="auto"/>
              <w:rPr>
                <w:b/>
                <w:bCs/>
                <w:sz w:val="26"/>
                <w:szCs w:val="26"/>
              </w:rPr>
            </w:pPr>
          </w:p>
        </w:tc>
      </w:tr>
      <w:tr w:rsidR="00083CA4" w:rsidRPr="002A7673" w14:paraId="1578C8B8" w14:textId="77777777" w:rsidTr="005F7139">
        <w:trPr>
          <w:jc w:val="center"/>
        </w:trPr>
        <w:tc>
          <w:tcPr>
            <w:tcW w:w="2405" w:type="dxa"/>
            <w:vAlign w:val="center"/>
          </w:tcPr>
          <w:p w14:paraId="31E1900D" w14:textId="77777777" w:rsidR="00083CA4" w:rsidRPr="002A7673" w:rsidRDefault="00083CA4" w:rsidP="005F7139">
            <w:pPr>
              <w:spacing w:line="360" w:lineRule="auto"/>
              <w:rPr>
                <w:sz w:val="26"/>
                <w:szCs w:val="26"/>
              </w:rPr>
            </w:pPr>
            <w:r w:rsidRPr="002A7673">
              <w:rPr>
                <w:sz w:val="26"/>
                <w:szCs w:val="26"/>
              </w:rPr>
              <w:t>926 Administrativo</w:t>
            </w:r>
          </w:p>
        </w:tc>
        <w:tc>
          <w:tcPr>
            <w:tcW w:w="1843" w:type="dxa"/>
            <w:vAlign w:val="center"/>
          </w:tcPr>
          <w:p w14:paraId="35600449" w14:textId="77777777" w:rsidR="00083CA4" w:rsidRPr="002A7673" w:rsidRDefault="00083CA4" w:rsidP="005F7139">
            <w:pPr>
              <w:spacing w:line="360" w:lineRule="auto"/>
              <w:jc w:val="right"/>
              <w:rPr>
                <w:sz w:val="26"/>
                <w:szCs w:val="26"/>
              </w:rPr>
            </w:pPr>
            <w:r w:rsidRPr="002A7673">
              <w:rPr>
                <w:sz w:val="26"/>
                <w:szCs w:val="26"/>
              </w:rPr>
              <w:t>532.500</w:t>
            </w:r>
          </w:p>
        </w:tc>
        <w:tc>
          <w:tcPr>
            <w:tcW w:w="2126" w:type="dxa"/>
            <w:vAlign w:val="center"/>
          </w:tcPr>
          <w:p w14:paraId="3F913BE3" w14:textId="77777777" w:rsidR="00083CA4" w:rsidRPr="002A7673" w:rsidRDefault="00083CA4" w:rsidP="005F7139">
            <w:pPr>
              <w:spacing w:line="360" w:lineRule="auto"/>
              <w:jc w:val="right"/>
              <w:rPr>
                <w:sz w:val="26"/>
                <w:szCs w:val="26"/>
              </w:rPr>
            </w:pPr>
            <w:r w:rsidRPr="002A7673">
              <w:rPr>
                <w:sz w:val="26"/>
                <w:szCs w:val="26"/>
              </w:rPr>
              <w:t>1.125.000</w:t>
            </w:r>
          </w:p>
        </w:tc>
        <w:tc>
          <w:tcPr>
            <w:tcW w:w="1134" w:type="dxa"/>
            <w:vAlign w:val="center"/>
          </w:tcPr>
          <w:p w14:paraId="41B3455D" w14:textId="77777777" w:rsidR="00083CA4" w:rsidRPr="002A7673" w:rsidRDefault="00083CA4" w:rsidP="005F7139">
            <w:pPr>
              <w:spacing w:line="360" w:lineRule="auto"/>
              <w:jc w:val="right"/>
              <w:rPr>
                <w:sz w:val="26"/>
                <w:szCs w:val="26"/>
              </w:rPr>
            </w:pPr>
            <w:r w:rsidRPr="002A7673">
              <w:rPr>
                <w:sz w:val="26"/>
                <w:szCs w:val="26"/>
              </w:rPr>
              <w:t>1.657.500</w:t>
            </w:r>
          </w:p>
        </w:tc>
      </w:tr>
      <w:tr w:rsidR="00083CA4" w:rsidRPr="002A7673" w14:paraId="2013647E" w14:textId="77777777" w:rsidTr="005F7139">
        <w:trPr>
          <w:jc w:val="center"/>
        </w:trPr>
        <w:tc>
          <w:tcPr>
            <w:tcW w:w="2405" w:type="dxa"/>
            <w:vAlign w:val="center"/>
          </w:tcPr>
          <w:p w14:paraId="55B8FCB4" w14:textId="77777777" w:rsidR="00083CA4" w:rsidRPr="002A7673" w:rsidRDefault="00083CA4" w:rsidP="005F7139">
            <w:pPr>
              <w:spacing w:line="360" w:lineRule="auto"/>
              <w:rPr>
                <w:sz w:val="26"/>
                <w:szCs w:val="26"/>
              </w:rPr>
            </w:pPr>
            <w:r w:rsidRPr="002A7673">
              <w:rPr>
                <w:sz w:val="26"/>
                <w:szCs w:val="26"/>
              </w:rPr>
              <w:t>927 Jurisdiccional</w:t>
            </w:r>
          </w:p>
        </w:tc>
        <w:tc>
          <w:tcPr>
            <w:tcW w:w="1843" w:type="dxa"/>
            <w:vAlign w:val="center"/>
          </w:tcPr>
          <w:p w14:paraId="34C378A2" w14:textId="77777777" w:rsidR="00083CA4" w:rsidRPr="002A7673" w:rsidRDefault="00083CA4" w:rsidP="005F7139">
            <w:pPr>
              <w:spacing w:line="360" w:lineRule="auto"/>
              <w:jc w:val="right"/>
              <w:rPr>
                <w:sz w:val="26"/>
                <w:szCs w:val="26"/>
              </w:rPr>
            </w:pPr>
            <w:r w:rsidRPr="002A7673">
              <w:rPr>
                <w:sz w:val="26"/>
                <w:szCs w:val="26"/>
              </w:rPr>
              <w:t>0</w:t>
            </w:r>
          </w:p>
        </w:tc>
        <w:tc>
          <w:tcPr>
            <w:tcW w:w="2126" w:type="dxa"/>
            <w:vAlign w:val="center"/>
          </w:tcPr>
          <w:p w14:paraId="49F7A044" w14:textId="77777777" w:rsidR="00083CA4" w:rsidRPr="002A7673" w:rsidRDefault="00083CA4" w:rsidP="005F7139">
            <w:pPr>
              <w:spacing w:line="360" w:lineRule="auto"/>
              <w:jc w:val="right"/>
              <w:rPr>
                <w:sz w:val="26"/>
                <w:szCs w:val="26"/>
              </w:rPr>
            </w:pPr>
            <w:r w:rsidRPr="002A7673">
              <w:rPr>
                <w:sz w:val="26"/>
                <w:szCs w:val="26"/>
              </w:rPr>
              <w:t>3.360.000</w:t>
            </w:r>
          </w:p>
        </w:tc>
        <w:tc>
          <w:tcPr>
            <w:tcW w:w="1134" w:type="dxa"/>
            <w:vAlign w:val="center"/>
          </w:tcPr>
          <w:p w14:paraId="3BCC1A22" w14:textId="77777777" w:rsidR="00083CA4" w:rsidRPr="002A7673" w:rsidRDefault="00083CA4" w:rsidP="005F7139">
            <w:pPr>
              <w:spacing w:line="360" w:lineRule="auto"/>
              <w:jc w:val="right"/>
              <w:rPr>
                <w:sz w:val="26"/>
                <w:szCs w:val="26"/>
              </w:rPr>
            </w:pPr>
            <w:r w:rsidRPr="002A7673">
              <w:rPr>
                <w:sz w:val="26"/>
                <w:szCs w:val="26"/>
              </w:rPr>
              <w:t>3.360.000</w:t>
            </w:r>
          </w:p>
        </w:tc>
      </w:tr>
      <w:tr w:rsidR="00083CA4" w:rsidRPr="002A7673" w14:paraId="78CABDFE" w14:textId="77777777" w:rsidTr="005F7139">
        <w:trPr>
          <w:jc w:val="center"/>
        </w:trPr>
        <w:tc>
          <w:tcPr>
            <w:tcW w:w="2405" w:type="dxa"/>
            <w:vAlign w:val="center"/>
          </w:tcPr>
          <w:p w14:paraId="2302FCF5" w14:textId="77777777" w:rsidR="00083CA4" w:rsidRPr="002A7673" w:rsidRDefault="00083CA4" w:rsidP="005F7139">
            <w:pPr>
              <w:spacing w:line="360" w:lineRule="auto"/>
              <w:rPr>
                <w:sz w:val="26"/>
                <w:szCs w:val="26"/>
              </w:rPr>
            </w:pPr>
            <w:r w:rsidRPr="002A7673">
              <w:rPr>
                <w:sz w:val="26"/>
                <w:szCs w:val="26"/>
              </w:rPr>
              <w:t>929 Ministerio Público</w:t>
            </w:r>
          </w:p>
        </w:tc>
        <w:tc>
          <w:tcPr>
            <w:tcW w:w="1843" w:type="dxa"/>
            <w:vAlign w:val="center"/>
          </w:tcPr>
          <w:p w14:paraId="44AF0BE9" w14:textId="77777777" w:rsidR="00083CA4" w:rsidRPr="002A7673" w:rsidRDefault="00083CA4" w:rsidP="005F7139">
            <w:pPr>
              <w:spacing w:line="360" w:lineRule="auto"/>
              <w:jc w:val="right"/>
              <w:rPr>
                <w:sz w:val="26"/>
                <w:szCs w:val="26"/>
              </w:rPr>
            </w:pPr>
            <w:r w:rsidRPr="002A7673">
              <w:rPr>
                <w:sz w:val="26"/>
                <w:szCs w:val="26"/>
              </w:rPr>
              <w:t>0</w:t>
            </w:r>
          </w:p>
        </w:tc>
        <w:tc>
          <w:tcPr>
            <w:tcW w:w="2126" w:type="dxa"/>
            <w:vAlign w:val="center"/>
          </w:tcPr>
          <w:p w14:paraId="0A68B95F" w14:textId="77777777" w:rsidR="00083CA4" w:rsidRPr="002A7673" w:rsidRDefault="00083CA4" w:rsidP="005F7139">
            <w:pPr>
              <w:spacing w:line="360" w:lineRule="auto"/>
              <w:jc w:val="right"/>
              <w:rPr>
                <w:sz w:val="26"/>
                <w:szCs w:val="26"/>
              </w:rPr>
            </w:pPr>
            <w:r w:rsidRPr="002A7673">
              <w:rPr>
                <w:sz w:val="26"/>
                <w:szCs w:val="26"/>
              </w:rPr>
              <w:t>1.500.000</w:t>
            </w:r>
          </w:p>
        </w:tc>
        <w:tc>
          <w:tcPr>
            <w:tcW w:w="1134" w:type="dxa"/>
            <w:vAlign w:val="center"/>
          </w:tcPr>
          <w:p w14:paraId="6E9C2F2D" w14:textId="77777777" w:rsidR="00083CA4" w:rsidRPr="002A7673" w:rsidRDefault="00083CA4" w:rsidP="005F7139">
            <w:pPr>
              <w:spacing w:line="360" w:lineRule="auto"/>
              <w:jc w:val="right"/>
              <w:rPr>
                <w:sz w:val="26"/>
                <w:szCs w:val="26"/>
              </w:rPr>
            </w:pPr>
            <w:r w:rsidRPr="002A7673">
              <w:rPr>
                <w:sz w:val="26"/>
                <w:szCs w:val="26"/>
              </w:rPr>
              <w:t>1.500.000</w:t>
            </w:r>
          </w:p>
        </w:tc>
      </w:tr>
      <w:tr w:rsidR="00083CA4" w:rsidRPr="002A7673" w14:paraId="1E2548FA" w14:textId="77777777" w:rsidTr="005F7139">
        <w:trPr>
          <w:jc w:val="center"/>
        </w:trPr>
        <w:tc>
          <w:tcPr>
            <w:tcW w:w="2405" w:type="dxa"/>
            <w:vAlign w:val="center"/>
          </w:tcPr>
          <w:p w14:paraId="14E7A1CD" w14:textId="77777777" w:rsidR="00083CA4" w:rsidRPr="002A7673" w:rsidRDefault="00083CA4" w:rsidP="005F7139">
            <w:pPr>
              <w:spacing w:line="360" w:lineRule="auto"/>
              <w:rPr>
                <w:sz w:val="26"/>
                <w:szCs w:val="26"/>
              </w:rPr>
            </w:pPr>
            <w:r w:rsidRPr="002A7673">
              <w:rPr>
                <w:sz w:val="26"/>
                <w:szCs w:val="26"/>
              </w:rPr>
              <w:t>930 Defensa Pública</w:t>
            </w:r>
          </w:p>
        </w:tc>
        <w:tc>
          <w:tcPr>
            <w:tcW w:w="1843" w:type="dxa"/>
            <w:vAlign w:val="center"/>
          </w:tcPr>
          <w:p w14:paraId="1536F7F0" w14:textId="77777777" w:rsidR="00083CA4" w:rsidRPr="002A7673" w:rsidRDefault="00083CA4" w:rsidP="005F7139">
            <w:pPr>
              <w:spacing w:line="360" w:lineRule="auto"/>
              <w:jc w:val="right"/>
              <w:rPr>
                <w:sz w:val="26"/>
                <w:szCs w:val="26"/>
              </w:rPr>
            </w:pPr>
            <w:r w:rsidRPr="002A7673">
              <w:rPr>
                <w:sz w:val="26"/>
                <w:szCs w:val="26"/>
              </w:rPr>
              <w:t>0</w:t>
            </w:r>
          </w:p>
        </w:tc>
        <w:tc>
          <w:tcPr>
            <w:tcW w:w="2126" w:type="dxa"/>
            <w:vAlign w:val="center"/>
          </w:tcPr>
          <w:p w14:paraId="78D26A15" w14:textId="77777777" w:rsidR="00083CA4" w:rsidRPr="002A7673" w:rsidRDefault="00083CA4" w:rsidP="005F7139">
            <w:pPr>
              <w:spacing w:line="360" w:lineRule="auto"/>
              <w:jc w:val="right"/>
              <w:rPr>
                <w:sz w:val="26"/>
                <w:szCs w:val="26"/>
              </w:rPr>
            </w:pPr>
            <w:r w:rsidRPr="002A7673">
              <w:rPr>
                <w:sz w:val="26"/>
                <w:szCs w:val="26"/>
              </w:rPr>
              <w:t>832.000</w:t>
            </w:r>
          </w:p>
        </w:tc>
        <w:tc>
          <w:tcPr>
            <w:tcW w:w="1134" w:type="dxa"/>
            <w:vAlign w:val="center"/>
          </w:tcPr>
          <w:p w14:paraId="3B3C94CD" w14:textId="77777777" w:rsidR="00083CA4" w:rsidRPr="002A7673" w:rsidRDefault="00083CA4" w:rsidP="005F7139">
            <w:pPr>
              <w:spacing w:line="360" w:lineRule="auto"/>
              <w:jc w:val="right"/>
              <w:rPr>
                <w:sz w:val="26"/>
                <w:szCs w:val="26"/>
              </w:rPr>
            </w:pPr>
            <w:r w:rsidRPr="002A7673">
              <w:rPr>
                <w:sz w:val="26"/>
                <w:szCs w:val="26"/>
              </w:rPr>
              <w:t>832.000</w:t>
            </w:r>
          </w:p>
        </w:tc>
      </w:tr>
      <w:tr w:rsidR="005F7139" w:rsidRPr="002A7673" w14:paraId="549517B8" w14:textId="77777777" w:rsidTr="00083CA4">
        <w:trPr>
          <w:jc w:val="center"/>
        </w:trPr>
        <w:tc>
          <w:tcPr>
            <w:tcW w:w="2405" w:type="dxa"/>
            <w:shd w:val="clear" w:color="auto" w:fill="BFBFBF"/>
          </w:tcPr>
          <w:p w14:paraId="176D63C2" w14:textId="77777777" w:rsidR="00083CA4" w:rsidRPr="002A7673" w:rsidRDefault="00083CA4" w:rsidP="005F7139">
            <w:pPr>
              <w:spacing w:line="360" w:lineRule="auto"/>
              <w:jc w:val="center"/>
              <w:rPr>
                <w:b/>
                <w:bCs/>
                <w:sz w:val="26"/>
                <w:szCs w:val="26"/>
              </w:rPr>
            </w:pPr>
            <w:r w:rsidRPr="002A7673">
              <w:rPr>
                <w:b/>
                <w:bCs/>
                <w:sz w:val="26"/>
                <w:szCs w:val="26"/>
              </w:rPr>
              <w:t>TOTAL</w:t>
            </w:r>
          </w:p>
        </w:tc>
        <w:tc>
          <w:tcPr>
            <w:tcW w:w="1843" w:type="dxa"/>
            <w:shd w:val="clear" w:color="auto" w:fill="BFBFBF"/>
          </w:tcPr>
          <w:p w14:paraId="5A98C126" w14:textId="77777777" w:rsidR="00083CA4" w:rsidRPr="002A7673" w:rsidRDefault="00083CA4" w:rsidP="005F7139">
            <w:pPr>
              <w:spacing w:line="360" w:lineRule="auto"/>
              <w:jc w:val="right"/>
              <w:rPr>
                <w:b/>
                <w:bCs/>
                <w:sz w:val="26"/>
                <w:szCs w:val="26"/>
              </w:rPr>
            </w:pPr>
            <w:r w:rsidRPr="002A7673">
              <w:rPr>
                <w:b/>
                <w:bCs/>
                <w:sz w:val="26"/>
                <w:szCs w:val="26"/>
              </w:rPr>
              <w:t>532.500</w:t>
            </w:r>
          </w:p>
        </w:tc>
        <w:tc>
          <w:tcPr>
            <w:tcW w:w="2126" w:type="dxa"/>
            <w:shd w:val="clear" w:color="auto" w:fill="BFBFBF"/>
          </w:tcPr>
          <w:p w14:paraId="3136A712" w14:textId="77777777" w:rsidR="00083CA4" w:rsidRPr="002A7673" w:rsidRDefault="00083CA4" w:rsidP="005F7139">
            <w:pPr>
              <w:spacing w:line="360" w:lineRule="auto"/>
              <w:jc w:val="right"/>
              <w:rPr>
                <w:b/>
                <w:bCs/>
                <w:sz w:val="26"/>
                <w:szCs w:val="26"/>
              </w:rPr>
            </w:pPr>
            <w:r w:rsidRPr="002A7673">
              <w:rPr>
                <w:b/>
                <w:bCs/>
                <w:sz w:val="26"/>
                <w:szCs w:val="26"/>
              </w:rPr>
              <w:t>6.817.000</w:t>
            </w:r>
          </w:p>
        </w:tc>
        <w:tc>
          <w:tcPr>
            <w:tcW w:w="1134" w:type="dxa"/>
            <w:shd w:val="clear" w:color="auto" w:fill="BFBFBF"/>
          </w:tcPr>
          <w:p w14:paraId="18B43655" w14:textId="77777777" w:rsidR="00083CA4" w:rsidRPr="002A7673" w:rsidRDefault="00083CA4" w:rsidP="005F7139">
            <w:pPr>
              <w:spacing w:line="360" w:lineRule="auto"/>
              <w:jc w:val="right"/>
              <w:rPr>
                <w:b/>
                <w:bCs/>
                <w:sz w:val="26"/>
                <w:szCs w:val="26"/>
              </w:rPr>
            </w:pPr>
            <w:r w:rsidRPr="002A7673">
              <w:rPr>
                <w:b/>
                <w:bCs/>
                <w:sz w:val="26"/>
                <w:szCs w:val="26"/>
              </w:rPr>
              <w:t>7.349.500</w:t>
            </w:r>
          </w:p>
        </w:tc>
      </w:tr>
    </w:tbl>
    <w:p w14:paraId="76BBDA90" w14:textId="77777777" w:rsidR="00083CA4" w:rsidRPr="002A7673" w:rsidRDefault="00083CA4" w:rsidP="005F7139">
      <w:pPr>
        <w:spacing w:after="0" w:line="360" w:lineRule="auto"/>
        <w:rPr>
          <w:rFonts w:ascii="Times New Roman" w:eastAsia="Calibri" w:hAnsi="Times New Roman" w:cs="Times New Roman"/>
        </w:rPr>
      </w:pPr>
    </w:p>
    <w:p w14:paraId="1FBCB5A9" w14:textId="77777777" w:rsidR="00083CA4" w:rsidRPr="002A7673" w:rsidRDefault="00083CA4" w:rsidP="009279AF">
      <w:pPr>
        <w:spacing w:after="0" w:line="240" w:lineRule="auto"/>
        <w:ind w:left="851" w:right="851" w:firstLine="709"/>
        <w:jc w:val="both"/>
        <w:rPr>
          <w:rFonts w:ascii="Times New Roman" w:eastAsia="Calibri" w:hAnsi="Times New Roman" w:cs="Times New Roman"/>
          <w:i/>
          <w:iCs/>
          <w:sz w:val="26"/>
          <w:szCs w:val="26"/>
        </w:rPr>
      </w:pPr>
      <w:r w:rsidRPr="002A7673">
        <w:rPr>
          <w:rFonts w:ascii="Times New Roman" w:eastAsia="Calibri" w:hAnsi="Times New Roman" w:cs="Times New Roman"/>
          <w:color w:val="000000"/>
          <w:sz w:val="26"/>
          <w:szCs w:val="26"/>
          <w:shd w:val="clear" w:color="auto" w:fill="FFFFFF"/>
        </w:rPr>
        <w:t>En el caso del OIJ, se indica que la respuesta brindada por la Unidad de Capacitación fue la siguiente</w:t>
      </w:r>
      <w:r w:rsidRPr="002A7673">
        <w:rPr>
          <w:rFonts w:ascii="Times New Roman" w:eastAsia="Calibri" w:hAnsi="Times New Roman" w:cs="Times New Roman"/>
          <w:sz w:val="26"/>
          <w:szCs w:val="26"/>
        </w:rPr>
        <w:t xml:space="preserve">: </w:t>
      </w:r>
      <w:r w:rsidRPr="002A7673">
        <w:rPr>
          <w:rFonts w:ascii="Times New Roman" w:eastAsia="Calibri" w:hAnsi="Times New Roman" w:cs="Times New Roman"/>
          <w:i/>
          <w:iCs/>
          <w:sz w:val="26"/>
          <w:szCs w:val="26"/>
        </w:rPr>
        <w:t xml:space="preserve">“Con instrucciones de doña Ericka Méndez Jiménez, jefa </w:t>
      </w:r>
      <w:proofErr w:type="spellStart"/>
      <w:r w:rsidRPr="002A7673">
        <w:rPr>
          <w:rFonts w:ascii="Times New Roman" w:eastAsia="Calibri" w:hAnsi="Times New Roman" w:cs="Times New Roman"/>
          <w:i/>
          <w:iCs/>
          <w:sz w:val="26"/>
          <w:szCs w:val="26"/>
        </w:rPr>
        <w:t>a.í</w:t>
      </w:r>
      <w:proofErr w:type="spellEnd"/>
      <w:r w:rsidRPr="002A7673">
        <w:rPr>
          <w:rFonts w:ascii="Times New Roman" w:eastAsia="Calibri" w:hAnsi="Times New Roman" w:cs="Times New Roman"/>
          <w:i/>
          <w:iCs/>
          <w:sz w:val="26"/>
          <w:szCs w:val="26"/>
        </w:rPr>
        <w:t>. UC-OIJ, se indica que ante la consulta sobre el Presupuesto Capacitación para Población Indígena para el año 2022, mantendremos la misma posición planteada el año anterior, puntualmente que la Unidad de Capacitación para el Organismo de Investigación Judicial (UC-OIJ) no requiere presupuesto para efectuar visitas de capacitación a pueblos indígenas, porque nuestra actividad académica sobre Derechos Humanos, está enfocada en la sensibilización del personal del OIJ sobre los Derechos Humanos y acceso a la justicia de la población indígena.”</w:t>
      </w:r>
    </w:p>
    <w:p w14:paraId="2591C4E0"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b/>
          <w:bCs/>
          <w:sz w:val="26"/>
          <w:szCs w:val="26"/>
          <w:u w:color="000000"/>
          <w:shd w:val="clear" w:color="auto" w:fill="FFFFFF"/>
          <w:lang w:val="es-ES" w:eastAsia="es-ES"/>
        </w:rPr>
      </w:pPr>
    </w:p>
    <w:p w14:paraId="643A8CDB" w14:textId="77777777" w:rsidR="00083CA4" w:rsidRPr="002A7673" w:rsidRDefault="00083CA4" w:rsidP="009279AF">
      <w:pPr>
        <w:autoSpaceDE w:val="0"/>
        <w:autoSpaceDN w:val="0"/>
        <w:adjustRightInd w:val="0"/>
        <w:spacing w:after="0" w:line="240" w:lineRule="auto"/>
        <w:ind w:left="851" w:right="851" w:firstLine="709"/>
        <w:jc w:val="both"/>
        <w:rPr>
          <w:rFonts w:ascii="Times New Roman" w:eastAsia="Calibri" w:hAnsi="Times New Roman" w:cs="Times New Roman"/>
          <w:color w:val="000000"/>
          <w:sz w:val="26"/>
          <w:szCs w:val="26"/>
          <w:shd w:val="clear" w:color="auto" w:fill="FFFFFF"/>
        </w:rPr>
      </w:pPr>
      <w:r w:rsidRPr="002A7673">
        <w:rPr>
          <w:rFonts w:ascii="Times New Roman" w:eastAsia="Calibri" w:hAnsi="Times New Roman" w:cs="Times New Roman"/>
          <w:color w:val="000000"/>
          <w:sz w:val="26"/>
          <w:szCs w:val="26"/>
          <w:shd w:val="clear" w:color="auto" w:fill="FFFFFF"/>
        </w:rPr>
        <w:lastRenderedPageBreak/>
        <w:t xml:space="preserve">En el apartado de conclusiones y recomendaciones, se resalta lo siguiente: </w:t>
      </w:r>
    </w:p>
    <w:p w14:paraId="353A9257" w14:textId="77777777" w:rsidR="00083CA4" w:rsidRPr="002A7673" w:rsidRDefault="00083CA4" w:rsidP="009279AF">
      <w:pPr>
        <w:autoSpaceDE w:val="0"/>
        <w:autoSpaceDN w:val="0"/>
        <w:adjustRightInd w:val="0"/>
        <w:spacing w:after="0" w:line="240" w:lineRule="auto"/>
        <w:ind w:left="851" w:right="851" w:firstLine="709"/>
        <w:jc w:val="both"/>
        <w:rPr>
          <w:rFonts w:ascii="Times New Roman" w:eastAsia="Times New Roman" w:hAnsi="Times New Roman" w:cs="Times New Roman"/>
          <w:color w:val="000000"/>
          <w:sz w:val="26"/>
          <w:szCs w:val="26"/>
          <w:lang w:eastAsia="es-CR"/>
        </w:rPr>
      </w:pPr>
    </w:p>
    <w:p w14:paraId="230CD2D9" w14:textId="77777777" w:rsidR="00083CA4" w:rsidRPr="002A7673" w:rsidRDefault="00083CA4" w:rsidP="009279AF">
      <w:pPr>
        <w:autoSpaceDE w:val="0"/>
        <w:autoSpaceDN w:val="0"/>
        <w:adjustRightInd w:val="0"/>
        <w:spacing w:after="0" w:line="240" w:lineRule="auto"/>
        <w:ind w:left="851" w:right="851" w:firstLine="709"/>
        <w:jc w:val="both"/>
        <w:rPr>
          <w:rFonts w:ascii="Times New Roman" w:eastAsia="Times New Roman" w:hAnsi="Times New Roman" w:cs="Times New Roman"/>
          <w:i/>
          <w:iCs/>
          <w:sz w:val="26"/>
          <w:szCs w:val="26"/>
          <w:u w:color="000000"/>
          <w:lang w:val="es-ES" w:eastAsia="es-ES"/>
        </w:rPr>
      </w:pPr>
      <w:r w:rsidRPr="002A7673">
        <w:rPr>
          <w:rFonts w:ascii="Times New Roman" w:eastAsia="Times New Roman" w:hAnsi="Times New Roman" w:cs="Times New Roman"/>
          <w:i/>
          <w:iCs/>
          <w:sz w:val="26"/>
          <w:szCs w:val="26"/>
          <w:u w:color="000000"/>
          <w:lang w:val="es-ES" w:eastAsia="es-ES"/>
        </w:rPr>
        <w:t>“Es importante destacar que como parte de la experiencia que ha tenido el Ministerio Público durante los 11 años en las visitas a esos territorios, se determina que en las ocasiones en las que se contrata servicios de alimentación, por ejemplo, para cumplir con los requerimientos culturales de cada pueblo, se hace necesario efectuar las coordinaciones con los grupos organizados a lo interno de cada comunidad y no cuentan en todos los casos con facturas timbradas o facturas electrónicas, por lo que se requiere se considere este aspecto con el fin de que se pueda valorar una excepción en la gestión de la alimentación para los efectos del pago de este tipo de servicios en el entorno de cada territorio indígena”</w:t>
      </w:r>
    </w:p>
    <w:p w14:paraId="3E018DFF" w14:textId="77777777" w:rsidR="00083CA4" w:rsidRPr="002A7673" w:rsidRDefault="00083CA4" w:rsidP="009279AF">
      <w:pPr>
        <w:spacing w:after="0" w:line="240" w:lineRule="auto"/>
        <w:ind w:left="851" w:right="851" w:firstLine="709"/>
        <w:jc w:val="both"/>
        <w:rPr>
          <w:rFonts w:ascii="Times New Roman" w:eastAsia="Calibri" w:hAnsi="Times New Roman" w:cs="Times New Roman"/>
          <w:color w:val="000000"/>
          <w:sz w:val="26"/>
          <w:szCs w:val="26"/>
          <w:u w:color="000000"/>
          <w:shd w:val="clear" w:color="auto" w:fill="FFFFFF"/>
          <w:lang w:val="es-ES"/>
        </w:rPr>
      </w:pPr>
    </w:p>
    <w:p w14:paraId="5CB14E32" w14:textId="77777777" w:rsidR="00083CA4" w:rsidRPr="002A7673" w:rsidRDefault="00083CA4" w:rsidP="009279AF">
      <w:pPr>
        <w:autoSpaceDE w:val="0"/>
        <w:autoSpaceDN w:val="0"/>
        <w:adjustRightInd w:val="0"/>
        <w:spacing w:after="0" w:line="240" w:lineRule="auto"/>
        <w:ind w:left="851" w:right="851" w:firstLine="709"/>
        <w:jc w:val="both"/>
        <w:rPr>
          <w:rFonts w:ascii="Times New Roman" w:eastAsia="Times New Roman" w:hAnsi="Times New Roman" w:cs="Times New Roman"/>
          <w:color w:val="000000"/>
          <w:sz w:val="26"/>
          <w:szCs w:val="26"/>
          <w:shd w:val="clear" w:color="auto" w:fill="FFFFFF"/>
          <w:lang w:eastAsia="es-CR"/>
        </w:rPr>
      </w:pPr>
      <w:r w:rsidRPr="002A7673">
        <w:rPr>
          <w:rFonts w:ascii="Times New Roman" w:eastAsia="Calibri" w:hAnsi="Times New Roman" w:cs="Times New Roman"/>
          <w:color w:val="000000"/>
          <w:sz w:val="26"/>
          <w:szCs w:val="26"/>
          <w:shd w:val="clear" w:color="auto" w:fill="FFFFFF"/>
        </w:rPr>
        <w:t>Finalmente, se adjunta el oficio remitido por la Dirección de Gestión Humana, en donde se puede observar el detalle de lo solicitado en cada Programa Presupuestario.</w:t>
      </w:r>
    </w:p>
    <w:p w14:paraId="1911B6D9" w14:textId="77777777" w:rsidR="00083CA4" w:rsidRPr="002A7673" w:rsidRDefault="00083CA4" w:rsidP="009279AF">
      <w:pPr>
        <w:spacing w:after="0" w:line="240" w:lineRule="auto"/>
        <w:ind w:left="851" w:right="851" w:firstLine="709"/>
        <w:jc w:val="both"/>
        <w:rPr>
          <w:rFonts w:ascii="Times New Roman" w:eastAsia="Times New Roman" w:hAnsi="Times New Roman" w:cs="Times New Roman"/>
          <w:b/>
          <w:bCs/>
          <w:sz w:val="26"/>
          <w:szCs w:val="26"/>
          <w:u w:color="000000"/>
          <w:shd w:val="clear" w:color="auto" w:fill="FFFFFF"/>
          <w:lang w:val="es-ES" w:eastAsia="es-ES"/>
        </w:rPr>
      </w:pPr>
    </w:p>
    <w:p w14:paraId="57A05EC6" w14:textId="77777777" w:rsidR="00083CA4" w:rsidRPr="002A7673" w:rsidRDefault="00083CA4" w:rsidP="009279AF">
      <w:pPr>
        <w:spacing w:after="0" w:line="240" w:lineRule="auto"/>
        <w:ind w:left="851" w:right="851" w:firstLine="709"/>
        <w:jc w:val="center"/>
        <w:rPr>
          <w:rFonts w:ascii="Times New Roman" w:eastAsia="Times New Roman" w:hAnsi="Times New Roman" w:cs="Times New Roman"/>
          <w:b/>
          <w:bCs/>
          <w:sz w:val="26"/>
          <w:szCs w:val="26"/>
          <w:u w:color="000000"/>
          <w:shd w:val="clear" w:color="auto" w:fill="FFFFFF"/>
          <w:lang w:val="es-ES" w:eastAsia="es-ES"/>
        </w:rPr>
      </w:pPr>
      <w:r w:rsidRPr="002A7673">
        <w:rPr>
          <w:rFonts w:ascii="Times New Roman" w:eastAsia="Times New Roman" w:hAnsi="Times New Roman" w:cs="Times New Roman"/>
          <w:b/>
          <w:bCs/>
          <w:sz w:val="26"/>
          <w:szCs w:val="26"/>
          <w:u w:color="000000"/>
          <w:shd w:val="clear" w:color="auto" w:fill="FFFFFF"/>
          <w:lang w:val="es-ES" w:eastAsia="es-ES"/>
        </w:rPr>
        <w:object w:dxaOrig="1376" w:dyaOrig="893" w14:anchorId="3C2883FB">
          <v:shape id="_x0000_i1029" type="#_x0000_t75" style="width:70pt;height:46.5pt" o:ole="">
            <v:imagedata r:id="rId64" o:title=""/>
          </v:shape>
          <o:OLEObject Type="Embed" ProgID="AcroExch.Document.DC" ShapeID="_x0000_i1029" DrawAspect="Icon" ObjectID="_1684066972" r:id="rId65"/>
        </w:object>
      </w:r>
    </w:p>
    <w:p w14:paraId="3E60B7C2" w14:textId="77777777" w:rsidR="009279AF" w:rsidRPr="002A7673" w:rsidRDefault="009279AF" w:rsidP="009279AF">
      <w:pPr>
        <w:ind w:left="851" w:right="851"/>
        <w:jc w:val="center"/>
        <w:rPr>
          <w:rFonts w:ascii="Times New Roman" w:eastAsia="Times New Roman" w:hAnsi="Times New Roman" w:cs="Times New Roman"/>
          <w:b/>
          <w:bCs/>
          <w:sz w:val="28"/>
          <w:szCs w:val="28"/>
          <w:u w:color="000000"/>
          <w:shd w:val="clear" w:color="auto" w:fill="FFFFFF"/>
          <w:lang w:val="es-ES" w:eastAsia="es-ES"/>
        </w:rPr>
      </w:pPr>
      <w:r w:rsidRPr="002A7673">
        <w:rPr>
          <w:rFonts w:ascii="Times New Roman" w:eastAsia="Times New Roman" w:hAnsi="Times New Roman" w:cs="Times New Roman"/>
          <w:b/>
          <w:bCs/>
          <w:sz w:val="26"/>
          <w:szCs w:val="26"/>
          <w:u w:color="000000"/>
          <w:shd w:val="clear" w:color="auto" w:fill="FFFFFF"/>
          <w:lang w:val="es-ES" w:eastAsia="es-ES"/>
        </w:rPr>
        <w:t>-</w:t>
      </w:r>
      <w:r w:rsidRPr="002A7673">
        <w:rPr>
          <w:rFonts w:ascii="Times New Roman" w:hAnsi="Times New Roman" w:cs="Times New Roman"/>
          <w:b/>
          <w:bCs/>
          <w:sz w:val="26"/>
          <w:szCs w:val="26"/>
          <w:u w:color="000000"/>
          <w:shd w:val="clear" w:color="auto" w:fill="FFFFFF"/>
        </w:rPr>
        <w:t xml:space="preserve"> 0 -</w:t>
      </w:r>
    </w:p>
    <w:p w14:paraId="1F76618C" w14:textId="77777777" w:rsidR="00083CA4" w:rsidRPr="002A7673" w:rsidRDefault="00083CA4" w:rsidP="009279AF">
      <w:pPr>
        <w:spacing w:after="0" w:line="480" w:lineRule="auto"/>
        <w:ind w:firstLine="709"/>
        <w:rPr>
          <w:rFonts w:ascii="Times New Roman" w:eastAsia="Calibri" w:hAnsi="Times New Roman" w:cs="Times New Roman"/>
          <w:sz w:val="28"/>
          <w:szCs w:val="28"/>
        </w:rPr>
      </w:pPr>
    </w:p>
    <w:p w14:paraId="1B890A0F" w14:textId="19BA046E" w:rsidR="00083CA4" w:rsidRPr="002A7673" w:rsidRDefault="00083CA4" w:rsidP="009279AF">
      <w:pPr>
        <w:spacing w:after="0" w:line="480" w:lineRule="auto"/>
        <w:ind w:firstLine="709"/>
        <w:jc w:val="both"/>
        <w:rPr>
          <w:rFonts w:ascii="Times New Roman" w:eastAsia="Calibri" w:hAnsi="Times New Roman" w:cs="Times New Roman"/>
          <w:sz w:val="28"/>
          <w:szCs w:val="28"/>
        </w:rPr>
      </w:pPr>
      <w:r w:rsidRPr="002A7673">
        <w:rPr>
          <w:rFonts w:ascii="Times New Roman" w:eastAsia="Calibri" w:hAnsi="Times New Roman" w:cs="Times New Roman"/>
          <w:b/>
          <w:bCs/>
          <w:sz w:val="28"/>
          <w:szCs w:val="28"/>
        </w:rPr>
        <w:t>Se acordó</w:t>
      </w:r>
      <w:r w:rsidR="001C531A" w:rsidRPr="002A7673">
        <w:rPr>
          <w:rFonts w:ascii="Times New Roman" w:eastAsia="Calibri" w:hAnsi="Times New Roman" w:cs="Times New Roman"/>
          <w:sz w:val="28"/>
          <w:szCs w:val="28"/>
        </w:rPr>
        <w:t xml:space="preserve">: </w:t>
      </w:r>
      <w:r w:rsidRPr="002A7673">
        <w:rPr>
          <w:rFonts w:ascii="Times New Roman" w:eastAsia="Calibri" w:hAnsi="Times New Roman" w:cs="Times New Roman"/>
          <w:sz w:val="28"/>
          <w:szCs w:val="28"/>
        </w:rPr>
        <w:t xml:space="preserve"> Aprobar los recursos solicitados por programa, por un total de ₡7.349.500 </w:t>
      </w:r>
      <w:r w:rsidR="001C531A" w:rsidRPr="002A7673">
        <w:rPr>
          <w:rFonts w:ascii="Times New Roman" w:eastAsia="Calibri" w:hAnsi="Times New Roman" w:cs="Times New Roman"/>
          <w:sz w:val="28"/>
          <w:szCs w:val="28"/>
        </w:rPr>
        <w:t>(siete millones, trescientos cuarenta y nueve mil colones con quinientos</w:t>
      </w:r>
      <w:r w:rsidR="00CC79B4" w:rsidRPr="002A7673">
        <w:rPr>
          <w:rFonts w:ascii="Times New Roman" w:eastAsia="Calibri" w:hAnsi="Times New Roman" w:cs="Times New Roman"/>
          <w:sz w:val="28"/>
          <w:szCs w:val="28"/>
        </w:rPr>
        <w:t xml:space="preserve"> colones</w:t>
      </w:r>
      <w:r w:rsidR="001C531A" w:rsidRPr="002A7673">
        <w:rPr>
          <w:rFonts w:ascii="Times New Roman" w:eastAsia="Calibri" w:hAnsi="Times New Roman" w:cs="Times New Roman"/>
          <w:sz w:val="28"/>
          <w:szCs w:val="28"/>
        </w:rPr>
        <w:t xml:space="preserve"> </w:t>
      </w:r>
      <w:r w:rsidR="00CB7EB5" w:rsidRPr="002A7673">
        <w:rPr>
          <w:rFonts w:ascii="Times New Roman" w:eastAsia="Calibri" w:hAnsi="Times New Roman" w:cs="Times New Roman"/>
          <w:sz w:val="28"/>
          <w:szCs w:val="28"/>
        </w:rPr>
        <w:t>exactos</w:t>
      </w:r>
      <w:r w:rsidR="001C531A" w:rsidRPr="002A7673">
        <w:rPr>
          <w:rFonts w:ascii="Times New Roman" w:eastAsia="Calibri" w:hAnsi="Times New Roman" w:cs="Times New Roman"/>
          <w:sz w:val="28"/>
          <w:szCs w:val="28"/>
        </w:rPr>
        <w:t xml:space="preserve">), </w:t>
      </w:r>
      <w:r w:rsidRPr="002A7673">
        <w:rPr>
          <w:rFonts w:ascii="Times New Roman" w:eastAsia="Calibri" w:hAnsi="Times New Roman" w:cs="Times New Roman"/>
          <w:sz w:val="28"/>
          <w:szCs w:val="28"/>
        </w:rPr>
        <w:t xml:space="preserve">distribuidos entre </w:t>
      </w:r>
      <w:r w:rsidR="009279AF" w:rsidRPr="002A7673">
        <w:rPr>
          <w:rFonts w:ascii="Times New Roman" w:eastAsia="Calibri" w:hAnsi="Times New Roman" w:cs="Times New Roman"/>
          <w:sz w:val="28"/>
          <w:szCs w:val="28"/>
        </w:rPr>
        <w:t>viáticos,</w:t>
      </w:r>
      <w:r w:rsidRPr="002A7673">
        <w:rPr>
          <w:rFonts w:ascii="Times New Roman" w:eastAsia="Calibri" w:hAnsi="Times New Roman" w:cs="Times New Roman"/>
          <w:sz w:val="28"/>
          <w:szCs w:val="28"/>
        </w:rPr>
        <w:t xml:space="preserve"> así como recursos para la atención de las personas de poblaciones indígenas que participan de las diferentes actividades de capacitación y sensibilización, según acuerdo tomado por la Subcomisión de Acceso a la Justicia de Pueblos Indígenas: </w:t>
      </w:r>
    </w:p>
    <w:p w14:paraId="73539EE3" w14:textId="77777777" w:rsidR="009279AF" w:rsidRPr="002A7673" w:rsidRDefault="009279AF" w:rsidP="009279AF">
      <w:pPr>
        <w:spacing w:after="0" w:line="240" w:lineRule="auto"/>
        <w:ind w:left="851" w:right="851" w:firstLine="709"/>
        <w:jc w:val="both"/>
        <w:rPr>
          <w:rFonts w:ascii="Times New Roman" w:eastAsia="Calibri" w:hAnsi="Times New Roman" w:cs="Times New Roman"/>
          <w:sz w:val="26"/>
          <w:szCs w:val="26"/>
        </w:rPr>
      </w:pPr>
    </w:p>
    <w:tbl>
      <w:tblPr>
        <w:tblW w:w="0" w:type="auto"/>
        <w:jc w:val="center"/>
        <w:tblLook w:val="04A0" w:firstRow="1" w:lastRow="0" w:firstColumn="1" w:lastColumn="0" w:noHBand="0" w:noVBand="1"/>
        <w:tblDescription w:val="Tabla de notas de la presentación"/>
      </w:tblPr>
      <w:tblGrid>
        <w:gridCol w:w="2972"/>
        <w:gridCol w:w="1843"/>
        <w:gridCol w:w="2242"/>
        <w:gridCol w:w="1824"/>
      </w:tblGrid>
      <w:tr w:rsidR="005F7139" w:rsidRPr="002A7673" w14:paraId="14728D28" w14:textId="77777777" w:rsidTr="00083CA4">
        <w:trPr>
          <w:jc w:val="center"/>
        </w:trPr>
        <w:tc>
          <w:tcPr>
            <w:tcW w:w="2972" w:type="dxa"/>
            <w:vMerge w:val="restart"/>
            <w:shd w:val="clear" w:color="auto" w:fill="BFBFBF"/>
            <w:vAlign w:val="center"/>
          </w:tcPr>
          <w:p w14:paraId="6A036891" w14:textId="77777777" w:rsidR="00083CA4" w:rsidRPr="002A7673" w:rsidRDefault="00083CA4" w:rsidP="005F7139">
            <w:pPr>
              <w:spacing w:after="0" w:line="240" w:lineRule="auto"/>
              <w:ind w:right="567"/>
              <w:jc w:val="both"/>
              <w:rPr>
                <w:rFonts w:ascii="Times New Roman" w:eastAsia="Calibri" w:hAnsi="Times New Roman" w:cs="Times New Roman"/>
                <w:b/>
                <w:bCs/>
                <w:sz w:val="26"/>
                <w:szCs w:val="26"/>
                <w:lang w:val="es-ES"/>
              </w:rPr>
            </w:pPr>
            <w:r w:rsidRPr="002A7673">
              <w:rPr>
                <w:rFonts w:ascii="Times New Roman" w:eastAsia="Calibri" w:hAnsi="Times New Roman" w:cs="Times New Roman"/>
                <w:b/>
                <w:bCs/>
                <w:sz w:val="26"/>
                <w:szCs w:val="26"/>
                <w:lang w:val="es-ES"/>
              </w:rPr>
              <w:t>Programa Presupuestario</w:t>
            </w:r>
          </w:p>
        </w:tc>
        <w:tc>
          <w:tcPr>
            <w:tcW w:w="3969" w:type="dxa"/>
            <w:gridSpan w:val="2"/>
            <w:shd w:val="clear" w:color="auto" w:fill="BFBFBF"/>
          </w:tcPr>
          <w:p w14:paraId="1FCF777E" w14:textId="77777777" w:rsidR="00083CA4" w:rsidRPr="002A7673" w:rsidRDefault="00083CA4" w:rsidP="005F7139">
            <w:pPr>
              <w:spacing w:after="0" w:line="240" w:lineRule="auto"/>
              <w:ind w:right="567"/>
              <w:jc w:val="center"/>
              <w:rPr>
                <w:rFonts w:ascii="Times New Roman" w:eastAsia="Calibri" w:hAnsi="Times New Roman" w:cs="Times New Roman"/>
                <w:b/>
                <w:bCs/>
                <w:sz w:val="26"/>
                <w:szCs w:val="26"/>
                <w:lang w:val="es-ES"/>
              </w:rPr>
            </w:pPr>
            <w:r w:rsidRPr="002A7673">
              <w:rPr>
                <w:rFonts w:ascii="Times New Roman" w:eastAsia="Calibri" w:hAnsi="Times New Roman" w:cs="Times New Roman"/>
                <w:b/>
                <w:bCs/>
                <w:sz w:val="26"/>
                <w:szCs w:val="26"/>
                <w:lang w:val="es-ES"/>
              </w:rPr>
              <w:t>Subpartida</w:t>
            </w:r>
          </w:p>
        </w:tc>
        <w:tc>
          <w:tcPr>
            <w:tcW w:w="1682" w:type="dxa"/>
            <w:vMerge w:val="restart"/>
            <w:shd w:val="clear" w:color="auto" w:fill="BFBFBF"/>
            <w:vAlign w:val="center"/>
          </w:tcPr>
          <w:p w14:paraId="7527D711" w14:textId="77777777" w:rsidR="00083CA4" w:rsidRPr="002A7673" w:rsidRDefault="00083CA4" w:rsidP="005F7139">
            <w:pPr>
              <w:spacing w:after="0" w:line="240" w:lineRule="auto"/>
              <w:ind w:right="567"/>
              <w:jc w:val="center"/>
              <w:rPr>
                <w:rFonts w:ascii="Times New Roman" w:eastAsia="Calibri" w:hAnsi="Times New Roman" w:cs="Times New Roman"/>
                <w:b/>
                <w:bCs/>
                <w:sz w:val="26"/>
                <w:szCs w:val="26"/>
                <w:lang w:val="es-ES"/>
              </w:rPr>
            </w:pPr>
            <w:r w:rsidRPr="002A7673">
              <w:rPr>
                <w:rFonts w:ascii="Times New Roman" w:eastAsia="Calibri" w:hAnsi="Times New Roman" w:cs="Times New Roman"/>
                <w:b/>
                <w:bCs/>
                <w:sz w:val="26"/>
                <w:szCs w:val="26"/>
                <w:lang w:val="es-ES"/>
              </w:rPr>
              <w:t>Total</w:t>
            </w:r>
          </w:p>
        </w:tc>
      </w:tr>
      <w:tr w:rsidR="00083CA4" w:rsidRPr="002A7673" w14:paraId="6E2B83EB" w14:textId="77777777" w:rsidTr="00083CA4">
        <w:trPr>
          <w:trHeight w:val="823"/>
          <w:jc w:val="center"/>
        </w:trPr>
        <w:tc>
          <w:tcPr>
            <w:tcW w:w="2972" w:type="dxa"/>
            <w:vMerge/>
            <w:shd w:val="clear" w:color="auto" w:fill="BFBFBF"/>
          </w:tcPr>
          <w:p w14:paraId="099DF341" w14:textId="77777777" w:rsidR="00083CA4" w:rsidRPr="002A7673" w:rsidRDefault="00083CA4" w:rsidP="005F7139">
            <w:pPr>
              <w:spacing w:after="0" w:line="240" w:lineRule="auto"/>
              <w:ind w:right="567"/>
              <w:jc w:val="both"/>
              <w:rPr>
                <w:rFonts w:ascii="Times New Roman" w:eastAsia="Calibri" w:hAnsi="Times New Roman" w:cs="Times New Roman"/>
                <w:b/>
                <w:bCs/>
                <w:sz w:val="26"/>
                <w:szCs w:val="26"/>
                <w:lang w:val="es-ES"/>
              </w:rPr>
            </w:pPr>
          </w:p>
        </w:tc>
        <w:tc>
          <w:tcPr>
            <w:tcW w:w="1843" w:type="dxa"/>
            <w:shd w:val="clear" w:color="auto" w:fill="BFBFBF"/>
            <w:vAlign w:val="center"/>
          </w:tcPr>
          <w:p w14:paraId="0B89AF2D" w14:textId="77777777" w:rsidR="00083CA4" w:rsidRPr="002A7673" w:rsidRDefault="00083CA4" w:rsidP="005F7139">
            <w:pPr>
              <w:spacing w:after="0" w:line="240" w:lineRule="auto"/>
              <w:ind w:right="567"/>
              <w:jc w:val="center"/>
              <w:rPr>
                <w:rFonts w:ascii="Times New Roman" w:eastAsia="Calibri" w:hAnsi="Times New Roman" w:cs="Times New Roman"/>
                <w:b/>
                <w:bCs/>
                <w:sz w:val="26"/>
                <w:szCs w:val="26"/>
                <w:lang w:val="es-ES"/>
              </w:rPr>
            </w:pPr>
            <w:r w:rsidRPr="002A7673">
              <w:rPr>
                <w:rFonts w:ascii="Times New Roman" w:eastAsia="Calibri" w:hAnsi="Times New Roman" w:cs="Times New Roman"/>
                <w:b/>
                <w:bCs/>
                <w:sz w:val="26"/>
                <w:szCs w:val="26"/>
                <w:lang w:val="es-ES"/>
              </w:rPr>
              <w:t>10502 Viáticos dentro del País</w:t>
            </w:r>
          </w:p>
        </w:tc>
        <w:tc>
          <w:tcPr>
            <w:tcW w:w="2126" w:type="dxa"/>
            <w:shd w:val="clear" w:color="auto" w:fill="BFBFBF"/>
            <w:vAlign w:val="center"/>
          </w:tcPr>
          <w:p w14:paraId="3C120B6B" w14:textId="77777777" w:rsidR="00083CA4" w:rsidRPr="002A7673" w:rsidRDefault="00083CA4" w:rsidP="005F7139">
            <w:pPr>
              <w:spacing w:after="0" w:line="240" w:lineRule="auto"/>
              <w:ind w:right="567"/>
              <w:jc w:val="center"/>
              <w:rPr>
                <w:rFonts w:ascii="Times New Roman" w:eastAsia="Calibri" w:hAnsi="Times New Roman" w:cs="Times New Roman"/>
                <w:b/>
                <w:bCs/>
                <w:sz w:val="26"/>
                <w:szCs w:val="26"/>
                <w:lang w:val="es-ES"/>
              </w:rPr>
            </w:pPr>
            <w:r w:rsidRPr="002A7673">
              <w:rPr>
                <w:rFonts w:ascii="Times New Roman" w:eastAsia="Calibri" w:hAnsi="Times New Roman" w:cs="Times New Roman"/>
                <w:b/>
                <w:bCs/>
                <w:sz w:val="26"/>
                <w:szCs w:val="26"/>
                <w:lang w:val="es-ES"/>
              </w:rPr>
              <w:t>10701 Actividades de Capacitación</w:t>
            </w:r>
          </w:p>
        </w:tc>
        <w:tc>
          <w:tcPr>
            <w:tcW w:w="1682" w:type="dxa"/>
            <w:vMerge/>
            <w:shd w:val="clear" w:color="auto" w:fill="BFBFBF"/>
          </w:tcPr>
          <w:p w14:paraId="1B4CD8F2" w14:textId="77777777" w:rsidR="00083CA4" w:rsidRPr="002A7673" w:rsidRDefault="00083CA4" w:rsidP="005F7139">
            <w:pPr>
              <w:spacing w:after="0" w:line="240" w:lineRule="auto"/>
              <w:ind w:right="567"/>
              <w:jc w:val="center"/>
              <w:rPr>
                <w:rFonts w:ascii="Times New Roman" w:eastAsia="Calibri" w:hAnsi="Times New Roman" w:cs="Times New Roman"/>
                <w:b/>
                <w:bCs/>
                <w:sz w:val="26"/>
                <w:szCs w:val="26"/>
                <w:lang w:val="es-ES"/>
              </w:rPr>
            </w:pPr>
          </w:p>
        </w:tc>
      </w:tr>
      <w:tr w:rsidR="00083CA4" w:rsidRPr="002A7673" w14:paraId="58D0E0C3" w14:textId="77777777" w:rsidTr="005F7139">
        <w:trPr>
          <w:jc w:val="center"/>
        </w:trPr>
        <w:tc>
          <w:tcPr>
            <w:tcW w:w="2972" w:type="dxa"/>
            <w:vAlign w:val="center"/>
          </w:tcPr>
          <w:p w14:paraId="1670BD91" w14:textId="77777777" w:rsidR="00083CA4" w:rsidRPr="002A7673" w:rsidRDefault="00083CA4" w:rsidP="005F7139">
            <w:pPr>
              <w:spacing w:after="0" w:line="240" w:lineRule="auto"/>
              <w:ind w:right="567"/>
              <w:jc w:val="both"/>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926 Administrativo</w:t>
            </w:r>
          </w:p>
        </w:tc>
        <w:tc>
          <w:tcPr>
            <w:tcW w:w="1843" w:type="dxa"/>
            <w:vAlign w:val="center"/>
          </w:tcPr>
          <w:p w14:paraId="7E252C6D"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532.500</w:t>
            </w:r>
          </w:p>
        </w:tc>
        <w:tc>
          <w:tcPr>
            <w:tcW w:w="2126" w:type="dxa"/>
            <w:vAlign w:val="center"/>
          </w:tcPr>
          <w:p w14:paraId="7326601C"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1.125.000</w:t>
            </w:r>
          </w:p>
        </w:tc>
        <w:tc>
          <w:tcPr>
            <w:tcW w:w="1682" w:type="dxa"/>
            <w:vAlign w:val="center"/>
          </w:tcPr>
          <w:p w14:paraId="2241FE98"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1.657.500</w:t>
            </w:r>
          </w:p>
        </w:tc>
      </w:tr>
      <w:tr w:rsidR="00083CA4" w:rsidRPr="002A7673" w14:paraId="1A14EDC1" w14:textId="77777777" w:rsidTr="005F7139">
        <w:trPr>
          <w:jc w:val="center"/>
        </w:trPr>
        <w:tc>
          <w:tcPr>
            <w:tcW w:w="2972" w:type="dxa"/>
            <w:vAlign w:val="center"/>
          </w:tcPr>
          <w:p w14:paraId="604B86FC" w14:textId="77777777" w:rsidR="00083CA4" w:rsidRPr="002A7673" w:rsidRDefault="00083CA4" w:rsidP="005F7139">
            <w:pPr>
              <w:spacing w:after="0" w:line="240" w:lineRule="auto"/>
              <w:ind w:right="567"/>
              <w:jc w:val="both"/>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927 Jurisdiccional</w:t>
            </w:r>
          </w:p>
        </w:tc>
        <w:tc>
          <w:tcPr>
            <w:tcW w:w="1843" w:type="dxa"/>
            <w:vAlign w:val="center"/>
          </w:tcPr>
          <w:p w14:paraId="4C864BD6"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0</w:t>
            </w:r>
          </w:p>
        </w:tc>
        <w:tc>
          <w:tcPr>
            <w:tcW w:w="2126" w:type="dxa"/>
            <w:vAlign w:val="center"/>
          </w:tcPr>
          <w:p w14:paraId="571825DC"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3.360.000</w:t>
            </w:r>
          </w:p>
        </w:tc>
        <w:tc>
          <w:tcPr>
            <w:tcW w:w="1682" w:type="dxa"/>
            <w:vAlign w:val="center"/>
          </w:tcPr>
          <w:p w14:paraId="54714FF3"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3.360.000</w:t>
            </w:r>
          </w:p>
        </w:tc>
      </w:tr>
      <w:tr w:rsidR="00083CA4" w:rsidRPr="002A7673" w14:paraId="22B4187A" w14:textId="77777777" w:rsidTr="005F7139">
        <w:trPr>
          <w:jc w:val="center"/>
        </w:trPr>
        <w:tc>
          <w:tcPr>
            <w:tcW w:w="2972" w:type="dxa"/>
            <w:vAlign w:val="center"/>
          </w:tcPr>
          <w:p w14:paraId="2FF1BBBD" w14:textId="77777777" w:rsidR="00083CA4" w:rsidRPr="002A7673" w:rsidRDefault="00083CA4" w:rsidP="005F7139">
            <w:pPr>
              <w:spacing w:after="0" w:line="240" w:lineRule="auto"/>
              <w:ind w:right="567"/>
              <w:jc w:val="both"/>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929 Ministerio Público</w:t>
            </w:r>
          </w:p>
        </w:tc>
        <w:tc>
          <w:tcPr>
            <w:tcW w:w="1843" w:type="dxa"/>
            <w:vAlign w:val="center"/>
          </w:tcPr>
          <w:p w14:paraId="67BC0518"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0</w:t>
            </w:r>
          </w:p>
        </w:tc>
        <w:tc>
          <w:tcPr>
            <w:tcW w:w="2126" w:type="dxa"/>
            <w:vAlign w:val="center"/>
          </w:tcPr>
          <w:p w14:paraId="331C55D7"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1.500.000</w:t>
            </w:r>
          </w:p>
        </w:tc>
        <w:tc>
          <w:tcPr>
            <w:tcW w:w="1682" w:type="dxa"/>
            <w:vAlign w:val="center"/>
          </w:tcPr>
          <w:p w14:paraId="6115F710"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1.500.000</w:t>
            </w:r>
          </w:p>
        </w:tc>
      </w:tr>
      <w:tr w:rsidR="00083CA4" w:rsidRPr="002A7673" w14:paraId="6BD21443" w14:textId="77777777" w:rsidTr="005F7139">
        <w:trPr>
          <w:jc w:val="center"/>
        </w:trPr>
        <w:tc>
          <w:tcPr>
            <w:tcW w:w="2972" w:type="dxa"/>
            <w:vAlign w:val="center"/>
          </w:tcPr>
          <w:p w14:paraId="721BB6DE" w14:textId="77777777" w:rsidR="00083CA4" w:rsidRPr="002A7673" w:rsidRDefault="00083CA4" w:rsidP="005F7139">
            <w:pPr>
              <w:spacing w:after="0" w:line="240" w:lineRule="auto"/>
              <w:ind w:right="567"/>
              <w:jc w:val="both"/>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930 Defensa Pública</w:t>
            </w:r>
          </w:p>
        </w:tc>
        <w:tc>
          <w:tcPr>
            <w:tcW w:w="1843" w:type="dxa"/>
            <w:vAlign w:val="center"/>
          </w:tcPr>
          <w:p w14:paraId="2C43457B"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0</w:t>
            </w:r>
          </w:p>
        </w:tc>
        <w:tc>
          <w:tcPr>
            <w:tcW w:w="2126" w:type="dxa"/>
            <w:vAlign w:val="center"/>
          </w:tcPr>
          <w:p w14:paraId="2BCD49A4"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832.000</w:t>
            </w:r>
          </w:p>
        </w:tc>
        <w:tc>
          <w:tcPr>
            <w:tcW w:w="1682" w:type="dxa"/>
            <w:vAlign w:val="center"/>
          </w:tcPr>
          <w:p w14:paraId="7D8ED6C4" w14:textId="77777777" w:rsidR="00083CA4" w:rsidRPr="002A7673" w:rsidRDefault="00083CA4" w:rsidP="005F7139">
            <w:pPr>
              <w:spacing w:after="0" w:line="240" w:lineRule="auto"/>
              <w:ind w:right="567"/>
              <w:jc w:val="right"/>
              <w:rPr>
                <w:rFonts w:ascii="Times New Roman" w:eastAsia="Calibri" w:hAnsi="Times New Roman" w:cs="Times New Roman"/>
                <w:sz w:val="26"/>
                <w:szCs w:val="26"/>
                <w:lang w:val="es-ES"/>
              </w:rPr>
            </w:pPr>
            <w:r w:rsidRPr="002A7673">
              <w:rPr>
                <w:rFonts w:ascii="Times New Roman" w:eastAsia="Calibri" w:hAnsi="Times New Roman" w:cs="Times New Roman"/>
                <w:sz w:val="26"/>
                <w:szCs w:val="26"/>
                <w:lang w:val="es-ES"/>
              </w:rPr>
              <w:t>832.000</w:t>
            </w:r>
          </w:p>
        </w:tc>
      </w:tr>
      <w:tr w:rsidR="005F7139" w:rsidRPr="002A7673" w14:paraId="58A13D29" w14:textId="77777777" w:rsidTr="00083CA4">
        <w:trPr>
          <w:jc w:val="center"/>
        </w:trPr>
        <w:tc>
          <w:tcPr>
            <w:tcW w:w="2972" w:type="dxa"/>
            <w:shd w:val="clear" w:color="auto" w:fill="BFBFBF"/>
          </w:tcPr>
          <w:p w14:paraId="7560404E" w14:textId="77777777" w:rsidR="00083CA4" w:rsidRPr="002A7673" w:rsidRDefault="00083CA4" w:rsidP="005F7139">
            <w:pPr>
              <w:spacing w:after="0" w:line="240" w:lineRule="auto"/>
              <w:ind w:right="567"/>
              <w:jc w:val="both"/>
              <w:rPr>
                <w:rFonts w:ascii="Times New Roman" w:eastAsia="Calibri" w:hAnsi="Times New Roman" w:cs="Times New Roman"/>
                <w:b/>
                <w:bCs/>
                <w:sz w:val="26"/>
                <w:szCs w:val="26"/>
                <w:lang w:val="es-ES"/>
              </w:rPr>
            </w:pPr>
            <w:r w:rsidRPr="002A7673">
              <w:rPr>
                <w:rFonts w:ascii="Times New Roman" w:eastAsia="Calibri" w:hAnsi="Times New Roman" w:cs="Times New Roman"/>
                <w:b/>
                <w:bCs/>
                <w:sz w:val="26"/>
                <w:szCs w:val="26"/>
                <w:lang w:val="es-ES"/>
              </w:rPr>
              <w:t>TOTAL</w:t>
            </w:r>
          </w:p>
        </w:tc>
        <w:tc>
          <w:tcPr>
            <w:tcW w:w="1843" w:type="dxa"/>
            <w:shd w:val="clear" w:color="auto" w:fill="BFBFBF"/>
          </w:tcPr>
          <w:p w14:paraId="088FD4D2" w14:textId="77777777" w:rsidR="00083CA4" w:rsidRPr="002A7673" w:rsidRDefault="00083CA4" w:rsidP="005F7139">
            <w:pPr>
              <w:spacing w:after="0" w:line="240" w:lineRule="auto"/>
              <w:ind w:right="567"/>
              <w:jc w:val="right"/>
              <w:rPr>
                <w:rFonts w:ascii="Times New Roman" w:eastAsia="Calibri" w:hAnsi="Times New Roman" w:cs="Times New Roman"/>
                <w:b/>
                <w:bCs/>
                <w:sz w:val="26"/>
                <w:szCs w:val="26"/>
                <w:lang w:val="es-ES"/>
              </w:rPr>
            </w:pPr>
            <w:r w:rsidRPr="002A7673">
              <w:rPr>
                <w:rFonts w:ascii="Times New Roman" w:eastAsia="Calibri" w:hAnsi="Times New Roman" w:cs="Times New Roman"/>
                <w:b/>
                <w:bCs/>
                <w:sz w:val="26"/>
                <w:szCs w:val="26"/>
                <w:lang w:val="es-ES"/>
              </w:rPr>
              <w:t>532.500</w:t>
            </w:r>
          </w:p>
        </w:tc>
        <w:tc>
          <w:tcPr>
            <w:tcW w:w="2126" w:type="dxa"/>
            <w:shd w:val="clear" w:color="auto" w:fill="BFBFBF"/>
          </w:tcPr>
          <w:p w14:paraId="10E41FBC" w14:textId="77777777" w:rsidR="00083CA4" w:rsidRPr="002A7673" w:rsidRDefault="00083CA4" w:rsidP="005F7139">
            <w:pPr>
              <w:spacing w:after="0" w:line="240" w:lineRule="auto"/>
              <w:ind w:right="567"/>
              <w:jc w:val="right"/>
              <w:rPr>
                <w:rFonts w:ascii="Times New Roman" w:eastAsia="Calibri" w:hAnsi="Times New Roman" w:cs="Times New Roman"/>
                <w:b/>
                <w:bCs/>
                <w:sz w:val="26"/>
                <w:szCs w:val="26"/>
                <w:lang w:val="es-ES"/>
              </w:rPr>
            </w:pPr>
            <w:r w:rsidRPr="002A7673">
              <w:rPr>
                <w:rFonts w:ascii="Times New Roman" w:eastAsia="Calibri" w:hAnsi="Times New Roman" w:cs="Times New Roman"/>
                <w:b/>
                <w:bCs/>
                <w:sz w:val="26"/>
                <w:szCs w:val="26"/>
                <w:lang w:val="es-ES"/>
              </w:rPr>
              <w:t>6.817.000</w:t>
            </w:r>
          </w:p>
        </w:tc>
        <w:tc>
          <w:tcPr>
            <w:tcW w:w="1682" w:type="dxa"/>
            <w:shd w:val="clear" w:color="auto" w:fill="BFBFBF"/>
          </w:tcPr>
          <w:p w14:paraId="1AA21F8E" w14:textId="77777777" w:rsidR="00083CA4" w:rsidRPr="002A7673" w:rsidRDefault="00083CA4" w:rsidP="005F7139">
            <w:pPr>
              <w:spacing w:after="0" w:line="240" w:lineRule="auto"/>
              <w:ind w:right="567"/>
              <w:jc w:val="right"/>
              <w:rPr>
                <w:rFonts w:ascii="Times New Roman" w:eastAsia="Calibri" w:hAnsi="Times New Roman" w:cs="Times New Roman"/>
                <w:b/>
                <w:bCs/>
                <w:sz w:val="26"/>
                <w:szCs w:val="26"/>
                <w:lang w:val="es-ES"/>
              </w:rPr>
            </w:pPr>
            <w:r w:rsidRPr="002A7673">
              <w:rPr>
                <w:rFonts w:ascii="Times New Roman" w:eastAsia="Calibri" w:hAnsi="Times New Roman" w:cs="Times New Roman"/>
                <w:b/>
                <w:bCs/>
                <w:sz w:val="26"/>
                <w:szCs w:val="26"/>
                <w:lang w:val="es-ES"/>
              </w:rPr>
              <w:t>7.349.500</w:t>
            </w:r>
          </w:p>
        </w:tc>
      </w:tr>
    </w:tbl>
    <w:p w14:paraId="3CB43F09" w14:textId="77777777" w:rsidR="005B73ED" w:rsidRPr="002A7673" w:rsidRDefault="005B73ED" w:rsidP="005F7139">
      <w:pPr>
        <w:spacing w:after="0"/>
        <w:rPr>
          <w:rFonts w:ascii="Times New Roman" w:hAnsi="Times New Roman" w:cs="Times New Roman"/>
        </w:rPr>
      </w:pPr>
    </w:p>
    <w:p w14:paraId="69E320BF" w14:textId="7D078261" w:rsidR="001C531A" w:rsidRPr="002A7673" w:rsidRDefault="001C531A" w:rsidP="001C531A">
      <w:pPr>
        <w:spacing w:line="480" w:lineRule="auto"/>
        <w:ind w:firstLine="708"/>
        <w:jc w:val="both"/>
        <w:rPr>
          <w:rFonts w:ascii="Times New Roman" w:eastAsia="Calibri" w:hAnsi="Times New Roman" w:cs="Times New Roman"/>
          <w:b/>
          <w:color w:val="000000"/>
          <w:sz w:val="28"/>
          <w:szCs w:val="28"/>
          <w:shd w:val="clear" w:color="auto" w:fill="FFFFFF"/>
        </w:rPr>
      </w:pPr>
      <w:r w:rsidRPr="002A7673">
        <w:rPr>
          <w:rFonts w:ascii="Times New Roman" w:eastAsia="Calibri" w:hAnsi="Times New Roman" w:cs="Times New Roman"/>
          <w:color w:val="000000"/>
          <w:sz w:val="28"/>
          <w:szCs w:val="28"/>
          <w:shd w:val="clear" w:color="auto" w:fill="FFFFFF"/>
        </w:rPr>
        <w:t xml:space="preserve">La Comisión de Familia, Niñez y Adolescencia, </w:t>
      </w:r>
      <w:r w:rsidR="003C0781" w:rsidRPr="002A7673">
        <w:rPr>
          <w:rFonts w:ascii="Times New Roman" w:eastAsia="Calibri" w:hAnsi="Times New Roman" w:cs="Times New Roman"/>
          <w:color w:val="000000"/>
          <w:sz w:val="28"/>
          <w:szCs w:val="28"/>
          <w:shd w:val="clear" w:color="auto" w:fill="FFFFFF"/>
        </w:rPr>
        <w:t xml:space="preserve">Dirección Nacional de Justicia Restaurativa, </w:t>
      </w:r>
      <w:r w:rsidRPr="002A7673">
        <w:rPr>
          <w:rFonts w:ascii="Times New Roman" w:eastAsia="Calibri" w:hAnsi="Times New Roman" w:cs="Times New Roman"/>
          <w:color w:val="000000"/>
          <w:sz w:val="28"/>
          <w:szCs w:val="28"/>
          <w:shd w:val="clear" w:color="auto" w:fill="FFFFFF"/>
        </w:rPr>
        <w:t xml:space="preserve">las Direcciones de Planificación y Gestión Humana, la Escuela Judicial, la Defensa Pública, el Ministerio Público, la Fiscalía de Asuntos Indígenas y la Oficina de Atención de Víctimas y Testigos, tomarán nota para lo que corresponda. </w:t>
      </w:r>
      <w:r w:rsidRPr="002A7673">
        <w:rPr>
          <w:rFonts w:ascii="Times New Roman" w:eastAsia="Calibri" w:hAnsi="Times New Roman" w:cs="Times New Roman"/>
          <w:b/>
          <w:color w:val="000000"/>
          <w:sz w:val="28"/>
          <w:szCs w:val="28"/>
          <w:shd w:val="clear" w:color="auto" w:fill="FFFFFF"/>
        </w:rPr>
        <w:t>Se declara acuerdo firme.</w:t>
      </w:r>
    </w:p>
    <w:p w14:paraId="1E609DD1" w14:textId="7FA8E110" w:rsidR="005218C2" w:rsidRPr="00EF57CF" w:rsidRDefault="005218C2" w:rsidP="00EF57CF">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 xml:space="preserve">ARTÍCULO VIII </w:t>
      </w:r>
    </w:p>
    <w:p w14:paraId="208407DD" w14:textId="77777777" w:rsidR="005218C2" w:rsidRPr="002A7673" w:rsidRDefault="005218C2" w:rsidP="005218C2">
      <w:pPr>
        <w:autoSpaceDE w:val="0"/>
        <w:autoSpaceDN w:val="0"/>
        <w:adjustRightInd w:val="0"/>
        <w:spacing w:after="0" w:line="480" w:lineRule="auto"/>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4398-2021</w:t>
      </w:r>
    </w:p>
    <w:p w14:paraId="042E7F15" w14:textId="77777777" w:rsidR="005218C2" w:rsidRPr="002A7673" w:rsidRDefault="005218C2" w:rsidP="005218C2">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reunión de trabajo del pasado 16 de abril de 2021, la Dirección de Gestión Humana presentó los oficios PJ-DGH-CAP-187-2021 correspondiente a la nueva propuesta de distribución de recursos presupuestarios en la subpartida 60201 (Becas a funcionarios) para el año 2022, y Oficio PJ-DGH-CAP-190-2021 correspondiente a las estimaciones de especialistas en contenido para el año 2022.</w:t>
      </w:r>
    </w:p>
    <w:p w14:paraId="06CDFB49" w14:textId="77777777" w:rsidR="005218C2" w:rsidRPr="002A7673" w:rsidRDefault="005218C2" w:rsidP="005218C2">
      <w:pPr>
        <w:spacing w:after="0" w:line="360" w:lineRule="auto"/>
        <w:jc w:val="center"/>
        <w:rPr>
          <w:rFonts w:ascii="Times New Roman" w:hAnsi="Times New Roman" w:cs="Times New Roman"/>
          <w:sz w:val="28"/>
          <w:szCs w:val="28"/>
        </w:rPr>
      </w:pPr>
      <w:r w:rsidRPr="002A7673">
        <w:rPr>
          <w:rFonts w:ascii="Times New Roman" w:hAnsi="Times New Roman" w:cs="Times New Roman"/>
          <w:sz w:val="28"/>
          <w:szCs w:val="28"/>
        </w:rPr>
        <w:t xml:space="preserve">-  </w:t>
      </w:r>
      <w:proofErr w:type="gramStart"/>
      <w:r w:rsidRPr="002A7673">
        <w:rPr>
          <w:rFonts w:ascii="Times New Roman" w:hAnsi="Times New Roman" w:cs="Times New Roman"/>
          <w:sz w:val="28"/>
          <w:szCs w:val="28"/>
        </w:rPr>
        <w:t>0  -</w:t>
      </w:r>
      <w:proofErr w:type="gramEnd"/>
    </w:p>
    <w:p w14:paraId="272DCAE8" w14:textId="77777777" w:rsidR="005218C2" w:rsidRPr="002A7673" w:rsidRDefault="005218C2" w:rsidP="005218C2">
      <w:pPr>
        <w:spacing w:after="0" w:line="480" w:lineRule="auto"/>
        <w:ind w:firstLine="709"/>
        <w:jc w:val="both"/>
        <w:rPr>
          <w:rFonts w:ascii="Times New Roman" w:hAnsi="Times New Roman" w:cs="Times New Roman"/>
        </w:rPr>
      </w:pPr>
      <w:r w:rsidRPr="002A7673">
        <w:rPr>
          <w:rFonts w:ascii="Times New Roman" w:hAnsi="Times New Roman" w:cs="Times New Roman"/>
          <w:sz w:val="28"/>
          <w:szCs w:val="28"/>
        </w:rPr>
        <w:lastRenderedPageBreak/>
        <w:t xml:space="preserve">En la reunión de trabajo del pasado 24 de marzo, la Dirección de Gestión Humana indicó que mediante oficio PJ-DGH-CAP-075-2021, remitió la proyección presupuestaria 2022 </w:t>
      </w:r>
      <w:r w:rsidRPr="002A7673">
        <w:rPr>
          <w:rFonts w:ascii="Times New Roman" w:hAnsi="Times New Roman" w:cs="Times New Roman"/>
          <w:b/>
          <w:bCs/>
          <w:sz w:val="28"/>
          <w:szCs w:val="28"/>
        </w:rPr>
        <w:t>de permisos con goce de salario con sustitución para personal judicial becado, así como la proyección de becas que incluye los pagos parciales o totales de posgrados y ayudas económicas de actividades formativas</w:t>
      </w:r>
      <w:r w:rsidRPr="002A7673">
        <w:rPr>
          <w:rFonts w:ascii="Times New Roman" w:hAnsi="Times New Roman" w:cs="Times New Roman"/>
          <w:sz w:val="28"/>
          <w:szCs w:val="28"/>
        </w:rPr>
        <w:t xml:space="preserve">. En dicho oficio se aclara que el anteproyecto presentado fue analizado y aprobado por el Consejo de Rectoría, según minuta de reunión N°01-EJ-2021 </w:t>
      </w:r>
      <w:r w:rsidRPr="002A7673">
        <w:rPr>
          <w:rFonts w:ascii="Times New Roman" w:hAnsi="Times New Roman" w:cs="Times New Roman"/>
          <w:i/>
          <w:iCs/>
          <w:sz w:val="28"/>
          <w:szCs w:val="28"/>
          <w:lang w:eastAsia="es-CR"/>
        </w:rPr>
        <w:t xml:space="preserve">“Reunión de Rectoría, Escuela Judicial y las Unidades de Capacitación”, </w:t>
      </w:r>
      <w:r w:rsidRPr="002A7673">
        <w:rPr>
          <w:rFonts w:ascii="Times New Roman" w:hAnsi="Times New Roman" w:cs="Times New Roman"/>
          <w:sz w:val="28"/>
          <w:szCs w:val="28"/>
          <w:lang w:eastAsia="es-CR"/>
        </w:rPr>
        <w:t xml:space="preserve">la cual se llevó a cabo el miércoles 17 de febrero de 2021, de 7:30 a.m. a 8:25 a.m.  </w:t>
      </w:r>
      <w:r w:rsidRPr="002A7673">
        <w:rPr>
          <w:rFonts w:ascii="Times New Roman" w:hAnsi="Times New Roman" w:cs="Times New Roman"/>
          <w:sz w:val="28"/>
          <w:szCs w:val="28"/>
        </w:rPr>
        <w:t>En dicho oficio, en la parte introductoria se indica lo siguiente</w:t>
      </w:r>
      <w:r w:rsidRPr="002A7673">
        <w:rPr>
          <w:rFonts w:ascii="Times New Roman" w:hAnsi="Times New Roman" w:cs="Times New Roman"/>
        </w:rPr>
        <w:t>:</w:t>
      </w:r>
    </w:p>
    <w:p w14:paraId="22CDE047" w14:textId="77777777" w:rsidR="005218C2" w:rsidRPr="002A7673" w:rsidRDefault="005218C2" w:rsidP="005218C2">
      <w:pPr>
        <w:spacing w:after="0" w:line="360" w:lineRule="auto"/>
        <w:ind w:firstLine="709"/>
        <w:jc w:val="both"/>
        <w:rPr>
          <w:rFonts w:ascii="Times New Roman" w:eastAsia="Times New Roman" w:hAnsi="Times New Roman" w:cs="Times New Roman"/>
          <w:sz w:val="24"/>
          <w:szCs w:val="24"/>
          <w:lang w:val="es-ES" w:eastAsia="es-ES"/>
        </w:rPr>
      </w:pPr>
    </w:p>
    <w:p w14:paraId="4F21CDE5"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r w:rsidRPr="002A7673">
        <w:rPr>
          <w:rFonts w:ascii="Times New Roman" w:eastAsia="Times New Roman" w:hAnsi="Times New Roman" w:cs="Times New Roman"/>
          <w:i/>
          <w:iCs/>
          <w:sz w:val="26"/>
          <w:szCs w:val="26"/>
          <w:u w:color="000000"/>
          <w:shd w:val="clear" w:color="auto" w:fill="FFFFFF"/>
          <w:lang w:val="es-ES" w:eastAsia="es-ES"/>
        </w:rPr>
        <w:t xml:space="preserve">“Se remite </w:t>
      </w:r>
      <w:r w:rsidRPr="002A7673">
        <w:rPr>
          <w:rFonts w:ascii="Times New Roman" w:eastAsia="Times New Roman" w:hAnsi="Times New Roman" w:cs="Times New Roman"/>
          <w:i/>
          <w:iCs/>
          <w:sz w:val="26"/>
          <w:szCs w:val="26"/>
          <w:u w:color="000000"/>
          <w:shd w:val="clear" w:color="auto" w:fill="FFFFFF"/>
          <w:lang w:val="es-ES" w:eastAsia="es-CR"/>
        </w:rPr>
        <w:t>la proyección presupuestaria de becas (pagos parciales o totales de posgrados y ayudas económicas de actividades formativas) y permisos con goce de salario con sustitución para personal judicial becado correspondientes al año 2022.</w:t>
      </w:r>
    </w:p>
    <w:p w14:paraId="5EE4BCAE"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p>
    <w:p w14:paraId="08274E09"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r w:rsidRPr="002A7673">
        <w:rPr>
          <w:rFonts w:ascii="Times New Roman" w:eastAsia="Times New Roman" w:hAnsi="Times New Roman" w:cs="Times New Roman"/>
          <w:i/>
          <w:iCs/>
          <w:sz w:val="26"/>
          <w:szCs w:val="26"/>
          <w:u w:color="000000"/>
          <w:shd w:val="clear" w:color="auto" w:fill="FFFFFF"/>
          <w:lang w:val="es-ES" w:eastAsia="es-CR"/>
        </w:rPr>
        <w:t xml:space="preserve">Para lo cual, se consideró:  </w:t>
      </w:r>
    </w:p>
    <w:p w14:paraId="66E9552E"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p>
    <w:p w14:paraId="2075C278" w14:textId="77777777" w:rsidR="005218C2" w:rsidRPr="002A7673" w:rsidRDefault="005218C2" w:rsidP="00FF3FAC">
      <w:pPr>
        <w:numPr>
          <w:ilvl w:val="0"/>
          <w:numId w:val="44"/>
        </w:numPr>
        <w:spacing w:after="0" w:line="240" w:lineRule="auto"/>
        <w:ind w:left="851" w:right="907" w:firstLine="709"/>
        <w:jc w:val="both"/>
        <w:rPr>
          <w:rFonts w:ascii="Times New Roman" w:eastAsia="Times New Roman" w:hAnsi="Times New Roman" w:cs="Times New Roman"/>
          <w:i/>
          <w:iCs/>
          <w:color w:val="000000"/>
          <w:sz w:val="26"/>
          <w:szCs w:val="26"/>
          <w:u w:color="000000"/>
          <w:shd w:val="clear" w:color="auto" w:fill="FFFFFF"/>
          <w:lang w:val="es-ES" w:eastAsia="es-ES"/>
        </w:rPr>
      </w:pPr>
      <w:r w:rsidRPr="002A7673">
        <w:rPr>
          <w:rFonts w:ascii="Times New Roman" w:eastAsia="Times New Roman" w:hAnsi="Times New Roman" w:cs="Times New Roman"/>
          <w:i/>
          <w:iCs/>
          <w:color w:val="000000"/>
          <w:sz w:val="26"/>
          <w:szCs w:val="26"/>
          <w:u w:color="000000"/>
          <w:shd w:val="clear" w:color="auto" w:fill="FFFFFF"/>
          <w:lang w:val="es-ES" w:eastAsia="es-ES"/>
        </w:rPr>
        <w:t>El procedimiento aprobado por la Dirección de Planificación en el oficio 1169-PLA-2018.</w:t>
      </w:r>
    </w:p>
    <w:p w14:paraId="60B239A1"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color w:val="000000"/>
          <w:sz w:val="26"/>
          <w:szCs w:val="26"/>
          <w:u w:color="000000"/>
          <w:shd w:val="clear" w:color="auto" w:fill="FFFFFF"/>
          <w:lang w:val="es-ES" w:eastAsia="es-ES"/>
        </w:rPr>
      </w:pPr>
    </w:p>
    <w:p w14:paraId="3059ACA2" w14:textId="77777777" w:rsidR="005218C2" w:rsidRPr="002A7673" w:rsidRDefault="005218C2" w:rsidP="00FF3FAC">
      <w:pPr>
        <w:numPr>
          <w:ilvl w:val="0"/>
          <w:numId w:val="44"/>
        </w:numPr>
        <w:spacing w:after="0" w:line="240" w:lineRule="auto"/>
        <w:ind w:left="851" w:right="907" w:firstLine="709"/>
        <w:jc w:val="both"/>
        <w:rPr>
          <w:rFonts w:ascii="Times New Roman" w:eastAsia="Times New Roman" w:hAnsi="Times New Roman" w:cs="Times New Roman"/>
          <w:i/>
          <w:iCs/>
          <w:color w:val="000000"/>
          <w:sz w:val="26"/>
          <w:szCs w:val="26"/>
          <w:u w:color="000000"/>
          <w:shd w:val="clear" w:color="auto" w:fill="FFFFFF"/>
          <w:lang w:val="es-ES" w:eastAsia="es-ES"/>
        </w:rPr>
      </w:pPr>
      <w:r w:rsidRPr="002A7673">
        <w:rPr>
          <w:rFonts w:ascii="Times New Roman" w:eastAsia="Times New Roman" w:hAnsi="Times New Roman" w:cs="Times New Roman"/>
          <w:i/>
          <w:iCs/>
          <w:sz w:val="26"/>
          <w:szCs w:val="26"/>
          <w:u w:color="000000"/>
          <w:shd w:val="clear" w:color="auto" w:fill="FFFFFF"/>
          <w:lang w:val="es-ES" w:eastAsia="es-ES"/>
        </w:rPr>
        <w:t xml:space="preserve">Las medidas para la contención del gasto en el Poder Judicial aprobadas por Corte Plena en sesión No. 27-2017, celebrada el 21 de agosto de 2017, artículo XVI. </w:t>
      </w:r>
    </w:p>
    <w:p w14:paraId="7B407FD7"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color w:val="000000"/>
          <w:sz w:val="26"/>
          <w:szCs w:val="26"/>
          <w:u w:color="000000"/>
          <w:shd w:val="clear" w:color="auto" w:fill="FFFFFF"/>
          <w:lang w:val="es-ES" w:eastAsia="es-ES"/>
        </w:rPr>
      </w:pPr>
    </w:p>
    <w:p w14:paraId="747555C3" w14:textId="77777777" w:rsidR="005218C2" w:rsidRPr="002A7673" w:rsidRDefault="005218C2" w:rsidP="00FF3FAC">
      <w:pPr>
        <w:numPr>
          <w:ilvl w:val="0"/>
          <w:numId w:val="44"/>
        </w:numPr>
        <w:spacing w:after="0" w:line="240" w:lineRule="auto"/>
        <w:ind w:left="851" w:right="907" w:firstLine="709"/>
        <w:jc w:val="both"/>
        <w:rPr>
          <w:rFonts w:ascii="Times New Roman" w:eastAsia="Times New Roman" w:hAnsi="Times New Roman" w:cs="Times New Roman"/>
          <w:i/>
          <w:iCs/>
          <w:color w:val="000000"/>
          <w:sz w:val="26"/>
          <w:szCs w:val="26"/>
          <w:u w:color="000000"/>
          <w:shd w:val="clear" w:color="auto" w:fill="FFFFFF"/>
          <w:lang w:val="es-ES" w:eastAsia="es-ES"/>
        </w:rPr>
      </w:pPr>
      <w:r w:rsidRPr="002A7673">
        <w:rPr>
          <w:rFonts w:ascii="Times New Roman" w:eastAsia="Times New Roman" w:hAnsi="Times New Roman" w:cs="Times New Roman"/>
          <w:i/>
          <w:iCs/>
          <w:color w:val="000000"/>
          <w:sz w:val="26"/>
          <w:szCs w:val="26"/>
          <w:u w:color="000000"/>
          <w:shd w:val="clear" w:color="auto" w:fill="FFFFFF"/>
          <w:lang w:val="es-ES" w:eastAsia="es-ES"/>
        </w:rPr>
        <w:t>Las directrices técnicas para guiar el proceso de formulación 2022, según oficio 1964-PP-2020.</w:t>
      </w:r>
    </w:p>
    <w:p w14:paraId="54680104"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color w:val="000000"/>
          <w:sz w:val="26"/>
          <w:szCs w:val="26"/>
          <w:u w:color="000000"/>
          <w:shd w:val="clear" w:color="auto" w:fill="FFFFFF"/>
          <w:lang w:val="es-ES" w:eastAsia="es-ES"/>
        </w:rPr>
      </w:pPr>
    </w:p>
    <w:p w14:paraId="34FBD4F0" w14:textId="77777777" w:rsidR="005218C2" w:rsidRPr="002A7673" w:rsidRDefault="005218C2" w:rsidP="00FF3FAC">
      <w:pPr>
        <w:numPr>
          <w:ilvl w:val="0"/>
          <w:numId w:val="44"/>
        </w:numPr>
        <w:spacing w:after="0" w:line="240" w:lineRule="auto"/>
        <w:ind w:left="851" w:right="907" w:firstLine="709"/>
        <w:jc w:val="both"/>
        <w:rPr>
          <w:rFonts w:ascii="Times New Roman" w:eastAsia="Times New Roman" w:hAnsi="Times New Roman" w:cs="Times New Roman"/>
          <w:i/>
          <w:iCs/>
          <w:color w:val="000000"/>
          <w:sz w:val="26"/>
          <w:szCs w:val="26"/>
          <w:u w:color="000000"/>
          <w:shd w:val="clear" w:color="auto" w:fill="FFFFFF"/>
          <w:lang w:val="es-ES" w:eastAsia="es-ES"/>
        </w:rPr>
      </w:pPr>
      <w:proofErr w:type="gramStart"/>
      <w:r w:rsidRPr="002A7673">
        <w:rPr>
          <w:rFonts w:ascii="Times New Roman" w:eastAsia="Times New Roman" w:hAnsi="Times New Roman" w:cs="Times New Roman"/>
          <w:i/>
          <w:iCs/>
          <w:color w:val="000000"/>
          <w:sz w:val="26"/>
          <w:szCs w:val="26"/>
          <w:u w:color="000000"/>
          <w:shd w:val="clear" w:color="auto" w:fill="FFFFFF"/>
          <w:lang w:val="es-ES" w:eastAsia="es-ES"/>
        </w:rPr>
        <w:lastRenderedPageBreak/>
        <w:t>El límite presupuestario a formular</w:t>
      </w:r>
      <w:proofErr w:type="gramEnd"/>
      <w:r w:rsidRPr="002A7673">
        <w:rPr>
          <w:rFonts w:ascii="Times New Roman" w:eastAsia="Times New Roman" w:hAnsi="Times New Roman" w:cs="Times New Roman"/>
          <w:i/>
          <w:iCs/>
          <w:color w:val="000000"/>
          <w:sz w:val="26"/>
          <w:szCs w:val="26"/>
          <w:u w:color="000000"/>
          <w:shd w:val="clear" w:color="auto" w:fill="FFFFFF"/>
          <w:lang w:val="es-ES" w:eastAsia="es-ES"/>
        </w:rPr>
        <w:t xml:space="preserve"> para el año 2022, según oficio 90-TR-2021.</w:t>
      </w:r>
    </w:p>
    <w:p w14:paraId="3C24D6E6"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p>
    <w:p w14:paraId="6C551BFB" w14:textId="77777777" w:rsidR="005218C2" w:rsidRPr="002A7673" w:rsidRDefault="005218C2" w:rsidP="00FF3FAC">
      <w:pPr>
        <w:numPr>
          <w:ilvl w:val="0"/>
          <w:numId w:val="44"/>
        </w:num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r w:rsidRPr="002A7673">
        <w:rPr>
          <w:rFonts w:ascii="Times New Roman" w:eastAsia="Times New Roman" w:hAnsi="Times New Roman" w:cs="Times New Roman"/>
          <w:i/>
          <w:iCs/>
          <w:color w:val="000000"/>
          <w:sz w:val="26"/>
          <w:szCs w:val="26"/>
          <w:u w:color="000000"/>
          <w:shd w:val="clear" w:color="auto" w:fill="FFFFFF"/>
          <w:lang w:val="es-ES" w:eastAsia="es-ES"/>
        </w:rPr>
        <w:t>Los informes de resultados obtenidos de los Diagnósticos de Necesidades de Capacitación realizados por la Escuela Judicial y las diferentes Unidades de Capacitación.</w:t>
      </w:r>
    </w:p>
    <w:p w14:paraId="181F51A4"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p>
    <w:p w14:paraId="048BB1F6" w14:textId="77777777" w:rsidR="005218C2" w:rsidRPr="002A7673" w:rsidRDefault="005218C2" w:rsidP="00FF3FAC">
      <w:pPr>
        <w:numPr>
          <w:ilvl w:val="0"/>
          <w:numId w:val="44"/>
        </w:num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r w:rsidRPr="002A7673">
        <w:rPr>
          <w:rFonts w:ascii="Times New Roman" w:eastAsia="Times New Roman" w:hAnsi="Times New Roman" w:cs="Times New Roman"/>
          <w:i/>
          <w:iCs/>
          <w:color w:val="000000"/>
          <w:sz w:val="26"/>
          <w:szCs w:val="26"/>
          <w:u w:color="000000"/>
          <w:shd w:val="clear" w:color="auto" w:fill="FFFFFF"/>
          <w:lang w:val="es-ES" w:eastAsia="es-ES"/>
        </w:rPr>
        <w:t xml:space="preserve">La formulación presupuestaria para las becas que se proyectaron por las diferentes Unidades de Capacitación y Escuela Judicial en atención a las necesidades detectadas. </w:t>
      </w:r>
    </w:p>
    <w:p w14:paraId="7E36D260"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p>
    <w:p w14:paraId="1831ACEE" w14:textId="77777777" w:rsidR="005218C2" w:rsidRPr="002A7673" w:rsidRDefault="005218C2" w:rsidP="00FF3FAC">
      <w:pPr>
        <w:numPr>
          <w:ilvl w:val="0"/>
          <w:numId w:val="44"/>
        </w:num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r w:rsidRPr="002A7673">
        <w:rPr>
          <w:rFonts w:ascii="Times New Roman" w:eastAsia="Times New Roman" w:hAnsi="Times New Roman" w:cs="Times New Roman"/>
          <w:i/>
          <w:iCs/>
          <w:color w:val="000000"/>
          <w:sz w:val="26"/>
          <w:szCs w:val="26"/>
          <w:u w:color="000000"/>
          <w:shd w:val="clear" w:color="auto" w:fill="FFFFFF"/>
          <w:lang w:val="es-ES" w:eastAsia="es-ES"/>
        </w:rPr>
        <w:t xml:space="preserve">La estimación del tipo de cambio del dólar autorizado para el 2022, siendo este </w:t>
      </w:r>
      <w:r w:rsidRPr="002A7673">
        <w:rPr>
          <w:rFonts w:ascii="Times New Roman" w:eastAsia="Times New Roman" w:hAnsi="Times New Roman" w:cs="Times New Roman"/>
          <w:b/>
          <w:bCs/>
          <w:i/>
          <w:iCs/>
          <w:sz w:val="26"/>
          <w:szCs w:val="26"/>
          <w:u w:color="000000"/>
          <w:shd w:val="clear" w:color="auto" w:fill="FFFFFF"/>
          <w:lang w:val="es-ES" w:eastAsia="es-CR"/>
        </w:rPr>
        <w:t xml:space="preserve">¢650,69, </w:t>
      </w:r>
      <w:r w:rsidRPr="002A7673">
        <w:rPr>
          <w:rFonts w:ascii="Times New Roman" w:eastAsia="Times New Roman" w:hAnsi="Times New Roman" w:cs="Times New Roman"/>
          <w:i/>
          <w:iCs/>
          <w:sz w:val="26"/>
          <w:szCs w:val="26"/>
          <w:u w:color="000000"/>
          <w:shd w:val="clear" w:color="auto" w:fill="FFFFFF"/>
          <w:lang w:val="es-ES" w:eastAsia="es-CR"/>
        </w:rPr>
        <w:t>brindado por la MBA. Rita Castro Abarca, Administradora Pública de la Unidad de Presupuesto.</w:t>
      </w:r>
    </w:p>
    <w:p w14:paraId="44C3EA45"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p>
    <w:p w14:paraId="2AFF41AB" w14:textId="77777777" w:rsidR="005218C2" w:rsidRPr="002A7673" w:rsidRDefault="005218C2" w:rsidP="00FF3FAC">
      <w:pPr>
        <w:numPr>
          <w:ilvl w:val="0"/>
          <w:numId w:val="44"/>
        </w:num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r w:rsidRPr="002A7673">
        <w:rPr>
          <w:rFonts w:ascii="Times New Roman" w:eastAsia="Times New Roman" w:hAnsi="Times New Roman" w:cs="Times New Roman"/>
          <w:i/>
          <w:iCs/>
          <w:sz w:val="26"/>
          <w:szCs w:val="26"/>
          <w:u w:color="000000"/>
          <w:shd w:val="clear" w:color="auto" w:fill="FFFFFF"/>
          <w:lang w:val="es-ES" w:eastAsia="es-CR"/>
        </w:rPr>
        <w:t xml:space="preserve">La estimación del tipo de cambio del euro </w:t>
      </w:r>
      <w:r w:rsidRPr="002A7673">
        <w:rPr>
          <w:rFonts w:ascii="Times New Roman" w:eastAsia="Times New Roman" w:hAnsi="Times New Roman" w:cs="Times New Roman"/>
          <w:i/>
          <w:iCs/>
          <w:color w:val="000000"/>
          <w:sz w:val="26"/>
          <w:szCs w:val="26"/>
          <w:u w:color="000000"/>
          <w:shd w:val="clear" w:color="auto" w:fill="FFFFFF"/>
          <w:lang w:val="es-ES" w:eastAsia="es-ES"/>
        </w:rPr>
        <w:t>autorizado</w:t>
      </w:r>
      <w:r w:rsidRPr="002A7673">
        <w:rPr>
          <w:rFonts w:ascii="Times New Roman" w:eastAsia="Times New Roman" w:hAnsi="Times New Roman" w:cs="Times New Roman"/>
          <w:i/>
          <w:iCs/>
          <w:sz w:val="26"/>
          <w:szCs w:val="26"/>
          <w:u w:color="000000"/>
          <w:shd w:val="clear" w:color="auto" w:fill="FFFFFF"/>
          <w:lang w:val="es-ES" w:eastAsia="es-CR"/>
        </w:rPr>
        <w:t xml:space="preserve"> para el 2022, siendo este </w:t>
      </w:r>
      <w:r w:rsidRPr="002A7673">
        <w:rPr>
          <w:rFonts w:ascii="Times New Roman" w:eastAsia="Times New Roman" w:hAnsi="Times New Roman" w:cs="Times New Roman"/>
          <w:b/>
          <w:bCs/>
          <w:i/>
          <w:iCs/>
          <w:sz w:val="26"/>
          <w:szCs w:val="26"/>
          <w:u w:color="000000"/>
          <w:shd w:val="clear" w:color="auto" w:fill="FFFFFF"/>
          <w:lang w:val="es-ES" w:eastAsia="es-CR"/>
        </w:rPr>
        <w:t>¢769,46</w:t>
      </w:r>
      <w:r w:rsidRPr="002A7673">
        <w:rPr>
          <w:rFonts w:ascii="Times New Roman" w:eastAsia="Times New Roman" w:hAnsi="Times New Roman" w:cs="Times New Roman"/>
          <w:i/>
          <w:iCs/>
          <w:sz w:val="26"/>
          <w:szCs w:val="26"/>
          <w:u w:color="000000"/>
          <w:shd w:val="clear" w:color="auto" w:fill="FFFFFF"/>
          <w:lang w:val="es-ES" w:eastAsia="es-CR"/>
        </w:rPr>
        <w:t>, brindado por el MBA. José Andrés Lizano Vargas, Jefe del Proceso de Riesgos de Financiero Contable.</w:t>
      </w:r>
    </w:p>
    <w:p w14:paraId="1D87067A" w14:textId="77777777" w:rsidR="005218C2" w:rsidRPr="002A7673" w:rsidRDefault="005218C2" w:rsidP="005218C2">
      <w:pPr>
        <w:spacing w:after="0" w:line="240" w:lineRule="auto"/>
        <w:ind w:left="851" w:right="907" w:firstLine="709"/>
        <w:jc w:val="both"/>
        <w:rPr>
          <w:rFonts w:ascii="Times New Roman" w:eastAsia="Times New Roman" w:hAnsi="Times New Roman" w:cs="Times New Roman"/>
          <w:i/>
          <w:iCs/>
          <w:sz w:val="26"/>
          <w:szCs w:val="26"/>
          <w:u w:color="000000"/>
          <w:shd w:val="clear" w:color="auto" w:fill="FFFFFF"/>
          <w:lang w:val="es-ES" w:eastAsia="es-CR"/>
        </w:rPr>
      </w:pPr>
    </w:p>
    <w:p w14:paraId="6010497D" w14:textId="77777777" w:rsidR="005218C2" w:rsidRPr="002A7673" w:rsidRDefault="005218C2" w:rsidP="00FF3FAC">
      <w:pPr>
        <w:numPr>
          <w:ilvl w:val="0"/>
          <w:numId w:val="44"/>
        </w:numPr>
        <w:spacing w:after="0" w:line="240" w:lineRule="auto"/>
        <w:ind w:left="851" w:right="907" w:firstLine="709"/>
        <w:jc w:val="both"/>
        <w:rPr>
          <w:rFonts w:ascii="Times New Roman" w:eastAsia="Times New Roman" w:hAnsi="Times New Roman" w:cs="Times New Roman"/>
          <w:sz w:val="26"/>
          <w:szCs w:val="26"/>
          <w:u w:color="000000"/>
          <w:shd w:val="clear" w:color="auto" w:fill="FFFFFF"/>
          <w:lang w:val="es-ES" w:eastAsia="es-CR"/>
        </w:rPr>
      </w:pPr>
      <w:r w:rsidRPr="002A7673">
        <w:rPr>
          <w:rFonts w:ascii="Times New Roman" w:eastAsia="Times New Roman" w:hAnsi="Times New Roman" w:cs="Times New Roman"/>
          <w:i/>
          <w:iCs/>
          <w:sz w:val="26"/>
          <w:szCs w:val="26"/>
          <w:u w:color="000000"/>
          <w:shd w:val="clear" w:color="auto" w:fill="FFFFFF"/>
          <w:lang w:val="es-ES" w:eastAsia="es-CR"/>
        </w:rPr>
        <w:t xml:space="preserve">El cálculo de los salarios se fundamenta en la información proporcionada por la Unidad de Presupuesto y Estudios Especiales de la Dirección de Gestión Humana”. </w:t>
      </w:r>
    </w:p>
    <w:p w14:paraId="6BE03213" w14:textId="77777777" w:rsidR="005218C2" w:rsidRPr="002A7673" w:rsidRDefault="005218C2" w:rsidP="005218C2">
      <w:pPr>
        <w:spacing w:after="0" w:line="240" w:lineRule="auto"/>
        <w:ind w:left="851" w:right="907" w:firstLine="709"/>
        <w:rPr>
          <w:rFonts w:ascii="Times New Roman" w:hAnsi="Times New Roman" w:cs="Times New Roman"/>
          <w:i/>
          <w:iCs/>
          <w:sz w:val="26"/>
          <w:szCs w:val="26"/>
          <w:lang w:eastAsia="es-CR"/>
        </w:rPr>
      </w:pPr>
    </w:p>
    <w:p w14:paraId="12EDF1CD" w14:textId="77777777" w:rsidR="005218C2" w:rsidRPr="002A7673" w:rsidRDefault="005218C2" w:rsidP="005218C2">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Antes de entrar al detalle de lo solicitado, se presenta un resumen de los movimientos que tuvo este presupuesto para el 2021, que incluye rebajos aplicados a nivel del Ministerio de Hacienda y de la Asamblea Legislativa.</w:t>
      </w:r>
    </w:p>
    <w:p w14:paraId="4D61F25B" w14:textId="77777777" w:rsidR="005218C2" w:rsidRPr="002A7673" w:rsidRDefault="005218C2" w:rsidP="005218C2">
      <w:pPr>
        <w:spacing w:after="0" w:line="480" w:lineRule="auto"/>
        <w:rPr>
          <w:rFonts w:ascii="Times New Roman" w:hAnsi="Times New Roman" w:cs="Times New Roman"/>
        </w:rPr>
      </w:pPr>
      <w:r w:rsidRPr="002A7673">
        <w:rPr>
          <w:rFonts w:ascii="Times New Roman" w:hAnsi="Times New Roman" w:cs="Times New Roman"/>
          <w:noProof/>
        </w:rPr>
        <w:lastRenderedPageBreak/>
        <w:drawing>
          <wp:inline distT="0" distB="0" distL="0" distR="0" wp14:anchorId="2D5750CB" wp14:editId="09C33F7C">
            <wp:extent cx="5759450" cy="286512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9450" cy="2865120"/>
                    </a:xfrm>
                    <a:prstGeom prst="rect">
                      <a:avLst/>
                    </a:prstGeom>
                    <a:noFill/>
                    <a:ln>
                      <a:noFill/>
                    </a:ln>
                  </pic:spPr>
                </pic:pic>
              </a:graphicData>
            </a:graphic>
          </wp:inline>
        </w:drawing>
      </w:r>
    </w:p>
    <w:p w14:paraId="419B5F55" w14:textId="77777777" w:rsidR="005218C2" w:rsidRPr="002A7673" w:rsidRDefault="005218C2" w:rsidP="005218C2">
      <w:pPr>
        <w:spacing w:after="0" w:line="480" w:lineRule="auto"/>
        <w:rPr>
          <w:rFonts w:ascii="Times New Roman" w:hAnsi="Times New Roman" w:cs="Times New Roman"/>
        </w:rPr>
      </w:pPr>
    </w:p>
    <w:p w14:paraId="00A5044B" w14:textId="77777777" w:rsidR="005218C2" w:rsidRPr="002A7673" w:rsidRDefault="005218C2" w:rsidP="005218C2">
      <w:pPr>
        <w:spacing w:after="0" w:line="480" w:lineRule="auto"/>
        <w:rPr>
          <w:rFonts w:ascii="Times New Roman" w:hAnsi="Times New Roman" w:cs="Times New Roman"/>
        </w:rPr>
      </w:pPr>
    </w:p>
    <w:p w14:paraId="55A25E80"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Como aspectos relevantes y según se extraen del oficio, se tienen los siguientes:</w:t>
      </w:r>
    </w:p>
    <w:p w14:paraId="5110499D"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p>
    <w:p w14:paraId="78E4EDAA" w14:textId="77777777" w:rsidR="005218C2" w:rsidRPr="002A7673" w:rsidRDefault="005218C2" w:rsidP="00FF3FAC">
      <w:pPr>
        <w:numPr>
          <w:ilvl w:val="0"/>
          <w:numId w:val="45"/>
        </w:num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r w:rsidRPr="002A7673">
        <w:rPr>
          <w:rFonts w:ascii="Times New Roman" w:eastAsia="Times New Roman" w:hAnsi="Times New Roman" w:cs="Times New Roman"/>
          <w:sz w:val="26"/>
          <w:szCs w:val="26"/>
          <w:u w:color="000000"/>
          <w:shd w:val="clear" w:color="auto" w:fill="FFFFFF"/>
          <w:lang w:val="es-ES" w:eastAsia="es-ES"/>
        </w:rPr>
        <w:t>S</w:t>
      </w:r>
      <w:r w:rsidRPr="002A7673">
        <w:rPr>
          <w:rFonts w:ascii="Times New Roman" w:eastAsia="Times New Roman" w:hAnsi="Times New Roman" w:cs="Times New Roman"/>
          <w:sz w:val="26"/>
          <w:szCs w:val="26"/>
          <w:u w:color="000000"/>
          <w:shd w:val="clear" w:color="auto" w:fill="FFFFFF"/>
          <w:lang w:eastAsia="es-ES"/>
        </w:rPr>
        <w:t xml:space="preserve">e procedió a aplicar lo establecido en el inciso “b” de la directriz N°81, que señala: “… </w:t>
      </w:r>
      <w:r w:rsidRPr="002A7673">
        <w:rPr>
          <w:rFonts w:ascii="Times New Roman" w:eastAsia="Times New Roman" w:hAnsi="Times New Roman" w:cs="Times New Roman"/>
          <w:i/>
          <w:iCs/>
          <w:sz w:val="26"/>
          <w:szCs w:val="26"/>
          <w:u w:color="000000"/>
          <w:shd w:val="clear" w:color="auto" w:fill="FFFFFF"/>
          <w:lang w:val="es-ES" w:eastAsia="es-ES"/>
        </w:rPr>
        <w:t xml:space="preserve">todas las ayudas económicas formuladas por concepto de beca deberán realizarse en la subpartida 60201 (Becas a funcionarios), y no deberán incluirse recursos en la subpartida 10701 (Actividades de Capacitación)”.  </w:t>
      </w:r>
      <w:r w:rsidRPr="002A7673">
        <w:rPr>
          <w:rFonts w:ascii="Times New Roman" w:eastAsia="Times New Roman" w:hAnsi="Times New Roman" w:cs="Times New Roman"/>
          <w:sz w:val="26"/>
          <w:szCs w:val="26"/>
          <w:u w:color="000000"/>
          <w:shd w:val="clear" w:color="auto" w:fill="FFFFFF"/>
          <w:lang w:val="es-ES" w:eastAsia="es-ES"/>
        </w:rPr>
        <w:t>Al respecto se justifica, que el ajuste se realiza en razón de que los recursos de la subpartida 10701 (Actividades de capacitación) podrían utilizarse en actividades de becas o no, por la naturaleza de la subpartida, lo que para las oficinas donde se incluyen los recursos ha generado confusión en años anteriores, sobre el uso de los recursos y el tipo de actividades que se pueden abordar; además, que la Subpartida 60201 (Becas a funcionarios) es amplia en su uso y permite que desde esta se brinden las ayudas económicas que el Poder Judicial considere brindar.</w:t>
      </w:r>
    </w:p>
    <w:p w14:paraId="017E869A"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p>
    <w:p w14:paraId="6DFE6E86" w14:textId="77777777" w:rsidR="005218C2" w:rsidRPr="002A7673" w:rsidRDefault="005218C2" w:rsidP="00FF3FAC">
      <w:pPr>
        <w:numPr>
          <w:ilvl w:val="0"/>
          <w:numId w:val="45"/>
        </w:num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r w:rsidRPr="002A7673">
        <w:rPr>
          <w:rFonts w:ascii="Times New Roman" w:eastAsia="Times New Roman" w:hAnsi="Times New Roman" w:cs="Times New Roman"/>
          <w:sz w:val="26"/>
          <w:szCs w:val="26"/>
          <w:u w:color="000000"/>
          <w:shd w:val="clear" w:color="auto" w:fill="FFFFFF"/>
          <w:lang w:val="es-ES" w:eastAsia="es-ES"/>
        </w:rPr>
        <w:t xml:space="preserve">Dado que todos los años los recursos que se incluyen en la subpartida 00105 “Suplencias” no son exclusivos para becas, a partir del 2022 en este informe solamente se presentan los permisos exclusivos para becas y que atienden las necesidades de capacitación de la población judicial y por </w:t>
      </w:r>
      <w:r w:rsidRPr="002A7673">
        <w:rPr>
          <w:rFonts w:ascii="Times New Roman" w:eastAsia="Times New Roman" w:hAnsi="Times New Roman" w:cs="Times New Roman"/>
          <w:sz w:val="26"/>
          <w:szCs w:val="26"/>
          <w:u w:color="000000"/>
          <w:shd w:val="clear" w:color="auto" w:fill="FFFFFF"/>
          <w:lang w:val="es-ES" w:eastAsia="es-ES"/>
        </w:rPr>
        <w:lastRenderedPageBreak/>
        <w:t>tanto se excluye lo correspondiente a los especialistas en contenido. Como complemento de este tema, mediante oficio PJ-DGH-CAP-089-2021, el Subproceso de Gestión de la Capacitación comunicó a la Dirección de Gestión Humana, las proyecciones realizadas tanto por ese Subproceso, como también por parte de la Escuela Judicial y las Unidades de Capacitación respecto de los recursos requeridos en 2022 para los Especialistas en Contenido, lo anterior para que sea considerado a la hora de realizar las estimaciones generales a nivel institucional de la subpartida 00105.</w:t>
      </w:r>
    </w:p>
    <w:p w14:paraId="54E30DCE"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lang w:val="es-ES" w:eastAsia="es-ES"/>
        </w:rPr>
      </w:pPr>
    </w:p>
    <w:p w14:paraId="25957845" w14:textId="77777777" w:rsidR="005218C2" w:rsidRPr="002A7673" w:rsidRDefault="005218C2" w:rsidP="00FF3FAC">
      <w:pPr>
        <w:numPr>
          <w:ilvl w:val="0"/>
          <w:numId w:val="45"/>
        </w:num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r w:rsidRPr="002A7673">
        <w:rPr>
          <w:rFonts w:ascii="Times New Roman" w:eastAsia="Times New Roman" w:hAnsi="Times New Roman" w:cs="Times New Roman"/>
          <w:sz w:val="26"/>
          <w:szCs w:val="26"/>
          <w:u w:color="000000"/>
          <w:shd w:val="clear" w:color="auto" w:fill="FFFFFF"/>
          <w:lang w:val="es-ES" w:eastAsia="es-ES"/>
        </w:rPr>
        <w:t>Según lo establecido en el Decreto N°41779 “Reglamento de la Ley del Impuesto sobre el Valor Agregado”, específicamente en el Capítulo 4, Artículo 23, Inciso 2c, para los postgrados nacionales que se incluyan finalmente dentro del presupuesto proyectado, no se debe cancelar el Impuesto sobre el Valor Agregado (IVA), a excepción de las actividades formativas impartidas por las siguientes instituciones, ya que las mismas no se encuentran exentas de este impuesto:</w:t>
      </w:r>
    </w:p>
    <w:p w14:paraId="7233C023" w14:textId="77777777" w:rsidR="005218C2" w:rsidRPr="002A7673" w:rsidRDefault="005218C2" w:rsidP="00FF3FAC">
      <w:pPr>
        <w:numPr>
          <w:ilvl w:val="0"/>
          <w:numId w:val="46"/>
        </w:numPr>
        <w:shd w:val="clear" w:color="auto" w:fill="FFFFFF"/>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El Instituto Tecnológico de Costa Rica (TEC) debido a que estas son administradas por FUNDATEC.</w:t>
      </w:r>
    </w:p>
    <w:p w14:paraId="465EED16" w14:textId="77777777" w:rsidR="005218C2" w:rsidRPr="002A7673" w:rsidRDefault="005218C2" w:rsidP="00FF3FAC">
      <w:pPr>
        <w:numPr>
          <w:ilvl w:val="0"/>
          <w:numId w:val="46"/>
        </w:numPr>
        <w:shd w:val="clear" w:color="auto" w:fill="FFFFFF"/>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El Instituto Centroamericano de la Administración Pública.</w:t>
      </w:r>
    </w:p>
    <w:p w14:paraId="42BA2DE6" w14:textId="77777777" w:rsidR="005218C2" w:rsidRPr="002A7673" w:rsidRDefault="005218C2" w:rsidP="00FF3FAC">
      <w:pPr>
        <w:numPr>
          <w:ilvl w:val="0"/>
          <w:numId w:val="46"/>
        </w:numPr>
        <w:shd w:val="clear" w:color="auto" w:fill="FFFFFF"/>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La Universidad Latina de Costa Rica. </w:t>
      </w:r>
    </w:p>
    <w:p w14:paraId="7B7FA046"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p>
    <w:p w14:paraId="6A34A7D2" w14:textId="77777777" w:rsidR="005218C2" w:rsidRPr="002A7673" w:rsidRDefault="005218C2" w:rsidP="00FF3FAC">
      <w:pPr>
        <w:numPr>
          <w:ilvl w:val="0"/>
          <w:numId w:val="45"/>
        </w:num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r w:rsidRPr="002A7673">
        <w:rPr>
          <w:rFonts w:ascii="Times New Roman" w:eastAsia="Times New Roman" w:hAnsi="Times New Roman" w:cs="Times New Roman"/>
          <w:sz w:val="26"/>
          <w:szCs w:val="26"/>
          <w:u w:color="000000"/>
          <w:shd w:val="clear" w:color="auto" w:fill="FFFFFF"/>
          <w:lang w:val="es-ES" w:eastAsia="es-ES"/>
        </w:rPr>
        <w:t xml:space="preserve">En el tema de becas (subpartida 60201), para el 2021 y como parte de los ajustes realizados al presupuesto vía moción en la Asamblea Legislativa, al Programa Administrativo (926) se le eliminaron la totalidad de los recursos que tenía presupuestados, por lo que para aclarar el panorama de este Programa con miras al 2022, la Dirección de Gestión Humana, mediante oficios </w:t>
      </w:r>
      <w:r w:rsidRPr="002A7673">
        <w:rPr>
          <w:rFonts w:ascii="Times New Roman" w:eastAsia="Times New Roman" w:hAnsi="Times New Roman" w:cs="Times New Roman"/>
          <w:color w:val="000000"/>
          <w:sz w:val="26"/>
          <w:szCs w:val="26"/>
          <w:u w:color="000000"/>
          <w:shd w:val="clear" w:color="auto" w:fill="FFFFFF"/>
          <w:lang w:eastAsia="es-ES"/>
        </w:rPr>
        <w:t>PJ-DGH-CAP-084-2021 y PJ-DGH-CAP-150-2021, solicitan elevar para valoración del Consejo Superior, varias propuestas para poder formular recursos en este Programa Presupuestario, las que se detallan más adelante.</w:t>
      </w:r>
      <w:r w:rsidRPr="002A7673">
        <w:rPr>
          <w:rFonts w:ascii="Times New Roman" w:eastAsia="Times New Roman" w:hAnsi="Times New Roman" w:cs="Times New Roman"/>
          <w:sz w:val="26"/>
          <w:szCs w:val="26"/>
          <w:u w:color="000000"/>
          <w:shd w:val="clear" w:color="auto" w:fill="FFFFFF"/>
          <w:lang w:val="es-ES" w:eastAsia="es-ES"/>
        </w:rPr>
        <w:t xml:space="preserve">  Como complemento, cabe señalar que mediante modificación externa 3-2021 se reforzó esta subpartida en este Programa por un total de ¢3.990.000.</w:t>
      </w:r>
    </w:p>
    <w:p w14:paraId="01171004"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lang w:val="es-ES" w:eastAsia="es-ES"/>
        </w:rPr>
      </w:pPr>
    </w:p>
    <w:p w14:paraId="6CCE0C11"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Se indica en el oficio, que la formulación presupuestaria de cada Programa se orientó a partir de los resultados obtenidos de los distintos diagnósticos de necesidades de capacitación. La formulación del Programa Administrativo la realiza directamente la Dirección de Gestión Humana y en el resto de los Programas seguidamente se indican las personas que remitieron las necesidades. </w:t>
      </w:r>
    </w:p>
    <w:p w14:paraId="37B1E53C"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p>
    <w:p w14:paraId="3EB3F3F5" w14:textId="77777777" w:rsidR="005218C2" w:rsidRPr="002A7673" w:rsidRDefault="005218C2" w:rsidP="00FF3FAC">
      <w:pPr>
        <w:numPr>
          <w:ilvl w:val="0"/>
          <w:numId w:val="43"/>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Programa Jurisdiccional: Licda. Eimy Solano Castro, Coordinadora de Unidad en la Administración de la Escuela Judicial.</w:t>
      </w:r>
    </w:p>
    <w:p w14:paraId="18A2CA95" w14:textId="77777777" w:rsidR="005218C2" w:rsidRPr="002A7673" w:rsidRDefault="005218C2" w:rsidP="00FF3FAC">
      <w:pPr>
        <w:numPr>
          <w:ilvl w:val="0"/>
          <w:numId w:val="43"/>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Organismo de Investigación Judicial: Máster Karla Alpízar Mora, Especialista en Educación de la Unidad de Capacitación.</w:t>
      </w:r>
    </w:p>
    <w:p w14:paraId="38428208" w14:textId="77777777" w:rsidR="005218C2" w:rsidRPr="002A7673" w:rsidRDefault="005218C2" w:rsidP="00FF3FAC">
      <w:pPr>
        <w:numPr>
          <w:ilvl w:val="0"/>
          <w:numId w:val="43"/>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Ministerio Público: Máster Hulda Chinchilla Rizo, Abogada de la Unidad de Capacitación y Supervisión – Reclutamiento y Selección.</w:t>
      </w:r>
    </w:p>
    <w:p w14:paraId="6A8346D1" w14:textId="77777777" w:rsidR="005218C2" w:rsidRPr="002A7673" w:rsidRDefault="005218C2" w:rsidP="00FF3FAC">
      <w:pPr>
        <w:numPr>
          <w:ilvl w:val="0"/>
          <w:numId w:val="43"/>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Defensa Pública: Licda. Damaris Cruz Obregón, Encargada de la Unidad de Gestión del Conocimiento.</w:t>
      </w:r>
    </w:p>
    <w:p w14:paraId="4940BEEE" w14:textId="77777777" w:rsidR="005218C2" w:rsidRPr="002A7673" w:rsidRDefault="005218C2" w:rsidP="00FF3FAC">
      <w:pPr>
        <w:numPr>
          <w:ilvl w:val="0"/>
          <w:numId w:val="43"/>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Servicio de Atención y Protección de Víctimas y Testigos: </w:t>
      </w:r>
      <w:r w:rsidRPr="002A7673">
        <w:rPr>
          <w:rFonts w:ascii="Times New Roman" w:eastAsia="Times New Roman" w:hAnsi="Times New Roman" w:cs="Times New Roman"/>
          <w:bCs/>
          <w:sz w:val="26"/>
          <w:szCs w:val="26"/>
          <w:lang w:val="es-ES" w:eastAsia="es-ES"/>
        </w:rPr>
        <w:t xml:space="preserve">Licda. </w:t>
      </w:r>
      <w:proofErr w:type="spellStart"/>
      <w:r w:rsidRPr="002A7673">
        <w:rPr>
          <w:rFonts w:ascii="Times New Roman" w:eastAsia="Times New Roman" w:hAnsi="Times New Roman" w:cs="Times New Roman"/>
          <w:bCs/>
          <w:sz w:val="26"/>
          <w:szCs w:val="26"/>
          <w:lang w:val="es-ES" w:eastAsia="es-ES"/>
        </w:rPr>
        <w:t>Yaclínn</w:t>
      </w:r>
      <w:proofErr w:type="spellEnd"/>
      <w:r w:rsidRPr="002A7673">
        <w:rPr>
          <w:rFonts w:ascii="Times New Roman" w:eastAsia="Times New Roman" w:hAnsi="Times New Roman" w:cs="Times New Roman"/>
          <w:bCs/>
          <w:sz w:val="26"/>
          <w:szCs w:val="26"/>
          <w:lang w:val="es-ES" w:eastAsia="es-ES"/>
        </w:rPr>
        <w:t xml:space="preserve"> Quesada Fallas, Profesional 1 de la Oficina de Atención a la Víctima de Delitos.</w:t>
      </w:r>
    </w:p>
    <w:p w14:paraId="53E985BA"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highlight w:val="yellow"/>
        </w:rPr>
      </w:pPr>
    </w:p>
    <w:p w14:paraId="40BC2589"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highlight w:val="yellow"/>
        </w:rPr>
      </w:pPr>
    </w:p>
    <w:p w14:paraId="0CF8C101"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Seguidamente se adjuntan los oficios remitidos por la Dirección de Gestión Humana:</w:t>
      </w:r>
    </w:p>
    <w:p w14:paraId="3E10FABC"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lang w:val="es-ES" w:eastAsia="es-ES"/>
        </w:rPr>
      </w:pPr>
    </w:p>
    <w:bookmarkStart w:id="21" w:name="_MON_1677478724"/>
    <w:bookmarkEnd w:id="21"/>
    <w:p w14:paraId="2C6FE10E" w14:textId="77777777" w:rsidR="005218C2" w:rsidRPr="002A7673" w:rsidRDefault="005218C2" w:rsidP="005218C2">
      <w:pPr>
        <w:spacing w:after="0" w:line="480" w:lineRule="auto"/>
        <w:ind w:left="720"/>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4"/>
          <w:szCs w:val="24"/>
          <w:lang w:val="es-ES" w:eastAsia="es-ES"/>
        </w:rPr>
        <w:object w:dxaOrig="1508" w:dyaOrig="983" w14:anchorId="3F8CE9A0">
          <v:shape id="_x0000_i1030" type="#_x0000_t75" style="width:78.5pt;height:50pt" o:ole="">
            <v:imagedata r:id="rId67" o:title=""/>
          </v:shape>
          <o:OLEObject Type="Embed" ProgID="Word.Document.12" ShapeID="_x0000_i1030" DrawAspect="Icon" ObjectID="_1684066973" r:id="rId68">
            <o:FieldCodes>\s</o:FieldCodes>
          </o:OLEObject>
        </w:object>
      </w:r>
      <w:bookmarkStart w:id="22" w:name="_MON_1677478758"/>
      <w:bookmarkEnd w:id="22"/>
      <w:r w:rsidRPr="002A7673">
        <w:rPr>
          <w:rFonts w:ascii="Times New Roman" w:eastAsia="Times New Roman" w:hAnsi="Times New Roman" w:cs="Times New Roman"/>
          <w:sz w:val="24"/>
          <w:szCs w:val="24"/>
          <w:lang w:val="es-ES" w:eastAsia="es-ES"/>
        </w:rPr>
        <w:object w:dxaOrig="1508" w:dyaOrig="983" w14:anchorId="1BEB83AE">
          <v:shape id="_x0000_i1031" type="#_x0000_t75" style="width:78.5pt;height:50pt" o:ole="">
            <v:imagedata r:id="rId69" o:title=""/>
          </v:shape>
          <o:OLEObject Type="Embed" ProgID="Word.Document.12" ShapeID="_x0000_i1031" DrawAspect="Icon" ObjectID="_1684066974" r:id="rId70">
            <o:FieldCodes>\s</o:FieldCodes>
          </o:OLEObject>
        </w:object>
      </w:r>
      <w:bookmarkStart w:id="23" w:name="_MON_1677478781"/>
      <w:bookmarkEnd w:id="23"/>
      <w:r w:rsidRPr="002A7673">
        <w:rPr>
          <w:rFonts w:ascii="Times New Roman" w:eastAsia="Times New Roman" w:hAnsi="Times New Roman" w:cs="Times New Roman"/>
          <w:sz w:val="24"/>
          <w:szCs w:val="24"/>
          <w:lang w:val="es-ES" w:eastAsia="es-ES"/>
        </w:rPr>
        <w:object w:dxaOrig="1508" w:dyaOrig="983" w14:anchorId="35277AE9">
          <v:shape id="_x0000_i1032" type="#_x0000_t75" style="width:78.5pt;height:50pt" o:ole="">
            <v:imagedata r:id="rId71" o:title=""/>
          </v:shape>
          <o:OLEObject Type="Embed" ProgID="Word.Document.12" ShapeID="_x0000_i1032" DrawAspect="Icon" ObjectID="_1684066975" r:id="rId72">
            <o:FieldCodes>\s</o:FieldCodes>
          </o:OLEObject>
        </w:object>
      </w:r>
    </w:p>
    <w:p w14:paraId="5B1998FF" w14:textId="77777777" w:rsidR="005218C2" w:rsidRPr="002A7673" w:rsidRDefault="005218C2" w:rsidP="00FF3FAC">
      <w:pPr>
        <w:numPr>
          <w:ilvl w:val="0"/>
          <w:numId w:val="51"/>
        </w:numPr>
        <w:spacing w:after="0" w:line="240" w:lineRule="auto"/>
        <w:ind w:left="851" w:right="851" w:firstLine="709"/>
        <w:contextualSpacing/>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 xml:space="preserve">Aspectos Relevantes </w:t>
      </w:r>
    </w:p>
    <w:p w14:paraId="000F5059"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 continuación, se presenta el análisis y los aspectos más relevantes de cada uno de los rubros, pero antes de ello se muestra una tabla comparativa de los rubros aprobados para 2021 y los solicitados para 2022.</w:t>
      </w:r>
    </w:p>
    <w:p w14:paraId="668A1469" w14:textId="77777777" w:rsidR="005218C2" w:rsidRPr="002A7673" w:rsidRDefault="005218C2" w:rsidP="005218C2">
      <w:pPr>
        <w:spacing w:after="0" w:line="360" w:lineRule="auto"/>
        <w:ind w:firstLine="709"/>
        <w:rPr>
          <w:rFonts w:ascii="Times New Roman" w:hAnsi="Times New Roman" w:cs="Times New Roman"/>
          <w:highlight w:val="yellow"/>
        </w:rPr>
      </w:pPr>
    </w:p>
    <w:p w14:paraId="5A3DF52F" w14:textId="77777777" w:rsidR="005218C2" w:rsidRPr="002A7673" w:rsidRDefault="005218C2" w:rsidP="005218C2">
      <w:pPr>
        <w:spacing w:after="0" w:line="360" w:lineRule="auto"/>
        <w:rPr>
          <w:rFonts w:ascii="Times New Roman" w:hAnsi="Times New Roman" w:cs="Times New Roman"/>
          <w:highlight w:val="yellow"/>
        </w:rPr>
      </w:pPr>
      <w:r w:rsidRPr="002A7673">
        <w:rPr>
          <w:rFonts w:ascii="Times New Roman" w:hAnsi="Times New Roman" w:cs="Times New Roman"/>
          <w:noProof/>
        </w:rPr>
        <w:drawing>
          <wp:inline distT="0" distB="0" distL="0" distR="0" wp14:anchorId="22673351" wp14:editId="6C2877E6">
            <wp:extent cx="5759450" cy="1457960"/>
            <wp:effectExtent l="0" t="0" r="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9450" cy="1457960"/>
                    </a:xfrm>
                    <a:prstGeom prst="rect">
                      <a:avLst/>
                    </a:prstGeom>
                    <a:noFill/>
                    <a:ln>
                      <a:noFill/>
                    </a:ln>
                  </pic:spPr>
                </pic:pic>
              </a:graphicData>
            </a:graphic>
          </wp:inline>
        </w:drawing>
      </w:r>
    </w:p>
    <w:p w14:paraId="15F3E8EA" w14:textId="77777777" w:rsidR="005218C2" w:rsidRPr="002A7673" w:rsidRDefault="005218C2" w:rsidP="005218C2">
      <w:pPr>
        <w:spacing w:after="0" w:line="240" w:lineRule="auto"/>
        <w:ind w:left="851" w:right="851" w:firstLine="709"/>
        <w:rPr>
          <w:rFonts w:ascii="Times New Roman" w:hAnsi="Times New Roman" w:cs="Times New Roman"/>
          <w:b/>
          <w:bCs/>
          <w:sz w:val="26"/>
          <w:szCs w:val="26"/>
        </w:rPr>
      </w:pPr>
      <w:r w:rsidRPr="002A7673">
        <w:rPr>
          <w:rFonts w:ascii="Times New Roman" w:hAnsi="Times New Roman" w:cs="Times New Roman"/>
          <w:b/>
          <w:bCs/>
          <w:sz w:val="26"/>
          <w:szCs w:val="26"/>
        </w:rPr>
        <w:t>Nota: En 2021 para especialistas en contenido se aprobaron un total de 14 permisos con un costo total de ¢582.865.099. Según consulta realizada a la Dirección de Gestión Humana, para el 2022 se prevén la misma cantidad de permisos, en este caso con un costo de ¢579.851.457.</w:t>
      </w:r>
    </w:p>
    <w:p w14:paraId="493B0E82" w14:textId="77777777" w:rsidR="005218C2" w:rsidRPr="002A7673" w:rsidRDefault="005218C2" w:rsidP="005218C2">
      <w:pPr>
        <w:spacing w:after="0" w:line="360" w:lineRule="auto"/>
        <w:rPr>
          <w:rFonts w:ascii="Times New Roman" w:hAnsi="Times New Roman" w:cs="Times New Roman"/>
        </w:rPr>
      </w:pPr>
    </w:p>
    <w:p w14:paraId="79A85F39" w14:textId="77777777" w:rsidR="005218C2" w:rsidRPr="002A7673" w:rsidRDefault="005218C2" w:rsidP="005218C2">
      <w:pPr>
        <w:spacing w:after="0" w:line="360" w:lineRule="auto"/>
        <w:jc w:val="center"/>
        <w:rPr>
          <w:rFonts w:ascii="Times New Roman" w:hAnsi="Times New Roman" w:cs="Times New Roman"/>
        </w:rPr>
      </w:pPr>
      <w:r w:rsidRPr="002A7673">
        <w:rPr>
          <w:rFonts w:ascii="Times New Roman" w:hAnsi="Times New Roman" w:cs="Times New Roman"/>
        </w:rPr>
        <w:object w:dxaOrig="1508" w:dyaOrig="984" w14:anchorId="46A3082C">
          <v:shape id="_x0000_i1033" type="#_x0000_t75" style="width:78.5pt;height:50pt" o:ole="">
            <v:imagedata r:id="rId74" o:title=""/>
          </v:shape>
          <o:OLEObject Type="Embed" ProgID="Excel.Sheet.12" ShapeID="_x0000_i1033" DrawAspect="Icon" ObjectID="_1684066976" r:id="rId75"/>
        </w:object>
      </w:r>
    </w:p>
    <w:p w14:paraId="4B5A1148" w14:textId="77777777" w:rsidR="005218C2" w:rsidRPr="002A7673" w:rsidRDefault="005218C2" w:rsidP="005218C2">
      <w:pPr>
        <w:spacing w:after="0" w:line="360" w:lineRule="auto"/>
        <w:rPr>
          <w:rFonts w:ascii="Times New Roman" w:hAnsi="Times New Roman" w:cs="Times New Roman"/>
          <w:highlight w:val="yellow"/>
        </w:rPr>
      </w:pPr>
    </w:p>
    <w:p w14:paraId="5955CF7F" w14:textId="77777777" w:rsidR="005218C2" w:rsidRPr="002A7673" w:rsidRDefault="005218C2" w:rsidP="005218C2">
      <w:pPr>
        <w:spacing w:after="0" w:line="240" w:lineRule="auto"/>
        <w:ind w:left="851" w:right="851" w:firstLine="709"/>
        <w:rPr>
          <w:rFonts w:ascii="Times New Roman" w:hAnsi="Times New Roman" w:cs="Times New Roman"/>
          <w:b/>
          <w:bCs/>
          <w:sz w:val="26"/>
          <w:szCs w:val="26"/>
        </w:rPr>
      </w:pPr>
      <w:r w:rsidRPr="002A7673">
        <w:rPr>
          <w:rFonts w:ascii="Times New Roman" w:hAnsi="Times New Roman" w:cs="Times New Roman"/>
          <w:b/>
          <w:bCs/>
          <w:sz w:val="26"/>
          <w:szCs w:val="26"/>
        </w:rPr>
        <w:t>A. Requerimientos para Permisos con Goce de Salario para Sustitución del Personal Judicial Becado.</w:t>
      </w:r>
    </w:p>
    <w:p w14:paraId="4C061AE5" w14:textId="77777777" w:rsidR="005218C2" w:rsidRPr="002A7673" w:rsidRDefault="005218C2" w:rsidP="005218C2">
      <w:pPr>
        <w:spacing w:after="0" w:line="240" w:lineRule="auto"/>
        <w:ind w:left="851" w:right="851" w:firstLine="709"/>
        <w:rPr>
          <w:rFonts w:ascii="Times New Roman" w:hAnsi="Times New Roman" w:cs="Times New Roman"/>
          <w:b/>
          <w:bCs/>
          <w:sz w:val="26"/>
          <w:szCs w:val="26"/>
          <w:highlight w:val="yellow"/>
        </w:rPr>
      </w:pPr>
    </w:p>
    <w:p w14:paraId="2142A247" w14:textId="77777777" w:rsidR="005218C2" w:rsidRPr="002A7673" w:rsidRDefault="005218C2" w:rsidP="00FF3FAC">
      <w:pPr>
        <w:numPr>
          <w:ilvl w:val="0"/>
          <w:numId w:val="42"/>
        </w:numPr>
        <w:spacing w:after="0" w:line="240" w:lineRule="auto"/>
        <w:ind w:left="851" w:right="851" w:firstLine="709"/>
        <w:jc w:val="both"/>
        <w:rPr>
          <w:rFonts w:ascii="Times New Roman" w:hAnsi="Times New Roman" w:cs="Times New Roman"/>
          <w:bCs/>
          <w:sz w:val="26"/>
          <w:szCs w:val="26"/>
        </w:rPr>
      </w:pPr>
      <w:r w:rsidRPr="002A7673">
        <w:rPr>
          <w:rFonts w:ascii="Times New Roman" w:hAnsi="Times New Roman" w:cs="Times New Roman"/>
          <w:bCs/>
          <w:sz w:val="26"/>
          <w:szCs w:val="26"/>
        </w:rPr>
        <w:t>Para el 2021 se aprobaron un total de ¢680.498.818, incluyendo dentro de este monto los permisos para los Especialistas en Contenido. Excluyendo estos últimos, el presupuesto final fue de ¢109.291.021 y si a este rubro se le rebaja el 4% aprobado por Corte Plena para el establecimiento de los límites máximos a formular, quedaría un monto neto de ¢104.919.380. Para el 2022 solamente se están solicitando ¢75.830.296 en el Programa 927 “Servicio Jurisdiccional”, lo que representa un decrecimiento del 30,6% respecto al aprobado para el 2021.</w:t>
      </w:r>
    </w:p>
    <w:p w14:paraId="14584487" w14:textId="77777777" w:rsidR="005218C2" w:rsidRPr="002A7673" w:rsidRDefault="005218C2" w:rsidP="005218C2">
      <w:pPr>
        <w:spacing w:after="0" w:line="240" w:lineRule="auto"/>
        <w:ind w:left="851" w:right="851" w:firstLine="709"/>
        <w:rPr>
          <w:rFonts w:ascii="Times New Roman" w:hAnsi="Times New Roman" w:cs="Times New Roman"/>
          <w:bCs/>
          <w:sz w:val="26"/>
          <w:szCs w:val="26"/>
          <w:highlight w:val="yellow"/>
        </w:rPr>
      </w:pPr>
    </w:p>
    <w:p w14:paraId="1949B481" w14:textId="77777777" w:rsidR="005218C2" w:rsidRPr="002A7673" w:rsidRDefault="005218C2" w:rsidP="005218C2">
      <w:pPr>
        <w:spacing w:after="0" w:line="240" w:lineRule="auto"/>
        <w:ind w:left="851" w:right="851" w:firstLine="709"/>
        <w:rPr>
          <w:rFonts w:ascii="Times New Roman" w:hAnsi="Times New Roman" w:cs="Times New Roman"/>
          <w:bCs/>
          <w:sz w:val="26"/>
          <w:szCs w:val="26"/>
        </w:rPr>
      </w:pPr>
      <w:r w:rsidRPr="002A7673">
        <w:rPr>
          <w:rFonts w:ascii="Times New Roman" w:hAnsi="Times New Roman" w:cs="Times New Roman"/>
          <w:bCs/>
          <w:sz w:val="26"/>
          <w:szCs w:val="26"/>
        </w:rPr>
        <w:t>Seguidamente se presenta el detalle de lo solicitado para el Programa Jurisdiccional. Como puede observarse se trata de 9 Permisos, para un total de 22,5 meses.</w:t>
      </w:r>
    </w:p>
    <w:p w14:paraId="3B9E7AF3" w14:textId="77777777" w:rsidR="005218C2" w:rsidRPr="002A7673" w:rsidRDefault="005218C2" w:rsidP="005218C2">
      <w:pPr>
        <w:spacing w:after="0" w:line="360" w:lineRule="auto"/>
        <w:ind w:left="708"/>
        <w:rPr>
          <w:rFonts w:ascii="Times New Roman" w:hAnsi="Times New Roman" w:cs="Times New Roman"/>
          <w:bCs/>
        </w:rPr>
      </w:pPr>
    </w:p>
    <w:tbl>
      <w:tblPr>
        <w:tblW w:w="5878"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05"/>
        <w:gridCol w:w="1844"/>
        <w:gridCol w:w="1065"/>
        <w:gridCol w:w="1029"/>
        <w:gridCol w:w="1349"/>
        <w:gridCol w:w="1349"/>
        <w:gridCol w:w="1555"/>
        <w:gridCol w:w="1558"/>
      </w:tblGrid>
      <w:tr w:rsidR="005218C2" w:rsidRPr="002A7673" w14:paraId="22BF80DD" w14:textId="77777777" w:rsidTr="00F36B66">
        <w:trPr>
          <w:trHeight w:val="390"/>
        </w:trPr>
        <w:tc>
          <w:tcPr>
            <w:tcW w:w="5000" w:type="pct"/>
            <w:gridSpan w:val="8"/>
            <w:shd w:val="clear" w:color="C0C0C0" w:fill="D9D9D9"/>
            <w:noWrap/>
            <w:vAlign w:val="center"/>
            <w:hideMark/>
          </w:tcPr>
          <w:p w14:paraId="49DF9E0F"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PROGRAMA 927 -JURISDICCIONAL-</w:t>
            </w:r>
          </w:p>
        </w:tc>
      </w:tr>
      <w:tr w:rsidR="005218C2" w:rsidRPr="002A7673" w14:paraId="7C4F74C5" w14:textId="77777777" w:rsidTr="00F36B66">
        <w:trPr>
          <w:trHeight w:val="1020"/>
        </w:trPr>
        <w:tc>
          <w:tcPr>
            <w:tcW w:w="707" w:type="pct"/>
            <w:shd w:val="clear" w:color="C0C0C0" w:fill="D9D9D9"/>
            <w:noWrap/>
            <w:vAlign w:val="center"/>
            <w:hideMark/>
          </w:tcPr>
          <w:p w14:paraId="27BF68D7"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Actividad</w:t>
            </w:r>
          </w:p>
        </w:tc>
        <w:tc>
          <w:tcPr>
            <w:tcW w:w="812" w:type="pct"/>
            <w:shd w:val="clear" w:color="C0C0C0" w:fill="D9D9D9"/>
            <w:noWrap/>
            <w:vAlign w:val="center"/>
            <w:hideMark/>
          </w:tcPr>
          <w:p w14:paraId="7525CFAD"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Ente organizador</w:t>
            </w:r>
          </w:p>
        </w:tc>
        <w:tc>
          <w:tcPr>
            <w:tcW w:w="469" w:type="pct"/>
            <w:shd w:val="clear" w:color="C0C0C0" w:fill="D9D9D9"/>
            <w:vAlign w:val="center"/>
            <w:hideMark/>
          </w:tcPr>
          <w:p w14:paraId="469D1C4E"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Cantidad de Permisos</w:t>
            </w:r>
          </w:p>
        </w:tc>
        <w:tc>
          <w:tcPr>
            <w:tcW w:w="453" w:type="pct"/>
            <w:shd w:val="clear" w:color="C0C0C0" w:fill="D9D9D9"/>
            <w:vAlign w:val="center"/>
            <w:hideMark/>
          </w:tcPr>
          <w:p w14:paraId="1453AAF0"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Cantidad de meses</w:t>
            </w:r>
          </w:p>
        </w:tc>
        <w:tc>
          <w:tcPr>
            <w:tcW w:w="594" w:type="pct"/>
            <w:shd w:val="clear" w:color="C0C0C0" w:fill="D9D9D9"/>
            <w:vAlign w:val="center"/>
            <w:hideMark/>
          </w:tcPr>
          <w:p w14:paraId="68D1816B"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Salario base</w:t>
            </w:r>
          </w:p>
        </w:tc>
        <w:tc>
          <w:tcPr>
            <w:tcW w:w="594" w:type="pct"/>
            <w:shd w:val="clear" w:color="C0C0C0" w:fill="D9D9D9"/>
            <w:vAlign w:val="center"/>
            <w:hideMark/>
          </w:tcPr>
          <w:p w14:paraId="485EC39B"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Salario total mensual</w:t>
            </w:r>
          </w:p>
        </w:tc>
        <w:tc>
          <w:tcPr>
            <w:tcW w:w="685" w:type="pct"/>
            <w:shd w:val="clear" w:color="C0C0C0" w:fill="D9D9D9"/>
            <w:vAlign w:val="center"/>
            <w:hideMark/>
          </w:tcPr>
          <w:p w14:paraId="7682F410"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Monto aprobado para el año 2021</w:t>
            </w:r>
          </w:p>
        </w:tc>
        <w:tc>
          <w:tcPr>
            <w:tcW w:w="685" w:type="pct"/>
            <w:shd w:val="clear" w:color="C0C0C0" w:fill="D9D9D9"/>
            <w:vAlign w:val="center"/>
            <w:hideMark/>
          </w:tcPr>
          <w:p w14:paraId="18D9F317"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PROYECCIÓN 2022</w:t>
            </w:r>
          </w:p>
        </w:tc>
      </w:tr>
      <w:tr w:rsidR="005218C2" w:rsidRPr="002A7673" w14:paraId="1C6E9B13" w14:textId="77777777" w:rsidTr="00F36B66">
        <w:trPr>
          <w:trHeight w:val="1380"/>
        </w:trPr>
        <w:tc>
          <w:tcPr>
            <w:tcW w:w="707" w:type="pct"/>
            <w:shd w:val="clear" w:color="auto" w:fill="auto"/>
            <w:vAlign w:val="center"/>
            <w:hideMark/>
          </w:tcPr>
          <w:p w14:paraId="0F3FAB58" w14:textId="77777777" w:rsidR="005218C2" w:rsidRPr="002A7673" w:rsidRDefault="005218C2"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sz w:val="20"/>
                <w:szCs w:val="20"/>
                <w:lang w:eastAsia="es-CR"/>
              </w:rPr>
              <w:t>Máster en Argumentación Jurídica</w:t>
            </w:r>
          </w:p>
        </w:tc>
        <w:tc>
          <w:tcPr>
            <w:tcW w:w="812" w:type="pct"/>
            <w:shd w:val="clear" w:color="auto" w:fill="auto"/>
            <w:vAlign w:val="center"/>
            <w:hideMark/>
          </w:tcPr>
          <w:p w14:paraId="189D1986"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Universidad Alicante, España</w:t>
            </w:r>
          </w:p>
        </w:tc>
        <w:tc>
          <w:tcPr>
            <w:tcW w:w="469" w:type="pct"/>
            <w:shd w:val="clear" w:color="auto" w:fill="auto"/>
            <w:vAlign w:val="center"/>
            <w:hideMark/>
          </w:tcPr>
          <w:p w14:paraId="5DE8F941"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w:t>
            </w:r>
          </w:p>
        </w:tc>
        <w:tc>
          <w:tcPr>
            <w:tcW w:w="453" w:type="pct"/>
            <w:shd w:val="clear" w:color="auto" w:fill="auto"/>
            <w:noWrap/>
            <w:vAlign w:val="center"/>
            <w:hideMark/>
          </w:tcPr>
          <w:p w14:paraId="4DAF08B5"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1,50</w:t>
            </w:r>
          </w:p>
        </w:tc>
        <w:tc>
          <w:tcPr>
            <w:tcW w:w="594" w:type="pct"/>
            <w:shd w:val="clear" w:color="auto" w:fill="auto"/>
            <w:noWrap/>
            <w:vAlign w:val="center"/>
            <w:hideMark/>
          </w:tcPr>
          <w:p w14:paraId="4EEDD647"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1 296 900,00</w:t>
            </w:r>
          </w:p>
        </w:tc>
        <w:tc>
          <w:tcPr>
            <w:tcW w:w="594" w:type="pct"/>
            <w:shd w:val="clear" w:color="auto" w:fill="auto"/>
            <w:noWrap/>
            <w:vAlign w:val="center"/>
            <w:hideMark/>
          </w:tcPr>
          <w:p w14:paraId="1542496C"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c>
          <w:tcPr>
            <w:tcW w:w="685" w:type="pct"/>
            <w:shd w:val="clear" w:color="auto" w:fill="auto"/>
            <w:noWrap/>
            <w:vAlign w:val="center"/>
            <w:hideMark/>
          </w:tcPr>
          <w:p w14:paraId="2B076FBB"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5 099 450,49</w:t>
            </w:r>
          </w:p>
        </w:tc>
        <w:tc>
          <w:tcPr>
            <w:tcW w:w="685" w:type="pct"/>
            <w:shd w:val="clear" w:color="auto" w:fill="auto"/>
            <w:noWrap/>
            <w:vAlign w:val="center"/>
            <w:hideMark/>
          </w:tcPr>
          <w:p w14:paraId="575614F3"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5 055 353,04</w:t>
            </w:r>
          </w:p>
        </w:tc>
      </w:tr>
      <w:tr w:rsidR="005218C2" w:rsidRPr="002A7673" w14:paraId="3EEBAF9A" w14:textId="77777777" w:rsidTr="00F36B66">
        <w:trPr>
          <w:trHeight w:val="1380"/>
        </w:trPr>
        <w:tc>
          <w:tcPr>
            <w:tcW w:w="707" w:type="pct"/>
            <w:shd w:val="clear" w:color="auto" w:fill="auto"/>
            <w:vAlign w:val="center"/>
            <w:hideMark/>
          </w:tcPr>
          <w:p w14:paraId="5A3FF7D9" w14:textId="77777777" w:rsidR="005218C2" w:rsidRPr="002A7673" w:rsidRDefault="005218C2"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sz w:val="20"/>
                <w:szCs w:val="20"/>
                <w:lang w:eastAsia="es-CR"/>
              </w:rPr>
              <w:t>Cursos de Especialización en Derecho</w:t>
            </w:r>
          </w:p>
        </w:tc>
        <w:tc>
          <w:tcPr>
            <w:tcW w:w="812" w:type="pct"/>
            <w:shd w:val="clear" w:color="auto" w:fill="auto"/>
            <w:vAlign w:val="center"/>
            <w:hideMark/>
          </w:tcPr>
          <w:p w14:paraId="631438C4"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Universidad de Salamanca, España</w:t>
            </w:r>
          </w:p>
        </w:tc>
        <w:tc>
          <w:tcPr>
            <w:tcW w:w="469" w:type="pct"/>
            <w:shd w:val="clear" w:color="auto" w:fill="auto"/>
            <w:vAlign w:val="center"/>
            <w:hideMark/>
          </w:tcPr>
          <w:p w14:paraId="19D2977D"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w:t>
            </w:r>
          </w:p>
        </w:tc>
        <w:tc>
          <w:tcPr>
            <w:tcW w:w="453" w:type="pct"/>
            <w:shd w:val="clear" w:color="auto" w:fill="auto"/>
            <w:noWrap/>
            <w:vAlign w:val="center"/>
            <w:hideMark/>
          </w:tcPr>
          <w:p w14:paraId="3F0A598C"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0,50</w:t>
            </w:r>
          </w:p>
        </w:tc>
        <w:tc>
          <w:tcPr>
            <w:tcW w:w="594" w:type="pct"/>
            <w:shd w:val="clear" w:color="auto" w:fill="auto"/>
            <w:noWrap/>
            <w:vAlign w:val="center"/>
            <w:hideMark/>
          </w:tcPr>
          <w:p w14:paraId="0B1A201C"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1 296 900,00</w:t>
            </w:r>
          </w:p>
        </w:tc>
        <w:tc>
          <w:tcPr>
            <w:tcW w:w="594" w:type="pct"/>
            <w:shd w:val="clear" w:color="auto" w:fill="auto"/>
            <w:noWrap/>
            <w:vAlign w:val="center"/>
            <w:hideMark/>
          </w:tcPr>
          <w:p w14:paraId="044E9A42"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c>
          <w:tcPr>
            <w:tcW w:w="685" w:type="pct"/>
            <w:shd w:val="clear" w:color="auto" w:fill="auto"/>
            <w:noWrap/>
            <w:vAlign w:val="center"/>
            <w:hideMark/>
          </w:tcPr>
          <w:p w14:paraId="56807F69"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1 699 816,83</w:t>
            </w:r>
          </w:p>
        </w:tc>
        <w:tc>
          <w:tcPr>
            <w:tcW w:w="685" w:type="pct"/>
            <w:shd w:val="clear" w:color="auto" w:fill="auto"/>
            <w:noWrap/>
            <w:vAlign w:val="center"/>
            <w:hideMark/>
          </w:tcPr>
          <w:p w14:paraId="1AA4CA25"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1 685 117,68</w:t>
            </w:r>
          </w:p>
        </w:tc>
      </w:tr>
      <w:tr w:rsidR="005218C2" w:rsidRPr="002A7673" w14:paraId="2EBA0CF6" w14:textId="77777777" w:rsidTr="00F36B66">
        <w:trPr>
          <w:trHeight w:val="1380"/>
        </w:trPr>
        <w:tc>
          <w:tcPr>
            <w:tcW w:w="707" w:type="pct"/>
            <w:shd w:val="clear" w:color="auto" w:fill="auto"/>
            <w:vAlign w:val="center"/>
            <w:hideMark/>
          </w:tcPr>
          <w:p w14:paraId="72BC8FB1" w14:textId="77777777" w:rsidR="005218C2" w:rsidRPr="002A7673" w:rsidRDefault="005218C2"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sz w:val="20"/>
                <w:szCs w:val="20"/>
                <w:lang w:eastAsia="es-CR"/>
              </w:rPr>
              <w:t>Cursos de Postgrado en Derecho</w:t>
            </w:r>
          </w:p>
        </w:tc>
        <w:tc>
          <w:tcPr>
            <w:tcW w:w="812" w:type="pct"/>
            <w:shd w:val="clear" w:color="auto" w:fill="auto"/>
            <w:vAlign w:val="center"/>
            <w:hideMark/>
          </w:tcPr>
          <w:p w14:paraId="46E176F5"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Universidad Castilla de la Mancha</w:t>
            </w:r>
          </w:p>
        </w:tc>
        <w:tc>
          <w:tcPr>
            <w:tcW w:w="469" w:type="pct"/>
            <w:shd w:val="clear" w:color="auto" w:fill="auto"/>
            <w:vAlign w:val="center"/>
            <w:hideMark/>
          </w:tcPr>
          <w:p w14:paraId="529D6002"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w:t>
            </w:r>
          </w:p>
        </w:tc>
        <w:tc>
          <w:tcPr>
            <w:tcW w:w="453" w:type="pct"/>
            <w:shd w:val="clear" w:color="auto" w:fill="auto"/>
            <w:noWrap/>
            <w:vAlign w:val="center"/>
            <w:hideMark/>
          </w:tcPr>
          <w:p w14:paraId="7A78FFBE"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0,50</w:t>
            </w:r>
          </w:p>
        </w:tc>
        <w:tc>
          <w:tcPr>
            <w:tcW w:w="594" w:type="pct"/>
            <w:shd w:val="clear" w:color="auto" w:fill="auto"/>
            <w:noWrap/>
            <w:vAlign w:val="center"/>
            <w:hideMark/>
          </w:tcPr>
          <w:p w14:paraId="0EF8261F"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1 296 900,00</w:t>
            </w:r>
          </w:p>
        </w:tc>
        <w:tc>
          <w:tcPr>
            <w:tcW w:w="594" w:type="pct"/>
            <w:shd w:val="clear" w:color="auto" w:fill="auto"/>
            <w:noWrap/>
            <w:vAlign w:val="center"/>
            <w:hideMark/>
          </w:tcPr>
          <w:p w14:paraId="60DB1DBF"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c>
          <w:tcPr>
            <w:tcW w:w="685" w:type="pct"/>
            <w:shd w:val="clear" w:color="auto" w:fill="auto"/>
            <w:noWrap/>
            <w:vAlign w:val="center"/>
            <w:hideMark/>
          </w:tcPr>
          <w:p w14:paraId="511101DA"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1 699 816,83</w:t>
            </w:r>
          </w:p>
        </w:tc>
        <w:tc>
          <w:tcPr>
            <w:tcW w:w="685" w:type="pct"/>
            <w:shd w:val="clear" w:color="auto" w:fill="auto"/>
            <w:noWrap/>
            <w:vAlign w:val="center"/>
            <w:hideMark/>
          </w:tcPr>
          <w:p w14:paraId="1480DD64"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1 685 117,68</w:t>
            </w:r>
          </w:p>
        </w:tc>
      </w:tr>
      <w:tr w:rsidR="005218C2" w:rsidRPr="002A7673" w14:paraId="41F6FD26" w14:textId="77777777" w:rsidTr="00F36B66">
        <w:trPr>
          <w:trHeight w:val="1950"/>
        </w:trPr>
        <w:tc>
          <w:tcPr>
            <w:tcW w:w="707" w:type="pct"/>
            <w:shd w:val="clear" w:color="auto" w:fill="auto"/>
            <w:vAlign w:val="center"/>
            <w:hideMark/>
          </w:tcPr>
          <w:p w14:paraId="329005B8" w14:textId="77777777" w:rsidR="005218C2" w:rsidRPr="002A7673" w:rsidRDefault="005218C2"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sz w:val="20"/>
                <w:szCs w:val="20"/>
                <w:lang w:eastAsia="es-CR"/>
              </w:rPr>
              <w:lastRenderedPageBreak/>
              <w:t>Postgrado Iberoamericano en Gobernabilidad, Derechos Humanos y Cultura de Paz</w:t>
            </w:r>
          </w:p>
        </w:tc>
        <w:tc>
          <w:tcPr>
            <w:tcW w:w="812" w:type="pct"/>
            <w:shd w:val="clear" w:color="auto" w:fill="auto"/>
            <w:vAlign w:val="center"/>
            <w:hideMark/>
          </w:tcPr>
          <w:p w14:paraId="5A384134"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Universidad Castilla de la Mancha</w:t>
            </w:r>
          </w:p>
        </w:tc>
        <w:tc>
          <w:tcPr>
            <w:tcW w:w="469" w:type="pct"/>
            <w:shd w:val="clear" w:color="auto" w:fill="auto"/>
            <w:noWrap/>
            <w:vAlign w:val="center"/>
            <w:hideMark/>
          </w:tcPr>
          <w:p w14:paraId="3B2A4E2B"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w:t>
            </w:r>
          </w:p>
        </w:tc>
        <w:tc>
          <w:tcPr>
            <w:tcW w:w="453" w:type="pct"/>
            <w:shd w:val="clear" w:color="auto" w:fill="auto"/>
            <w:noWrap/>
            <w:vAlign w:val="center"/>
            <w:hideMark/>
          </w:tcPr>
          <w:p w14:paraId="61059F23"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0,50</w:t>
            </w:r>
          </w:p>
        </w:tc>
        <w:tc>
          <w:tcPr>
            <w:tcW w:w="594" w:type="pct"/>
            <w:shd w:val="clear" w:color="auto" w:fill="auto"/>
            <w:noWrap/>
            <w:vAlign w:val="center"/>
            <w:hideMark/>
          </w:tcPr>
          <w:p w14:paraId="2FB6E18D"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1 296 900,00</w:t>
            </w:r>
          </w:p>
        </w:tc>
        <w:tc>
          <w:tcPr>
            <w:tcW w:w="594" w:type="pct"/>
            <w:shd w:val="clear" w:color="auto" w:fill="auto"/>
            <w:noWrap/>
            <w:vAlign w:val="center"/>
            <w:hideMark/>
          </w:tcPr>
          <w:p w14:paraId="15F79DEA"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c>
          <w:tcPr>
            <w:tcW w:w="685" w:type="pct"/>
            <w:shd w:val="clear" w:color="auto" w:fill="auto"/>
            <w:noWrap/>
            <w:vAlign w:val="center"/>
            <w:hideMark/>
          </w:tcPr>
          <w:p w14:paraId="5771DC9E"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1 699 816,83</w:t>
            </w:r>
          </w:p>
        </w:tc>
        <w:tc>
          <w:tcPr>
            <w:tcW w:w="685" w:type="pct"/>
            <w:shd w:val="clear" w:color="auto" w:fill="auto"/>
            <w:noWrap/>
            <w:vAlign w:val="center"/>
            <w:hideMark/>
          </w:tcPr>
          <w:p w14:paraId="46298598"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1 685 117,68</w:t>
            </w:r>
          </w:p>
        </w:tc>
      </w:tr>
      <w:tr w:rsidR="005218C2" w:rsidRPr="002A7673" w14:paraId="75A90E40" w14:textId="77777777" w:rsidTr="00F36B66">
        <w:trPr>
          <w:trHeight w:val="1380"/>
        </w:trPr>
        <w:tc>
          <w:tcPr>
            <w:tcW w:w="707" w:type="pct"/>
            <w:shd w:val="clear" w:color="auto" w:fill="auto"/>
            <w:vAlign w:val="center"/>
            <w:hideMark/>
          </w:tcPr>
          <w:p w14:paraId="3B5A67FB" w14:textId="77777777" w:rsidR="005218C2" w:rsidRPr="002A7673" w:rsidRDefault="005218C2"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sz w:val="20"/>
                <w:szCs w:val="20"/>
                <w:lang w:eastAsia="es-CR"/>
              </w:rPr>
              <w:t>Máster en Protección Internacional de los Derechos Humanos</w:t>
            </w:r>
          </w:p>
        </w:tc>
        <w:tc>
          <w:tcPr>
            <w:tcW w:w="812" w:type="pct"/>
            <w:shd w:val="clear" w:color="auto" w:fill="auto"/>
            <w:vAlign w:val="center"/>
            <w:hideMark/>
          </w:tcPr>
          <w:p w14:paraId="1653E579"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Facultad de Derecho, Universidad de Alcalá, España</w:t>
            </w:r>
          </w:p>
        </w:tc>
        <w:tc>
          <w:tcPr>
            <w:tcW w:w="469" w:type="pct"/>
            <w:shd w:val="clear" w:color="auto" w:fill="auto"/>
            <w:vAlign w:val="center"/>
            <w:hideMark/>
          </w:tcPr>
          <w:p w14:paraId="2B970BE7"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w:t>
            </w:r>
          </w:p>
        </w:tc>
        <w:tc>
          <w:tcPr>
            <w:tcW w:w="453" w:type="pct"/>
            <w:shd w:val="clear" w:color="auto" w:fill="auto"/>
            <w:noWrap/>
            <w:vAlign w:val="center"/>
            <w:hideMark/>
          </w:tcPr>
          <w:p w14:paraId="5CB0788E"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3,00</w:t>
            </w:r>
          </w:p>
        </w:tc>
        <w:tc>
          <w:tcPr>
            <w:tcW w:w="594" w:type="pct"/>
            <w:shd w:val="clear" w:color="auto" w:fill="auto"/>
            <w:noWrap/>
            <w:vAlign w:val="center"/>
            <w:hideMark/>
          </w:tcPr>
          <w:p w14:paraId="790DBF0B"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1 296 900,00</w:t>
            </w:r>
          </w:p>
        </w:tc>
        <w:tc>
          <w:tcPr>
            <w:tcW w:w="594" w:type="pct"/>
            <w:shd w:val="clear" w:color="auto" w:fill="auto"/>
            <w:noWrap/>
            <w:vAlign w:val="center"/>
            <w:hideMark/>
          </w:tcPr>
          <w:p w14:paraId="1F66F293"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c>
          <w:tcPr>
            <w:tcW w:w="685" w:type="pct"/>
            <w:shd w:val="clear" w:color="auto" w:fill="auto"/>
            <w:noWrap/>
            <w:vAlign w:val="center"/>
            <w:hideMark/>
          </w:tcPr>
          <w:p w14:paraId="4B74A255"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10 198 900,98</w:t>
            </w:r>
          </w:p>
        </w:tc>
        <w:tc>
          <w:tcPr>
            <w:tcW w:w="685" w:type="pct"/>
            <w:shd w:val="clear" w:color="auto" w:fill="auto"/>
            <w:noWrap/>
            <w:vAlign w:val="center"/>
            <w:hideMark/>
          </w:tcPr>
          <w:p w14:paraId="548461CE"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10 110 706,08</w:t>
            </w:r>
          </w:p>
        </w:tc>
      </w:tr>
      <w:tr w:rsidR="005218C2" w:rsidRPr="002A7673" w14:paraId="77120623" w14:textId="77777777" w:rsidTr="00F36B66">
        <w:trPr>
          <w:trHeight w:val="1380"/>
        </w:trPr>
        <w:tc>
          <w:tcPr>
            <w:tcW w:w="707" w:type="pct"/>
            <w:shd w:val="clear" w:color="auto" w:fill="auto"/>
            <w:vAlign w:val="center"/>
            <w:hideMark/>
          </w:tcPr>
          <w:p w14:paraId="71949519" w14:textId="77777777" w:rsidR="005218C2" w:rsidRPr="002A7673" w:rsidRDefault="005218C2"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sz w:val="20"/>
                <w:szCs w:val="20"/>
                <w:lang w:eastAsia="es-CR"/>
              </w:rPr>
              <w:t>Máster Universitario en Derecho y Violencia de Género</w:t>
            </w:r>
          </w:p>
        </w:tc>
        <w:tc>
          <w:tcPr>
            <w:tcW w:w="812" w:type="pct"/>
            <w:shd w:val="clear" w:color="auto" w:fill="auto"/>
            <w:vAlign w:val="center"/>
            <w:hideMark/>
          </w:tcPr>
          <w:p w14:paraId="6C28D6FE"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Universidad de Valencia, España</w:t>
            </w:r>
          </w:p>
        </w:tc>
        <w:tc>
          <w:tcPr>
            <w:tcW w:w="469" w:type="pct"/>
            <w:shd w:val="clear" w:color="auto" w:fill="auto"/>
            <w:vAlign w:val="center"/>
            <w:hideMark/>
          </w:tcPr>
          <w:p w14:paraId="75CCB24D"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w:t>
            </w:r>
          </w:p>
        </w:tc>
        <w:tc>
          <w:tcPr>
            <w:tcW w:w="453" w:type="pct"/>
            <w:shd w:val="clear" w:color="auto" w:fill="auto"/>
            <w:noWrap/>
            <w:vAlign w:val="center"/>
            <w:hideMark/>
          </w:tcPr>
          <w:p w14:paraId="48E120B2"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2,50</w:t>
            </w:r>
          </w:p>
        </w:tc>
        <w:tc>
          <w:tcPr>
            <w:tcW w:w="594" w:type="pct"/>
            <w:shd w:val="clear" w:color="auto" w:fill="auto"/>
            <w:noWrap/>
            <w:vAlign w:val="center"/>
            <w:hideMark/>
          </w:tcPr>
          <w:p w14:paraId="7FB015B7"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1 296 900,00</w:t>
            </w:r>
          </w:p>
        </w:tc>
        <w:tc>
          <w:tcPr>
            <w:tcW w:w="594" w:type="pct"/>
            <w:shd w:val="clear" w:color="auto" w:fill="auto"/>
            <w:noWrap/>
            <w:vAlign w:val="center"/>
            <w:hideMark/>
          </w:tcPr>
          <w:p w14:paraId="213E1182"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c>
          <w:tcPr>
            <w:tcW w:w="685" w:type="pct"/>
            <w:shd w:val="clear" w:color="auto" w:fill="auto"/>
            <w:noWrap/>
            <w:vAlign w:val="center"/>
            <w:hideMark/>
          </w:tcPr>
          <w:p w14:paraId="65325DCC"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8 499 084,15</w:t>
            </w:r>
          </w:p>
        </w:tc>
        <w:tc>
          <w:tcPr>
            <w:tcW w:w="685" w:type="pct"/>
            <w:shd w:val="clear" w:color="auto" w:fill="auto"/>
            <w:noWrap/>
            <w:vAlign w:val="center"/>
            <w:hideMark/>
          </w:tcPr>
          <w:p w14:paraId="58455671"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8 425 588,40</w:t>
            </w:r>
          </w:p>
        </w:tc>
      </w:tr>
      <w:tr w:rsidR="005218C2" w:rsidRPr="002A7673" w14:paraId="30176EDE" w14:textId="77777777" w:rsidTr="00F36B66">
        <w:trPr>
          <w:trHeight w:val="1853"/>
        </w:trPr>
        <w:tc>
          <w:tcPr>
            <w:tcW w:w="707" w:type="pct"/>
            <w:shd w:val="clear" w:color="auto" w:fill="auto"/>
            <w:vAlign w:val="center"/>
            <w:hideMark/>
          </w:tcPr>
          <w:p w14:paraId="09826BCC" w14:textId="77777777" w:rsidR="005218C2" w:rsidRPr="002A7673" w:rsidRDefault="005218C2"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sz w:val="20"/>
                <w:szCs w:val="20"/>
                <w:lang w:eastAsia="es-CR"/>
              </w:rPr>
              <w:t>Título de Especialista en Justicia Constitucional, Interpretación y Aplicación de la Constitución</w:t>
            </w:r>
          </w:p>
        </w:tc>
        <w:tc>
          <w:tcPr>
            <w:tcW w:w="812" w:type="pct"/>
            <w:shd w:val="clear" w:color="auto" w:fill="auto"/>
            <w:vAlign w:val="center"/>
            <w:hideMark/>
          </w:tcPr>
          <w:p w14:paraId="6B6E26FB"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Universidad de Castilla La Mancha</w:t>
            </w:r>
          </w:p>
        </w:tc>
        <w:tc>
          <w:tcPr>
            <w:tcW w:w="469" w:type="pct"/>
            <w:shd w:val="clear" w:color="auto" w:fill="auto"/>
            <w:vAlign w:val="center"/>
            <w:hideMark/>
          </w:tcPr>
          <w:p w14:paraId="7BDA5C06"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w:t>
            </w:r>
          </w:p>
        </w:tc>
        <w:tc>
          <w:tcPr>
            <w:tcW w:w="453" w:type="pct"/>
            <w:shd w:val="clear" w:color="auto" w:fill="auto"/>
            <w:vAlign w:val="center"/>
            <w:hideMark/>
          </w:tcPr>
          <w:p w14:paraId="0309414D"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1,00</w:t>
            </w:r>
          </w:p>
        </w:tc>
        <w:tc>
          <w:tcPr>
            <w:tcW w:w="594" w:type="pct"/>
            <w:shd w:val="clear" w:color="auto" w:fill="auto"/>
            <w:noWrap/>
            <w:vAlign w:val="center"/>
            <w:hideMark/>
          </w:tcPr>
          <w:p w14:paraId="151AE8D6"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1 296 900,00</w:t>
            </w:r>
          </w:p>
        </w:tc>
        <w:tc>
          <w:tcPr>
            <w:tcW w:w="594" w:type="pct"/>
            <w:shd w:val="clear" w:color="auto" w:fill="auto"/>
            <w:noWrap/>
            <w:vAlign w:val="center"/>
            <w:hideMark/>
          </w:tcPr>
          <w:p w14:paraId="4463269F"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c>
          <w:tcPr>
            <w:tcW w:w="685" w:type="pct"/>
            <w:shd w:val="clear" w:color="auto" w:fill="auto"/>
            <w:noWrap/>
            <w:vAlign w:val="center"/>
            <w:hideMark/>
          </w:tcPr>
          <w:p w14:paraId="2ACD7A2E"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3 399 633,66</w:t>
            </w:r>
          </w:p>
        </w:tc>
        <w:tc>
          <w:tcPr>
            <w:tcW w:w="685" w:type="pct"/>
            <w:shd w:val="clear" w:color="auto" w:fill="auto"/>
            <w:noWrap/>
            <w:vAlign w:val="center"/>
            <w:hideMark/>
          </w:tcPr>
          <w:p w14:paraId="27D4F713"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r>
      <w:tr w:rsidR="005218C2" w:rsidRPr="002A7673" w14:paraId="48A8F87D" w14:textId="77777777" w:rsidTr="00F36B66">
        <w:trPr>
          <w:trHeight w:val="1904"/>
        </w:trPr>
        <w:tc>
          <w:tcPr>
            <w:tcW w:w="707" w:type="pct"/>
            <w:shd w:val="clear" w:color="auto" w:fill="auto"/>
            <w:vAlign w:val="center"/>
            <w:hideMark/>
          </w:tcPr>
          <w:p w14:paraId="0E0501C2" w14:textId="77777777" w:rsidR="005218C2" w:rsidRPr="002A7673" w:rsidRDefault="005218C2"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sz w:val="20"/>
                <w:szCs w:val="20"/>
                <w:lang w:eastAsia="es-CR"/>
              </w:rPr>
              <w:t>Curso de Alta Formación en Justicia Constitucional y Tutela Jurisdiccional de los Derechos</w:t>
            </w:r>
          </w:p>
        </w:tc>
        <w:tc>
          <w:tcPr>
            <w:tcW w:w="812" w:type="pct"/>
            <w:shd w:val="clear" w:color="auto" w:fill="auto"/>
            <w:vAlign w:val="center"/>
            <w:hideMark/>
          </w:tcPr>
          <w:p w14:paraId="71213169"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Universidad de Pisa, Italia</w:t>
            </w:r>
          </w:p>
        </w:tc>
        <w:tc>
          <w:tcPr>
            <w:tcW w:w="469" w:type="pct"/>
            <w:shd w:val="clear" w:color="auto" w:fill="auto"/>
            <w:vAlign w:val="center"/>
            <w:hideMark/>
          </w:tcPr>
          <w:p w14:paraId="2171835B"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w:t>
            </w:r>
          </w:p>
        </w:tc>
        <w:tc>
          <w:tcPr>
            <w:tcW w:w="453" w:type="pct"/>
            <w:shd w:val="clear" w:color="auto" w:fill="auto"/>
            <w:noWrap/>
            <w:vAlign w:val="center"/>
            <w:hideMark/>
          </w:tcPr>
          <w:p w14:paraId="1AC8F76D"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1,00</w:t>
            </w:r>
          </w:p>
        </w:tc>
        <w:tc>
          <w:tcPr>
            <w:tcW w:w="594" w:type="pct"/>
            <w:shd w:val="clear" w:color="auto" w:fill="auto"/>
            <w:noWrap/>
            <w:vAlign w:val="center"/>
            <w:hideMark/>
          </w:tcPr>
          <w:p w14:paraId="2AC8E15F"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1 296 900,00</w:t>
            </w:r>
          </w:p>
        </w:tc>
        <w:tc>
          <w:tcPr>
            <w:tcW w:w="594" w:type="pct"/>
            <w:shd w:val="clear" w:color="auto" w:fill="auto"/>
            <w:noWrap/>
            <w:vAlign w:val="center"/>
            <w:hideMark/>
          </w:tcPr>
          <w:p w14:paraId="777ACC01"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c>
          <w:tcPr>
            <w:tcW w:w="685" w:type="pct"/>
            <w:shd w:val="clear" w:color="auto" w:fill="auto"/>
            <w:noWrap/>
            <w:vAlign w:val="center"/>
            <w:hideMark/>
          </w:tcPr>
          <w:p w14:paraId="3CF1420B"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3 399 633,66</w:t>
            </w:r>
          </w:p>
        </w:tc>
        <w:tc>
          <w:tcPr>
            <w:tcW w:w="685" w:type="pct"/>
            <w:shd w:val="clear" w:color="auto" w:fill="auto"/>
            <w:noWrap/>
            <w:vAlign w:val="center"/>
            <w:hideMark/>
          </w:tcPr>
          <w:p w14:paraId="0E7F6742"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r>
      <w:tr w:rsidR="005218C2" w:rsidRPr="002A7673" w14:paraId="6F4A6EFE" w14:textId="77777777" w:rsidTr="00F36B66">
        <w:trPr>
          <w:trHeight w:val="1380"/>
        </w:trPr>
        <w:tc>
          <w:tcPr>
            <w:tcW w:w="707" w:type="pct"/>
            <w:shd w:val="clear" w:color="auto" w:fill="auto"/>
            <w:vAlign w:val="center"/>
            <w:hideMark/>
          </w:tcPr>
          <w:p w14:paraId="15519F04" w14:textId="77777777" w:rsidR="005218C2" w:rsidRPr="002A7673" w:rsidRDefault="005218C2"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sz w:val="20"/>
                <w:szCs w:val="20"/>
                <w:lang w:eastAsia="es-CR"/>
              </w:rPr>
              <w:t>Doctorado en Derecho</w:t>
            </w:r>
          </w:p>
        </w:tc>
        <w:tc>
          <w:tcPr>
            <w:tcW w:w="812" w:type="pct"/>
            <w:shd w:val="clear" w:color="auto" w:fill="auto"/>
            <w:vAlign w:val="center"/>
            <w:hideMark/>
          </w:tcPr>
          <w:p w14:paraId="774E1A7E"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xml:space="preserve">Por definir </w:t>
            </w:r>
          </w:p>
        </w:tc>
        <w:tc>
          <w:tcPr>
            <w:tcW w:w="469" w:type="pct"/>
            <w:shd w:val="clear" w:color="auto" w:fill="auto"/>
            <w:vAlign w:val="center"/>
            <w:hideMark/>
          </w:tcPr>
          <w:p w14:paraId="0A5B3CE7"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w:t>
            </w:r>
          </w:p>
        </w:tc>
        <w:tc>
          <w:tcPr>
            <w:tcW w:w="453" w:type="pct"/>
            <w:shd w:val="clear" w:color="auto" w:fill="auto"/>
            <w:noWrap/>
            <w:vAlign w:val="center"/>
            <w:hideMark/>
          </w:tcPr>
          <w:p w14:paraId="693C1766"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12,00</w:t>
            </w:r>
          </w:p>
        </w:tc>
        <w:tc>
          <w:tcPr>
            <w:tcW w:w="594" w:type="pct"/>
            <w:shd w:val="clear" w:color="auto" w:fill="auto"/>
            <w:noWrap/>
            <w:vAlign w:val="center"/>
            <w:hideMark/>
          </w:tcPr>
          <w:p w14:paraId="415A87B6"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1 296 900,00</w:t>
            </w:r>
          </w:p>
        </w:tc>
        <w:tc>
          <w:tcPr>
            <w:tcW w:w="594" w:type="pct"/>
            <w:shd w:val="clear" w:color="auto" w:fill="auto"/>
            <w:noWrap/>
            <w:vAlign w:val="center"/>
            <w:hideMark/>
          </w:tcPr>
          <w:p w14:paraId="49151AEC"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3 370 235,36</w:t>
            </w:r>
          </w:p>
        </w:tc>
        <w:tc>
          <w:tcPr>
            <w:tcW w:w="685" w:type="pct"/>
            <w:shd w:val="clear" w:color="auto" w:fill="auto"/>
            <w:noWrap/>
            <w:vAlign w:val="center"/>
            <w:hideMark/>
          </w:tcPr>
          <w:p w14:paraId="49B6A65A"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40 795 603,92</w:t>
            </w:r>
          </w:p>
        </w:tc>
        <w:tc>
          <w:tcPr>
            <w:tcW w:w="685" w:type="pct"/>
            <w:shd w:val="clear" w:color="auto" w:fill="auto"/>
            <w:noWrap/>
            <w:vAlign w:val="center"/>
            <w:hideMark/>
          </w:tcPr>
          <w:p w14:paraId="7F18A3A2" w14:textId="77777777" w:rsidR="005218C2" w:rsidRPr="002A7673" w:rsidRDefault="005218C2" w:rsidP="0048334E">
            <w:pPr>
              <w:spacing w:after="0" w:line="240"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40 442 824,32</w:t>
            </w:r>
          </w:p>
        </w:tc>
      </w:tr>
      <w:tr w:rsidR="005218C2" w:rsidRPr="002A7673" w14:paraId="48A3369B" w14:textId="77777777" w:rsidTr="00F36B66">
        <w:trPr>
          <w:trHeight w:val="420"/>
        </w:trPr>
        <w:tc>
          <w:tcPr>
            <w:tcW w:w="1518" w:type="pct"/>
            <w:gridSpan w:val="2"/>
            <w:shd w:val="clear" w:color="auto" w:fill="auto"/>
            <w:vAlign w:val="center"/>
          </w:tcPr>
          <w:p w14:paraId="1590EAE8"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MONTO TOTAL PRESUPUESTADO PARA BECAS</w:t>
            </w:r>
          </w:p>
        </w:tc>
        <w:tc>
          <w:tcPr>
            <w:tcW w:w="469" w:type="pct"/>
            <w:shd w:val="clear" w:color="auto" w:fill="auto"/>
            <w:noWrap/>
            <w:vAlign w:val="center"/>
          </w:tcPr>
          <w:p w14:paraId="739077A8"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9,00</w:t>
            </w:r>
          </w:p>
        </w:tc>
        <w:tc>
          <w:tcPr>
            <w:tcW w:w="453" w:type="pct"/>
            <w:shd w:val="clear" w:color="auto" w:fill="auto"/>
            <w:noWrap/>
            <w:vAlign w:val="center"/>
          </w:tcPr>
          <w:p w14:paraId="084B5CC6"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22,50</w:t>
            </w:r>
          </w:p>
        </w:tc>
        <w:tc>
          <w:tcPr>
            <w:tcW w:w="594" w:type="pct"/>
            <w:shd w:val="clear" w:color="auto" w:fill="auto"/>
            <w:noWrap/>
            <w:vAlign w:val="center"/>
          </w:tcPr>
          <w:p w14:paraId="4E32CB68"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p>
        </w:tc>
        <w:tc>
          <w:tcPr>
            <w:tcW w:w="594" w:type="pct"/>
            <w:shd w:val="clear" w:color="auto" w:fill="auto"/>
            <w:noWrap/>
            <w:vAlign w:val="center"/>
          </w:tcPr>
          <w:p w14:paraId="0DB22675"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p>
        </w:tc>
        <w:tc>
          <w:tcPr>
            <w:tcW w:w="685" w:type="pct"/>
            <w:shd w:val="clear" w:color="auto" w:fill="auto"/>
            <w:noWrap/>
            <w:vAlign w:val="center"/>
          </w:tcPr>
          <w:p w14:paraId="067A0989"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rPr>
              <w:t>76 491 757,35</w:t>
            </w:r>
          </w:p>
        </w:tc>
        <w:tc>
          <w:tcPr>
            <w:tcW w:w="685" w:type="pct"/>
            <w:shd w:val="clear" w:color="auto" w:fill="auto"/>
            <w:noWrap/>
            <w:vAlign w:val="center"/>
          </w:tcPr>
          <w:p w14:paraId="12CC74A2" w14:textId="77777777" w:rsidR="005218C2" w:rsidRPr="002A7673" w:rsidRDefault="005218C2" w:rsidP="0048334E">
            <w:pPr>
              <w:spacing w:after="0" w:line="240"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rPr>
              <w:t>75 830 295,60</w:t>
            </w:r>
          </w:p>
        </w:tc>
      </w:tr>
    </w:tbl>
    <w:p w14:paraId="444C707E" w14:textId="77777777" w:rsidR="005218C2" w:rsidRPr="002A7673" w:rsidRDefault="005218C2" w:rsidP="005218C2">
      <w:pPr>
        <w:spacing w:after="0" w:line="480" w:lineRule="auto"/>
        <w:ind w:right="-40" w:firstLine="708"/>
        <w:rPr>
          <w:rFonts w:ascii="Times New Roman" w:hAnsi="Times New Roman" w:cs="Times New Roman"/>
          <w:b/>
        </w:rPr>
      </w:pPr>
    </w:p>
    <w:p w14:paraId="43847175" w14:textId="77777777" w:rsidR="005218C2" w:rsidRPr="002A7673" w:rsidRDefault="005218C2" w:rsidP="005218C2">
      <w:pPr>
        <w:spacing w:after="0" w:line="240" w:lineRule="auto"/>
        <w:ind w:left="851" w:right="851" w:firstLine="709"/>
        <w:rPr>
          <w:rFonts w:ascii="Times New Roman" w:hAnsi="Times New Roman" w:cs="Times New Roman"/>
          <w:b/>
          <w:sz w:val="26"/>
          <w:szCs w:val="26"/>
        </w:rPr>
      </w:pPr>
      <w:r w:rsidRPr="002A7673">
        <w:rPr>
          <w:rFonts w:ascii="Times New Roman" w:hAnsi="Times New Roman" w:cs="Times New Roman"/>
          <w:b/>
          <w:sz w:val="26"/>
          <w:szCs w:val="26"/>
        </w:rPr>
        <w:t>B. Becas para Personas Funcionarias Judiciales</w:t>
      </w:r>
    </w:p>
    <w:p w14:paraId="4B016D9F"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b/>
          <w:bCs/>
          <w:color w:val="000000"/>
          <w:sz w:val="26"/>
          <w:szCs w:val="26"/>
          <w:u w:val="single" w:color="000000"/>
          <w:lang w:val="es-ES" w:eastAsia="es-ES"/>
        </w:rPr>
      </w:pPr>
      <w:r w:rsidRPr="002A7673">
        <w:rPr>
          <w:rFonts w:ascii="Times New Roman" w:eastAsia="Arial Unicode MS" w:hAnsi="Times New Roman" w:cs="Times New Roman"/>
          <w:b/>
          <w:bCs/>
          <w:color w:val="000000"/>
          <w:sz w:val="26"/>
          <w:szCs w:val="26"/>
          <w:u w:val="single" w:color="000000"/>
          <w:lang w:val="es-ES" w:eastAsia="es-ES"/>
        </w:rPr>
        <w:t>Oficio 075-CAP-2021</w:t>
      </w:r>
    </w:p>
    <w:p w14:paraId="10D7379E"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val="es-ES" w:eastAsia="es-ES"/>
        </w:rPr>
      </w:pPr>
      <w:r w:rsidRPr="002A7673">
        <w:rPr>
          <w:rFonts w:ascii="Times New Roman" w:eastAsia="Arial Unicode MS" w:hAnsi="Times New Roman" w:cs="Times New Roman"/>
          <w:color w:val="000000"/>
          <w:sz w:val="26"/>
          <w:szCs w:val="26"/>
          <w:u w:color="000000"/>
          <w:lang w:val="es-ES" w:eastAsia="es-ES"/>
        </w:rPr>
        <w:t xml:space="preserve">Según lo explicado en el punto 1 de aspectos generales, a partir del </w:t>
      </w:r>
      <w:r w:rsidRPr="002A7673">
        <w:rPr>
          <w:rFonts w:ascii="Times New Roman" w:eastAsia="Arial Unicode MS" w:hAnsi="Times New Roman" w:cs="Times New Roman"/>
          <w:color w:val="000000"/>
          <w:sz w:val="26"/>
          <w:szCs w:val="26"/>
          <w:u w:color="000000"/>
          <w:lang w:val="es-ES" w:eastAsia="es-ES"/>
        </w:rPr>
        <w:lastRenderedPageBreak/>
        <w:t>2022 los recursos que se solicitaban por la subpartida 10701 y correspondientes a las ayudas económicas formuladas por concepto de becas, se trasladan a la subpartida 60201 “Becas a Funcionarios”, por lo que se parte para esta subpartida de un presupuesto máximo a formular de ¢24.292.504 que es el resultado de la suma de los montos finales aprobados tanto en la subpartida 10701 como en la 60201, menos el 4% que es el límite máximo autorizado por Corte Plena para el 2022.</w:t>
      </w:r>
    </w:p>
    <w:p w14:paraId="2B7D6D7C" w14:textId="24F18968"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val="es-ES" w:eastAsia="es-ES"/>
        </w:rPr>
      </w:pPr>
      <w:r w:rsidRPr="002A7673">
        <w:rPr>
          <w:rFonts w:ascii="Times New Roman" w:eastAsia="Arial Unicode MS" w:hAnsi="Times New Roman" w:cs="Times New Roman"/>
          <w:color w:val="000000"/>
          <w:sz w:val="26"/>
          <w:szCs w:val="26"/>
          <w:u w:color="000000"/>
          <w:lang w:val="es-ES" w:eastAsia="es-ES"/>
        </w:rPr>
        <w:t>Originalmente en el oficio 075-CAP-2021 se planteó una propuesta de formulación de becas para el 2022, la que consideraba a todos los Programas, excepto al Administrativo (926), con la justificación de que a este Programa se le rebajó la totalidad del presupuesto aprobado para el 2021. En resumen, la propuesta planteada es la siguiente:</w:t>
      </w:r>
    </w:p>
    <w:p w14:paraId="61311B71" w14:textId="77777777" w:rsidR="00A60CCD" w:rsidRPr="002A7673" w:rsidRDefault="00A60CCD"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val="es-ES" w:eastAsia="es-ES"/>
        </w:rPr>
      </w:pPr>
    </w:p>
    <w:tbl>
      <w:tblPr>
        <w:tblW w:w="9640" w:type="dxa"/>
        <w:tblInd w:w="-431" w:type="dxa"/>
        <w:tblCellMar>
          <w:left w:w="70" w:type="dxa"/>
          <w:right w:w="70" w:type="dxa"/>
        </w:tblCellMar>
        <w:tblLook w:val="04A0" w:firstRow="1" w:lastRow="0" w:firstColumn="1" w:lastColumn="0" w:noHBand="0" w:noVBand="1"/>
      </w:tblPr>
      <w:tblGrid>
        <w:gridCol w:w="3403"/>
        <w:gridCol w:w="1701"/>
        <w:gridCol w:w="2126"/>
        <w:gridCol w:w="2410"/>
      </w:tblGrid>
      <w:tr w:rsidR="005218C2" w:rsidRPr="002A7673" w14:paraId="2ED9440E" w14:textId="77777777" w:rsidTr="00F36B66">
        <w:trPr>
          <w:trHeight w:val="411"/>
        </w:trPr>
        <w:tc>
          <w:tcPr>
            <w:tcW w:w="9640" w:type="dxa"/>
            <w:gridSpan w:val="4"/>
            <w:tcBorders>
              <w:top w:val="single" w:sz="4" w:space="0" w:color="auto"/>
              <w:left w:val="single" w:sz="4" w:space="0" w:color="auto"/>
              <w:bottom w:val="single" w:sz="4" w:space="0" w:color="auto"/>
              <w:right w:val="single" w:sz="4" w:space="0" w:color="auto"/>
            </w:tcBorders>
            <w:shd w:val="clear" w:color="000000" w:fill="D9D9D9"/>
            <w:vAlign w:val="center"/>
            <w:hideMark/>
          </w:tcPr>
          <w:p w14:paraId="05DDF3A9" w14:textId="77777777" w:rsidR="005218C2" w:rsidRPr="002A7673" w:rsidRDefault="005218C2"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Resumen Subpartida 6.02.01 (Becas a funcionarios)</w:t>
            </w:r>
          </w:p>
        </w:tc>
      </w:tr>
      <w:tr w:rsidR="005218C2" w:rsidRPr="002A7673" w14:paraId="7E48C4A4" w14:textId="77777777" w:rsidTr="00F36B66">
        <w:trPr>
          <w:trHeight w:val="870"/>
        </w:trPr>
        <w:tc>
          <w:tcPr>
            <w:tcW w:w="3403" w:type="dxa"/>
            <w:tcBorders>
              <w:top w:val="nil"/>
              <w:left w:val="single" w:sz="4" w:space="0" w:color="auto"/>
              <w:bottom w:val="single" w:sz="4" w:space="0" w:color="auto"/>
              <w:right w:val="single" w:sz="4" w:space="0" w:color="auto"/>
            </w:tcBorders>
            <w:shd w:val="clear" w:color="000000" w:fill="D9D9D9"/>
            <w:vAlign w:val="center"/>
            <w:hideMark/>
          </w:tcPr>
          <w:p w14:paraId="6014A6A0" w14:textId="77777777" w:rsidR="005218C2" w:rsidRPr="002A7673" w:rsidRDefault="005218C2"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Programa presupuestario</w:t>
            </w:r>
          </w:p>
        </w:tc>
        <w:tc>
          <w:tcPr>
            <w:tcW w:w="1701" w:type="dxa"/>
            <w:tcBorders>
              <w:top w:val="nil"/>
              <w:left w:val="nil"/>
              <w:bottom w:val="single" w:sz="4" w:space="0" w:color="auto"/>
              <w:right w:val="single" w:sz="4" w:space="0" w:color="auto"/>
            </w:tcBorders>
            <w:shd w:val="clear" w:color="000000" w:fill="D9D9D9"/>
            <w:vAlign w:val="center"/>
            <w:hideMark/>
          </w:tcPr>
          <w:p w14:paraId="1349244A" w14:textId="77777777" w:rsidR="005218C2" w:rsidRPr="002A7673" w:rsidRDefault="005218C2"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Máximo a formular para el año 2022</w:t>
            </w:r>
          </w:p>
        </w:tc>
        <w:tc>
          <w:tcPr>
            <w:tcW w:w="2126" w:type="dxa"/>
            <w:tcBorders>
              <w:top w:val="nil"/>
              <w:left w:val="nil"/>
              <w:bottom w:val="single" w:sz="4" w:space="0" w:color="auto"/>
              <w:right w:val="single" w:sz="4" w:space="0" w:color="auto"/>
            </w:tcBorders>
            <w:shd w:val="clear" w:color="000000" w:fill="D9D9D9"/>
            <w:vAlign w:val="center"/>
            <w:hideMark/>
          </w:tcPr>
          <w:p w14:paraId="7801EE64" w14:textId="77777777" w:rsidR="005218C2" w:rsidRPr="002A7673" w:rsidRDefault="005218C2"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Recursos en la subpartida 10701</w:t>
            </w:r>
          </w:p>
          <w:p w14:paraId="7D23656A" w14:textId="77777777" w:rsidR="005218C2" w:rsidRPr="002A7673" w:rsidRDefault="005218C2"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 xml:space="preserve"> para becas (ayudas económicas)</w:t>
            </w:r>
          </w:p>
        </w:tc>
        <w:tc>
          <w:tcPr>
            <w:tcW w:w="2410" w:type="dxa"/>
            <w:tcBorders>
              <w:top w:val="nil"/>
              <w:left w:val="nil"/>
              <w:bottom w:val="single" w:sz="4" w:space="0" w:color="auto"/>
              <w:right w:val="single" w:sz="4" w:space="0" w:color="auto"/>
            </w:tcBorders>
            <w:shd w:val="clear" w:color="000000" w:fill="D9D9D9"/>
            <w:vAlign w:val="center"/>
            <w:hideMark/>
          </w:tcPr>
          <w:p w14:paraId="51F693B6" w14:textId="77777777" w:rsidR="005218C2" w:rsidRPr="002A7673" w:rsidRDefault="005218C2" w:rsidP="0048334E">
            <w:pPr>
              <w:spacing w:after="0" w:line="240" w:lineRule="auto"/>
              <w:jc w:val="center"/>
              <w:rPr>
                <w:rFonts w:ascii="Times New Roman" w:hAnsi="Times New Roman" w:cs="Times New Roman"/>
                <w:b/>
                <w:bCs/>
                <w:color w:val="000000"/>
                <w:lang w:eastAsia="es-CR"/>
              </w:rPr>
            </w:pPr>
            <w:proofErr w:type="gramStart"/>
            <w:r w:rsidRPr="002A7673">
              <w:rPr>
                <w:rFonts w:ascii="Times New Roman" w:hAnsi="Times New Roman" w:cs="Times New Roman"/>
                <w:b/>
                <w:bCs/>
                <w:color w:val="000000"/>
                <w:lang w:eastAsia="es-CR"/>
              </w:rPr>
              <w:t>Total</w:t>
            </w:r>
            <w:proofErr w:type="gramEnd"/>
            <w:r w:rsidRPr="002A7673">
              <w:rPr>
                <w:rFonts w:ascii="Times New Roman" w:hAnsi="Times New Roman" w:cs="Times New Roman"/>
                <w:b/>
                <w:bCs/>
                <w:color w:val="000000"/>
                <w:lang w:eastAsia="es-CR"/>
              </w:rPr>
              <w:t xml:space="preserve"> de recursos por formular para becas</w:t>
            </w:r>
          </w:p>
          <w:p w14:paraId="7B8D7EDC" w14:textId="77777777" w:rsidR="005218C2" w:rsidRPr="002A7673" w:rsidRDefault="005218C2"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(pago parcial o total posgrados, ayudas económicas)</w:t>
            </w:r>
          </w:p>
        </w:tc>
      </w:tr>
      <w:tr w:rsidR="005218C2" w:rsidRPr="002A7673" w14:paraId="3762346E" w14:textId="77777777" w:rsidTr="00F36B66">
        <w:trPr>
          <w:trHeight w:val="290"/>
        </w:trPr>
        <w:tc>
          <w:tcPr>
            <w:tcW w:w="3403" w:type="dxa"/>
            <w:tcBorders>
              <w:top w:val="nil"/>
              <w:left w:val="single" w:sz="4" w:space="0" w:color="auto"/>
              <w:bottom w:val="single" w:sz="4" w:space="0" w:color="auto"/>
              <w:right w:val="single" w:sz="4" w:space="0" w:color="auto"/>
            </w:tcBorders>
            <w:shd w:val="clear" w:color="auto" w:fill="auto"/>
            <w:vAlign w:val="center"/>
            <w:hideMark/>
          </w:tcPr>
          <w:p w14:paraId="48ACB832" w14:textId="77777777" w:rsidR="005218C2" w:rsidRPr="002A7673" w:rsidRDefault="005218C2"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926 (Dirección y Administración)</w:t>
            </w:r>
          </w:p>
        </w:tc>
        <w:tc>
          <w:tcPr>
            <w:tcW w:w="1701" w:type="dxa"/>
            <w:tcBorders>
              <w:top w:val="nil"/>
              <w:left w:val="nil"/>
              <w:bottom w:val="single" w:sz="4" w:space="0" w:color="auto"/>
              <w:right w:val="single" w:sz="4" w:space="0" w:color="auto"/>
            </w:tcBorders>
            <w:shd w:val="clear" w:color="auto" w:fill="auto"/>
            <w:vAlign w:val="center"/>
            <w:hideMark/>
          </w:tcPr>
          <w:p w14:paraId="2523304E"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0,00</w:t>
            </w:r>
          </w:p>
        </w:tc>
        <w:tc>
          <w:tcPr>
            <w:tcW w:w="2126" w:type="dxa"/>
            <w:tcBorders>
              <w:top w:val="nil"/>
              <w:left w:val="nil"/>
              <w:bottom w:val="single" w:sz="4" w:space="0" w:color="auto"/>
              <w:right w:val="single" w:sz="4" w:space="0" w:color="auto"/>
            </w:tcBorders>
            <w:shd w:val="clear" w:color="auto" w:fill="auto"/>
            <w:vAlign w:val="center"/>
            <w:hideMark/>
          </w:tcPr>
          <w:p w14:paraId="5200E784"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0,00</w:t>
            </w:r>
          </w:p>
        </w:tc>
        <w:tc>
          <w:tcPr>
            <w:tcW w:w="2410" w:type="dxa"/>
            <w:tcBorders>
              <w:top w:val="nil"/>
              <w:left w:val="nil"/>
              <w:bottom w:val="single" w:sz="4" w:space="0" w:color="auto"/>
              <w:right w:val="single" w:sz="4" w:space="0" w:color="auto"/>
            </w:tcBorders>
            <w:shd w:val="clear" w:color="auto" w:fill="auto"/>
            <w:vAlign w:val="center"/>
            <w:hideMark/>
          </w:tcPr>
          <w:p w14:paraId="07BEA23A"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0,00</w:t>
            </w:r>
          </w:p>
        </w:tc>
      </w:tr>
      <w:tr w:rsidR="005218C2" w:rsidRPr="002A7673" w14:paraId="2A79643F" w14:textId="77777777" w:rsidTr="00F36B66">
        <w:trPr>
          <w:trHeight w:val="290"/>
        </w:trPr>
        <w:tc>
          <w:tcPr>
            <w:tcW w:w="3403" w:type="dxa"/>
            <w:tcBorders>
              <w:top w:val="nil"/>
              <w:left w:val="single" w:sz="4" w:space="0" w:color="auto"/>
              <w:bottom w:val="single" w:sz="4" w:space="0" w:color="auto"/>
              <w:right w:val="single" w:sz="4" w:space="0" w:color="auto"/>
            </w:tcBorders>
            <w:shd w:val="clear" w:color="auto" w:fill="auto"/>
            <w:vAlign w:val="center"/>
            <w:hideMark/>
          </w:tcPr>
          <w:p w14:paraId="4D8243FD" w14:textId="77777777" w:rsidR="005218C2" w:rsidRPr="002A7673" w:rsidRDefault="005218C2"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927 (Judicatura)</w:t>
            </w:r>
          </w:p>
        </w:tc>
        <w:tc>
          <w:tcPr>
            <w:tcW w:w="1701" w:type="dxa"/>
            <w:tcBorders>
              <w:top w:val="nil"/>
              <w:left w:val="nil"/>
              <w:bottom w:val="single" w:sz="4" w:space="0" w:color="auto"/>
              <w:right w:val="single" w:sz="4" w:space="0" w:color="auto"/>
            </w:tcBorders>
            <w:shd w:val="clear" w:color="auto" w:fill="auto"/>
            <w:vAlign w:val="center"/>
            <w:hideMark/>
          </w:tcPr>
          <w:p w14:paraId="19772D8F"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5 411 097,60</w:t>
            </w:r>
          </w:p>
        </w:tc>
        <w:tc>
          <w:tcPr>
            <w:tcW w:w="2126" w:type="dxa"/>
            <w:tcBorders>
              <w:top w:val="nil"/>
              <w:left w:val="nil"/>
              <w:bottom w:val="single" w:sz="4" w:space="0" w:color="auto"/>
              <w:right w:val="single" w:sz="4" w:space="0" w:color="auto"/>
            </w:tcBorders>
            <w:shd w:val="clear" w:color="auto" w:fill="auto"/>
            <w:vAlign w:val="center"/>
            <w:hideMark/>
          </w:tcPr>
          <w:p w14:paraId="0C1B88F7"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2 051 174,40</w:t>
            </w:r>
          </w:p>
        </w:tc>
        <w:tc>
          <w:tcPr>
            <w:tcW w:w="2410" w:type="dxa"/>
            <w:tcBorders>
              <w:top w:val="nil"/>
              <w:left w:val="nil"/>
              <w:bottom w:val="single" w:sz="4" w:space="0" w:color="auto"/>
              <w:right w:val="single" w:sz="4" w:space="0" w:color="auto"/>
            </w:tcBorders>
            <w:shd w:val="clear" w:color="auto" w:fill="auto"/>
            <w:vAlign w:val="center"/>
            <w:hideMark/>
          </w:tcPr>
          <w:p w14:paraId="1762202F"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7 462 272,00</w:t>
            </w:r>
          </w:p>
        </w:tc>
      </w:tr>
      <w:tr w:rsidR="005218C2" w:rsidRPr="002A7673" w14:paraId="6059E66E" w14:textId="77777777" w:rsidTr="00F36B66">
        <w:trPr>
          <w:trHeight w:val="290"/>
        </w:trPr>
        <w:tc>
          <w:tcPr>
            <w:tcW w:w="3403" w:type="dxa"/>
            <w:tcBorders>
              <w:top w:val="nil"/>
              <w:left w:val="single" w:sz="4" w:space="0" w:color="auto"/>
              <w:bottom w:val="single" w:sz="4" w:space="0" w:color="auto"/>
              <w:right w:val="single" w:sz="4" w:space="0" w:color="auto"/>
            </w:tcBorders>
            <w:shd w:val="clear" w:color="auto" w:fill="auto"/>
            <w:vAlign w:val="center"/>
            <w:hideMark/>
          </w:tcPr>
          <w:p w14:paraId="0E078F12" w14:textId="77777777" w:rsidR="005218C2" w:rsidRPr="002A7673" w:rsidRDefault="005218C2"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928 (OIJ)</w:t>
            </w:r>
          </w:p>
        </w:tc>
        <w:tc>
          <w:tcPr>
            <w:tcW w:w="1701" w:type="dxa"/>
            <w:tcBorders>
              <w:top w:val="nil"/>
              <w:left w:val="nil"/>
              <w:bottom w:val="single" w:sz="4" w:space="0" w:color="auto"/>
              <w:right w:val="single" w:sz="4" w:space="0" w:color="auto"/>
            </w:tcBorders>
            <w:shd w:val="clear" w:color="auto" w:fill="auto"/>
            <w:vAlign w:val="center"/>
            <w:hideMark/>
          </w:tcPr>
          <w:p w14:paraId="53085245"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1 500 672,00</w:t>
            </w:r>
          </w:p>
        </w:tc>
        <w:tc>
          <w:tcPr>
            <w:tcW w:w="2126" w:type="dxa"/>
            <w:tcBorders>
              <w:top w:val="nil"/>
              <w:left w:val="nil"/>
              <w:bottom w:val="single" w:sz="4" w:space="0" w:color="auto"/>
              <w:right w:val="single" w:sz="4" w:space="0" w:color="auto"/>
            </w:tcBorders>
            <w:shd w:val="clear" w:color="auto" w:fill="auto"/>
            <w:vAlign w:val="center"/>
            <w:hideMark/>
          </w:tcPr>
          <w:p w14:paraId="01490BC5"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0,00</w:t>
            </w:r>
          </w:p>
        </w:tc>
        <w:tc>
          <w:tcPr>
            <w:tcW w:w="2410" w:type="dxa"/>
            <w:tcBorders>
              <w:top w:val="nil"/>
              <w:left w:val="nil"/>
              <w:bottom w:val="single" w:sz="4" w:space="0" w:color="auto"/>
              <w:right w:val="single" w:sz="4" w:space="0" w:color="auto"/>
            </w:tcBorders>
            <w:shd w:val="clear" w:color="auto" w:fill="auto"/>
            <w:vAlign w:val="center"/>
            <w:hideMark/>
          </w:tcPr>
          <w:p w14:paraId="6A552ADA"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1 500 672,00</w:t>
            </w:r>
          </w:p>
        </w:tc>
      </w:tr>
      <w:tr w:rsidR="005218C2" w:rsidRPr="002A7673" w14:paraId="738B575A" w14:textId="77777777" w:rsidTr="00F36B66">
        <w:trPr>
          <w:trHeight w:val="290"/>
        </w:trPr>
        <w:tc>
          <w:tcPr>
            <w:tcW w:w="3403" w:type="dxa"/>
            <w:tcBorders>
              <w:top w:val="nil"/>
              <w:left w:val="single" w:sz="4" w:space="0" w:color="auto"/>
              <w:bottom w:val="single" w:sz="4" w:space="0" w:color="auto"/>
              <w:right w:val="single" w:sz="4" w:space="0" w:color="auto"/>
            </w:tcBorders>
            <w:shd w:val="clear" w:color="auto" w:fill="auto"/>
            <w:vAlign w:val="center"/>
            <w:hideMark/>
          </w:tcPr>
          <w:p w14:paraId="73E9EB37" w14:textId="77777777" w:rsidR="005218C2" w:rsidRPr="002A7673" w:rsidRDefault="005218C2"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929 (Ministerio Público)</w:t>
            </w:r>
          </w:p>
        </w:tc>
        <w:tc>
          <w:tcPr>
            <w:tcW w:w="1701" w:type="dxa"/>
            <w:tcBorders>
              <w:top w:val="nil"/>
              <w:left w:val="nil"/>
              <w:bottom w:val="single" w:sz="4" w:space="0" w:color="auto"/>
              <w:right w:val="single" w:sz="4" w:space="0" w:color="auto"/>
            </w:tcBorders>
            <w:shd w:val="clear" w:color="auto" w:fill="auto"/>
            <w:vAlign w:val="center"/>
            <w:hideMark/>
          </w:tcPr>
          <w:p w14:paraId="6FF19457"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5 678 584,32</w:t>
            </w:r>
          </w:p>
        </w:tc>
        <w:tc>
          <w:tcPr>
            <w:tcW w:w="2126" w:type="dxa"/>
            <w:tcBorders>
              <w:top w:val="nil"/>
              <w:left w:val="nil"/>
              <w:bottom w:val="single" w:sz="4" w:space="0" w:color="auto"/>
              <w:right w:val="single" w:sz="4" w:space="0" w:color="auto"/>
            </w:tcBorders>
            <w:shd w:val="clear" w:color="auto" w:fill="auto"/>
            <w:vAlign w:val="center"/>
            <w:hideMark/>
          </w:tcPr>
          <w:p w14:paraId="21D4B515"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256 396,80</w:t>
            </w:r>
          </w:p>
        </w:tc>
        <w:tc>
          <w:tcPr>
            <w:tcW w:w="2410" w:type="dxa"/>
            <w:tcBorders>
              <w:top w:val="nil"/>
              <w:left w:val="nil"/>
              <w:bottom w:val="single" w:sz="4" w:space="0" w:color="auto"/>
              <w:right w:val="single" w:sz="4" w:space="0" w:color="auto"/>
            </w:tcBorders>
            <w:shd w:val="clear" w:color="auto" w:fill="auto"/>
            <w:vAlign w:val="center"/>
            <w:hideMark/>
          </w:tcPr>
          <w:p w14:paraId="7833BA9F"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5 934 981,12</w:t>
            </w:r>
          </w:p>
        </w:tc>
      </w:tr>
      <w:tr w:rsidR="005218C2" w:rsidRPr="002A7673" w14:paraId="1694181F" w14:textId="77777777" w:rsidTr="00F36B66">
        <w:trPr>
          <w:trHeight w:val="290"/>
        </w:trPr>
        <w:tc>
          <w:tcPr>
            <w:tcW w:w="3403" w:type="dxa"/>
            <w:tcBorders>
              <w:top w:val="nil"/>
              <w:left w:val="single" w:sz="4" w:space="0" w:color="auto"/>
              <w:bottom w:val="single" w:sz="4" w:space="0" w:color="auto"/>
              <w:right w:val="single" w:sz="4" w:space="0" w:color="auto"/>
            </w:tcBorders>
            <w:shd w:val="clear" w:color="auto" w:fill="auto"/>
            <w:vAlign w:val="center"/>
            <w:hideMark/>
          </w:tcPr>
          <w:p w14:paraId="43A2FF9F" w14:textId="77777777" w:rsidR="005218C2" w:rsidRPr="002A7673" w:rsidRDefault="005218C2"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930 (Defensa Pública)</w:t>
            </w:r>
          </w:p>
        </w:tc>
        <w:tc>
          <w:tcPr>
            <w:tcW w:w="1701" w:type="dxa"/>
            <w:tcBorders>
              <w:top w:val="nil"/>
              <w:left w:val="nil"/>
              <w:bottom w:val="single" w:sz="4" w:space="0" w:color="auto"/>
              <w:right w:val="single" w:sz="4" w:space="0" w:color="auto"/>
            </w:tcBorders>
            <w:shd w:val="clear" w:color="auto" w:fill="auto"/>
            <w:vAlign w:val="center"/>
            <w:hideMark/>
          </w:tcPr>
          <w:p w14:paraId="5F354E34"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7 627 795,20</w:t>
            </w:r>
          </w:p>
        </w:tc>
        <w:tc>
          <w:tcPr>
            <w:tcW w:w="2126" w:type="dxa"/>
            <w:tcBorders>
              <w:top w:val="nil"/>
              <w:left w:val="nil"/>
              <w:bottom w:val="single" w:sz="4" w:space="0" w:color="auto"/>
              <w:right w:val="single" w:sz="4" w:space="0" w:color="auto"/>
            </w:tcBorders>
            <w:shd w:val="clear" w:color="auto" w:fill="auto"/>
            <w:vAlign w:val="center"/>
            <w:hideMark/>
          </w:tcPr>
          <w:p w14:paraId="1B05F9C2"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0,00</w:t>
            </w:r>
          </w:p>
        </w:tc>
        <w:tc>
          <w:tcPr>
            <w:tcW w:w="2410" w:type="dxa"/>
            <w:tcBorders>
              <w:top w:val="nil"/>
              <w:left w:val="nil"/>
              <w:bottom w:val="single" w:sz="4" w:space="0" w:color="auto"/>
              <w:right w:val="single" w:sz="4" w:space="0" w:color="auto"/>
            </w:tcBorders>
            <w:shd w:val="clear" w:color="auto" w:fill="auto"/>
            <w:vAlign w:val="center"/>
            <w:hideMark/>
          </w:tcPr>
          <w:p w14:paraId="4F4B4B49"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7 627 795,20</w:t>
            </w:r>
          </w:p>
        </w:tc>
      </w:tr>
      <w:tr w:rsidR="005218C2" w:rsidRPr="002A7673" w14:paraId="6A848BB0" w14:textId="77777777" w:rsidTr="00F36B66">
        <w:trPr>
          <w:trHeight w:val="290"/>
        </w:trPr>
        <w:tc>
          <w:tcPr>
            <w:tcW w:w="3403" w:type="dxa"/>
            <w:tcBorders>
              <w:top w:val="nil"/>
              <w:left w:val="single" w:sz="4" w:space="0" w:color="auto"/>
              <w:bottom w:val="single" w:sz="4" w:space="0" w:color="auto"/>
              <w:right w:val="single" w:sz="4" w:space="0" w:color="auto"/>
            </w:tcBorders>
            <w:shd w:val="clear" w:color="auto" w:fill="auto"/>
            <w:vAlign w:val="center"/>
            <w:hideMark/>
          </w:tcPr>
          <w:p w14:paraId="4A6E269E" w14:textId="77777777" w:rsidR="005218C2" w:rsidRPr="002A7673" w:rsidRDefault="005218C2"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950 (OAPVD)</w:t>
            </w:r>
          </w:p>
        </w:tc>
        <w:tc>
          <w:tcPr>
            <w:tcW w:w="1701" w:type="dxa"/>
            <w:tcBorders>
              <w:top w:val="nil"/>
              <w:left w:val="nil"/>
              <w:bottom w:val="single" w:sz="4" w:space="0" w:color="auto"/>
              <w:right w:val="single" w:sz="4" w:space="0" w:color="auto"/>
            </w:tcBorders>
            <w:shd w:val="clear" w:color="auto" w:fill="auto"/>
            <w:vAlign w:val="center"/>
            <w:hideMark/>
          </w:tcPr>
          <w:p w14:paraId="7ECC4E91"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1 574 784,00</w:t>
            </w:r>
          </w:p>
        </w:tc>
        <w:tc>
          <w:tcPr>
            <w:tcW w:w="2126" w:type="dxa"/>
            <w:tcBorders>
              <w:top w:val="nil"/>
              <w:left w:val="nil"/>
              <w:bottom w:val="single" w:sz="4" w:space="0" w:color="auto"/>
              <w:right w:val="single" w:sz="4" w:space="0" w:color="auto"/>
            </w:tcBorders>
            <w:shd w:val="clear" w:color="auto" w:fill="auto"/>
            <w:vAlign w:val="center"/>
            <w:hideMark/>
          </w:tcPr>
          <w:p w14:paraId="7EEF0257"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192 000,00</w:t>
            </w:r>
          </w:p>
        </w:tc>
        <w:tc>
          <w:tcPr>
            <w:tcW w:w="2410" w:type="dxa"/>
            <w:tcBorders>
              <w:top w:val="nil"/>
              <w:left w:val="nil"/>
              <w:bottom w:val="single" w:sz="4" w:space="0" w:color="auto"/>
              <w:right w:val="single" w:sz="4" w:space="0" w:color="auto"/>
            </w:tcBorders>
            <w:shd w:val="clear" w:color="auto" w:fill="auto"/>
            <w:vAlign w:val="center"/>
            <w:hideMark/>
          </w:tcPr>
          <w:p w14:paraId="3239B293" w14:textId="77777777" w:rsidR="005218C2" w:rsidRPr="002A7673" w:rsidRDefault="005218C2"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1 766 784,00</w:t>
            </w:r>
          </w:p>
        </w:tc>
      </w:tr>
      <w:tr w:rsidR="005218C2" w:rsidRPr="002A7673" w14:paraId="53226C32" w14:textId="77777777" w:rsidTr="00F36B66">
        <w:trPr>
          <w:trHeight w:val="290"/>
        </w:trPr>
        <w:tc>
          <w:tcPr>
            <w:tcW w:w="3403" w:type="dxa"/>
            <w:tcBorders>
              <w:top w:val="nil"/>
              <w:left w:val="single" w:sz="4" w:space="0" w:color="auto"/>
              <w:bottom w:val="single" w:sz="4" w:space="0" w:color="auto"/>
              <w:right w:val="single" w:sz="4" w:space="0" w:color="auto"/>
            </w:tcBorders>
            <w:shd w:val="clear" w:color="auto" w:fill="auto"/>
            <w:vAlign w:val="center"/>
            <w:hideMark/>
          </w:tcPr>
          <w:p w14:paraId="79EFDA6B" w14:textId="77777777" w:rsidR="005218C2" w:rsidRPr="002A7673" w:rsidRDefault="005218C2"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TOTAL</w:t>
            </w:r>
          </w:p>
        </w:tc>
        <w:tc>
          <w:tcPr>
            <w:tcW w:w="1701" w:type="dxa"/>
            <w:tcBorders>
              <w:top w:val="nil"/>
              <w:left w:val="nil"/>
              <w:bottom w:val="single" w:sz="4" w:space="0" w:color="auto"/>
              <w:right w:val="single" w:sz="4" w:space="0" w:color="auto"/>
            </w:tcBorders>
            <w:shd w:val="clear" w:color="auto" w:fill="auto"/>
            <w:vAlign w:val="center"/>
            <w:hideMark/>
          </w:tcPr>
          <w:p w14:paraId="019B21E7" w14:textId="77777777" w:rsidR="005218C2" w:rsidRPr="002A7673" w:rsidRDefault="005218C2" w:rsidP="0048334E">
            <w:pPr>
              <w:spacing w:after="0" w:line="240" w:lineRule="auto"/>
              <w:jc w:val="right"/>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21 792 933,12</w:t>
            </w:r>
          </w:p>
        </w:tc>
        <w:tc>
          <w:tcPr>
            <w:tcW w:w="2126" w:type="dxa"/>
            <w:tcBorders>
              <w:top w:val="nil"/>
              <w:left w:val="nil"/>
              <w:bottom w:val="single" w:sz="4" w:space="0" w:color="auto"/>
              <w:right w:val="single" w:sz="4" w:space="0" w:color="auto"/>
            </w:tcBorders>
            <w:shd w:val="clear" w:color="auto" w:fill="auto"/>
            <w:vAlign w:val="center"/>
            <w:hideMark/>
          </w:tcPr>
          <w:p w14:paraId="3770451A" w14:textId="77777777" w:rsidR="005218C2" w:rsidRPr="002A7673" w:rsidRDefault="005218C2" w:rsidP="0048334E">
            <w:pPr>
              <w:spacing w:after="0" w:line="240" w:lineRule="auto"/>
              <w:jc w:val="right"/>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2 499 571,20</w:t>
            </w:r>
          </w:p>
        </w:tc>
        <w:tc>
          <w:tcPr>
            <w:tcW w:w="2410" w:type="dxa"/>
            <w:tcBorders>
              <w:top w:val="nil"/>
              <w:left w:val="nil"/>
              <w:bottom w:val="single" w:sz="4" w:space="0" w:color="auto"/>
              <w:right w:val="single" w:sz="4" w:space="0" w:color="auto"/>
            </w:tcBorders>
            <w:shd w:val="clear" w:color="auto" w:fill="auto"/>
            <w:vAlign w:val="center"/>
            <w:hideMark/>
          </w:tcPr>
          <w:p w14:paraId="6917DA66" w14:textId="77777777" w:rsidR="005218C2" w:rsidRPr="002A7673" w:rsidRDefault="005218C2" w:rsidP="0048334E">
            <w:pPr>
              <w:spacing w:after="0" w:line="240" w:lineRule="auto"/>
              <w:jc w:val="right"/>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24 292 504,32</w:t>
            </w:r>
          </w:p>
        </w:tc>
      </w:tr>
    </w:tbl>
    <w:p w14:paraId="1A864574" w14:textId="77777777" w:rsidR="00A60CCD" w:rsidRPr="002A7673" w:rsidRDefault="00A60CCD"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val="es-ES" w:eastAsia="es-ES"/>
        </w:rPr>
      </w:pPr>
    </w:p>
    <w:p w14:paraId="6A9D9EA4" w14:textId="2C233694"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val="es-ES" w:eastAsia="es-ES"/>
        </w:rPr>
      </w:pPr>
      <w:r w:rsidRPr="002A7673">
        <w:rPr>
          <w:rFonts w:ascii="Times New Roman" w:eastAsia="Arial Unicode MS" w:hAnsi="Times New Roman" w:cs="Times New Roman"/>
          <w:color w:val="000000"/>
          <w:sz w:val="26"/>
          <w:szCs w:val="26"/>
          <w:u w:color="000000"/>
          <w:lang w:val="es-ES" w:eastAsia="es-ES"/>
        </w:rPr>
        <w:t>En resumen, sobre las estimaciones de estos montos por Programa, la Dirección de Gestión Humana expuso lo siguiente:</w:t>
      </w:r>
    </w:p>
    <w:p w14:paraId="5DF19186" w14:textId="77777777" w:rsidR="00A60CCD" w:rsidRPr="002A7673" w:rsidRDefault="00A60CCD"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val="es-ES" w:eastAsia="es-ES"/>
        </w:rPr>
      </w:pPr>
    </w:p>
    <w:p w14:paraId="3BDBE9AC" w14:textId="77777777" w:rsidR="005218C2" w:rsidRPr="002A7673" w:rsidRDefault="005218C2" w:rsidP="00FF3FAC">
      <w:pPr>
        <w:numPr>
          <w:ilvl w:val="0"/>
          <w:numId w:val="50"/>
        </w:numPr>
        <w:spacing w:after="0" w:line="240" w:lineRule="auto"/>
        <w:ind w:left="851" w:right="851" w:firstLine="709"/>
        <w:contextualSpacing/>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t>Programa 926 (Dirección y Administración):</w:t>
      </w:r>
      <w:r w:rsidRPr="002A7673">
        <w:rPr>
          <w:rFonts w:ascii="Times New Roman" w:eastAsia="Times New Roman" w:hAnsi="Times New Roman" w:cs="Times New Roman"/>
          <w:sz w:val="26"/>
          <w:szCs w:val="26"/>
          <w:lang w:val="es-ES" w:eastAsia="es-ES"/>
        </w:rPr>
        <w:t xml:space="preserve"> </w:t>
      </w:r>
      <w:proofErr w:type="gramStart"/>
      <w:r w:rsidRPr="002A7673">
        <w:rPr>
          <w:rFonts w:ascii="Times New Roman" w:eastAsia="Times New Roman" w:hAnsi="Times New Roman" w:cs="Times New Roman"/>
          <w:sz w:val="26"/>
          <w:szCs w:val="26"/>
          <w:lang w:val="es-ES" w:eastAsia="es-ES"/>
        </w:rPr>
        <w:t>en razón de</w:t>
      </w:r>
      <w:proofErr w:type="gramEnd"/>
      <w:r w:rsidRPr="002A7673">
        <w:rPr>
          <w:rFonts w:ascii="Times New Roman" w:eastAsia="Times New Roman" w:hAnsi="Times New Roman" w:cs="Times New Roman"/>
          <w:sz w:val="26"/>
          <w:szCs w:val="26"/>
          <w:lang w:val="es-ES" w:eastAsia="es-ES"/>
        </w:rPr>
        <w:t xml:space="preserve"> que </w:t>
      </w:r>
      <w:r w:rsidRPr="002A7673">
        <w:rPr>
          <w:rFonts w:ascii="Times New Roman" w:eastAsia="Times New Roman" w:hAnsi="Times New Roman" w:cs="Times New Roman"/>
          <w:b/>
          <w:bCs/>
          <w:sz w:val="26"/>
          <w:szCs w:val="26"/>
          <w:lang w:val="es-ES" w:eastAsia="es-ES"/>
        </w:rPr>
        <w:t xml:space="preserve">no </w:t>
      </w:r>
      <w:r w:rsidRPr="002A7673">
        <w:rPr>
          <w:rFonts w:ascii="Times New Roman" w:eastAsia="Times New Roman" w:hAnsi="Times New Roman" w:cs="Times New Roman"/>
          <w:sz w:val="26"/>
          <w:szCs w:val="26"/>
          <w:lang w:val="es-ES" w:eastAsia="es-ES"/>
        </w:rPr>
        <w:t xml:space="preserve">se cuenta con recursos aprobados para la subpartida 60201 (becas a funcionarios) desde el periodo 2021, el Subproceso Gestión de la Capacitación de la Dirección de Gestión Humana, mediante el oficio PJ-DHG-CAP-084-2021 solicitó al Consejo Superior valorar una propuesta para redistribuir de forma equitativa los recursos asignados en esta subpartida para el año 2022 a los diferentes programas presupuestarios. Lo anterior, con el fin de contar con recursos económicos para atender las necesidades de capacitación de la población judicial que pertenece a este programa. </w:t>
      </w:r>
    </w:p>
    <w:p w14:paraId="7EA03B21" w14:textId="77777777" w:rsidR="005218C2" w:rsidRPr="002A7673" w:rsidRDefault="005218C2" w:rsidP="005218C2">
      <w:pPr>
        <w:spacing w:after="0" w:line="240" w:lineRule="auto"/>
        <w:ind w:left="851" w:right="851" w:firstLine="709"/>
        <w:rPr>
          <w:rFonts w:ascii="Times New Roman" w:hAnsi="Times New Roman" w:cs="Times New Roman"/>
          <w:sz w:val="26"/>
          <w:szCs w:val="26"/>
        </w:rPr>
      </w:pPr>
    </w:p>
    <w:p w14:paraId="64096469" w14:textId="77777777" w:rsidR="005218C2" w:rsidRPr="002A7673" w:rsidRDefault="005218C2" w:rsidP="00FF3FAC">
      <w:pPr>
        <w:numPr>
          <w:ilvl w:val="0"/>
          <w:numId w:val="49"/>
        </w:numPr>
        <w:spacing w:after="0" w:line="240" w:lineRule="auto"/>
        <w:ind w:left="851" w:right="851" w:firstLine="709"/>
        <w:contextualSpacing/>
        <w:jc w:val="both"/>
        <w:rPr>
          <w:rFonts w:ascii="Times New Roman" w:eastAsia="Times New Roman" w:hAnsi="Times New Roman" w:cs="Times New Roman"/>
          <w:sz w:val="26"/>
          <w:szCs w:val="26"/>
          <w:lang w:val="es-ES" w:eastAsia="es-CR"/>
        </w:rPr>
      </w:pPr>
      <w:r w:rsidRPr="002A7673">
        <w:rPr>
          <w:rFonts w:ascii="Times New Roman" w:eastAsia="Times New Roman" w:hAnsi="Times New Roman" w:cs="Times New Roman"/>
          <w:b/>
          <w:bCs/>
          <w:sz w:val="26"/>
          <w:szCs w:val="26"/>
          <w:lang w:val="es-ES" w:eastAsia="es-ES"/>
        </w:rPr>
        <w:lastRenderedPageBreak/>
        <w:t>Programa 927 (Judicatura):</w:t>
      </w:r>
      <w:r w:rsidRPr="002A7673">
        <w:rPr>
          <w:rFonts w:ascii="Times New Roman" w:eastAsia="Times New Roman" w:hAnsi="Times New Roman" w:cs="Times New Roman"/>
          <w:sz w:val="26"/>
          <w:szCs w:val="26"/>
          <w:lang w:val="es-ES" w:eastAsia="es-CR"/>
        </w:rPr>
        <w:t xml:space="preserve"> los recursos asignados </w:t>
      </w:r>
      <w:r w:rsidRPr="002A7673">
        <w:rPr>
          <w:rFonts w:ascii="Times New Roman" w:eastAsia="Times New Roman" w:hAnsi="Times New Roman" w:cs="Times New Roman"/>
          <w:sz w:val="26"/>
          <w:szCs w:val="26"/>
          <w:lang w:val="es-ES" w:eastAsia="es-ES"/>
        </w:rPr>
        <w:t xml:space="preserve">se formulan para tres actividades nacionales (dos becas completas y una beca parcial) y ocho internacionales (ayudas económicas); además, se considera la actualización del tipo de cambio del euro. </w:t>
      </w:r>
    </w:p>
    <w:p w14:paraId="575E010F"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b/>
          <w:bCs/>
          <w:sz w:val="26"/>
          <w:szCs w:val="26"/>
          <w:lang w:val="es-ES" w:eastAsia="es-ES"/>
        </w:rPr>
      </w:pPr>
    </w:p>
    <w:p w14:paraId="4C5B9263" w14:textId="77777777" w:rsidR="005218C2" w:rsidRPr="002A7673" w:rsidRDefault="005218C2" w:rsidP="00FF3FAC">
      <w:pPr>
        <w:numPr>
          <w:ilvl w:val="0"/>
          <w:numId w:val="49"/>
        </w:numPr>
        <w:spacing w:after="0" w:line="240" w:lineRule="auto"/>
        <w:ind w:left="851" w:right="851" w:firstLine="709"/>
        <w:contextualSpacing/>
        <w:jc w:val="both"/>
        <w:rPr>
          <w:rFonts w:ascii="Times New Roman" w:eastAsia="Times New Roman" w:hAnsi="Times New Roman" w:cs="Times New Roman"/>
          <w:sz w:val="26"/>
          <w:szCs w:val="26"/>
          <w:lang w:val="es-ES" w:eastAsia="es-CR"/>
        </w:rPr>
      </w:pPr>
      <w:r w:rsidRPr="002A7673">
        <w:rPr>
          <w:rFonts w:ascii="Times New Roman" w:eastAsia="Times New Roman" w:hAnsi="Times New Roman" w:cs="Times New Roman"/>
          <w:b/>
          <w:bCs/>
          <w:sz w:val="26"/>
          <w:szCs w:val="26"/>
          <w:lang w:val="es-ES" w:eastAsia="es-CR"/>
        </w:rPr>
        <w:t xml:space="preserve">Programa 928 (Organismo de Investigación Judicial): </w:t>
      </w:r>
      <w:r w:rsidRPr="002A7673">
        <w:rPr>
          <w:rFonts w:ascii="Times New Roman" w:eastAsia="Times New Roman" w:hAnsi="Times New Roman" w:cs="Times New Roman"/>
          <w:sz w:val="26"/>
          <w:szCs w:val="26"/>
          <w:lang w:val="es-ES" w:eastAsia="es-CR"/>
        </w:rPr>
        <w:t xml:space="preserve">los recursos asignados </w:t>
      </w:r>
      <w:r w:rsidRPr="002A7673">
        <w:rPr>
          <w:rFonts w:ascii="Times New Roman" w:eastAsia="Times New Roman" w:hAnsi="Times New Roman" w:cs="Times New Roman"/>
          <w:sz w:val="26"/>
          <w:szCs w:val="26"/>
          <w:lang w:val="es-ES" w:eastAsia="es-ES"/>
        </w:rPr>
        <w:t xml:space="preserve">se formulan para una actividad nacional, considerando el pago de una beca parcial, ya que el monto no es suficiente para cubrir el costo total de la maestría. </w:t>
      </w:r>
    </w:p>
    <w:p w14:paraId="700BB60E" w14:textId="77777777" w:rsidR="005218C2" w:rsidRPr="002A7673" w:rsidRDefault="005218C2" w:rsidP="005218C2">
      <w:pPr>
        <w:spacing w:after="0" w:line="240" w:lineRule="auto"/>
        <w:ind w:left="851" w:right="851" w:firstLine="709"/>
        <w:rPr>
          <w:rFonts w:ascii="Times New Roman" w:eastAsia="Times New Roman" w:hAnsi="Times New Roman" w:cs="Times New Roman"/>
          <w:sz w:val="26"/>
          <w:szCs w:val="26"/>
          <w:lang w:val="es-ES" w:eastAsia="es-CR"/>
        </w:rPr>
      </w:pPr>
    </w:p>
    <w:p w14:paraId="0C542BFA" w14:textId="77777777" w:rsidR="005218C2" w:rsidRPr="002A7673" w:rsidRDefault="005218C2" w:rsidP="00FF3FAC">
      <w:pPr>
        <w:numPr>
          <w:ilvl w:val="0"/>
          <w:numId w:val="49"/>
        </w:numPr>
        <w:spacing w:after="0" w:line="240" w:lineRule="auto"/>
        <w:ind w:left="851" w:right="851" w:firstLine="709"/>
        <w:contextualSpacing/>
        <w:jc w:val="both"/>
        <w:rPr>
          <w:rFonts w:ascii="Times New Roman" w:eastAsia="Times New Roman" w:hAnsi="Times New Roman" w:cs="Times New Roman"/>
          <w:sz w:val="26"/>
          <w:szCs w:val="26"/>
          <w:lang w:val="es-ES" w:eastAsia="es-CR"/>
        </w:rPr>
      </w:pPr>
      <w:r w:rsidRPr="002A7673">
        <w:rPr>
          <w:rFonts w:ascii="Times New Roman" w:eastAsia="Times New Roman" w:hAnsi="Times New Roman" w:cs="Times New Roman"/>
          <w:b/>
          <w:bCs/>
          <w:sz w:val="26"/>
          <w:szCs w:val="26"/>
          <w:lang w:val="es-ES" w:eastAsia="es-CR"/>
        </w:rPr>
        <w:t xml:space="preserve">Programa 929 (Ministerio Público): </w:t>
      </w:r>
      <w:r w:rsidRPr="002A7673">
        <w:rPr>
          <w:rFonts w:ascii="Times New Roman" w:eastAsia="Times New Roman" w:hAnsi="Times New Roman" w:cs="Times New Roman"/>
          <w:sz w:val="26"/>
          <w:szCs w:val="26"/>
          <w:lang w:val="es-ES" w:eastAsia="es-CR"/>
        </w:rPr>
        <w:t xml:space="preserve">los recursos asignados </w:t>
      </w:r>
      <w:r w:rsidRPr="002A7673">
        <w:rPr>
          <w:rFonts w:ascii="Times New Roman" w:eastAsia="Times New Roman" w:hAnsi="Times New Roman" w:cs="Times New Roman"/>
          <w:sz w:val="26"/>
          <w:szCs w:val="26"/>
          <w:lang w:val="es-ES" w:eastAsia="es-ES"/>
        </w:rPr>
        <w:t xml:space="preserve">se formulan para una actividad nacional, considerando el pago de cuatro becas completas. </w:t>
      </w:r>
    </w:p>
    <w:p w14:paraId="1427D716" w14:textId="77777777" w:rsidR="005218C2" w:rsidRPr="002A7673" w:rsidRDefault="005218C2" w:rsidP="005218C2">
      <w:pPr>
        <w:spacing w:after="0" w:line="240" w:lineRule="auto"/>
        <w:ind w:left="851" w:right="851" w:firstLine="709"/>
        <w:rPr>
          <w:rFonts w:ascii="Times New Roman" w:eastAsia="Times New Roman" w:hAnsi="Times New Roman" w:cs="Times New Roman"/>
          <w:sz w:val="26"/>
          <w:szCs w:val="26"/>
          <w:highlight w:val="yellow"/>
          <w:lang w:val="es-ES" w:eastAsia="es-CR"/>
        </w:rPr>
      </w:pPr>
    </w:p>
    <w:p w14:paraId="5773227C" w14:textId="77777777" w:rsidR="005218C2" w:rsidRPr="002A7673" w:rsidRDefault="005218C2" w:rsidP="00FF3FAC">
      <w:pPr>
        <w:numPr>
          <w:ilvl w:val="0"/>
          <w:numId w:val="49"/>
        </w:numPr>
        <w:spacing w:after="0" w:line="240" w:lineRule="auto"/>
        <w:ind w:left="851" w:right="851" w:firstLine="709"/>
        <w:contextualSpacing/>
        <w:jc w:val="both"/>
        <w:rPr>
          <w:rFonts w:ascii="Times New Roman" w:eastAsia="Times New Roman" w:hAnsi="Times New Roman" w:cs="Times New Roman"/>
          <w:sz w:val="26"/>
          <w:szCs w:val="26"/>
          <w:lang w:val="es-ES" w:eastAsia="es-CR"/>
        </w:rPr>
      </w:pPr>
      <w:r w:rsidRPr="002A7673">
        <w:rPr>
          <w:rFonts w:ascii="Times New Roman" w:eastAsia="Times New Roman" w:hAnsi="Times New Roman" w:cs="Times New Roman"/>
          <w:b/>
          <w:bCs/>
          <w:sz w:val="26"/>
          <w:szCs w:val="26"/>
          <w:lang w:val="es-ES" w:eastAsia="es-CR"/>
        </w:rPr>
        <w:t xml:space="preserve">Programa 930 (Defensa Pública): </w:t>
      </w:r>
      <w:r w:rsidRPr="002A7673">
        <w:rPr>
          <w:rFonts w:ascii="Times New Roman" w:eastAsia="Times New Roman" w:hAnsi="Times New Roman" w:cs="Times New Roman"/>
          <w:sz w:val="26"/>
          <w:szCs w:val="26"/>
          <w:lang w:val="es-ES" w:eastAsia="es-CR"/>
        </w:rPr>
        <w:t xml:space="preserve">los recursos asignados </w:t>
      </w:r>
      <w:r w:rsidRPr="002A7673">
        <w:rPr>
          <w:rFonts w:ascii="Times New Roman" w:eastAsia="Times New Roman" w:hAnsi="Times New Roman" w:cs="Times New Roman"/>
          <w:sz w:val="26"/>
          <w:szCs w:val="26"/>
          <w:lang w:val="es-ES" w:eastAsia="es-ES"/>
        </w:rPr>
        <w:t>se formulan para tres actividades nacionales con una beca completa que cubre el costo total de matrícula y materias para cada actividad.</w:t>
      </w:r>
    </w:p>
    <w:p w14:paraId="76FED16D" w14:textId="77777777" w:rsidR="005218C2" w:rsidRPr="002A7673" w:rsidRDefault="005218C2" w:rsidP="005218C2">
      <w:pPr>
        <w:spacing w:after="0" w:line="240" w:lineRule="auto"/>
        <w:ind w:left="851" w:right="851" w:firstLine="709"/>
        <w:rPr>
          <w:rFonts w:ascii="Times New Roman" w:eastAsia="Times New Roman" w:hAnsi="Times New Roman" w:cs="Times New Roman"/>
          <w:sz w:val="26"/>
          <w:szCs w:val="26"/>
          <w:highlight w:val="yellow"/>
          <w:lang w:val="es-ES" w:eastAsia="es-CR"/>
        </w:rPr>
      </w:pPr>
    </w:p>
    <w:p w14:paraId="28B52F65" w14:textId="77777777" w:rsidR="005218C2" w:rsidRPr="002A7673" w:rsidRDefault="005218C2" w:rsidP="00FF3FAC">
      <w:pPr>
        <w:numPr>
          <w:ilvl w:val="0"/>
          <w:numId w:val="49"/>
        </w:numPr>
        <w:spacing w:after="0" w:line="240" w:lineRule="auto"/>
        <w:ind w:left="851" w:right="851" w:firstLine="709"/>
        <w:contextualSpacing/>
        <w:jc w:val="both"/>
        <w:rPr>
          <w:rFonts w:ascii="Times New Roman" w:eastAsia="Times New Roman" w:hAnsi="Times New Roman" w:cs="Times New Roman"/>
          <w:sz w:val="26"/>
          <w:szCs w:val="26"/>
          <w:lang w:val="es-ES" w:eastAsia="es-CR"/>
        </w:rPr>
      </w:pPr>
      <w:r w:rsidRPr="002A7673">
        <w:rPr>
          <w:rFonts w:ascii="Times New Roman" w:eastAsia="Times New Roman" w:hAnsi="Times New Roman" w:cs="Times New Roman"/>
          <w:b/>
          <w:bCs/>
          <w:sz w:val="26"/>
          <w:szCs w:val="26"/>
          <w:lang w:val="es-ES" w:eastAsia="es-CR"/>
        </w:rPr>
        <w:t xml:space="preserve">Programa 950 (Oficina de Atención y Protección a la Víctima del Delito): </w:t>
      </w:r>
      <w:r w:rsidRPr="002A7673">
        <w:rPr>
          <w:rFonts w:ascii="Times New Roman" w:eastAsia="Times New Roman" w:hAnsi="Times New Roman" w:cs="Times New Roman"/>
          <w:sz w:val="26"/>
          <w:szCs w:val="26"/>
          <w:lang w:val="es-ES" w:eastAsia="es-CR"/>
        </w:rPr>
        <w:t xml:space="preserve">los recursos asignados </w:t>
      </w:r>
      <w:r w:rsidRPr="002A7673">
        <w:rPr>
          <w:rFonts w:ascii="Times New Roman" w:eastAsia="Times New Roman" w:hAnsi="Times New Roman" w:cs="Times New Roman"/>
          <w:sz w:val="26"/>
          <w:szCs w:val="26"/>
          <w:lang w:val="es-ES" w:eastAsia="es-ES"/>
        </w:rPr>
        <w:t xml:space="preserve">se formulan para una actividad nacional, considerando el pago de una beca parcial, ya que el monto no es suficiente para cubrir el costo total de la maestría. </w:t>
      </w:r>
    </w:p>
    <w:p w14:paraId="49E805A4"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eastAsia="es-ES"/>
        </w:rPr>
      </w:pPr>
      <w:r w:rsidRPr="002A7673">
        <w:rPr>
          <w:rFonts w:ascii="Times New Roman" w:eastAsia="Arial Unicode MS" w:hAnsi="Times New Roman" w:cs="Times New Roman"/>
          <w:color w:val="000000"/>
          <w:sz w:val="26"/>
          <w:szCs w:val="26"/>
          <w:u w:color="000000"/>
          <w:lang w:eastAsia="es-ES"/>
        </w:rPr>
        <w:t>Sin embargo, en el apartado de conclusiones y recomendaciones, se indica que esta propuesta de becas podría variar dependiendo del acuerdo que tome el Consejo Superior a lo planteado por el Subproceso de Gestión de la Capacitación en el oficio 084-CAP-2021, respecto a la propuesta para redistribuir de forma equitativa los recursos asignados para el 2022.</w:t>
      </w:r>
    </w:p>
    <w:p w14:paraId="652D3726"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b/>
          <w:bCs/>
          <w:color w:val="000000"/>
          <w:sz w:val="26"/>
          <w:szCs w:val="26"/>
          <w:u w:val="single" w:color="000000"/>
          <w:lang w:eastAsia="es-ES"/>
        </w:rPr>
      </w:pPr>
    </w:p>
    <w:p w14:paraId="12A98D17"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b/>
          <w:bCs/>
          <w:color w:val="000000"/>
          <w:sz w:val="26"/>
          <w:szCs w:val="26"/>
          <w:u w:val="single" w:color="000000"/>
          <w:lang w:eastAsia="es-ES"/>
        </w:rPr>
      </w:pPr>
      <w:r w:rsidRPr="002A7673">
        <w:rPr>
          <w:rFonts w:ascii="Times New Roman" w:eastAsia="Arial Unicode MS" w:hAnsi="Times New Roman" w:cs="Times New Roman"/>
          <w:b/>
          <w:bCs/>
          <w:color w:val="000000"/>
          <w:sz w:val="26"/>
          <w:szCs w:val="26"/>
          <w:u w:val="single" w:color="000000"/>
          <w:lang w:eastAsia="es-ES"/>
        </w:rPr>
        <w:t>Oficio 084-CAP-2021</w:t>
      </w:r>
    </w:p>
    <w:p w14:paraId="0D966E7F"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b/>
          <w:bCs/>
          <w:color w:val="000000"/>
          <w:sz w:val="26"/>
          <w:szCs w:val="26"/>
          <w:u w:val="single" w:color="000000"/>
          <w:lang w:eastAsia="es-ES"/>
        </w:rPr>
      </w:pPr>
    </w:p>
    <w:p w14:paraId="5F19A805"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eastAsia="es-ES"/>
        </w:rPr>
      </w:pPr>
      <w:r w:rsidRPr="002A7673">
        <w:rPr>
          <w:rFonts w:ascii="Times New Roman" w:eastAsia="Arial Unicode MS" w:hAnsi="Times New Roman" w:cs="Times New Roman"/>
          <w:color w:val="000000"/>
          <w:sz w:val="26"/>
          <w:szCs w:val="26"/>
          <w:u w:color="000000"/>
          <w:lang w:eastAsia="es-ES"/>
        </w:rPr>
        <w:t>En este oficio se plantean dos propuestas las que se detallan a continuación:</w:t>
      </w:r>
    </w:p>
    <w:p w14:paraId="764FB642"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p>
    <w:p w14:paraId="6B0FF823"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r w:rsidRPr="002A7673">
        <w:rPr>
          <w:rFonts w:ascii="Times New Roman" w:eastAsia="Calibri" w:hAnsi="Times New Roman" w:cs="Times New Roman"/>
          <w:b/>
          <w:bCs/>
          <w:color w:val="000000"/>
          <w:sz w:val="26"/>
          <w:szCs w:val="26"/>
          <w:u w:val="single"/>
        </w:rPr>
        <w:t>PROPUESTA – A</w:t>
      </w:r>
    </w:p>
    <w:p w14:paraId="5EAF41C9"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p>
    <w:p w14:paraId="047BAB97"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 xml:space="preserve">En virtud de que se aprobó una modificación externa para otorgar recursos a la subpartida 60201 para asumir los compromisos de becas presentes para el año 2021, se solicita al Consejo Superior valorar la posibilidad de que se permita incrementar mediante esta formulación 2022, </w:t>
      </w:r>
      <w:r w:rsidRPr="002A7673">
        <w:rPr>
          <w:rFonts w:ascii="Times New Roman" w:eastAsia="Calibri" w:hAnsi="Times New Roman" w:cs="Times New Roman"/>
          <w:color w:val="000000"/>
          <w:sz w:val="26"/>
          <w:szCs w:val="26"/>
        </w:rPr>
        <w:lastRenderedPageBreak/>
        <w:t xml:space="preserve">los recursos presupuestarios en la subpartida 60201 (Becas a Funcionarios) del programa 926 (Dirección y Administración), por el mismo monto que se encontraba comprometido para el año 2021, siendo este ₡3.990.000,00. </w:t>
      </w:r>
    </w:p>
    <w:p w14:paraId="17728518"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 xml:space="preserve">Con el fin de poder formular recursos para el año 2022 y atender las necesidades de capacitación de la población judicial que pertenece a este programa. </w:t>
      </w:r>
    </w:p>
    <w:p w14:paraId="1F6896E7"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p>
    <w:p w14:paraId="0A71E3B4"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p>
    <w:p w14:paraId="4E392451"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r w:rsidRPr="002A7673">
        <w:rPr>
          <w:rFonts w:ascii="Times New Roman" w:eastAsia="Calibri" w:hAnsi="Times New Roman" w:cs="Times New Roman"/>
          <w:b/>
          <w:bCs/>
          <w:color w:val="000000"/>
          <w:sz w:val="26"/>
          <w:szCs w:val="26"/>
          <w:u w:val="single"/>
        </w:rPr>
        <w:t xml:space="preserve">PROPUESTA – B </w:t>
      </w:r>
    </w:p>
    <w:p w14:paraId="01330C8C"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p>
    <w:p w14:paraId="1E751786"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 xml:space="preserve">Considerando el acuerdo tomado por el Consejo Superior en sesión extraordinaria No. 29-19, celebrada el 29 de marzo del 2019, artículo II, el cual indica textualmente: </w:t>
      </w:r>
    </w:p>
    <w:p w14:paraId="0D144028"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p>
    <w:p w14:paraId="5CEE00A7" w14:textId="77777777" w:rsidR="005218C2" w:rsidRPr="002A7673" w:rsidRDefault="005218C2" w:rsidP="005218C2">
      <w:pPr>
        <w:spacing w:after="0" w:line="240" w:lineRule="auto"/>
        <w:ind w:left="851" w:right="851" w:firstLine="709"/>
        <w:jc w:val="both"/>
        <w:rPr>
          <w:rFonts w:ascii="Times New Roman" w:eastAsia="Calibri" w:hAnsi="Times New Roman" w:cs="Times New Roman"/>
          <w:i/>
          <w:iCs/>
          <w:color w:val="000000"/>
          <w:sz w:val="26"/>
          <w:szCs w:val="26"/>
        </w:rPr>
      </w:pPr>
      <w:r w:rsidRPr="002A7673">
        <w:rPr>
          <w:rFonts w:ascii="Times New Roman" w:eastAsia="Calibri" w:hAnsi="Times New Roman" w:cs="Times New Roman"/>
          <w:b/>
          <w:bCs/>
          <w:i/>
          <w:iCs/>
          <w:color w:val="000000"/>
          <w:sz w:val="26"/>
          <w:szCs w:val="26"/>
        </w:rPr>
        <w:t>“Se acordó:</w:t>
      </w:r>
      <w:r w:rsidRPr="002A7673">
        <w:rPr>
          <w:rFonts w:ascii="Times New Roman" w:eastAsia="Calibri" w:hAnsi="Times New Roman" w:cs="Times New Roman"/>
          <w:i/>
          <w:iCs/>
          <w:color w:val="000000"/>
          <w:sz w:val="26"/>
          <w:szCs w:val="26"/>
        </w:rPr>
        <w:t xml:space="preserve"> Previamente a resolver se le solicita de forma urgente a la Dirección de Gestión Humana realizar una propuesta de redistribución de recursos más equitativa entre los diferentes programas presupuestarios […].” </w:t>
      </w:r>
    </w:p>
    <w:p w14:paraId="319BFF1E" w14:textId="77777777" w:rsidR="005218C2" w:rsidRPr="002A7673" w:rsidRDefault="005218C2" w:rsidP="005218C2">
      <w:pPr>
        <w:spacing w:after="0" w:line="240" w:lineRule="auto"/>
        <w:ind w:left="851" w:right="851" w:firstLine="709"/>
        <w:jc w:val="both"/>
        <w:rPr>
          <w:rFonts w:ascii="Times New Roman" w:eastAsia="Calibri" w:hAnsi="Times New Roman" w:cs="Times New Roman"/>
          <w:i/>
          <w:iCs/>
          <w:color w:val="000000"/>
          <w:sz w:val="26"/>
          <w:szCs w:val="26"/>
        </w:rPr>
      </w:pPr>
    </w:p>
    <w:p w14:paraId="4896E808"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 xml:space="preserve">Se propone al Consejo Superior valorar para el periodo 2022, una redistribución de los recursos ya existentes de forma más equitativa entre los diferentes programas presupuestarios, con el fin de que todos los programas cuenten con una cantidad de recursos similar para atender las necesidades de capacitación de la población a cargo. </w:t>
      </w:r>
    </w:p>
    <w:p w14:paraId="60505558"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p>
    <w:p w14:paraId="04E6F407"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b/>
          <w:bCs/>
          <w:color w:val="000000"/>
          <w:sz w:val="26"/>
          <w:szCs w:val="26"/>
          <w:u w:val="single" w:color="000000"/>
          <w:lang w:val="es-ES" w:eastAsia="es-ES"/>
        </w:rPr>
      </w:pPr>
      <w:r w:rsidRPr="002A7673">
        <w:rPr>
          <w:rFonts w:ascii="Times New Roman" w:eastAsia="Arial Unicode MS" w:hAnsi="Times New Roman" w:cs="Times New Roman"/>
          <w:b/>
          <w:bCs/>
          <w:color w:val="000000"/>
          <w:sz w:val="26"/>
          <w:szCs w:val="26"/>
          <w:u w:val="single" w:color="000000"/>
          <w:lang w:val="es-ES" w:eastAsia="es-ES"/>
        </w:rPr>
        <w:t>Oficio 150-CAP-2021</w:t>
      </w:r>
    </w:p>
    <w:p w14:paraId="2B2C68F7"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val="es-ES" w:eastAsia="es-ES"/>
        </w:rPr>
      </w:pPr>
      <w:r w:rsidRPr="002A7673">
        <w:rPr>
          <w:rFonts w:ascii="Times New Roman" w:eastAsia="Arial Unicode MS" w:hAnsi="Times New Roman" w:cs="Times New Roman"/>
          <w:color w:val="000000"/>
          <w:sz w:val="26"/>
          <w:szCs w:val="26"/>
          <w:u w:color="000000"/>
          <w:lang w:val="es-ES" w:eastAsia="es-ES"/>
        </w:rPr>
        <w:t>Posteriormente, mediante oficio 150-CAP-2021, se plantea una nueva propuesta de distribución de recursos para esta subpartida, sobre la que nuevamente se reitera que, de ser aprobada por el Consejo Superior, dejaría sin efecto la propuesta original, por lo que esta segunda propuesta es la que se expone seguidamente.</w:t>
      </w:r>
    </w:p>
    <w:p w14:paraId="61C39CF3" w14:textId="77777777" w:rsidR="005218C2" w:rsidRPr="002A7673" w:rsidRDefault="005218C2" w:rsidP="005218C2">
      <w:pPr>
        <w:widowControl w:val="0"/>
        <w:autoSpaceDE w:val="0"/>
        <w:autoSpaceDN w:val="0"/>
        <w:adjustRightInd w:val="0"/>
        <w:spacing w:after="0" w:line="240" w:lineRule="auto"/>
        <w:ind w:left="851" w:right="851" w:firstLine="709"/>
        <w:jc w:val="both"/>
        <w:rPr>
          <w:rFonts w:ascii="Times New Roman" w:eastAsia="Arial Unicode MS" w:hAnsi="Times New Roman" w:cs="Times New Roman"/>
          <w:color w:val="000000"/>
          <w:sz w:val="26"/>
          <w:szCs w:val="26"/>
          <w:u w:color="000000"/>
          <w:lang w:val="es-ES" w:eastAsia="es-ES"/>
        </w:rPr>
      </w:pPr>
    </w:p>
    <w:p w14:paraId="28691296" w14:textId="77777777" w:rsidR="005218C2" w:rsidRPr="002A7673" w:rsidRDefault="005218C2" w:rsidP="00FF3FAC">
      <w:pPr>
        <w:numPr>
          <w:ilvl w:val="0"/>
          <w:numId w:val="47"/>
        </w:num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 xml:space="preserve">Unificar el presupuesto asignado a la subpartida 60201 (Becas a funcionarios) para los programas 929 (Ministerio Público) y 950 (Oficina de Atención y Protección a la Víctima del Delito - OAPVD), debido a que este último pertenece al Ministerio Público y no cuenta con unidad de capacitación propia, por lo que es la Unidad de Capacitación del Ministerio Público la encargada de dar seguimiento a los contratos de formación suscritos por concepto de beca por parte de las personas servidoras judiciales que pertenezcan a la OAPVD. </w:t>
      </w:r>
    </w:p>
    <w:p w14:paraId="61FAC514"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p>
    <w:p w14:paraId="6C678022"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p>
    <w:p w14:paraId="59AB7975" w14:textId="77777777" w:rsidR="005218C2" w:rsidRPr="002A7673" w:rsidRDefault="005218C2" w:rsidP="00FF3FAC">
      <w:pPr>
        <w:numPr>
          <w:ilvl w:val="0"/>
          <w:numId w:val="47"/>
        </w:num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A partir de lo anterior, se contaría únicamente con cinco programas presupuestarios, siendo estos:</w:t>
      </w:r>
    </w:p>
    <w:p w14:paraId="225F66EE"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p>
    <w:p w14:paraId="40FC81BE" w14:textId="77777777" w:rsidR="005218C2" w:rsidRPr="002A7673" w:rsidRDefault="005218C2" w:rsidP="00FF3FAC">
      <w:pPr>
        <w:numPr>
          <w:ilvl w:val="1"/>
          <w:numId w:val="47"/>
        </w:num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926 – Dirección y Administración</w:t>
      </w:r>
    </w:p>
    <w:p w14:paraId="320A223A" w14:textId="77777777" w:rsidR="005218C2" w:rsidRPr="002A7673" w:rsidRDefault="005218C2" w:rsidP="00FF3FAC">
      <w:pPr>
        <w:numPr>
          <w:ilvl w:val="1"/>
          <w:numId w:val="47"/>
        </w:num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927 – Judicatura</w:t>
      </w:r>
    </w:p>
    <w:p w14:paraId="49CFDA7E" w14:textId="77777777" w:rsidR="005218C2" w:rsidRPr="002A7673" w:rsidRDefault="005218C2" w:rsidP="00FF3FAC">
      <w:pPr>
        <w:numPr>
          <w:ilvl w:val="1"/>
          <w:numId w:val="47"/>
        </w:num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928 – Organismo de Investigación Judicial</w:t>
      </w:r>
    </w:p>
    <w:p w14:paraId="45FE024B" w14:textId="77777777" w:rsidR="005218C2" w:rsidRPr="002A7673" w:rsidRDefault="005218C2" w:rsidP="00FF3FAC">
      <w:pPr>
        <w:numPr>
          <w:ilvl w:val="1"/>
          <w:numId w:val="47"/>
        </w:num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929 – Ministerio Público</w:t>
      </w:r>
    </w:p>
    <w:p w14:paraId="3CAACE03" w14:textId="77777777" w:rsidR="005218C2" w:rsidRPr="002A7673" w:rsidRDefault="005218C2" w:rsidP="00FF3FAC">
      <w:pPr>
        <w:numPr>
          <w:ilvl w:val="1"/>
          <w:numId w:val="47"/>
        </w:num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930 – Defensa Pública</w:t>
      </w:r>
    </w:p>
    <w:p w14:paraId="7FAE2FF6"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p>
    <w:p w14:paraId="5872FFA1" w14:textId="77777777" w:rsidR="005218C2" w:rsidRPr="002A7673" w:rsidRDefault="005218C2" w:rsidP="00FF3FAC">
      <w:pPr>
        <w:numPr>
          <w:ilvl w:val="0"/>
          <w:numId w:val="47"/>
        </w:num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 xml:space="preserve">Dividir el monto total propuesto para formular en becas del año 2022, entre los cinco programas presupuestarios. El monto total es </w:t>
      </w:r>
      <w:r w:rsidRPr="002A7673">
        <w:rPr>
          <w:rFonts w:ascii="Times New Roman" w:eastAsia="Calibri" w:hAnsi="Times New Roman" w:cs="Times New Roman"/>
          <w:b/>
          <w:bCs/>
          <w:color w:val="000000"/>
          <w:sz w:val="26"/>
          <w:szCs w:val="26"/>
        </w:rPr>
        <w:t>₡</w:t>
      </w:r>
      <w:r w:rsidRPr="002A7673">
        <w:rPr>
          <w:rFonts w:ascii="Times New Roman" w:eastAsia="Calibri" w:hAnsi="Times New Roman" w:cs="Times New Roman"/>
          <w:b/>
          <w:bCs/>
          <w:color w:val="000000"/>
          <w:sz w:val="26"/>
          <w:szCs w:val="26"/>
          <w:lang w:eastAsia="es-CR"/>
        </w:rPr>
        <w:t>23.408.096.</w:t>
      </w:r>
    </w:p>
    <w:p w14:paraId="4EC5A8B7" w14:textId="77777777" w:rsidR="005218C2" w:rsidRPr="002A7673" w:rsidRDefault="005218C2" w:rsidP="005218C2">
      <w:pPr>
        <w:spacing w:after="0" w:line="240" w:lineRule="auto"/>
        <w:ind w:left="851" w:right="851" w:firstLine="709"/>
        <w:jc w:val="both"/>
        <w:rPr>
          <w:rFonts w:ascii="Times New Roman" w:eastAsia="Calibri" w:hAnsi="Times New Roman" w:cs="Times New Roman"/>
          <w:color w:val="000000"/>
          <w:sz w:val="26"/>
          <w:szCs w:val="26"/>
        </w:rPr>
      </w:pPr>
    </w:p>
    <w:p w14:paraId="0FE65D88" w14:textId="77777777" w:rsidR="005218C2" w:rsidRPr="002A7673" w:rsidRDefault="005218C2" w:rsidP="00FF3FAC">
      <w:pPr>
        <w:numPr>
          <w:ilvl w:val="0"/>
          <w:numId w:val="47"/>
        </w:numPr>
        <w:spacing w:after="0" w:line="240" w:lineRule="auto"/>
        <w:ind w:left="851" w:right="851" w:firstLine="709"/>
        <w:jc w:val="both"/>
        <w:rPr>
          <w:rFonts w:ascii="Times New Roman" w:eastAsia="Calibri" w:hAnsi="Times New Roman" w:cs="Times New Roman"/>
          <w:color w:val="000000"/>
          <w:sz w:val="26"/>
          <w:szCs w:val="26"/>
        </w:rPr>
      </w:pPr>
      <w:r w:rsidRPr="002A7673">
        <w:rPr>
          <w:rFonts w:ascii="Times New Roman" w:eastAsia="Calibri" w:hAnsi="Times New Roman" w:cs="Times New Roman"/>
          <w:color w:val="000000"/>
          <w:sz w:val="26"/>
          <w:szCs w:val="26"/>
        </w:rPr>
        <w:t xml:space="preserve">Cada programa presupuestario quedaría con un monto de </w:t>
      </w:r>
      <w:r w:rsidRPr="002A7673">
        <w:rPr>
          <w:rFonts w:ascii="Times New Roman" w:eastAsia="Calibri" w:hAnsi="Times New Roman" w:cs="Times New Roman"/>
          <w:b/>
          <w:bCs/>
          <w:color w:val="000000"/>
          <w:sz w:val="26"/>
          <w:szCs w:val="26"/>
        </w:rPr>
        <w:t xml:space="preserve">₡4.681.619 </w:t>
      </w:r>
      <w:r w:rsidRPr="002A7673">
        <w:rPr>
          <w:rFonts w:ascii="Times New Roman" w:eastAsia="Calibri" w:hAnsi="Times New Roman" w:cs="Times New Roman"/>
          <w:color w:val="000000"/>
          <w:sz w:val="26"/>
          <w:szCs w:val="26"/>
        </w:rPr>
        <w:t xml:space="preserve">para formular becas en la subpartida 60201 (Becas a funcionarios) para el año 2022. </w:t>
      </w:r>
    </w:p>
    <w:p w14:paraId="139EF736" w14:textId="77777777" w:rsidR="005218C2" w:rsidRPr="002A7673" w:rsidRDefault="005218C2" w:rsidP="005218C2">
      <w:pPr>
        <w:spacing w:after="0" w:line="240" w:lineRule="auto"/>
        <w:ind w:left="851" w:right="851" w:firstLine="709"/>
        <w:jc w:val="both"/>
        <w:rPr>
          <w:rFonts w:ascii="Times New Roman" w:hAnsi="Times New Roman" w:cs="Times New Roman"/>
          <w:bCs/>
          <w:sz w:val="26"/>
          <w:szCs w:val="26"/>
        </w:rPr>
      </w:pPr>
    </w:p>
    <w:p w14:paraId="547E8D0F" w14:textId="77777777" w:rsidR="005218C2" w:rsidRPr="002A7673" w:rsidRDefault="005218C2" w:rsidP="005218C2">
      <w:pPr>
        <w:spacing w:after="0" w:line="240" w:lineRule="auto"/>
        <w:ind w:left="851" w:right="851" w:firstLine="709"/>
        <w:jc w:val="both"/>
        <w:rPr>
          <w:rFonts w:ascii="Times New Roman" w:hAnsi="Times New Roman" w:cs="Times New Roman"/>
          <w:bCs/>
          <w:sz w:val="26"/>
          <w:szCs w:val="26"/>
        </w:rPr>
      </w:pPr>
      <w:r w:rsidRPr="002A7673">
        <w:rPr>
          <w:rFonts w:ascii="Times New Roman" w:hAnsi="Times New Roman" w:cs="Times New Roman"/>
          <w:bCs/>
          <w:sz w:val="26"/>
          <w:szCs w:val="26"/>
        </w:rPr>
        <w:t xml:space="preserve">Se indica en esta segunda propuesta, </w:t>
      </w:r>
      <w:proofErr w:type="gramStart"/>
      <w:r w:rsidRPr="002A7673">
        <w:rPr>
          <w:rFonts w:ascii="Times New Roman" w:hAnsi="Times New Roman" w:cs="Times New Roman"/>
          <w:bCs/>
          <w:sz w:val="26"/>
          <w:szCs w:val="26"/>
        </w:rPr>
        <w:t>que</w:t>
      </w:r>
      <w:proofErr w:type="gramEnd"/>
      <w:r w:rsidRPr="002A7673">
        <w:rPr>
          <w:rFonts w:ascii="Times New Roman" w:hAnsi="Times New Roman" w:cs="Times New Roman"/>
          <w:bCs/>
          <w:sz w:val="26"/>
          <w:szCs w:val="26"/>
        </w:rPr>
        <w:t xml:space="preserve"> de ser aprobada, la Dirección de Gestión Humana plantea las siguientes recomendaciones al Consejo Superior:</w:t>
      </w:r>
    </w:p>
    <w:p w14:paraId="15F66C5E" w14:textId="77777777" w:rsidR="005218C2" w:rsidRPr="002A7673" w:rsidRDefault="005218C2" w:rsidP="005218C2">
      <w:pPr>
        <w:spacing w:after="0" w:line="240" w:lineRule="auto"/>
        <w:ind w:left="851" w:right="851" w:firstLine="709"/>
        <w:jc w:val="both"/>
        <w:rPr>
          <w:rFonts w:ascii="Times New Roman" w:hAnsi="Times New Roman" w:cs="Times New Roman"/>
          <w:bCs/>
          <w:sz w:val="26"/>
          <w:szCs w:val="26"/>
        </w:rPr>
      </w:pPr>
    </w:p>
    <w:p w14:paraId="29A8058D" w14:textId="77777777" w:rsidR="005218C2" w:rsidRPr="002A7673" w:rsidRDefault="005218C2" w:rsidP="00FF3FAC">
      <w:pPr>
        <w:numPr>
          <w:ilvl w:val="0"/>
          <w:numId w:val="48"/>
        </w:numPr>
        <w:spacing w:after="0" w:line="240" w:lineRule="auto"/>
        <w:ind w:left="851" w:right="851" w:firstLine="709"/>
        <w:jc w:val="both"/>
        <w:rPr>
          <w:rFonts w:ascii="Times New Roman" w:eastAsia="Calibri" w:hAnsi="Times New Roman" w:cs="Times New Roman"/>
          <w:i/>
          <w:iCs/>
          <w:color w:val="000000"/>
          <w:sz w:val="26"/>
          <w:szCs w:val="26"/>
        </w:rPr>
      </w:pPr>
      <w:r w:rsidRPr="002A7673">
        <w:rPr>
          <w:rFonts w:ascii="Times New Roman" w:eastAsia="Calibri" w:hAnsi="Times New Roman" w:cs="Times New Roman"/>
          <w:i/>
          <w:iCs/>
          <w:color w:val="000000"/>
          <w:sz w:val="26"/>
          <w:szCs w:val="26"/>
        </w:rPr>
        <w:t xml:space="preserve">El Consejo Superior establezca la distribución de los </w:t>
      </w:r>
      <w:r w:rsidRPr="002A7673">
        <w:rPr>
          <w:rFonts w:ascii="Times New Roman" w:eastAsia="Calibri" w:hAnsi="Times New Roman" w:cs="Times New Roman"/>
          <w:b/>
          <w:bCs/>
          <w:i/>
          <w:iCs/>
          <w:color w:val="000000"/>
          <w:sz w:val="26"/>
          <w:szCs w:val="26"/>
        </w:rPr>
        <w:t xml:space="preserve">₡4.681.619,25 </w:t>
      </w:r>
      <w:r w:rsidRPr="002A7673">
        <w:rPr>
          <w:rFonts w:ascii="Times New Roman" w:eastAsia="Calibri" w:hAnsi="Times New Roman" w:cs="Times New Roman"/>
          <w:i/>
          <w:iCs/>
          <w:color w:val="000000"/>
          <w:sz w:val="26"/>
          <w:szCs w:val="26"/>
        </w:rPr>
        <w:t xml:space="preserve">entre el programa 929 (Ministerio Público) y el programa 950 (Oficina de Atención y Protección a la Víctima del Delito), siendo que este último pertenece al Ministerio Público. </w:t>
      </w:r>
    </w:p>
    <w:p w14:paraId="2DE9BCED" w14:textId="77777777" w:rsidR="005218C2" w:rsidRPr="002A7673" w:rsidRDefault="005218C2" w:rsidP="005218C2">
      <w:pPr>
        <w:spacing w:after="0" w:line="240" w:lineRule="auto"/>
        <w:ind w:left="851" w:right="851" w:firstLine="709"/>
        <w:jc w:val="both"/>
        <w:rPr>
          <w:rFonts w:ascii="Times New Roman" w:eastAsia="Calibri" w:hAnsi="Times New Roman" w:cs="Times New Roman"/>
          <w:i/>
          <w:iCs/>
          <w:color w:val="000000"/>
          <w:sz w:val="26"/>
          <w:szCs w:val="26"/>
        </w:rPr>
      </w:pPr>
    </w:p>
    <w:p w14:paraId="7B01AD9B" w14:textId="77777777" w:rsidR="005218C2" w:rsidRPr="002A7673" w:rsidRDefault="005218C2" w:rsidP="00FF3FAC">
      <w:pPr>
        <w:numPr>
          <w:ilvl w:val="0"/>
          <w:numId w:val="48"/>
        </w:numPr>
        <w:spacing w:after="0" w:line="240" w:lineRule="auto"/>
        <w:ind w:left="851" w:right="851" w:firstLine="709"/>
        <w:jc w:val="both"/>
        <w:rPr>
          <w:rFonts w:ascii="Times New Roman" w:eastAsia="Calibri" w:hAnsi="Times New Roman" w:cs="Times New Roman"/>
          <w:i/>
          <w:iCs/>
          <w:color w:val="000000"/>
          <w:sz w:val="26"/>
          <w:szCs w:val="26"/>
        </w:rPr>
      </w:pPr>
      <w:r w:rsidRPr="002A7673">
        <w:rPr>
          <w:rFonts w:ascii="Times New Roman" w:eastAsia="Calibri" w:hAnsi="Times New Roman" w:cs="Times New Roman"/>
          <w:i/>
          <w:iCs/>
          <w:color w:val="000000"/>
          <w:sz w:val="26"/>
          <w:szCs w:val="26"/>
        </w:rPr>
        <w:t xml:space="preserve">Se comunique la aprobación de esta propuesta a todas las Unidades de Capacitación y Escuela Judicial con el fin de brindar que se ajusten las propuestas de formulación presupuestaria de becas para el año 2022, al nuevo monto asignado a cada programa presupuestario, específicamente en la subpartida 60201 (Becas a funcionarios). </w:t>
      </w:r>
    </w:p>
    <w:p w14:paraId="46B1A6E3" w14:textId="77777777" w:rsidR="005218C2" w:rsidRPr="002A7673" w:rsidRDefault="005218C2" w:rsidP="005218C2">
      <w:pPr>
        <w:spacing w:after="0" w:line="240" w:lineRule="auto"/>
        <w:ind w:left="851" w:right="851" w:firstLine="709"/>
        <w:jc w:val="both"/>
        <w:rPr>
          <w:rFonts w:ascii="Times New Roman" w:hAnsi="Times New Roman" w:cs="Times New Roman"/>
          <w:bCs/>
          <w:sz w:val="26"/>
          <w:szCs w:val="26"/>
        </w:rPr>
      </w:pPr>
    </w:p>
    <w:p w14:paraId="285C1F7E" w14:textId="77777777" w:rsidR="005218C2" w:rsidRPr="002A7673" w:rsidRDefault="005218C2" w:rsidP="005218C2">
      <w:pPr>
        <w:spacing w:after="0" w:line="240" w:lineRule="auto"/>
        <w:ind w:left="851" w:right="851" w:firstLine="709"/>
        <w:jc w:val="both"/>
        <w:rPr>
          <w:rFonts w:ascii="Times New Roman" w:hAnsi="Times New Roman" w:cs="Times New Roman"/>
          <w:bCs/>
          <w:sz w:val="26"/>
          <w:szCs w:val="26"/>
        </w:rPr>
      </w:pPr>
    </w:p>
    <w:p w14:paraId="7130F41F" w14:textId="77777777" w:rsidR="005218C2" w:rsidRPr="002A7673" w:rsidRDefault="005218C2" w:rsidP="00FF3FAC">
      <w:pPr>
        <w:numPr>
          <w:ilvl w:val="0"/>
          <w:numId w:val="48"/>
        </w:numPr>
        <w:spacing w:after="0" w:line="240" w:lineRule="auto"/>
        <w:ind w:left="851" w:right="851" w:firstLine="709"/>
        <w:contextualSpacing/>
        <w:jc w:val="both"/>
        <w:rPr>
          <w:rFonts w:ascii="Times New Roman" w:eastAsia="Times New Roman" w:hAnsi="Times New Roman" w:cs="Times New Roman"/>
          <w:b/>
          <w:caps/>
          <w:sz w:val="26"/>
          <w:szCs w:val="26"/>
          <w:lang w:val="es-ES" w:eastAsia="es-ES"/>
        </w:rPr>
      </w:pPr>
      <w:r w:rsidRPr="002A7673">
        <w:rPr>
          <w:rFonts w:ascii="Times New Roman" w:eastAsia="Times New Roman" w:hAnsi="Times New Roman" w:cs="Times New Roman"/>
          <w:b/>
          <w:caps/>
          <w:sz w:val="26"/>
          <w:szCs w:val="26"/>
          <w:lang w:val="es-ES" w:eastAsia="es-ES"/>
        </w:rPr>
        <w:t>Ejecución de la Subpartida 60201 “Becas a Funcionarios”</w:t>
      </w:r>
    </w:p>
    <w:p w14:paraId="7E1230CF" w14:textId="77777777" w:rsidR="005218C2" w:rsidRPr="002A7673" w:rsidRDefault="005218C2" w:rsidP="005218C2">
      <w:pPr>
        <w:spacing w:after="0" w:line="240" w:lineRule="auto"/>
        <w:ind w:left="851" w:right="851" w:firstLine="709"/>
        <w:jc w:val="both"/>
        <w:rPr>
          <w:rFonts w:ascii="Times New Roman" w:hAnsi="Times New Roman" w:cs="Times New Roman"/>
          <w:bCs/>
          <w:sz w:val="26"/>
          <w:szCs w:val="26"/>
          <w:highlight w:val="yellow"/>
        </w:rPr>
      </w:pPr>
    </w:p>
    <w:p w14:paraId="1AE7769A" w14:textId="77777777" w:rsidR="005218C2" w:rsidRPr="002A7673" w:rsidRDefault="005218C2" w:rsidP="005218C2">
      <w:pPr>
        <w:spacing w:after="0" w:line="240" w:lineRule="auto"/>
        <w:ind w:left="851" w:right="851" w:firstLine="709"/>
        <w:jc w:val="both"/>
        <w:rPr>
          <w:rFonts w:ascii="Times New Roman" w:hAnsi="Times New Roman" w:cs="Times New Roman"/>
          <w:bCs/>
          <w:sz w:val="26"/>
          <w:szCs w:val="26"/>
        </w:rPr>
      </w:pPr>
      <w:r w:rsidRPr="002A7673">
        <w:rPr>
          <w:rFonts w:ascii="Times New Roman" w:hAnsi="Times New Roman" w:cs="Times New Roman"/>
          <w:bCs/>
          <w:sz w:val="26"/>
          <w:szCs w:val="26"/>
        </w:rPr>
        <w:lastRenderedPageBreak/>
        <w:t>En este apartado se presenta un resumen de la ejecución de la subpartida de Becas, total y por Programa Presupuestario para el período 2020.</w:t>
      </w:r>
    </w:p>
    <w:p w14:paraId="3CBDC019" w14:textId="77777777" w:rsidR="005218C2" w:rsidRPr="002A7673" w:rsidRDefault="005218C2" w:rsidP="005218C2">
      <w:pPr>
        <w:spacing w:after="0" w:line="360" w:lineRule="auto"/>
        <w:ind w:firstLine="708"/>
        <w:rPr>
          <w:rFonts w:ascii="Times New Roman" w:hAnsi="Times New Roman" w:cs="Times New Roman"/>
          <w:bCs/>
          <w:highlight w:val="yellow"/>
        </w:rPr>
      </w:pPr>
    </w:p>
    <w:tbl>
      <w:tblPr>
        <w:tblW w:w="0" w:type="auto"/>
        <w:jc w:val="center"/>
        <w:tblLook w:val="04A0" w:firstRow="1" w:lastRow="0" w:firstColumn="1" w:lastColumn="0" w:noHBand="0" w:noVBand="1"/>
      </w:tblPr>
      <w:tblGrid>
        <w:gridCol w:w="9056"/>
        <w:gridCol w:w="222"/>
      </w:tblGrid>
      <w:tr w:rsidR="005218C2" w:rsidRPr="002A7673" w14:paraId="252803AE" w14:textId="77777777" w:rsidTr="00F36B66">
        <w:trPr>
          <w:trHeight w:val="614"/>
          <w:jc w:val="center"/>
        </w:trPr>
        <w:tc>
          <w:tcPr>
            <w:tcW w:w="8848" w:type="dxa"/>
          </w:tcPr>
          <w:p w14:paraId="567F43DD" w14:textId="77777777" w:rsidR="005218C2" w:rsidRPr="002A7673" w:rsidRDefault="005218C2" w:rsidP="0048334E">
            <w:pPr>
              <w:spacing w:after="0" w:line="480" w:lineRule="auto"/>
              <w:jc w:val="center"/>
              <w:rPr>
                <w:rFonts w:ascii="Times New Roman" w:hAnsi="Times New Roman" w:cs="Times New Roman"/>
                <w:b/>
                <w:bCs/>
              </w:rPr>
            </w:pPr>
            <w:r w:rsidRPr="002A7673">
              <w:rPr>
                <w:rFonts w:ascii="Times New Roman" w:hAnsi="Times New Roman" w:cs="Times New Roman"/>
                <w:b/>
                <w:bCs/>
              </w:rPr>
              <w:t>Ejecución 2020</w:t>
            </w:r>
          </w:p>
          <w:tbl>
            <w:tblPr>
              <w:tblW w:w="8820" w:type="dxa"/>
              <w:tblCellMar>
                <w:left w:w="70" w:type="dxa"/>
                <w:right w:w="70" w:type="dxa"/>
              </w:tblCellMar>
              <w:tblLook w:val="04A0" w:firstRow="1" w:lastRow="0" w:firstColumn="1" w:lastColumn="0" w:noHBand="0" w:noVBand="1"/>
            </w:tblPr>
            <w:tblGrid>
              <w:gridCol w:w="3860"/>
              <w:gridCol w:w="1240"/>
              <w:gridCol w:w="1240"/>
              <w:gridCol w:w="1240"/>
              <w:gridCol w:w="1240"/>
            </w:tblGrid>
            <w:tr w:rsidR="005218C2" w:rsidRPr="002A7673" w14:paraId="3F578BE4" w14:textId="77777777" w:rsidTr="00F36B66">
              <w:trPr>
                <w:trHeight w:val="300"/>
              </w:trPr>
              <w:tc>
                <w:tcPr>
                  <w:tcW w:w="38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B5B6BBF" w14:textId="77777777" w:rsidR="005218C2" w:rsidRPr="002A7673" w:rsidRDefault="005218C2" w:rsidP="0048334E">
                  <w:pPr>
                    <w:spacing w:after="0" w:line="240" w:lineRule="auto"/>
                    <w:jc w:val="center"/>
                    <w:rPr>
                      <w:rFonts w:ascii="Times New Roman" w:hAnsi="Times New Roman" w:cs="Times New Roman"/>
                      <w:b/>
                      <w:bCs/>
                      <w:color w:val="000000"/>
                      <w:lang w:val="es-ES_tradnl" w:eastAsia="es-ES_tradnl"/>
                    </w:rPr>
                  </w:pPr>
                  <w:r w:rsidRPr="002A7673">
                    <w:rPr>
                      <w:rFonts w:ascii="Times New Roman" w:hAnsi="Times New Roman" w:cs="Times New Roman"/>
                      <w:b/>
                      <w:bCs/>
                      <w:color w:val="000000"/>
                      <w:lang w:val="es-ES_tradnl" w:eastAsia="es-ES_tradnl"/>
                    </w:rPr>
                    <w:t>Programa</w:t>
                  </w:r>
                </w:p>
              </w:tc>
              <w:tc>
                <w:tcPr>
                  <w:tcW w:w="1240" w:type="dxa"/>
                  <w:tcBorders>
                    <w:top w:val="single" w:sz="8" w:space="0" w:color="auto"/>
                    <w:left w:val="nil"/>
                    <w:bottom w:val="single" w:sz="8" w:space="0" w:color="auto"/>
                    <w:right w:val="single" w:sz="8" w:space="0" w:color="auto"/>
                  </w:tcBorders>
                  <w:shd w:val="clear" w:color="000000" w:fill="BFBFBF"/>
                  <w:noWrap/>
                  <w:vAlign w:val="center"/>
                  <w:hideMark/>
                </w:tcPr>
                <w:p w14:paraId="2D415EE5" w14:textId="77777777" w:rsidR="005218C2" w:rsidRPr="002A7673" w:rsidRDefault="005218C2" w:rsidP="0048334E">
                  <w:pPr>
                    <w:spacing w:after="0" w:line="240" w:lineRule="auto"/>
                    <w:jc w:val="center"/>
                    <w:rPr>
                      <w:rFonts w:ascii="Times New Roman" w:hAnsi="Times New Roman" w:cs="Times New Roman"/>
                      <w:b/>
                      <w:bCs/>
                      <w:color w:val="000000"/>
                      <w:lang w:val="es-ES_tradnl" w:eastAsia="es-ES_tradnl"/>
                    </w:rPr>
                  </w:pPr>
                  <w:proofErr w:type="spellStart"/>
                  <w:r w:rsidRPr="002A7673">
                    <w:rPr>
                      <w:rFonts w:ascii="Times New Roman" w:hAnsi="Times New Roman" w:cs="Times New Roman"/>
                      <w:b/>
                      <w:bCs/>
                      <w:color w:val="000000"/>
                      <w:lang w:val="es-ES_tradnl" w:eastAsia="es-ES_tradnl"/>
                    </w:rPr>
                    <w:t>Ppto</w:t>
                  </w:r>
                  <w:proofErr w:type="spellEnd"/>
                  <w:r w:rsidRPr="002A7673">
                    <w:rPr>
                      <w:rFonts w:ascii="Times New Roman" w:hAnsi="Times New Roman" w:cs="Times New Roman"/>
                      <w:b/>
                      <w:bCs/>
                      <w:color w:val="000000"/>
                      <w:lang w:val="es-ES_tradnl" w:eastAsia="es-ES_tradnl"/>
                    </w:rPr>
                    <w:t>. Inicial</w:t>
                  </w:r>
                </w:p>
              </w:tc>
              <w:tc>
                <w:tcPr>
                  <w:tcW w:w="1240" w:type="dxa"/>
                  <w:tcBorders>
                    <w:top w:val="single" w:sz="8" w:space="0" w:color="auto"/>
                    <w:left w:val="nil"/>
                    <w:bottom w:val="single" w:sz="8" w:space="0" w:color="auto"/>
                    <w:right w:val="single" w:sz="8" w:space="0" w:color="auto"/>
                  </w:tcBorders>
                  <w:shd w:val="clear" w:color="000000" w:fill="BFBFBF"/>
                  <w:noWrap/>
                  <w:vAlign w:val="center"/>
                  <w:hideMark/>
                </w:tcPr>
                <w:p w14:paraId="3FE24F3C" w14:textId="77777777" w:rsidR="005218C2" w:rsidRPr="002A7673" w:rsidRDefault="005218C2" w:rsidP="0048334E">
                  <w:pPr>
                    <w:spacing w:after="0" w:line="240" w:lineRule="auto"/>
                    <w:jc w:val="center"/>
                    <w:rPr>
                      <w:rFonts w:ascii="Times New Roman" w:hAnsi="Times New Roman" w:cs="Times New Roman"/>
                      <w:b/>
                      <w:bCs/>
                      <w:color w:val="000000"/>
                      <w:lang w:val="es-ES_tradnl" w:eastAsia="es-ES_tradnl"/>
                    </w:rPr>
                  </w:pPr>
                  <w:proofErr w:type="spellStart"/>
                  <w:r w:rsidRPr="002A7673">
                    <w:rPr>
                      <w:rFonts w:ascii="Times New Roman" w:hAnsi="Times New Roman" w:cs="Times New Roman"/>
                      <w:b/>
                      <w:bCs/>
                      <w:color w:val="000000"/>
                      <w:lang w:val="es-ES_tradnl" w:eastAsia="es-ES_tradnl"/>
                    </w:rPr>
                    <w:t>Ppto</w:t>
                  </w:r>
                  <w:proofErr w:type="spellEnd"/>
                  <w:r w:rsidRPr="002A7673">
                    <w:rPr>
                      <w:rFonts w:ascii="Times New Roman" w:hAnsi="Times New Roman" w:cs="Times New Roman"/>
                      <w:b/>
                      <w:bCs/>
                      <w:color w:val="000000"/>
                      <w:lang w:val="es-ES_tradnl" w:eastAsia="es-ES_tradnl"/>
                    </w:rPr>
                    <w:t>. Actual</w:t>
                  </w:r>
                </w:p>
              </w:tc>
              <w:tc>
                <w:tcPr>
                  <w:tcW w:w="1240" w:type="dxa"/>
                  <w:tcBorders>
                    <w:top w:val="single" w:sz="8" w:space="0" w:color="auto"/>
                    <w:left w:val="nil"/>
                    <w:bottom w:val="single" w:sz="8" w:space="0" w:color="auto"/>
                    <w:right w:val="single" w:sz="8" w:space="0" w:color="auto"/>
                  </w:tcBorders>
                  <w:shd w:val="clear" w:color="000000" w:fill="BFBFBF"/>
                  <w:noWrap/>
                  <w:vAlign w:val="center"/>
                  <w:hideMark/>
                </w:tcPr>
                <w:p w14:paraId="680674AE" w14:textId="77777777" w:rsidR="005218C2" w:rsidRPr="002A7673" w:rsidRDefault="005218C2" w:rsidP="0048334E">
                  <w:pPr>
                    <w:spacing w:after="0" w:line="240" w:lineRule="auto"/>
                    <w:jc w:val="center"/>
                    <w:rPr>
                      <w:rFonts w:ascii="Times New Roman" w:hAnsi="Times New Roman" w:cs="Times New Roman"/>
                      <w:b/>
                      <w:bCs/>
                      <w:color w:val="000000"/>
                      <w:lang w:val="es-ES_tradnl" w:eastAsia="es-ES_tradnl"/>
                    </w:rPr>
                  </w:pPr>
                  <w:r w:rsidRPr="002A7673">
                    <w:rPr>
                      <w:rFonts w:ascii="Times New Roman" w:hAnsi="Times New Roman" w:cs="Times New Roman"/>
                      <w:b/>
                      <w:bCs/>
                      <w:color w:val="000000"/>
                      <w:lang w:val="es-ES_tradnl" w:eastAsia="es-ES_tradnl"/>
                    </w:rPr>
                    <w:t>Ejecutado</w:t>
                  </w:r>
                </w:p>
              </w:tc>
              <w:tc>
                <w:tcPr>
                  <w:tcW w:w="1240" w:type="dxa"/>
                  <w:tcBorders>
                    <w:top w:val="single" w:sz="8" w:space="0" w:color="auto"/>
                    <w:left w:val="nil"/>
                    <w:bottom w:val="single" w:sz="8" w:space="0" w:color="auto"/>
                    <w:right w:val="single" w:sz="8" w:space="0" w:color="auto"/>
                  </w:tcBorders>
                  <w:shd w:val="clear" w:color="000000" w:fill="BFBFBF"/>
                  <w:noWrap/>
                  <w:vAlign w:val="center"/>
                  <w:hideMark/>
                </w:tcPr>
                <w:p w14:paraId="5AB726C7" w14:textId="77777777" w:rsidR="005218C2" w:rsidRPr="002A7673" w:rsidRDefault="005218C2" w:rsidP="0048334E">
                  <w:pPr>
                    <w:spacing w:after="0" w:line="240" w:lineRule="auto"/>
                    <w:jc w:val="center"/>
                    <w:rPr>
                      <w:rFonts w:ascii="Times New Roman" w:hAnsi="Times New Roman" w:cs="Times New Roman"/>
                      <w:b/>
                      <w:bCs/>
                      <w:color w:val="000000"/>
                      <w:lang w:val="es-ES_tradnl" w:eastAsia="es-ES_tradnl"/>
                    </w:rPr>
                  </w:pPr>
                  <w:r w:rsidRPr="002A7673">
                    <w:rPr>
                      <w:rFonts w:ascii="Times New Roman" w:hAnsi="Times New Roman" w:cs="Times New Roman"/>
                      <w:b/>
                      <w:bCs/>
                      <w:color w:val="000000"/>
                      <w:lang w:val="es-ES_tradnl" w:eastAsia="es-ES_tradnl"/>
                    </w:rPr>
                    <w:t>% Ejecución</w:t>
                  </w:r>
                </w:p>
              </w:tc>
            </w:tr>
            <w:tr w:rsidR="005218C2" w:rsidRPr="002A7673" w14:paraId="6C797A2B" w14:textId="77777777" w:rsidTr="00F36B66">
              <w:trPr>
                <w:trHeight w:val="300"/>
              </w:trPr>
              <w:tc>
                <w:tcPr>
                  <w:tcW w:w="3860" w:type="dxa"/>
                  <w:tcBorders>
                    <w:top w:val="nil"/>
                    <w:left w:val="single" w:sz="8" w:space="0" w:color="auto"/>
                    <w:bottom w:val="single" w:sz="8" w:space="0" w:color="auto"/>
                    <w:right w:val="single" w:sz="8" w:space="0" w:color="auto"/>
                  </w:tcBorders>
                  <w:shd w:val="clear" w:color="auto" w:fill="auto"/>
                  <w:noWrap/>
                  <w:vAlign w:val="bottom"/>
                  <w:hideMark/>
                </w:tcPr>
                <w:p w14:paraId="1C9E7D60" w14:textId="77777777" w:rsidR="005218C2" w:rsidRPr="002A7673" w:rsidRDefault="005218C2" w:rsidP="0048334E">
                  <w:pPr>
                    <w:spacing w:after="0" w:line="240" w:lineRule="auto"/>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 xml:space="preserve">926 </w:t>
                  </w:r>
                  <w:proofErr w:type="spellStart"/>
                  <w:r w:rsidRPr="002A7673">
                    <w:rPr>
                      <w:rFonts w:ascii="Times New Roman" w:hAnsi="Times New Roman" w:cs="Times New Roman"/>
                      <w:color w:val="000000"/>
                      <w:lang w:val="es-ES_tradnl" w:eastAsia="es-ES_tradnl"/>
                    </w:rPr>
                    <w:t>Direcc</w:t>
                  </w:r>
                  <w:proofErr w:type="spellEnd"/>
                  <w:r w:rsidRPr="002A7673">
                    <w:rPr>
                      <w:rFonts w:ascii="Times New Roman" w:hAnsi="Times New Roman" w:cs="Times New Roman"/>
                      <w:color w:val="000000"/>
                      <w:lang w:val="es-ES_tradnl" w:eastAsia="es-ES_tradnl"/>
                    </w:rPr>
                    <w:t xml:space="preserve">. </w:t>
                  </w:r>
                  <w:proofErr w:type="spellStart"/>
                  <w:r w:rsidRPr="002A7673">
                    <w:rPr>
                      <w:rFonts w:ascii="Times New Roman" w:hAnsi="Times New Roman" w:cs="Times New Roman"/>
                      <w:color w:val="000000"/>
                      <w:lang w:val="es-ES_tradnl" w:eastAsia="es-ES_tradnl"/>
                    </w:rPr>
                    <w:t>Adm</w:t>
                  </w:r>
                  <w:proofErr w:type="spellEnd"/>
                  <w:r w:rsidRPr="002A7673">
                    <w:rPr>
                      <w:rFonts w:ascii="Times New Roman" w:hAnsi="Times New Roman" w:cs="Times New Roman"/>
                      <w:color w:val="000000"/>
                      <w:lang w:val="es-ES_tradnl" w:eastAsia="es-ES_tradnl"/>
                    </w:rPr>
                    <w:t xml:space="preserve">. Y Otros </w:t>
                  </w:r>
                  <w:proofErr w:type="spellStart"/>
                  <w:r w:rsidRPr="002A7673">
                    <w:rPr>
                      <w:rFonts w:ascii="Times New Roman" w:hAnsi="Times New Roman" w:cs="Times New Roman"/>
                      <w:color w:val="000000"/>
                      <w:lang w:val="es-ES_tradnl" w:eastAsia="es-ES_tradnl"/>
                    </w:rPr>
                    <w:t>Org</w:t>
                  </w:r>
                  <w:proofErr w:type="spellEnd"/>
                  <w:r w:rsidRPr="002A7673">
                    <w:rPr>
                      <w:rFonts w:ascii="Times New Roman" w:hAnsi="Times New Roman" w:cs="Times New Roman"/>
                      <w:color w:val="000000"/>
                      <w:lang w:val="es-ES_tradnl" w:eastAsia="es-ES_tradnl"/>
                    </w:rPr>
                    <w:t>. De Apoyo</w:t>
                  </w:r>
                </w:p>
              </w:tc>
              <w:tc>
                <w:tcPr>
                  <w:tcW w:w="1240" w:type="dxa"/>
                  <w:tcBorders>
                    <w:top w:val="nil"/>
                    <w:left w:val="nil"/>
                    <w:bottom w:val="single" w:sz="8" w:space="0" w:color="auto"/>
                    <w:right w:val="single" w:sz="8" w:space="0" w:color="auto"/>
                  </w:tcBorders>
                  <w:shd w:val="clear" w:color="auto" w:fill="auto"/>
                  <w:vAlign w:val="center"/>
                </w:tcPr>
                <w:p w14:paraId="073C93A9"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15 105 891</w:t>
                  </w:r>
                </w:p>
              </w:tc>
              <w:tc>
                <w:tcPr>
                  <w:tcW w:w="1240" w:type="dxa"/>
                  <w:tcBorders>
                    <w:top w:val="nil"/>
                    <w:left w:val="nil"/>
                    <w:bottom w:val="single" w:sz="8" w:space="0" w:color="auto"/>
                    <w:right w:val="single" w:sz="8" w:space="0" w:color="auto"/>
                  </w:tcBorders>
                  <w:shd w:val="clear" w:color="auto" w:fill="auto"/>
                  <w:vAlign w:val="center"/>
                </w:tcPr>
                <w:p w14:paraId="39F96E52"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5 819 489</w:t>
                  </w:r>
                </w:p>
              </w:tc>
              <w:tc>
                <w:tcPr>
                  <w:tcW w:w="1240" w:type="dxa"/>
                  <w:tcBorders>
                    <w:top w:val="nil"/>
                    <w:left w:val="nil"/>
                    <w:bottom w:val="single" w:sz="8" w:space="0" w:color="auto"/>
                    <w:right w:val="single" w:sz="8" w:space="0" w:color="auto"/>
                  </w:tcBorders>
                  <w:shd w:val="clear" w:color="auto" w:fill="auto"/>
                  <w:vAlign w:val="center"/>
                </w:tcPr>
                <w:p w14:paraId="310A14E9"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5 182 450</w:t>
                  </w:r>
                </w:p>
              </w:tc>
              <w:tc>
                <w:tcPr>
                  <w:tcW w:w="1240" w:type="dxa"/>
                  <w:tcBorders>
                    <w:top w:val="nil"/>
                    <w:left w:val="nil"/>
                    <w:bottom w:val="single" w:sz="8" w:space="0" w:color="auto"/>
                    <w:right w:val="single" w:sz="8" w:space="0" w:color="auto"/>
                  </w:tcBorders>
                  <w:shd w:val="clear" w:color="auto" w:fill="auto"/>
                  <w:noWrap/>
                  <w:vAlign w:val="center"/>
                </w:tcPr>
                <w:p w14:paraId="6AD0EF4E" w14:textId="77777777" w:rsidR="005218C2" w:rsidRPr="002A7673" w:rsidRDefault="005218C2" w:rsidP="0048334E">
                  <w:pPr>
                    <w:spacing w:after="0" w:line="240" w:lineRule="auto"/>
                    <w:jc w:val="center"/>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89%</w:t>
                  </w:r>
                </w:p>
              </w:tc>
            </w:tr>
            <w:tr w:rsidR="005218C2" w:rsidRPr="002A7673" w14:paraId="4B8E8A99" w14:textId="77777777" w:rsidTr="00F36B66">
              <w:trPr>
                <w:trHeight w:val="300"/>
              </w:trPr>
              <w:tc>
                <w:tcPr>
                  <w:tcW w:w="3860" w:type="dxa"/>
                  <w:tcBorders>
                    <w:top w:val="nil"/>
                    <w:left w:val="single" w:sz="8" w:space="0" w:color="auto"/>
                    <w:bottom w:val="single" w:sz="8" w:space="0" w:color="auto"/>
                    <w:right w:val="single" w:sz="8" w:space="0" w:color="auto"/>
                  </w:tcBorders>
                  <w:shd w:val="clear" w:color="auto" w:fill="auto"/>
                  <w:noWrap/>
                  <w:vAlign w:val="bottom"/>
                  <w:hideMark/>
                </w:tcPr>
                <w:p w14:paraId="0B50C720" w14:textId="77777777" w:rsidR="005218C2" w:rsidRPr="002A7673" w:rsidRDefault="005218C2" w:rsidP="0048334E">
                  <w:pPr>
                    <w:spacing w:after="0" w:line="240" w:lineRule="auto"/>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927 Servicio Jurisdiccional</w:t>
                  </w:r>
                </w:p>
              </w:tc>
              <w:tc>
                <w:tcPr>
                  <w:tcW w:w="1240" w:type="dxa"/>
                  <w:tcBorders>
                    <w:top w:val="nil"/>
                    <w:left w:val="nil"/>
                    <w:bottom w:val="single" w:sz="8" w:space="0" w:color="auto"/>
                    <w:right w:val="single" w:sz="8" w:space="0" w:color="auto"/>
                  </w:tcBorders>
                  <w:shd w:val="clear" w:color="auto" w:fill="auto"/>
                  <w:vAlign w:val="center"/>
                </w:tcPr>
                <w:p w14:paraId="34F3C1B6"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16 784 288</w:t>
                  </w:r>
                </w:p>
              </w:tc>
              <w:tc>
                <w:tcPr>
                  <w:tcW w:w="1240" w:type="dxa"/>
                  <w:tcBorders>
                    <w:top w:val="nil"/>
                    <w:left w:val="nil"/>
                    <w:bottom w:val="single" w:sz="8" w:space="0" w:color="auto"/>
                    <w:right w:val="single" w:sz="8" w:space="0" w:color="auto"/>
                  </w:tcBorders>
                  <w:shd w:val="clear" w:color="auto" w:fill="auto"/>
                  <w:vAlign w:val="center"/>
                </w:tcPr>
                <w:p w14:paraId="065B279B"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10 824 860</w:t>
                  </w:r>
                </w:p>
              </w:tc>
              <w:tc>
                <w:tcPr>
                  <w:tcW w:w="1240" w:type="dxa"/>
                  <w:tcBorders>
                    <w:top w:val="nil"/>
                    <w:left w:val="nil"/>
                    <w:bottom w:val="single" w:sz="8" w:space="0" w:color="auto"/>
                    <w:right w:val="single" w:sz="8" w:space="0" w:color="auto"/>
                  </w:tcBorders>
                  <w:shd w:val="clear" w:color="auto" w:fill="auto"/>
                  <w:vAlign w:val="center"/>
                </w:tcPr>
                <w:p w14:paraId="720B1988"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8 472 195</w:t>
                  </w:r>
                </w:p>
              </w:tc>
              <w:tc>
                <w:tcPr>
                  <w:tcW w:w="1240" w:type="dxa"/>
                  <w:tcBorders>
                    <w:top w:val="nil"/>
                    <w:left w:val="nil"/>
                    <w:bottom w:val="single" w:sz="8" w:space="0" w:color="auto"/>
                    <w:right w:val="single" w:sz="8" w:space="0" w:color="auto"/>
                  </w:tcBorders>
                  <w:shd w:val="clear" w:color="auto" w:fill="auto"/>
                  <w:noWrap/>
                  <w:vAlign w:val="center"/>
                </w:tcPr>
                <w:p w14:paraId="2EDF6766" w14:textId="77777777" w:rsidR="005218C2" w:rsidRPr="002A7673" w:rsidRDefault="005218C2" w:rsidP="0048334E">
                  <w:pPr>
                    <w:spacing w:after="0" w:line="240" w:lineRule="auto"/>
                    <w:jc w:val="center"/>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78%</w:t>
                  </w:r>
                </w:p>
              </w:tc>
            </w:tr>
            <w:tr w:rsidR="005218C2" w:rsidRPr="002A7673" w14:paraId="6C70ECCF" w14:textId="77777777" w:rsidTr="00F36B66">
              <w:trPr>
                <w:trHeight w:val="300"/>
              </w:trPr>
              <w:tc>
                <w:tcPr>
                  <w:tcW w:w="3860" w:type="dxa"/>
                  <w:tcBorders>
                    <w:top w:val="nil"/>
                    <w:left w:val="single" w:sz="8" w:space="0" w:color="auto"/>
                    <w:bottom w:val="single" w:sz="8" w:space="0" w:color="auto"/>
                    <w:right w:val="single" w:sz="8" w:space="0" w:color="auto"/>
                  </w:tcBorders>
                  <w:shd w:val="clear" w:color="auto" w:fill="auto"/>
                  <w:noWrap/>
                  <w:vAlign w:val="bottom"/>
                  <w:hideMark/>
                </w:tcPr>
                <w:p w14:paraId="3667E18E" w14:textId="77777777" w:rsidR="005218C2" w:rsidRPr="002A7673" w:rsidRDefault="005218C2" w:rsidP="0048334E">
                  <w:pPr>
                    <w:spacing w:after="0" w:line="240" w:lineRule="auto"/>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928 Organismo de Investigación Judicial</w:t>
                  </w:r>
                </w:p>
              </w:tc>
              <w:tc>
                <w:tcPr>
                  <w:tcW w:w="1240" w:type="dxa"/>
                  <w:tcBorders>
                    <w:top w:val="nil"/>
                    <w:left w:val="nil"/>
                    <w:bottom w:val="single" w:sz="8" w:space="0" w:color="auto"/>
                    <w:right w:val="single" w:sz="8" w:space="0" w:color="auto"/>
                  </w:tcBorders>
                  <w:shd w:val="clear" w:color="auto" w:fill="auto"/>
                  <w:vAlign w:val="center"/>
                </w:tcPr>
                <w:p w14:paraId="4A44D37C"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11 519 931</w:t>
                  </w:r>
                </w:p>
              </w:tc>
              <w:tc>
                <w:tcPr>
                  <w:tcW w:w="1240" w:type="dxa"/>
                  <w:tcBorders>
                    <w:top w:val="nil"/>
                    <w:left w:val="nil"/>
                    <w:bottom w:val="single" w:sz="8" w:space="0" w:color="auto"/>
                    <w:right w:val="single" w:sz="8" w:space="0" w:color="auto"/>
                  </w:tcBorders>
                  <w:shd w:val="clear" w:color="auto" w:fill="auto"/>
                  <w:vAlign w:val="center"/>
                </w:tcPr>
                <w:p w14:paraId="4D722027"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4 699 149</w:t>
                  </w:r>
                </w:p>
              </w:tc>
              <w:tc>
                <w:tcPr>
                  <w:tcW w:w="1240" w:type="dxa"/>
                  <w:tcBorders>
                    <w:top w:val="nil"/>
                    <w:left w:val="nil"/>
                    <w:bottom w:val="single" w:sz="8" w:space="0" w:color="auto"/>
                    <w:right w:val="single" w:sz="8" w:space="0" w:color="auto"/>
                  </w:tcBorders>
                  <w:shd w:val="clear" w:color="auto" w:fill="auto"/>
                  <w:vAlign w:val="center"/>
                </w:tcPr>
                <w:p w14:paraId="2E48456C"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3 908 000</w:t>
                  </w:r>
                </w:p>
              </w:tc>
              <w:tc>
                <w:tcPr>
                  <w:tcW w:w="1240" w:type="dxa"/>
                  <w:tcBorders>
                    <w:top w:val="nil"/>
                    <w:left w:val="nil"/>
                    <w:bottom w:val="single" w:sz="8" w:space="0" w:color="auto"/>
                    <w:right w:val="single" w:sz="8" w:space="0" w:color="auto"/>
                  </w:tcBorders>
                  <w:shd w:val="clear" w:color="auto" w:fill="auto"/>
                  <w:noWrap/>
                  <w:vAlign w:val="center"/>
                </w:tcPr>
                <w:p w14:paraId="259BFE21" w14:textId="77777777" w:rsidR="005218C2" w:rsidRPr="002A7673" w:rsidRDefault="005218C2" w:rsidP="0048334E">
                  <w:pPr>
                    <w:spacing w:after="0" w:line="240" w:lineRule="auto"/>
                    <w:jc w:val="center"/>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83%</w:t>
                  </w:r>
                </w:p>
              </w:tc>
            </w:tr>
            <w:tr w:rsidR="005218C2" w:rsidRPr="002A7673" w14:paraId="527339A5" w14:textId="77777777" w:rsidTr="00F36B66">
              <w:trPr>
                <w:trHeight w:val="300"/>
              </w:trPr>
              <w:tc>
                <w:tcPr>
                  <w:tcW w:w="3860" w:type="dxa"/>
                  <w:tcBorders>
                    <w:top w:val="nil"/>
                    <w:left w:val="single" w:sz="8" w:space="0" w:color="auto"/>
                    <w:bottom w:val="single" w:sz="8" w:space="0" w:color="auto"/>
                    <w:right w:val="single" w:sz="8" w:space="0" w:color="auto"/>
                  </w:tcBorders>
                  <w:shd w:val="clear" w:color="auto" w:fill="auto"/>
                  <w:noWrap/>
                  <w:vAlign w:val="bottom"/>
                  <w:hideMark/>
                </w:tcPr>
                <w:p w14:paraId="4339C393" w14:textId="77777777" w:rsidR="005218C2" w:rsidRPr="002A7673" w:rsidRDefault="005218C2" w:rsidP="0048334E">
                  <w:pPr>
                    <w:spacing w:after="0" w:line="240" w:lineRule="auto"/>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929 Ministerio Público</w:t>
                  </w:r>
                </w:p>
              </w:tc>
              <w:tc>
                <w:tcPr>
                  <w:tcW w:w="1240" w:type="dxa"/>
                  <w:tcBorders>
                    <w:top w:val="nil"/>
                    <w:left w:val="nil"/>
                    <w:bottom w:val="single" w:sz="8" w:space="0" w:color="auto"/>
                    <w:right w:val="single" w:sz="8" w:space="0" w:color="auto"/>
                  </w:tcBorders>
                  <w:shd w:val="clear" w:color="auto" w:fill="auto"/>
                  <w:vAlign w:val="center"/>
                </w:tcPr>
                <w:p w14:paraId="1A10BA58"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11 994 726</w:t>
                  </w:r>
                </w:p>
              </w:tc>
              <w:tc>
                <w:tcPr>
                  <w:tcW w:w="1240" w:type="dxa"/>
                  <w:tcBorders>
                    <w:top w:val="nil"/>
                    <w:left w:val="nil"/>
                    <w:bottom w:val="single" w:sz="8" w:space="0" w:color="auto"/>
                    <w:right w:val="single" w:sz="8" w:space="0" w:color="auto"/>
                  </w:tcBorders>
                  <w:shd w:val="clear" w:color="auto" w:fill="auto"/>
                  <w:vAlign w:val="center"/>
                </w:tcPr>
                <w:p w14:paraId="0EC97094"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6 124 027</w:t>
                  </w:r>
                </w:p>
              </w:tc>
              <w:tc>
                <w:tcPr>
                  <w:tcW w:w="1240" w:type="dxa"/>
                  <w:tcBorders>
                    <w:top w:val="nil"/>
                    <w:left w:val="nil"/>
                    <w:bottom w:val="single" w:sz="8" w:space="0" w:color="auto"/>
                    <w:right w:val="single" w:sz="8" w:space="0" w:color="auto"/>
                  </w:tcBorders>
                  <w:shd w:val="clear" w:color="auto" w:fill="auto"/>
                  <w:vAlign w:val="center"/>
                </w:tcPr>
                <w:p w14:paraId="60F0907E"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0</w:t>
                  </w:r>
                </w:p>
              </w:tc>
              <w:tc>
                <w:tcPr>
                  <w:tcW w:w="1240" w:type="dxa"/>
                  <w:tcBorders>
                    <w:top w:val="nil"/>
                    <w:left w:val="nil"/>
                    <w:bottom w:val="single" w:sz="8" w:space="0" w:color="auto"/>
                    <w:right w:val="single" w:sz="8" w:space="0" w:color="auto"/>
                  </w:tcBorders>
                  <w:shd w:val="clear" w:color="auto" w:fill="auto"/>
                  <w:noWrap/>
                  <w:vAlign w:val="center"/>
                </w:tcPr>
                <w:p w14:paraId="07E40A7E" w14:textId="77777777" w:rsidR="005218C2" w:rsidRPr="002A7673" w:rsidRDefault="005218C2" w:rsidP="0048334E">
                  <w:pPr>
                    <w:spacing w:after="0" w:line="240" w:lineRule="auto"/>
                    <w:jc w:val="center"/>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0%</w:t>
                  </w:r>
                </w:p>
              </w:tc>
            </w:tr>
            <w:tr w:rsidR="005218C2" w:rsidRPr="002A7673" w14:paraId="6CCF7270" w14:textId="77777777" w:rsidTr="00F36B66">
              <w:trPr>
                <w:trHeight w:val="300"/>
              </w:trPr>
              <w:tc>
                <w:tcPr>
                  <w:tcW w:w="3860" w:type="dxa"/>
                  <w:tcBorders>
                    <w:top w:val="nil"/>
                    <w:left w:val="single" w:sz="8" w:space="0" w:color="auto"/>
                    <w:bottom w:val="single" w:sz="8" w:space="0" w:color="auto"/>
                    <w:right w:val="single" w:sz="8" w:space="0" w:color="auto"/>
                  </w:tcBorders>
                  <w:shd w:val="clear" w:color="auto" w:fill="auto"/>
                  <w:noWrap/>
                  <w:vAlign w:val="bottom"/>
                  <w:hideMark/>
                </w:tcPr>
                <w:p w14:paraId="29775FC9" w14:textId="77777777" w:rsidR="005218C2" w:rsidRPr="002A7673" w:rsidRDefault="005218C2" w:rsidP="0048334E">
                  <w:pPr>
                    <w:spacing w:after="0" w:line="240" w:lineRule="auto"/>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930 Defensa Pública</w:t>
                  </w:r>
                </w:p>
              </w:tc>
              <w:tc>
                <w:tcPr>
                  <w:tcW w:w="1240" w:type="dxa"/>
                  <w:tcBorders>
                    <w:top w:val="nil"/>
                    <w:left w:val="nil"/>
                    <w:bottom w:val="single" w:sz="8" w:space="0" w:color="auto"/>
                    <w:right w:val="single" w:sz="8" w:space="0" w:color="auto"/>
                  </w:tcBorders>
                  <w:shd w:val="clear" w:color="auto" w:fill="auto"/>
                  <w:vAlign w:val="center"/>
                </w:tcPr>
                <w:p w14:paraId="63A26AA0"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20 451 312</w:t>
                  </w:r>
                </w:p>
              </w:tc>
              <w:tc>
                <w:tcPr>
                  <w:tcW w:w="1240" w:type="dxa"/>
                  <w:tcBorders>
                    <w:top w:val="nil"/>
                    <w:left w:val="nil"/>
                    <w:bottom w:val="single" w:sz="8" w:space="0" w:color="auto"/>
                    <w:right w:val="single" w:sz="8" w:space="0" w:color="auto"/>
                  </w:tcBorders>
                  <w:shd w:val="clear" w:color="auto" w:fill="auto"/>
                  <w:vAlign w:val="center"/>
                </w:tcPr>
                <w:p w14:paraId="68E15656"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14 350 692</w:t>
                  </w:r>
                </w:p>
              </w:tc>
              <w:tc>
                <w:tcPr>
                  <w:tcW w:w="1240" w:type="dxa"/>
                  <w:tcBorders>
                    <w:top w:val="nil"/>
                    <w:left w:val="nil"/>
                    <w:bottom w:val="single" w:sz="8" w:space="0" w:color="auto"/>
                    <w:right w:val="single" w:sz="8" w:space="0" w:color="auto"/>
                  </w:tcBorders>
                  <w:shd w:val="clear" w:color="auto" w:fill="auto"/>
                  <w:vAlign w:val="center"/>
                </w:tcPr>
                <w:p w14:paraId="27BA15C2"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13 570 200</w:t>
                  </w:r>
                </w:p>
              </w:tc>
              <w:tc>
                <w:tcPr>
                  <w:tcW w:w="1240" w:type="dxa"/>
                  <w:tcBorders>
                    <w:top w:val="nil"/>
                    <w:left w:val="nil"/>
                    <w:bottom w:val="single" w:sz="8" w:space="0" w:color="auto"/>
                    <w:right w:val="single" w:sz="8" w:space="0" w:color="auto"/>
                  </w:tcBorders>
                  <w:shd w:val="clear" w:color="auto" w:fill="auto"/>
                  <w:noWrap/>
                  <w:vAlign w:val="center"/>
                </w:tcPr>
                <w:p w14:paraId="28E17843" w14:textId="77777777" w:rsidR="005218C2" w:rsidRPr="002A7673" w:rsidRDefault="005218C2" w:rsidP="0048334E">
                  <w:pPr>
                    <w:spacing w:after="0" w:line="240" w:lineRule="auto"/>
                    <w:jc w:val="center"/>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95%</w:t>
                  </w:r>
                </w:p>
              </w:tc>
            </w:tr>
            <w:tr w:rsidR="005218C2" w:rsidRPr="002A7673" w14:paraId="4C1ED48A" w14:textId="77777777" w:rsidTr="00F36B66">
              <w:trPr>
                <w:trHeight w:val="300"/>
              </w:trPr>
              <w:tc>
                <w:tcPr>
                  <w:tcW w:w="3860" w:type="dxa"/>
                  <w:tcBorders>
                    <w:top w:val="nil"/>
                    <w:left w:val="single" w:sz="8" w:space="0" w:color="auto"/>
                    <w:bottom w:val="single" w:sz="8" w:space="0" w:color="auto"/>
                    <w:right w:val="single" w:sz="8" w:space="0" w:color="auto"/>
                  </w:tcBorders>
                  <w:shd w:val="clear" w:color="auto" w:fill="auto"/>
                  <w:noWrap/>
                  <w:vAlign w:val="bottom"/>
                  <w:hideMark/>
                </w:tcPr>
                <w:p w14:paraId="6D661331" w14:textId="77777777" w:rsidR="005218C2" w:rsidRPr="002A7673" w:rsidRDefault="005218C2" w:rsidP="0048334E">
                  <w:pPr>
                    <w:spacing w:after="0" w:line="240" w:lineRule="auto"/>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 xml:space="preserve">950 </w:t>
                  </w:r>
                  <w:proofErr w:type="spellStart"/>
                  <w:r w:rsidRPr="002A7673">
                    <w:rPr>
                      <w:rFonts w:ascii="Times New Roman" w:hAnsi="Times New Roman" w:cs="Times New Roman"/>
                      <w:color w:val="000000"/>
                      <w:lang w:val="es-ES_tradnl" w:eastAsia="es-ES_tradnl"/>
                    </w:rPr>
                    <w:t>Serv</w:t>
                  </w:r>
                  <w:proofErr w:type="spellEnd"/>
                  <w:r w:rsidRPr="002A7673">
                    <w:rPr>
                      <w:rFonts w:ascii="Times New Roman" w:hAnsi="Times New Roman" w:cs="Times New Roman"/>
                      <w:color w:val="000000"/>
                      <w:lang w:val="es-ES_tradnl" w:eastAsia="es-ES_tradnl"/>
                    </w:rPr>
                    <w:t xml:space="preserve">. </w:t>
                  </w:r>
                  <w:proofErr w:type="spellStart"/>
                  <w:r w:rsidRPr="002A7673">
                    <w:rPr>
                      <w:rFonts w:ascii="Times New Roman" w:hAnsi="Times New Roman" w:cs="Times New Roman"/>
                      <w:color w:val="000000"/>
                      <w:lang w:val="es-ES_tradnl" w:eastAsia="es-ES_tradnl"/>
                    </w:rPr>
                    <w:t>Atenc</w:t>
                  </w:r>
                  <w:proofErr w:type="spellEnd"/>
                  <w:r w:rsidRPr="002A7673">
                    <w:rPr>
                      <w:rFonts w:ascii="Times New Roman" w:hAnsi="Times New Roman" w:cs="Times New Roman"/>
                      <w:color w:val="000000"/>
                      <w:lang w:val="es-ES_tradnl" w:eastAsia="es-ES_tradnl"/>
                    </w:rPr>
                    <w:t xml:space="preserve">. y </w:t>
                  </w:r>
                  <w:proofErr w:type="spellStart"/>
                  <w:r w:rsidRPr="002A7673">
                    <w:rPr>
                      <w:rFonts w:ascii="Times New Roman" w:hAnsi="Times New Roman" w:cs="Times New Roman"/>
                      <w:color w:val="000000"/>
                      <w:lang w:val="es-ES_tradnl" w:eastAsia="es-ES_tradnl"/>
                    </w:rPr>
                    <w:t>Protecc</w:t>
                  </w:r>
                  <w:proofErr w:type="spellEnd"/>
                  <w:r w:rsidRPr="002A7673">
                    <w:rPr>
                      <w:rFonts w:ascii="Times New Roman" w:hAnsi="Times New Roman" w:cs="Times New Roman"/>
                      <w:color w:val="000000"/>
                      <w:lang w:val="es-ES_tradnl" w:eastAsia="es-ES_tradnl"/>
                    </w:rPr>
                    <w:t xml:space="preserve">. </w:t>
                  </w:r>
                  <w:proofErr w:type="spellStart"/>
                  <w:r w:rsidRPr="002A7673">
                    <w:rPr>
                      <w:rFonts w:ascii="Times New Roman" w:hAnsi="Times New Roman" w:cs="Times New Roman"/>
                      <w:color w:val="000000"/>
                      <w:lang w:val="es-ES_tradnl" w:eastAsia="es-ES_tradnl"/>
                    </w:rPr>
                    <w:t>Víct</w:t>
                  </w:r>
                  <w:proofErr w:type="spellEnd"/>
                  <w:r w:rsidRPr="002A7673">
                    <w:rPr>
                      <w:rFonts w:ascii="Times New Roman" w:hAnsi="Times New Roman" w:cs="Times New Roman"/>
                      <w:color w:val="000000"/>
                      <w:lang w:val="es-ES_tradnl" w:eastAsia="es-ES_tradnl"/>
                    </w:rPr>
                    <w:t>. Y Testigos</w:t>
                  </w:r>
                </w:p>
              </w:tc>
              <w:tc>
                <w:tcPr>
                  <w:tcW w:w="1240" w:type="dxa"/>
                  <w:tcBorders>
                    <w:top w:val="nil"/>
                    <w:left w:val="nil"/>
                    <w:bottom w:val="single" w:sz="8" w:space="0" w:color="auto"/>
                    <w:right w:val="single" w:sz="8" w:space="0" w:color="auto"/>
                  </w:tcBorders>
                  <w:shd w:val="clear" w:color="auto" w:fill="auto"/>
                  <w:vAlign w:val="center"/>
                </w:tcPr>
                <w:p w14:paraId="7FFB3D34"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6 613 094</w:t>
                  </w:r>
                </w:p>
                <w:p w14:paraId="6467DE36" w14:textId="77777777" w:rsidR="005218C2" w:rsidRPr="002A7673" w:rsidRDefault="005218C2" w:rsidP="0048334E">
                  <w:pPr>
                    <w:spacing w:after="0" w:line="240" w:lineRule="auto"/>
                    <w:jc w:val="right"/>
                    <w:rPr>
                      <w:rFonts w:ascii="Times New Roman" w:hAnsi="Times New Roman" w:cs="Times New Roman"/>
                      <w:color w:val="000000"/>
                      <w:lang w:val="es-ES_tradnl" w:eastAsia="es-ES_tradnl"/>
                    </w:rPr>
                  </w:pPr>
                </w:p>
              </w:tc>
              <w:tc>
                <w:tcPr>
                  <w:tcW w:w="1240" w:type="dxa"/>
                  <w:tcBorders>
                    <w:top w:val="nil"/>
                    <w:left w:val="nil"/>
                    <w:bottom w:val="single" w:sz="8" w:space="0" w:color="auto"/>
                    <w:right w:val="single" w:sz="8" w:space="0" w:color="auto"/>
                  </w:tcBorders>
                  <w:shd w:val="clear" w:color="auto" w:fill="auto"/>
                  <w:vAlign w:val="center"/>
                </w:tcPr>
                <w:p w14:paraId="7FC4B43A"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6 613 094</w:t>
                  </w:r>
                </w:p>
                <w:p w14:paraId="38430384" w14:textId="77777777" w:rsidR="005218C2" w:rsidRPr="002A7673" w:rsidRDefault="005218C2" w:rsidP="0048334E">
                  <w:pPr>
                    <w:spacing w:after="0" w:line="240" w:lineRule="auto"/>
                    <w:jc w:val="right"/>
                    <w:rPr>
                      <w:rFonts w:ascii="Times New Roman" w:hAnsi="Times New Roman" w:cs="Times New Roman"/>
                      <w:color w:val="000000"/>
                      <w:lang w:val="es-ES_tradnl" w:eastAsia="es-ES_tradnl"/>
                    </w:rPr>
                  </w:pPr>
                </w:p>
              </w:tc>
              <w:tc>
                <w:tcPr>
                  <w:tcW w:w="1240" w:type="dxa"/>
                  <w:tcBorders>
                    <w:top w:val="nil"/>
                    <w:left w:val="nil"/>
                    <w:bottom w:val="single" w:sz="8" w:space="0" w:color="auto"/>
                    <w:right w:val="single" w:sz="8" w:space="0" w:color="auto"/>
                  </w:tcBorders>
                  <w:shd w:val="clear" w:color="auto" w:fill="auto"/>
                  <w:vAlign w:val="center"/>
                </w:tcPr>
                <w:p w14:paraId="7DEAAEE6" w14:textId="77777777" w:rsidR="005218C2" w:rsidRPr="002A7673" w:rsidRDefault="005218C2"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6 542 300</w:t>
                  </w:r>
                </w:p>
                <w:p w14:paraId="2F44A67E" w14:textId="77777777" w:rsidR="005218C2" w:rsidRPr="002A7673" w:rsidRDefault="005218C2" w:rsidP="0048334E">
                  <w:pPr>
                    <w:spacing w:after="0" w:line="240" w:lineRule="auto"/>
                    <w:jc w:val="right"/>
                    <w:rPr>
                      <w:rFonts w:ascii="Times New Roman" w:hAnsi="Times New Roman" w:cs="Times New Roman"/>
                      <w:color w:val="000000"/>
                      <w:lang w:val="es-ES_tradnl" w:eastAsia="es-ES_tradnl"/>
                    </w:rPr>
                  </w:pPr>
                </w:p>
              </w:tc>
              <w:tc>
                <w:tcPr>
                  <w:tcW w:w="1240" w:type="dxa"/>
                  <w:tcBorders>
                    <w:top w:val="nil"/>
                    <w:left w:val="nil"/>
                    <w:bottom w:val="single" w:sz="8" w:space="0" w:color="auto"/>
                    <w:right w:val="single" w:sz="8" w:space="0" w:color="auto"/>
                  </w:tcBorders>
                  <w:shd w:val="clear" w:color="auto" w:fill="auto"/>
                  <w:noWrap/>
                  <w:vAlign w:val="center"/>
                </w:tcPr>
                <w:p w14:paraId="77B3E9D7" w14:textId="77777777" w:rsidR="005218C2" w:rsidRPr="002A7673" w:rsidRDefault="005218C2" w:rsidP="0048334E">
                  <w:pPr>
                    <w:spacing w:after="0" w:line="240" w:lineRule="auto"/>
                    <w:jc w:val="center"/>
                    <w:rPr>
                      <w:rFonts w:ascii="Times New Roman" w:hAnsi="Times New Roman" w:cs="Times New Roman"/>
                      <w:color w:val="000000"/>
                      <w:lang w:val="es-ES_tradnl" w:eastAsia="es-ES_tradnl"/>
                    </w:rPr>
                  </w:pPr>
                  <w:r w:rsidRPr="002A7673">
                    <w:rPr>
                      <w:rFonts w:ascii="Times New Roman" w:hAnsi="Times New Roman" w:cs="Times New Roman"/>
                      <w:color w:val="000000"/>
                      <w:lang w:val="es-ES_tradnl" w:eastAsia="es-ES_tradnl"/>
                    </w:rPr>
                    <w:t>99%</w:t>
                  </w:r>
                </w:p>
              </w:tc>
            </w:tr>
            <w:tr w:rsidR="005218C2" w:rsidRPr="002A7673" w14:paraId="6D0288B3" w14:textId="77777777" w:rsidTr="00F36B66">
              <w:trPr>
                <w:trHeight w:val="300"/>
              </w:trPr>
              <w:tc>
                <w:tcPr>
                  <w:tcW w:w="3860" w:type="dxa"/>
                  <w:tcBorders>
                    <w:top w:val="nil"/>
                    <w:left w:val="single" w:sz="8" w:space="0" w:color="auto"/>
                    <w:bottom w:val="single" w:sz="8" w:space="0" w:color="auto"/>
                    <w:right w:val="single" w:sz="8" w:space="0" w:color="auto"/>
                  </w:tcBorders>
                  <w:shd w:val="clear" w:color="000000" w:fill="BFBFBF"/>
                  <w:noWrap/>
                  <w:vAlign w:val="bottom"/>
                  <w:hideMark/>
                </w:tcPr>
                <w:p w14:paraId="55CCA0A7" w14:textId="77777777" w:rsidR="005218C2" w:rsidRPr="002A7673" w:rsidRDefault="005218C2" w:rsidP="0048334E">
                  <w:pPr>
                    <w:spacing w:after="0" w:line="240" w:lineRule="auto"/>
                    <w:jc w:val="center"/>
                    <w:rPr>
                      <w:rFonts w:ascii="Times New Roman" w:hAnsi="Times New Roman" w:cs="Times New Roman"/>
                      <w:b/>
                      <w:bCs/>
                      <w:color w:val="000000"/>
                      <w:lang w:val="es-ES_tradnl" w:eastAsia="es-ES_tradnl"/>
                    </w:rPr>
                  </w:pPr>
                  <w:r w:rsidRPr="002A7673">
                    <w:rPr>
                      <w:rFonts w:ascii="Times New Roman" w:hAnsi="Times New Roman" w:cs="Times New Roman"/>
                      <w:b/>
                      <w:bCs/>
                      <w:color w:val="000000"/>
                      <w:lang w:val="es-ES_tradnl" w:eastAsia="es-ES_tradnl"/>
                    </w:rPr>
                    <w:t>TOTAL</w:t>
                  </w:r>
                </w:p>
              </w:tc>
              <w:tc>
                <w:tcPr>
                  <w:tcW w:w="1240" w:type="dxa"/>
                  <w:tcBorders>
                    <w:top w:val="nil"/>
                    <w:left w:val="nil"/>
                    <w:bottom w:val="single" w:sz="8" w:space="0" w:color="auto"/>
                    <w:right w:val="single" w:sz="8" w:space="0" w:color="auto"/>
                  </w:tcBorders>
                  <w:shd w:val="clear" w:color="000000" w:fill="BFBFBF"/>
                  <w:noWrap/>
                  <w:vAlign w:val="center"/>
                </w:tcPr>
                <w:p w14:paraId="263BFD70" w14:textId="77777777" w:rsidR="005218C2" w:rsidRPr="002A7673" w:rsidRDefault="005218C2" w:rsidP="0048334E">
                  <w:pPr>
                    <w:spacing w:after="0" w:line="240" w:lineRule="auto"/>
                    <w:jc w:val="right"/>
                    <w:rPr>
                      <w:rFonts w:ascii="Times New Roman" w:hAnsi="Times New Roman" w:cs="Times New Roman"/>
                      <w:b/>
                      <w:bCs/>
                      <w:lang w:eastAsia="es-CR"/>
                    </w:rPr>
                  </w:pPr>
                  <w:r w:rsidRPr="002A7673">
                    <w:rPr>
                      <w:rFonts w:ascii="Times New Roman" w:hAnsi="Times New Roman" w:cs="Times New Roman"/>
                      <w:b/>
                      <w:bCs/>
                    </w:rPr>
                    <w:t>82 469 242</w:t>
                  </w:r>
                </w:p>
              </w:tc>
              <w:tc>
                <w:tcPr>
                  <w:tcW w:w="1240" w:type="dxa"/>
                  <w:tcBorders>
                    <w:top w:val="nil"/>
                    <w:left w:val="nil"/>
                    <w:bottom w:val="single" w:sz="8" w:space="0" w:color="auto"/>
                    <w:right w:val="single" w:sz="8" w:space="0" w:color="auto"/>
                  </w:tcBorders>
                  <w:shd w:val="clear" w:color="000000" w:fill="BFBFBF"/>
                  <w:noWrap/>
                  <w:vAlign w:val="center"/>
                </w:tcPr>
                <w:p w14:paraId="66767233" w14:textId="77777777" w:rsidR="005218C2" w:rsidRPr="002A7673" w:rsidRDefault="005218C2" w:rsidP="0048334E">
                  <w:pPr>
                    <w:spacing w:after="0" w:line="240" w:lineRule="auto"/>
                    <w:jc w:val="right"/>
                    <w:rPr>
                      <w:rFonts w:ascii="Times New Roman" w:hAnsi="Times New Roman" w:cs="Times New Roman"/>
                      <w:b/>
                      <w:bCs/>
                      <w:lang w:eastAsia="es-CR"/>
                    </w:rPr>
                  </w:pPr>
                  <w:r w:rsidRPr="002A7673">
                    <w:rPr>
                      <w:rFonts w:ascii="Times New Roman" w:hAnsi="Times New Roman" w:cs="Times New Roman"/>
                      <w:b/>
                      <w:bCs/>
                    </w:rPr>
                    <w:t>48 431 311</w:t>
                  </w:r>
                </w:p>
              </w:tc>
              <w:tc>
                <w:tcPr>
                  <w:tcW w:w="1240" w:type="dxa"/>
                  <w:tcBorders>
                    <w:top w:val="nil"/>
                    <w:left w:val="nil"/>
                    <w:bottom w:val="single" w:sz="8" w:space="0" w:color="auto"/>
                    <w:right w:val="single" w:sz="8" w:space="0" w:color="auto"/>
                  </w:tcBorders>
                  <w:shd w:val="clear" w:color="000000" w:fill="BFBFBF"/>
                  <w:noWrap/>
                  <w:vAlign w:val="center"/>
                </w:tcPr>
                <w:p w14:paraId="6907F76D" w14:textId="77777777" w:rsidR="005218C2" w:rsidRPr="002A7673" w:rsidRDefault="005218C2" w:rsidP="0048334E">
                  <w:pPr>
                    <w:spacing w:after="0" w:line="240" w:lineRule="auto"/>
                    <w:jc w:val="right"/>
                    <w:rPr>
                      <w:rFonts w:ascii="Times New Roman" w:hAnsi="Times New Roman" w:cs="Times New Roman"/>
                      <w:b/>
                      <w:bCs/>
                      <w:lang w:eastAsia="es-CR"/>
                    </w:rPr>
                  </w:pPr>
                  <w:r w:rsidRPr="002A7673">
                    <w:rPr>
                      <w:rFonts w:ascii="Times New Roman" w:hAnsi="Times New Roman" w:cs="Times New Roman"/>
                      <w:b/>
                      <w:bCs/>
                    </w:rPr>
                    <w:t>37 675 145</w:t>
                  </w:r>
                </w:p>
              </w:tc>
              <w:tc>
                <w:tcPr>
                  <w:tcW w:w="1240" w:type="dxa"/>
                  <w:tcBorders>
                    <w:top w:val="nil"/>
                    <w:left w:val="nil"/>
                    <w:bottom w:val="single" w:sz="8" w:space="0" w:color="auto"/>
                    <w:right w:val="single" w:sz="8" w:space="0" w:color="auto"/>
                  </w:tcBorders>
                  <w:shd w:val="clear" w:color="000000" w:fill="BFBFBF"/>
                  <w:noWrap/>
                  <w:vAlign w:val="center"/>
                </w:tcPr>
                <w:p w14:paraId="71ABF5D3" w14:textId="77777777" w:rsidR="005218C2" w:rsidRPr="002A7673" w:rsidRDefault="005218C2" w:rsidP="0048334E">
                  <w:pPr>
                    <w:spacing w:after="0" w:line="240" w:lineRule="auto"/>
                    <w:jc w:val="center"/>
                    <w:rPr>
                      <w:rFonts w:ascii="Times New Roman" w:hAnsi="Times New Roman" w:cs="Times New Roman"/>
                      <w:b/>
                      <w:bCs/>
                      <w:color w:val="000000"/>
                      <w:lang w:val="es-ES_tradnl" w:eastAsia="es-ES_tradnl"/>
                    </w:rPr>
                  </w:pPr>
                  <w:r w:rsidRPr="002A7673">
                    <w:rPr>
                      <w:rFonts w:ascii="Times New Roman" w:hAnsi="Times New Roman" w:cs="Times New Roman"/>
                      <w:b/>
                      <w:bCs/>
                      <w:color w:val="000000"/>
                      <w:lang w:val="es-ES_tradnl" w:eastAsia="es-ES_tradnl"/>
                    </w:rPr>
                    <w:t>78%</w:t>
                  </w:r>
                </w:p>
              </w:tc>
            </w:tr>
          </w:tbl>
          <w:p w14:paraId="15432E58" w14:textId="77777777" w:rsidR="005218C2" w:rsidRPr="002A7673" w:rsidRDefault="005218C2" w:rsidP="0048334E">
            <w:pPr>
              <w:spacing w:after="0" w:line="360" w:lineRule="auto"/>
              <w:rPr>
                <w:rFonts w:ascii="Times New Roman" w:hAnsi="Times New Roman" w:cs="Times New Roman"/>
              </w:rPr>
            </w:pPr>
          </w:p>
          <w:p w14:paraId="4D55AE6D" w14:textId="77777777" w:rsidR="005218C2" w:rsidRPr="002A7673" w:rsidRDefault="005218C2" w:rsidP="0048334E">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primer lugar, es importante resaltar que de los ¢82.469.242 aprobados para 2020, vía modificaciones presupuestarias se cedieron por parte de todos los Programas Presupuestarios excepto el 950, un 41% de los recursos (¢34.037.931), por lo que quedaron disponibles para ejecutar solamente ¢48.431.311 (59%). Del monto indicado anteriormente, se ejecutó el 78%, equivalente a ¢37.675.145.</w:t>
            </w:r>
          </w:p>
          <w:p w14:paraId="6B1157DF" w14:textId="77777777" w:rsidR="005218C2" w:rsidRPr="002A7673" w:rsidRDefault="005218C2" w:rsidP="0048334E">
            <w:pPr>
              <w:spacing w:after="0" w:line="360" w:lineRule="auto"/>
              <w:rPr>
                <w:rFonts w:ascii="Times New Roman" w:hAnsi="Times New Roman" w:cs="Times New Roman"/>
                <w:b/>
                <w:bCs/>
                <w:highlight w:val="yellow"/>
              </w:rPr>
            </w:pPr>
          </w:p>
        </w:tc>
        <w:tc>
          <w:tcPr>
            <w:tcW w:w="222" w:type="dxa"/>
          </w:tcPr>
          <w:p w14:paraId="136502C5" w14:textId="77777777" w:rsidR="005218C2" w:rsidRPr="002A7673" w:rsidRDefault="005218C2" w:rsidP="0048334E">
            <w:pPr>
              <w:spacing w:after="0" w:line="480" w:lineRule="auto"/>
              <w:jc w:val="center"/>
              <w:rPr>
                <w:rFonts w:ascii="Times New Roman" w:hAnsi="Times New Roman" w:cs="Times New Roman"/>
                <w:b/>
                <w:bCs/>
                <w:sz w:val="28"/>
                <w:szCs w:val="28"/>
                <w:highlight w:val="yellow"/>
              </w:rPr>
            </w:pPr>
          </w:p>
        </w:tc>
      </w:tr>
    </w:tbl>
    <w:p w14:paraId="0B21E1F6"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 acuerdo con el Ministerio de Hacienda, para que una ejecución se considere como “buena” debe alcanzar al menos el 90%, por lo que seguidamente se presentan las justificaciones brindadas por los Programas Jurisdiccional, OIJ y Ministerio Público.</w:t>
      </w:r>
    </w:p>
    <w:p w14:paraId="2DE6533D" w14:textId="77777777" w:rsidR="005218C2" w:rsidRPr="002A7673" w:rsidRDefault="005218C2" w:rsidP="005218C2">
      <w:pPr>
        <w:spacing w:after="0" w:line="240" w:lineRule="auto"/>
        <w:ind w:left="851" w:right="851" w:firstLine="709"/>
        <w:jc w:val="both"/>
        <w:rPr>
          <w:rFonts w:ascii="Times New Roman" w:hAnsi="Times New Roman" w:cs="Times New Roman"/>
          <w:i/>
          <w:iCs/>
          <w:color w:val="000000"/>
          <w:sz w:val="26"/>
          <w:szCs w:val="26"/>
          <w:highlight w:val="yellow"/>
        </w:rPr>
      </w:pPr>
    </w:p>
    <w:p w14:paraId="78141FD3" w14:textId="77777777" w:rsidR="005218C2" w:rsidRPr="002A7673" w:rsidRDefault="005218C2" w:rsidP="005218C2">
      <w:pPr>
        <w:spacing w:after="0" w:line="240" w:lineRule="auto"/>
        <w:ind w:left="851" w:right="851" w:firstLine="709"/>
        <w:jc w:val="both"/>
        <w:rPr>
          <w:rFonts w:ascii="Times New Roman" w:hAnsi="Times New Roman" w:cs="Times New Roman"/>
          <w:b/>
          <w:bCs/>
          <w:i/>
          <w:iCs/>
          <w:color w:val="000000"/>
          <w:sz w:val="26"/>
          <w:szCs w:val="26"/>
          <w:u w:val="single"/>
        </w:rPr>
      </w:pPr>
      <w:r w:rsidRPr="002A7673">
        <w:rPr>
          <w:rFonts w:ascii="Times New Roman" w:hAnsi="Times New Roman" w:cs="Times New Roman"/>
          <w:b/>
          <w:bCs/>
          <w:i/>
          <w:iCs/>
          <w:color w:val="000000"/>
          <w:sz w:val="26"/>
          <w:szCs w:val="26"/>
          <w:u w:val="single"/>
        </w:rPr>
        <w:t>Programa Presupuestario 927 (Judicatura):</w:t>
      </w:r>
    </w:p>
    <w:p w14:paraId="3715EB99" w14:textId="77777777" w:rsidR="005218C2" w:rsidRPr="002A7673" w:rsidRDefault="005218C2" w:rsidP="005218C2">
      <w:pPr>
        <w:spacing w:after="0" w:line="240" w:lineRule="auto"/>
        <w:ind w:left="851" w:right="851" w:firstLine="709"/>
        <w:jc w:val="both"/>
        <w:rPr>
          <w:rFonts w:ascii="Times New Roman" w:hAnsi="Times New Roman" w:cs="Times New Roman"/>
          <w:i/>
          <w:iCs/>
          <w:color w:val="000000"/>
          <w:sz w:val="26"/>
          <w:szCs w:val="26"/>
          <w:highlight w:val="yellow"/>
        </w:rPr>
      </w:pPr>
    </w:p>
    <w:p w14:paraId="5EFC0F7E"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El monto sin ejecutar en la subpartida 60201 del programa 927 para el año 2020, correspondiente a un monto de ₡ 2.352.665,00, se debe a que la señora María Ester Vargas Monge, becada por el Consejo Superior en sesión No. 102-18, celebrada el 22 de noviembre de 2018, artículo XLII, para cursar la Maestría en Ciencias Penales de la Universidad de Costa Rica (UCR) durante los años 2019-2020, en el I semestre del año 2020 cursó únicamente dos materias del plan de estudios y el 27 de agosto del 2020, la señora Vargas </w:t>
      </w:r>
      <w:r w:rsidRPr="002A7673">
        <w:rPr>
          <w:rFonts w:ascii="Times New Roman" w:hAnsi="Times New Roman" w:cs="Times New Roman"/>
          <w:sz w:val="26"/>
          <w:szCs w:val="26"/>
        </w:rPr>
        <w:lastRenderedPageBreak/>
        <w:t xml:space="preserve">comunicó que se encontraba incapacitada, por lo que no realizó la matrícula para el II semestre del año 2020. </w:t>
      </w:r>
    </w:p>
    <w:p w14:paraId="06EB367C" w14:textId="77777777" w:rsidR="005218C2" w:rsidRPr="002A7673" w:rsidRDefault="005218C2" w:rsidP="005218C2">
      <w:pPr>
        <w:spacing w:after="0" w:line="240" w:lineRule="auto"/>
        <w:ind w:left="851" w:right="851" w:firstLine="709"/>
        <w:jc w:val="both"/>
        <w:rPr>
          <w:rFonts w:ascii="Times New Roman" w:hAnsi="Times New Roman" w:cs="Times New Roman"/>
          <w:i/>
          <w:iCs/>
          <w:color w:val="000000"/>
          <w:sz w:val="26"/>
          <w:szCs w:val="26"/>
          <w:highlight w:val="yellow"/>
        </w:rPr>
      </w:pPr>
    </w:p>
    <w:p w14:paraId="0895E122"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Por parte del Subproceso Gestión de la Capacitación, se han interpuesto consultas ante el Consejo de Personal sobre el estado de la beca de la servidora y su afectación al contrato de adiestramiento suscrito, sin embargo, según sesión de Consejo de Personal No. 01-21, celebrada el 19 de enero de 2021, artículo IV, se acordó: </w:t>
      </w:r>
    </w:p>
    <w:p w14:paraId="78EA7DA9"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lang w:eastAsia="es-CR"/>
        </w:rPr>
      </w:pPr>
    </w:p>
    <w:p w14:paraId="56E3B1F5" w14:textId="77777777" w:rsidR="005218C2" w:rsidRPr="002A7673" w:rsidRDefault="005218C2" w:rsidP="005218C2">
      <w:pPr>
        <w:spacing w:after="0" w:line="240" w:lineRule="auto"/>
        <w:ind w:left="851" w:right="851" w:firstLine="709"/>
        <w:contextualSpacing/>
        <w:jc w:val="both"/>
        <w:rPr>
          <w:rFonts w:ascii="Times New Roman" w:hAnsi="Times New Roman" w:cs="Times New Roman"/>
          <w:i/>
          <w:iCs/>
          <w:sz w:val="26"/>
          <w:szCs w:val="26"/>
        </w:rPr>
      </w:pPr>
      <w:r w:rsidRPr="002A7673">
        <w:rPr>
          <w:rFonts w:ascii="Times New Roman" w:hAnsi="Times New Roman" w:cs="Times New Roman"/>
          <w:i/>
          <w:iCs/>
          <w:sz w:val="26"/>
          <w:szCs w:val="26"/>
        </w:rPr>
        <w:t>“1. Devolver el oficio N°PJ-DGH-CP-436-20 a la Sección de Gestión de la Capacitación, afín de que solicite a la señora Vargas Monge una vez que finalice su incapacidad, aclare por qué en el primer semestre matriculó únicamente dos materias, cuando debió haber cursado las cuatro materias del bloque completo para dar cumplimiento al contrato establecido para beneficiarse de la beca, así como investigar si en el semestre del 2020 aprobó las dos materias matriculadas en la Universidad de Costa Rica, de lo contrario por qué no se aprobaron académicamente.</w:t>
      </w:r>
    </w:p>
    <w:p w14:paraId="782EDDB1" w14:textId="77777777" w:rsidR="005218C2" w:rsidRPr="002A7673" w:rsidRDefault="005218C2" w:rsidP="005218C2">
      <w:pPr>
        <w:spacing w:after="0" w:line="240" w:lineRule="auto"/>
        <w:ind w:left="851" w:right="851" w:firstLine="709"/>
        <w:contextualSpacing/>
        <w:jc w:val="both"/>
        <w:rPr>
          <w:rFonts w:ascii="Times New Roman" w:hAnsi="Times New Roman" w:cs="Times New Roman"/>
          <w:i/>
          <w:iCs/>
          <w:sz w:val="26"/>
          <w:szCs w:val="26"/>
        </w:rPr>
      </w:pPr>
    </w:p>
    <w:p w14:paraId="38FBB966" w14:textId="77777777" w:rsidR="005218C2" w:rsidRPr="002A7673" w:rsidRDefault="005218C2" w:rsidP="005218C2">
      <w:pPr>
        <w:spacing w:after="0" w:line="240" w:lineRule="auto"/>
        <w:ind w:left="851" w:right="851" w:firstLine="709"/>
        <w:contextualSpacing/>
        <w:jc w:val="both"/>
        <w:rPr>
          <w:rFonts w:ascii="Times New Roman" w:hAnsi="Times New Roman" w:cs="Times New Roman"/>
          <w:i/>
          <w:iCs/>
          <w:sz w:val="26"/>
          <w:szCs w:val="26"/>
        </w:rPr>
      </w:pPr>
      <w:r w:rsidRPr="002A7673">
        <w:rPr>
          <w:rFonts w:ascii="Times New Roman" w:hAnsi="Times New Roman" w:cs="Times New Roman"/>
          <w:i/>
          <w:iCs/>
          <w:sz w:val="26"/>
          <w:szCs w:val="26"/>
        </w:rPr>
        <w:t>2. Que la Sección de Gestión de la Capacitación, investigue con la universidad qué medidas adoptaron en el segundo semestre del 2020, para que la señora María Ester Vargas Monge, diera cumplimiento a sus responsabilidades estudiantiles, dadas las condiciones de salud que presentó.”</w:t>
      </w:r>
    </w:p>
    <w:p w14:paraId="2C045FB0"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lang w:eastAsia="es-CR"/>
        </w:rPr>
      </w:pPr>
    </w:p>
    <w:p w14:paraId="3ED7B06A"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lang w:eastAsia="es-CR"/>
        </w:rPr>
      </w:pPr>
    </w:p>
    <w:p w14:paraId="7397A54D"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Por lo que se procedió con lo solicitado y mediante oficio PJ-DGH-CAP-103-2021 se brindó informe al Consejo de Personal sobre las medidas tomadas por parte de la Universidad de Costa Rica. </w:t>
      </w:r>
    </w:p>
    <w:p w14:paraId="1BAD702A"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p>
    <w:p w14:paraId="67B4B207"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Actualmente se está dando seguimiento a la gestión.  </w:t>
      </w:r>
    </w:p>
    <w:p w14:paraId="2610BDAD" w14:textId="77777777" w:rsidR="005218C2" w:rsidRPr="002A7673" w:rsidRDefault="005218C2" w:rsidP="00A60CCD">
      <w:pPr>
        <w:spacing w:after="0" w:line="240" w:lineRule="auto"/>
        <w:ind w:right="851"/>
        <w:jc w:val="both"/>
        <w:rPr>
          <w:rFonts w:ascii="Times New Roman" w:hAnsi="Times New Roman" w:cs="Times New Roman"/>
          <w:i/>
          <w:iCs/>
          <w:color w:val="000000"/>
          <w:sz w:val="26"/>
          <w:szCs w:val="26"/>
          <w:highlight w:val="yellow"/>
        </w:rPr>
      </w:pPr>
    </w:p>
    <w:p w14:paraId="6B494E31" w14:textId="77777777" w:rsidR="005218C2" w:rsidRPr="002A7673" w:rsidRDefault="005218C2" w:rsidP="005218C2">
      <w:pPr>
        <w:spacing w:after="0" w:line="240" w:lineRule="auto"/>
        <w:ind w:left="851" w:right="851" w:firstLine="709"/>
        <w:jc w:val="both"/>
        <w:rPr>
          <w:rFonts w:ascii="Times New Roman" w:hAnsi="Times New Roman" w:cs="Times New Roman"/>
          <w:b/>
          <w:bCs/>
          <w:i/>
          <w:iCs/>
          <w:color w:val="000000"/>
          <w:sz w:val="26"/>
          <w:szCs w:val="26"/>
          <w:u w:val="single"/>
        </w:rPr>
      </w:pPr>
      <w:r w:rsidRPr="002A7673">
        <w:rPr>
          <w:rFonts w:ascii="Times New Roman" w:hAnsi="Times New Roman" w:cs="Times New Roman"/>
          <w:b/>
          <w:bCs/>
          <w:i/>
          <w:iCs/>
          <w:color w:val="000000"/>
          <w:sz w:val="26"/>
          <w:szCs w:val="26"/>
          <w:u w:val="single"/>
        </w:rPr>
        <w:t>Programa Presupuestario 928 (Organismo de Investigación Judicial):</w:t>
      </w:r>
    </w:p>
    <w:p w14:paraId="76499E6A" w14:textId="77777777" w:rsidR="005218C2" w:rsidRPr="002A7673" w:rsidRDefault="005218C2" w:rsidP="005218C2">
      <w:pPr>
        <w:spacing w:after="0" w:line="240" w:lineRule="auto"/>
        <w:ind w:left="851" w:right="851" w:firstLine="709"/>
        <w:jc w:val="both"/>
        <w:rPr>
          <w:rFonts w:ascii="Times New Roman" w:hAnsi="Times New Roman" w:cs="Times New Roman"/>
          <w:b/>
          <w:bCs/>
          <w:i/>
          <w:iCs/>
          <w:color w:val="000000"/>
          <w:sz w:val="26"/>
          <w:szCs w:val="26"/>
          <w:highlight w:val="yellow"/>
          <w:u w:val="single"/>
        </w:rPr>
      </w:pPr>
    </w:p>
    <w:p w14:paraId="014F4904"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El monto sin ejecutar en la subpartida 60201 del programa 928 para el año 2020, correspondiente a un monto de ₡ 791.149,00, se debe a que el señor Manfred Quesada Sánchez, becado por el Consejo Superior en sesión No. 76-19 celebrada el 29 de agosto de 2019, artículo XLIII, para cursar la Maestría Profesional en Criminología impartida por la Universidad Estatal a Distancia (UNED), por error de interpretación asumió que con la solicitud que realizó </w:t>
      </w:r>
      <w:r w:rsidRPr="002A7673">
        <w:rPr>
          <w:rFonts w:ascii="Times New Roman" w:hAnsi="Times New Roman" w:cs="Times New Roman"/>
          <w:sz w:val="26"/>
          <w:szCs w:val="26"/>
        </w:rPr>
        <w:lastRenderedPageBreak/>
        <w:t>el Subproceso Gestión de la Capacitación a la UNED para que se facturara a nombre del Poder Judicial, se le había reservado la matrícula y no realizó el trámite en línea estipulado por la UNED.</w:t>
      </w:r>
    </w:p>
    <w:p w14:paraId="59B0BF58"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p>
    <w:p w14:paraId="6CA98934"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Quedando así sin ejecutar lo correspondiente a las cuatro materias que debió cursar el señor Quesada en el I trimestre del año 2020. </w:t>
      </w:r>
    </w:p>
    <w:p w14:paraId="3F018D52"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p>
    <w:p w14:paraId="39975F54"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Dicha gestión fue conocida por el Consejo Superior en sesión No. 72-20, celebrada el 16 de julio de 2020, artículo XV, en el cual se acordó: </w:t>
      </w:r>
    </w:p>
    <w:p w14:paraId="7F30D980"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p>
    <w:p w14:paraId="1015085A" w14:textId="77777777" w:rsidR="005218C2" w:rsidRPr="002A7673" w:rsidRDefault="005218C2" w:rsidP="005218C2">
      <w:pPr>
        <w:spacing w:after="0" w:line="240" w:lineRule="auto"/>
        <w:ind w:left="851" w:right="851" w:firstLine="709"/>
        <w:contextualSpacing/>
        <w:jc w:val="both"/>
        <w:rPr>
          <w:rFonts w:ascii="Times New Roman" w:hAnsi="Times New Roman" w:cs="Times New Roman"/>
          <w:i/>
          <w:iCs/>
          <w:sz w:val="26"/>
          <w:szCs w:val="26"/>
        </w:rPr>
      </w:pPr>
      <w:r w:rsidRPr="002A7673">
        <w:rPr>
          <w:rFonts w:ascii="Times New Roman" w:hAnsi="Times New Roman" w:cs="Times New Roman"/>
          <w:i/>
          <w:iCs/>
          <w:sz w:val="26"/>
          <w:szCs w:val="26"/>
        </w:rPr>
        <w:t xml:space="preserve">“Acoger el acuerdo tomado por el Consejo de Personal en sesión N° 08-2020 celebrada el 09 de junio de 2020 artículo III, en consecuencia: 1.) Deberá licenciado Manfred Quesada Sánchez, asumir el pago del último cuatrimestre de la </w:t>
      </w:r>
      <w:r w:rsidRPr="002A7673">
        <w:rPr>
          <w:rFonts w:ascii="Times New Roman" w:hAnsi="Times New Roman" w:cs="Times New Roman"/>
          <w:b/>
          <w:bCs/>
          <w:i/>
          <w:iCs/>
          <w:sz w:val="26"/>
          <w:szCs w:val="26"/>
        </w:rPr>
        <w:t>Maestría en Criminología en la Universidad Estatal a Distancia</w:t>
      </w:r>
      <w:r w:rsidRPr="002A7673">
        <w:rPr>
          <w:rFonts w:ascii="Times New Roman" w:hAnsi="Times New Roman" w:cs="Times New Roman"/>
          <w:i/>
          <w:iCs/>
          <w:sz w:val="26"/>
          <w:szCs w:val="26"/>
        </w:rPr>
        <w:t>, con el objetivo de no comprometer el presupuesto del 2021 asignado a la partida de otorgamiento de becas. 2.) Deberá el Subproceso Gestión de la Capacitación de la Dirección de Gestión Humana coordinar con la Dirección Jurídica, el ajuste que debe realizarse al contrato firmado por el señor Quesada Sánchez por ser beneficiario de la beca citada, a fin de que se ajuste su monto y el rige a partir de la aprobación de este acuerdo por parte del Consejo de Personal.”</w:t>
      </w:r>
    </w:p>
    <w:p w14:paraId="11EE1A1F" w14:textId="77777777" w:rsidR="005218C2" w:rsidRPr="002A7673" w:rsidRDefault="005218C2" w:rsidP="005218C2">
      <w:pPr>
        <w:spacing w:after="0" w:line="240" w:lineRule="auto"/>
        <w:ind w:left="851" w:right="851" w:firstLine="709"/>
        <w:jc w:val="both"/>
        <w:rPr>
          <w:rFonts w:ascii="Times New Roman" w:hAnsi="Times New Roman" w:cs="Times New Roman"/>
          <w:i/>
          <w:iCs/>
          <w:sz w:val="26"/>
          <w:szCs w:val="26"/>
        </w:rPr>
      </w:pPr>
    </w:p>
    <w:p w14:paraId="766CDE4A"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Por parte del Subproceso Gestión de la Capacitación, se procedió a realizar el ajuste al contrato suscrito por el señor Quesada según criterio de la Dirección Jurídica no. 609-DJ/CAD-2020 y se remitió la adenda suscrita por todas las partes a la Unidad de Gestión Documental y Archivo para su incorporación en el expediente digital del señor Quesada. </w:t>
      </w:r>
    </w:p>
    <w:p w14:paraId="77487E15" w14:textId="77777777" w:rsidR="005218C2" w:rsidRPr="002A7673" w:rsidRDefault="005218C2" w:rsidP="00A60CCD">
      <w:pPr>
        <w:spacing w:after="0" w:line="240" w:lineRule="auto"/>
        <w:ind w:right="851"/>
        <w:jc w:val="both"/>
        <w:rPr>
          <w:rFonts w:ascii="Times New Roman" w:hAnsi="Times New Roman" w:cs="Times New Roman"/>
          <w:b/>
          <w:bCs/>
          <w:i/>
          <w:iCs/>
          <w:color w:val="000000"/>
          <w:sz w:val="26"/>
          <w:szCs w:val="26"/>
          <w:highlight w:val="yellow"/>
          <w:u w:val="single"/>
        </w:rPr>
      </w:pPr>
    </w:p>
    <w:p w14:paraId="3319DB33" w14:textId="77777777" w:rsidR="005218C2" w:rsidRPr="002A7673" w:rsidRDefault="005218C2" w:rsidP="005218C2">
      <w:pPr>
        <w:spacing w:after="0" w:line="240" w:lineRule="auto"/>
        <w:ind w:left="851" w:right="851" w:firstLine="709"/>
        <w:jc w:val="both"/>
        <w:rPr>
          <w:rFonts w:ascii="Times New Roman" w:hAnsi="Times New Roman" w:cs="Times New Roman"/>
          <w:b/>
          <w:bCs/>
          <w:i/>
          <w:iCs/>
          <w:color w:val="000000"/>
          <w:sz w:val="26"/>
          <w:szCs w:val="26"/>
          <w:u w:val="single"/>
        </w:rPr>
      </w:pPr>
      <w:r w:rsidRPr="002A7673">
        <w:rPr>
          <w:rFonts w:ascii="Times New Roman" w:hAnsi="Times New Roman" w:cs="Times New Roman"/>
          <w:b/>
          <w:bCs/>
          <w:i/>
          <w:iCs/>
          <w:color w:val="000000"/>
          <w:sz w:val="26"/>
          <w:szCs w:val="26"/>
          <w:u w:val="single"/>
        </w:rPr>
        <w:t>Programa Presupuestario 929 (Ministerio Público):</w:t>
      </w:r>
    </w:p>
    <w:p w14:paraId="01FAF8D7" w14:textId="77777777" w:rsidR="005218C2" w:rsidRPr="002A7673" w:rsidRDefault="005218C2" w:rsidP="005218C2">
      <w:pPr>
        <w:spacing w:after="0" w:line="240" w:lineRule="auto"/>
        <w:ind w:left="851" w:right="851" w:firstLine="709"/>
        <w:jc w:val="both"/>
        <w:rPr>
          <w:rFonts w:ascii="Times New Roman" w:hAnsi="Times New Roman" w:cs="Times New Roman"/>
          <w:b/>
          <w:bCs/>
          <w:i/>
          <w:iCs/>
          <w:color w:val="000000"/>
          <w:sz w:val="26"/>
          <w:szCs w:val="26"/>
          <w:highlight w:val="yellow"/>
          <w:u w:val="single"/>
        </w:rPr>
      </w:pPr>
    </w:p>
    <w:p w14:paraId="14290442"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El monto sin ejecutar en la subpartida 60201 del programa 929 para el año 2020, correspondiente a un monto de ₡ 6 124 027,00, se debe a que, para este programa se destinaron becas para las siguientes actividades y su respectiva justificación: </w:t>
      </w:r>
    </w:p>
    <w:p w14:paraId="04951BA5"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highlight w:val="yellow"/>
        </w:rPr>
      </w:pPr>
    </w:p>
    <w:tbl>
      <w:tblPr>
        <w:tblW w:w="10060" w:type="dxa"/>
        <w:jc w:val="center"/>
        <w:tblCellMar>
          <w:left w:w="70" w:type="dxa"/>
          <w:right w:w="70" w:type="dxa"/>
        </w:tblCellMar>
        <w:tblLook w:val="04A0" w:firstRow="1" w:lastRow="0" w:firstColumn="1" w:lastColumn="0" w:noHBand="0" w:noVBand="1"/>
      </w:tblPr>
      <w:tblGrid>
        <w:gridCol w:w="1478"/>
        <w:gridCol w:w="1570"/>
        <w:gridCol w:w="7012"/>
      </w:tblGrid>
      <w:tr w:rsidR="005218C2" w:rsidRPr="002A7673" w14:paraId="6A583A5A" w14:textId="77777777" w:rsidTr="00F36B66">
        <w:trPr>
          <w:trHeight w:val="507"/>
          <w:jc w:val="center"/>
        </w:trPr>
        <w:tc>
          <w:tcPr>
            <w:tcW w:w="1478"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7522DE1" w14:textId="77777777" w:rsidR="005218C2" w:rsidRPr="002A7673" w:rsidRDefault="005218C2"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Postgrado</w:t>
            </w:r>
          </w:p>
        </w:tc>
        <w:tc>
          <w:tcPr>
            <w:tcW w:w="1570" w:type="dxa"/>
            <w:tcBorders>
              <w:top w:val="single" w:sz="4" w:space="0" w:color="auto"/>
              <w:left w:val="nil"/>
              <w:bottom w:val="single" w:sz="4" w:space="0" w:color="auto"/>
              <w:right w:val="single" w:sz="4" w:space="0" w:color="auto"/>
            </w:tcBorders>
            <w:shd w:val="clear" w:color="auto" w:fill="D9D9D9"/>
            <w:noWrap/>
            <w:vAlign w:val="center"/>
            <w:hideMark/>
          </w:tcPr>
          <w:p w14:paraId="56B6FFA2" w14:textId="77777777" w:rsidR="005218C2" w:rsidRPr="002A7673" w:rsidRDefault="005218C2"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Universidad</w:t>
            </w:r>
          </w:p>
        </w:tc>
        <w:tc>
          <w:tcPr>
            <w:tcW w:w="7012" w:type="dxa"/>
            <w:tcBorders>
              <w:top w:val="single" w:sz="4" w:space="0" w:color="auto"/>
              <w:left w:val="nil"/>
              <w:bottom w:val="single" w:sz="4" w:space="0" w:color="auto"/>
              <w:right w:val="single" w:sz="4" w:space="0" w:color="auto"/>
            </w:tcBorders>
            <w:shd w:val="clear" w:color="auto" w:fill="D9D9D9"/>
            <w:vAlign w:val="center"/>
            <w:hideMark/>
          </w:tcPr>
          <w:p w14:paraId="4579BD19" w14:textId="77777777" w:rsidR="005218C2" w:rsidRPr="002A7673" w:rsidRDefault="005218C2"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Justificación</w:t>
            </w:r>
          </w:p>
        </w:tc>
      </w:tr>
      <w:tr w:rsidR="005218C2" w:rsidRPr="002A7673" w14:paraId="50E30450" w14:textId="77777777" w:rsidTr="00F36B66">
        <w:trPr>
          <w:trHeight w:val="634"/>
          <w:jc w:val="center"/>
        </w:trPr>
        <w:tc>
          <w:tcPr>
            <w:tcW w:w="1478" w:type="dxa"/>
            <w:tcBorders>
              <w:top w:val="nil"/>
              <w:left w:val="single" w:sz="4" w:space="0" w:color="auto"/>
              <w:bottom w:val="single" w:sz="4" w:space="0" w:color="auto"/>
              <w:right w:val="single" w:sz="4" w:space="0" w:color="auto"/>
            </w:tcBorders>
            <w:vAlign w:val="center"/>
            <w:hideMark/>
          </w:tcPr>
          <w:p w14:paraId="55C37978"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Maestría en Derechos Humanos y </w:t>
            </w:r>
            <w:r w:rsidRPr="002A7673">
              <w:rPr>
                <w:rFonts w:ascii="Times New Roman" w:hAnsi="Times New Roman" w:cs="Times New Roman"/>
                <w:lang w:eastAsia="es-CR"/>
              </w:rPr>
              <w:lastRenderedPageBreak/>
              <w:t>Educación para la Paz</w:t>
            </w:r>
          </w:p>
        </w:tc>
        <w:tc>
          <w:tcPr>
            <w:tcW w:w="1570" w:type="dxa"/>
            <w:tcBorders>
              <w:top w:val="nil"/>
              <w:left w:val="nil"/>
              <w:bottom w:val="single" w:sz="4" w:space="0" w:color="auto"/>
              <w:right w:val="single" w:sz="4" w:space="0" w:color="auto"/>
            </w:tcBorders>
            <w:vAlign w:val="center"/>
            <w:hideMark/>
          </w:tcPr>
          <w:p w14:paraId="4717C437" w14:textId="77777777" w:rsidR="005218C2" w:rsidRPr="002A7673" w:rsidRDefault="005218C2"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lastRenderedPageBreak/>
              <w:t>Universidad Nacional (UNA)</w:t>
            </w:r>
          </w:p>
        </w:tc>
        <w:tc>
          <w:tcPr>
            <w:tcW w:w="7012" w:type="dxa"/>
            <w:tcBorders>
              <w:top w:val="nil"/>
              <w:left w:val="nil"/>
              <w:bottom w:val="single" w:sz="4" w:space="0" w:color="auto"/>
              <w:right w:val="single" w:sz="4" w:space="0" w:color="auto"/>
            </w:tcBorders>
            <w:vAlign w:val="center"/>
          </w:tcPr>
          <w:p w14:paraId="75CF40BA"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El 28 de abril de 2020, la UNA nos informó que la apertura de próxima promoción de esta actividad sería en febrero del 2021, por lo que, por razones </w:t>
            </w:r>
            <w:r w:rsidRPr="002A7673">
              <w:rPr>
                <w:rFonts w:ascii="Times New Roman" w:hAnsi="Times New Roman" w:cs="Times New Roman"/>
                <w:lang w:eastAsia="es-CR"/>
              </w:rPr>
              <w:lastRenderedPageBreak/>
              <w:t xml:space="preserve">externas a este Subproceso, no se pudo ejecutar el presupuesto asignado a esta actividad en el año 2020. </w:t>
            </w:r>
          </w:p>
          <w:p w14:paraId="2AF31C1A" w14:textId="77777777" w:rsidR="005218C2" w:rsidRPr="002A7673" w:rsidRDefault="005218C2" w:rsidP="0048334E">
            <w:pPr>
              <w:spacing w:after="0" w:line="240" w:lineRule="auto"/>
              <w:rPr>
                <w:rFonts w:ascii="Times New Roman" w:hAnsi="Times New Roman" w:cs="Times New Roman"/>
                <w:lang w:eastAsia="es-CR"/>
              </w:rPr>
            </w:pPr>
          </w:p>
          <w:p w14:paraId="4B89E717"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rPr>
              <w:object w:dxaOrig="1440" w:dyaOrig="1270" w14:anchorId="777D5D6B">
                <v:shape id="_x0000_i1034" type="#_x0000_t75" style="width:1in;height:65.5pt" o:ole="">
                  <v:imagedata r:id="rId76" o:title=""/>
                </v:shape>
                <o:OLEObject Type="Embed" ProgID="MailMsgAtt" ShapeID="_x0000_i1034" DrawAspect="Icon" ObjectID="_1684066977" r:id="rId77"/>
              </w:object>
            </w:r>
          </w:p>
          <w:p w14:paraId="04732870" w14:textId="77777777" w:rsidR="005218C2" w:rsidRPr="002A7673" w:rsidRDefault="005218C2" w:rsidP="0048334E">
            <w:pPr>
              <w:spacing w:after="0" w:line="240" w:lineRule="auto"/>
              <w:rPr>
                <w:rFonts w:ascii="Times New Roman" w:hAnsi="Times New Roman" w:cs="Times New Roman"/>
                <w:lang w:eastAsia="es-CR"/>
              </w:rPr>
            </w:pPr>
          </w:p>
        </w:tc>
      </w:tr>
      <w:tr w:rsidR="005218C2" w:rsidRPr="002A7673" w14:paraId="11A79E70" w14:textId="77777777" w:rsidTr="00F36B66">
        <w:trPr>
          <w:trHeight w:val="634"/>
          <w:jc w:val="center"/>
        </w:trPr>
        <w:tc>
          <w:tcPr>
            <w:tcW w:w="1478" w:type="dxa"/>
            <w:tcBorders>
              <w:top w:val="nil"/>
              <w:left w:val="single" w:sz="4" w:space="0" w:color="auto"/>
              <w:bottom w:val="single" w:sz="4" w:space="0" w:color="auto"/>
              <w:right w:val="single" w:sz="4" w:space="0" w:color="auto"/>
            </w:tcBorders>
            <w:vAlign w:val="center"/>
            <w:hideMark/>
          </w:tcPr>
          <w:p w14:paraId="302950AC"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lastRenderedPageBreak/>
              <w:t>Maestría Académica en Estudios de las Mujeres, Géneros y Sexualidades</w:t>
            </w:r>
          </w:p>
        </w:tc>
        <w:tc>
          <w:tcPr>
            <w:tcW w:w="1570" w:type="dxa"/>
            <w:tcBorders>
              <w:top w:val="nil"/>
              <w:left w:val="nil"/>
              <w:bottom w:val="single" w:sz="4" w:space="0" w:color="auto"/>
              <w:right w:val="single" w:sz="4" w:space="0" w:color="auto"/>
            </w:tcBorders>
            <w:vAlign w:val="center"/>
            <w:hideMark/>
          </w:tcPr>
          <w:p w14:paraId="3C08A7A2" w14:textId="77777777" w:rsidR="005218C2" w:rsidRPr="002A7673" w:rsidRDefault="005218C2"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Universidad de Costa Rica (UCR)</w:t>
            </w:r>
          </w:p>
        </w:tc>
        <w:tc>
          <w:tcPr>
            <w:tcW w:w="7012" w:type="dxa"/>
            <w:tcBorders>
              <w:top w:val="nil"/>
              <w:left w:val="nil"/>
              <w:bottom w:val="single" w:sz="4" w:space="0" w:color="auto"/>
              <w:right w:val="single" w:sz="4" w:space="0" w:color="auto"/>
            </w:tcBorders>
            <w:vAlign w:val="center"/>
          </w:tcPr>
          <w:p w14:paraId="3313C0D4"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El 25 de marzo de 2020, la UCR nos informó que la apertura de próxima promoción de esta actividad sería en marzo del 2021, por lo que, por razones externas a este Subproceso, no se pudo ejecutar el presupuesto asignado a esta actividad en el año 2020. </w:t>
            </w:r>
          </w:p>
          <w:p w14:paraId="17D949BA" w14:textId="77777777" w:rsidR="005218C2" w:rsidRPr="002A7673" w:rsidRDefault="005218C2" w:rsidP="0048334E">
            <w:pPr>
              <w:spacing w:after="0" w:line="240" w:lineRule="auto"/>
              <w:rPr>
                <w:rFonts w:ascii="Times New Roman" w:hAnsi="Times New Roman" w:cs="Times New Roman"/>
                <w:lang w:eastAsia="es-CR"/>
              </w:rPr>
            </w:pPr>
          </w:p>
          <w:p w14:paraId="05EE2DB4"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rPr>
              <w:object w:dxaOrig="1440" w:dyaOrig="1270" w14:anchorId="1F75BF1E">
                <v:shape id="_x0000_i1035" type="#_x0000_t75" style="width:1in;height:65.5pt" o:ole="">
                  <v:imagedata r:id="rId78" o:title=""/>
                </v:shape>
                <o:OLEObject Type="Embed" ProgID="MailMsgAtt" ShapeID="_x0000_i1035" DrawAspect="Icon" ObjectID="_1684066978" r:id="rId79"/>
              </w:object>
            </w:r>
          </w:p>
          <w:p w14:paraId="1D5C10A9" w14:textId="77777777" w:rsidR="005218C2" w:rsidRPr="002A7673" w:rsidRDefault="005218C2" w:rsidP="0048334E">
            <w:pPr>
              <w:spacing w:after="0" w:line="240" w:lineRule="auto"/>
              <w:rPr>
                <w:rFonts w:ascii="Times New Roman" w:hAnsi="Times New Roman" w:cs="Times New Roman"/>
                <w:lang w:eastAsia="es-CR"/>
              </w:rPr>
            </w:pPr>
          </w:p>
          <w:p w14:paraId="6FF7D4B2" w14:textId="77777777" w:rsidR="005218C2" w:rsidRPr="002A7673" w:rsidRDefault="005218C2" w:rsidP="0048334E">
            <w:pPr>
              <w:spacing w:after="0" w:line="240" w:lineRule="auto"/>
              <w:rPr>
                <w:rFonts w:ascii="Times New Roman" w:hAnsi="Times New Roman" w:cs="Times New Roman"/>
                <w:lang w:eastAsia="es-CR"/>
              </w:rPr>
            </w:pPr>
          </w:p>
        </w:tc>
      </w:tr>
      <w:tr w:rsidR="005218C2" w:rsidRPr="002A7673" w14:paraId="4A27A325" w14:textId="77777777" w:rsidTr="00F36B66">
        <w:trPr>
          <w:trHeight w:val="634"/>
          <w:jc w:val="center"/>
        </w:trPr>
        <w:tc>
          <w:tcPr>
            <w:tcW w:w="1478" w:type="dxa"/>
            <w:tcBorders>
              <w:top w:val="nil"/>
              <w:left w:val="single" w:sz="4" w:space="0" w:color="auto"/>
              <w:bottom w:val="single" w:sz="4" w:space="0" w:color="auto"/>
              <w:right w:val="single" w:sz="4" w:space="0" w:color="auto"/>
            </w:tcBorders>
            <w:vAlign w:val="center"/>
            <w:hideMark/>
          </w:tcPr>
          <w:p w14:paraId="6675E635"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Maestría en Ciencias Penales</w:t>
            </w:r>
          </w:p>
        </w:tc>
        <w:tc>
          <w:tcPr>
            <w:tcW w:w="1570" w:type="dxa"/>
            <w:tcBorders>
              <w:top w:val="nil"/>
              <w:left w:val="nil"/>
              <w:bottom w:val="single" w:sz="4" w:space="0" w:color="auto"/>
              <w:right w:val="single" w:sz="4" w:space="0" w:color="auto"/>
            </w:tcBorders>
            <w:vAlign w:val="center"/>
            <w:hideMark/>
          </w:tcPr>
          <w:p w14:paraId="540D6FF2" w14:textId="77777777" w:rsidR="005218C2" w:rsidRPr="002A7673" w:rsidRDefault="005218C2"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Universidad de Costa Rica (UCR)</w:t>
            </w:r>
          </w:p>
        </w:tc>
        <w:tc>
          <w:tcPr>
            <w:tcW w:w="7012" w:type="dxa"/>
            <w:tcBorders>
              <w:top w:val="nil"/>
              <w:left w:val="nil"/>
              <w:bottom w:val="single" w:sz="4" w:space="0" w:color="auto"/>
              <w:right w:val="single" w:sz="4" w:space="0" w:color="auto"/>
            </w:tcBorders>
            <w:vAlign w:val="center"/>
          </w:tcPr>
          <w:p w14:paraId="228C77F3"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En la divulgación que se realizó en el año 2019 para la promoción de esta actividad que dio inicio en marzo del año 2020, no participó ninguna persona servidora judicial de este programa presupuestario, por lo que, por razones ajenas a este Subproceso, no se pudo ejecutar el presupuesto asignado a esta actividad en el año 2020. Según el calendario académico de la UCR, no se abrió otra promoción para el año 2020 y la próxima por abrir dará inicio en agosto del año 2021.</w:t>
            </w:r>
          </w:p>
          <w:p w14:paraId="01E26160" w14:textId="77777777" w:rsidR="005218C2" w:rsidRPr="002A7673" w:rsidRDefault="005218C2" w:rsidP="0048334E">
            <w:pPr>
              <w:spacing w:after="0" w:line="240" w:lineRule="auto"/>
              <w:rPr>
                <w:rFonts w:ascii="Times New Roman" w:hAnsi="Times New Roman" w:cs="Times New Roman"/>
                <w:lang w:eastAsia="es-CR"/>
              </w:rPr>
            </w:pPr>
          </w:p>
          <w:p w14:paraId="64BE46E9"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rPr>
              <w:object w:dxaOrig="1440" w:dyaOrig="1270" w14:anchorId="0331B573">
                <v:shape id="_x0000_i1036" type="#_x0000_t75" style="width:1in;height:65.5pt" o:ole="">
                  <v:imagedata r:id="rId80" o:title=""/>
                </v:shape>
                <o:OLEObject Type="Embed" ProgID="MailMsgAtt" ShapeID="_x0000_i1036" DrawAspect="Icon" ObjectID="_1684066979" r:id="rId81"/>
              </w:object>
            </w:r>
            <w:r w:rsidRPr="002A7673">
              <w:rPr>
                <w:rFonts w:ascii="Times New Roman" w:hAnsi="Times New Roman" w:cs="Times New Roman"/>
              </w:rPr>
              <w:t xml:space="preserve"> </w:t>
            </w:r>
            <w:r w:rsidRPr="002A7673">
              <w:rPr>
                <w:rFonts w:ascii="Times New Roman" w:hAnsi="Times New Roman" w:cs="Times New Roman"/>
              </w:rPr>
              <w:object w:dxaOrig="1440" w:dyaOrig="1270" w14:anchorId="250A9E33">
                <v:shape id="_x0000_i1037" type="#_x0000_t75" style="width:1in;height:65.5pt" o:ole="">
                  <v:imagedata r:id="rId82" o:title=""/>
                </v:shape>
                <o:OLEObject Type="Embed" ProgID="Outlook.FileAttach" ShapeID="_x0000_i1037" DrawAspect="Icon" ObjectID="_1684066980" r:id="rId83"/>
              </w:object>
            </w:r>
          </w:p>
          <w:p w14:paraId="72B34AD6" w14:textId="77777777" w:rsidR="005218C2" w:rsidRPr="002A7673" w:rsidRDefault="005218C2" w:rsidP="0048334E">
            <w:pPr>
              <w:spacing w:after="0" w:line="240" w:lineRule="auto"/>
              <w:rPr>
                <w:rFonts w:ascii="Times New Roman" w:hAnsi="Times New Roman" w:cs="Times New Roman"/>
                <w:lang w:eastAsia="es-CR"/>
              </w:rPr>
            </w:pPr>
          </w:p>
          <w:p w14:paraId="634ADDB0" w14:textId="77777777" w:rsidR="005218C2" w:rsidRPr="002A7673" w:rsidRDefault="005218C2" w:rsidP="0048334E">
            <w:pPr>
              <w:spacing w:after="0" w:line="240" w:lineRule="auto"/>
              <w:rPr>
                <w:rFonts w:ascii="Times New Roman" w:hAnsi="Times New Roman" w:cs="Times New Roman"/>
                <w:lang w:eastAsia="es-CR"/>
              </w:rPr>
            </w:pPr>
          </w:p>
        </w:tc>
      </w:tr>
      <w:tr w:rsidR="005218C2" w:rsidRPr="002A7673" w14:paraId="141DF6E2" w14:textId="77777777" w:rsidTr="00F36B66">
        <w:trPr>
          <w:trHeight w:val="634"/>
          <w:jc w:val="center"/>
        </w:trPr>
        <w:tc>
          <w:tcPr>
            <w:tcW w:w="1478" w:type="dxa"/>
            <w:tcBorders>
              <w:top w:val="nil"/>
              <w:left w:val="single" w:sz="4" w:space="0" w:color="auto"/>
              <w:bottom w:val="single" w:sz="4" w:space="0" w:color="auto"/>
              <w:right w:val="single" w:sz="4" w:space="0" w:color="auto"/>
            </w:tcBorders>
            <w:vAlign w:val="center"/>
            <w:hideMark/>
          </w:tcPr>
          <w:p w14:paraId="6DAAA618"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Maestría en Derecho Público</w:t>
            </w:r>
          </w:p>
        </w:tc>
        <w:tc>
          <w:tcPr>
            <w:tcW w:w="1570" w:type="dxa"/>
            <w:tcBorders>
              <w:top w:val="nil"/>
              <w:left w:val="nil"/>
              <w:bottom w:val="single" w:sz="4" w:space="0" w:color="auto"/>
              <w:right w:val="single" w:sz="4" w:space="0" w:color="auto"/>
            </w:tcBorders>
            <w:vAlign w:val="center"/>
            <w:hideMark/>
          </w:tcPr>
          <w:p w14:paraId="46B2D6E3" w14:textId="77777777" w:rsidR="005218C2" w:rsidRPr="002A7673" w:rsidRDefault="005218C2"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Universidad de Costa Rica (UCR)</w:t>
            </w:r>
          </w:p>
        </w:tc>
        <w:tc>
          <w:tcPr>
            <w:tcW w:w="7012" w:type="dxa"/>
            <w:tcBorders>
              <w:top w:val="nil"/>
              <w:left w:val="nil"/>
              <w:bottom w:val="single" w:sz="4" w:space="0" w:color="auto"/>
              <w:right w:val="single" w:sz="4" w:space="0" w:color="auto"/>
            </w:tcBorders>
            <w:vAlign w:val="center"/>
          </w:tcPr>
          <w:p w14:paraId="55EA9928"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En la divulgación que se realizó en el año 2019 para la promoción de esta actividad que dio inicio en marzo del año 2020, no participó ninguna persona servidora judicial de este programa presupuestario, por lo que, por razones ajenas a este Subproceso, no se pudo ejecutar el presupuesto asignado a esta actividad en el año 2020. Según el calendario académico de la UCR, no se abrió otra promoción para el año 2020 y la próxima por abrir dará inicio en agosto del año 2021. </w:t>
            </w:r>
          </w:p>
          <w:p w14:paraId="24027371" w14:textId="77777777" w:rsidR="005218C2" w:rsidRPr="002A7673" w:rsidRDefault="005218C2" w:rsidP="0048334E">
            <w:pPr>
              <w:spacing w:after="0" w:line="240" w:lineRule="auto"/>
              <w:rPr>
                <w:rFonts w:ascii="Times New Roman" w:hAnsi="Times New Roman" w:cs="Times New Roman"/>
                <w:lang w:eastAsia="es-CR"/>
              </w:rPr>
            </w:pPr>
          </w:p>
          <w:p w14:paraId="0D137CB6" w14:textId="77777777" w:rsidR="005218C2" w:rsidRPr="002A7673" w:rsidRDefault="005218C2" w:rsidP="0048334E">
            <w:pPr>
              <w:spacing w:after="0" w:line="240" w:lineRule="auto"/>
              <w:rPr>
                <w:rFonts w:ascii="Times New Roman" w:hAnsi="Times New Roman" w:cs="Times New Roman"/>
                <w:lang w:eastAsia="es-CR"/>
              </w:rPr>
            </w:pPr>
            <w:r w:rsidRPr="002A7673">
              <w:rPr>
                <w:rFonts w:ascii="Times New Roman" w:hAnsi="Times New Roman" w:cs="Times New Roman"/>
              </w:rPr>
              <w:object w:dxaOrig="1440" w:dyaOrig="1270" w14:anchorId="2363BE75">
                <v:shape id="_x0000_i1038" type="#_x0000_t75" style="width:1in;height:65.5pt" o:ole="">
                  <v:imagedata r:id="rId84" o:title=""/>
                </v:shape>
                <o:OLEObject Type="Embed" ProgID="MailMsgAtt" ShapeID="_x0000_i1038" DrawAspect="Icon" ObjectID="_1684066981" r:id="rId85"/>
              </w:object>
            </w:r>
            <w:r w:rsidRPr="002A7673">
              <w:rPr>
                <w:rFonts w:ascii="Times New Roman" w:hAnsi="Times New Roman" w:cs="Times New Roman"/>
              </w:rPr>
              <w:t xml:space="preserve"> </w:t>
            </w:r>
          </w:p>
          <w:p w14:paraId="3FA4109C" w14:textId="77777777" w:rsidR="005218C2" w:rsidRPr="002A7673" w:rsidRDefault="005218C2" w:rsidP="0048334E">
            <w:pPr>
              <w:spacing w:after="0" w:line="240" w:lineRule="auto"/>
              <w:rPr>
                <w:rFonts w:ascii="Times New Roman" w:hAnsi="Times New Roman" w:cs="Times New Roman"/>
                <w:lang w:eastAsia="es-CR"/>
              </w:rPr>
            </w:pPr>
          </w:p>
        </w:tc>
      </w:tr>
    </w:tbl>
    <w:p w14:paraId="5C94F725" w14:textId="77777777" w:rsidR="005218C2" w:rsidRPr="002A7673" w:rsidRDefault="005218C2" w:rsidP="005218C2">
      <w:pPr>
        <w:spacing w:after="0" w:line="360" w:lineRule="auto"/>
        <w:rPr>
          <w:rFonts w:ascii="Times New Roman" w:hAnsi="Times New Roman" w:cs="Times New Roman"/>
          <w:highlight w:val="yellow"/>
        </w:rPr>
      </w:pPr>
    </w:p>
    <w:p w14:paraId="59DA2560" w14:textId="77777777" w:rsidR="005218C2" w:rsidRPr="002A7673" w:rsidRDefault="005218C2" w:rsidP="005218C2">
      <w:pPr>
        <w:spacing w:after="0" w:line="240" w:lineRule="auto"/>
        <w:rPr>
          <w:rFonts w:ascii="Times New Roman" w:hAnsi="Times New Roman" w:cs="Times New Roman"/>
          <w:highlight w:val="yellow"/>
        </w:rPr>
      </w:pPr>
    </w:p>
    <w:p w14:paraId="20D8B309" w14:textId="77777777" w:rsidR="005218C2" w:rsidRPr="002A7673" w:rsidRDefault="005218C2" w:rsidP="005218C2">
      <w:pPr>
        <w:spacing w:after="0" w:line="360" w:lineRule="auto"/>
        <w:rPr>
          <w:rFonts w:ascii="Times New Roman" w:hAnsi="Times New Roman" w:cs="Times New Roman"/>
        </w:rPr>
      </w:pPr>
    </w:p>
    <w:p w14:paraId="34592DF9"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Finalmente, en relación con el tema incluido en las directrices de formulación presupuestaria, en cuanto a que las Unidades de Capacitación deben velar por la ejecución de los recursos presupuestarios aprobados para becas y que deberán justificar tanto la ejecución como la no ejecución, se indica en el oficio 075-CAP-2021, que el Subproceso Gestión de la Capacitación solicitará a las diferentes Unidades de Capacitación y la Escuela Judicial que elaboren un cronograma de trabajo para el año 2022, que incluya los detalles relevantes de cada actividad para su gestión, además de informes trimestrales de la ejecución del presupuesto que se apruebe para la subpartida 60201 (Becas a funcionarios). Agregan, además, que se requiere que el Consejo Superior realice un recordatorio de la obligatoriedad de responder a estos seguimientos. </w:t>
      </w:r>
    </w:p>
    <w:p w14:paraId="5C456ACB"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p>
    <w:p w14:paraId="6E1ED691"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Adicionalmente, en cuanto al tema del informe de seguimiento semestral a los contratos de adiestramiento por concepto de beca, que las Unidades de Capacitación y la Escuela Judicial deben rendir al Subproceso de Gestión de la Capacitación, la Dirección de Gestión Humana solicita que el Consejo Superior realice un recordatorio de la obligatoriedad de responder a estos seguimientos.</w:t>
      </w:r>
    </w:p>
    <w:p w14:paraId="301A7D4D" w14:textId="77777777" w:rsidR="005218C2" w:rsidRPr="002A7673" w:rsidRDefault="005218C2" w:rsidP="005218C2">
      <w:pPr>
        <w:spacing w:after="0" w:line="360" w:lineRule="auto"/>
        <w:rPr>
          <w:rFonts w:ascii="Times New Roman" w:hAnsi="Times New Roman" w:cs="Times New Roman"/>
        </w:rPr>
      </w:pPr>
    </w:p>
    <w:p w14:paraId="0345B9EF" w14:textId="77777777" w:rsidR="005218C2" w:rsidRPr="002A7673" w:rsidRDefault="005218C2" w:rsidP="005218C2">
      <w:pPr>
        <w:spacing w:after="0" w:line="360" w:lineRule="auto"/>
        <w:rPr>
          <w:rFonts w:ascii="Times New Roman" w:hAnsi="Times New Roman" w:cs="Times New Roman"/>
          <w:sz w:val="28"/>
          <w:szCs w:val="28"/>
        </w:rPr>
      </w:pPr>
    </w:p>
    <w:p w14:paraId="24FAB9D4" w14:textId="77777777" w:rsidR="005218C2" w:rsidRPr="002A7673" w:rsidRDefault="005218C2" w:rsidP="005218C2">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sz w:val="26"/>
          <w:szCs w:val="26"/>
        </w:rPr>
        <w:t>Se acordó</w:t>
      </w:r>
      <w:r w:rsidRPr="002A7673">
        <w:rPr>
          <w:rFonts w:ascii="Times New Roman" w:hAnsi="Times New Roman" w:cs="Times New Roman"/>
          <w:sz w:val="26"/>
          <w:szCs w:val="26"/>
        </w:rPr>
        <w:t xml:space="preserve">:  1) Aprobar el escenario que propone un monto de ₡23.408.096 para becas, el cual se distribuirá por Programa Institucional considerando la ejecución presupuestaria del 2020 y el 2019, la Dirección de Gestión Humana deberá presentar el escenario ajustado 2) Lo relativo a Becas del Programa 950 Servicio de Atención y Protección de Víctimas y Testigos se debe incluir por separado del monto para el Programa 929 Ministerio Público, ya que se bene mantener el principio de formulación por programas presupuestarios. 3) La Dirección de Gestión Humana hará la desagregación y estimación correspondiente para reservar y mostrar los recursos para </w:t>
      </w:r>
      <w:r w:rsidRPr="002A7673">
        <w:rPr>
          <w:rFonts w:ascii="Times New Roman" w:hAnsi="Times New Roman" w:cs="Times New Roman"/>
          <w:sz w:val="26"/>
          <w:szCs w:val="26"/>
        </w:rPr>
        <w:lastRenderedPageBreak/>
        <w:t>permisos con goce de salario de los 14 especialistas en contenido requeridos para el 2022, tal y como se ha mostrado en años anteriores, ya que es un recurso presupuestario utilizado para los fines de capacitación.</w:t>
      </w:r>
    </w:p>
    <w:p w14:paraId="41B7AFBE" w14:textId="77777777" w:rsidR="005218C2" w:rsidRPr="002A7673" w:rsidRDefault="005218C2" w:rsidP="005218C2">
      <w:pPr>
        <w:spacing w:after="0" w:line="480" w:lineRule="auto"/>
        <w:ind w:left="720"/>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w:t>
      </w:r>
    </w:p>
    <w:p w14:paraId="3EDDDF92" w14:textId="77777777" w:rsidR="005218C2" w:rsidRPr="002A7673" w:rsidRDefault="005218C2" w:rsidP="005218C2">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relación con este acuerdo, el pasado martes 13 de abril, la Licda. Mónica Hernández Castro, servidora del Subproceso de Gestión de la Capacitación de la Dirección de Gestión Humana, informó:</w:t>
      </w:r>
    </w:p>
    <w:p w14:paraId="60D6ABD2" w14:textId="77777777" w:rsidR="005218C2" w:rsidRPr="002A7673" w:rsidRDefault="005218C2" w:rsidP="005218C2">
      <w:pPr>
        <w:spacing w:after="0" w:line="240" w:lineRule="auto"/>
        <w:ind w:left="851" w:right="851" w:firstLine="709"/>
        <w:jc w:val="both"/>
        <w:rPr>
          <w:rFonts w:ascii="Times New Roman" w:hAnsi="Times New Roman" w:cs="Times New Roman"/>
          <w:i/>
          <w:iCs/>
          <w:sz w:val="26"/>
          <w:szCs w:val="26"/>
        </w:rPr>
      </w:pPr>
      <w:r w:rsidRPr="002A7673">
        <w:rPr>
          <w:rFonts w:ascii="Times New Roman" w:hAnsi="Times New Roman" w:cs="Times New Roman"/>
          <w:i/>
          <w:iCs/>
          <w:sz w:val="26"/>
          <w:szCs w:val="26"/>
        </w:rPr>
        <w:t>“(…)  Sobre el presupuesto para el año 2022, se remite:</w:t>
      </w:r>
    </w:p>
    <w:p w14:paraId="268A7194" w14:textId="77777777" w:rsidR="005218C2" w:rsidRPr="002A7673" w:rsidRDefault="005218C2" w:rsidP="005218C2">
      <w:pPr>
        <w:spacing w:after="0" w:line="240" w:lineRule="auto"/>
        <w:ind w:left="851" w:right="851" w:firstLine="709"/>
        <w:jc w:val="both"/>
        <w:rPr>
          <w:rFonts w:ascii="Times New Roman" w:hAnsi="Times New Roman" w:cs="Times New Roman"/>
          <w:i/>
          <w:iCs/>
          <w:sz w:val="26"/>
          <w:szCs w:val="26"/>
        </w:rPr>
      </w:pPr>
    </w:p>
    <w:p w14:paraId="28340FE3" w14:textId="77777777" w:rsidR="005218C2" w:rsidRPr="002A7673" w:rsidRDefault="005218C2" w:rsidP="00FF3FAC">
      <w:pPr>
        <w:numPr>
          <w:ilvl w:val="0"/>
          <w:numId w:val="53"/>
        </w:numPr>
        <w:spacing w:after="0" w:line="240" w:lineRule="auto"/>
        <w:ind w:left="851" w:right="851" w:firstLine="709"/>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Oficio PJ-DGH-CAP-187-2021 correspondiente a la nueva propuesta de distribución de recursos presupuestarios en la subpartida 60201 (Becas a funcionarios) para el año 2022.</w:t>
      </w:r>
    </w:p>
    <w:p w14:paraId="70523820" w14:textId="77777777" w:rsidR="005218C2" w:rsidRPr="002A7673" w:rsidRDefault="005218C2" w:rsidP="005218C2">
      <w:pPr>
        <w:spacing w:after="0" w:line="240" w:lineRule="auto"/>
        <w:ind w:left="1560" w:right="851"/>
        <w:jc w:val="both"/>
        <w:rPr>
          <w:rFonts w:ascii="Times New Roman" w:eastAsia="Times New Roman" w:hAnsi="Times New Roman" w:cs="Times New Roman"/>
          <w:i/>
          <w:iCs/>
          <w:sz w:val="26"/>
          <w:szCs w:val="26"/>
          <w:lang w:val="es-ES" w:eastAsia="es-ES"/>
        </w:rPr>
      </w:pPr>
    </w:p>
    <w:p w14:paraId="1D401A77" w14:textId="77777777" w:rsidR="005218C2" w:rsidRPr="002A7673" w:rsidRDefault="005218C2" w:rsidP="005218C2">
      <w:pPr>
        <w:spacing w:after="0" w:line="240" w:lineRule="auto"/>
        <w:ind w:left="360"/>
        <w:rPr>
          <w:rFonts w:ascii="Times New Roman" w:hAnsi="Times New Roman" w:cs="Times New Roman"/>
          <w:i/>
          <w:iCs/>
        </w:rPr>
      </w:pPr>
      <w:r w:rsidRPr="002A7673">
        <w:rPr>
          <w:rFonts w:ascii="Times New Roman" w:eastAsia="Times New Roman" w:hAnsi="Times New Roman" w:cs="Times New Roman"/>
          <w:i/>
          <w:iCs/>
          <w:sz w:val="20"/>
          <w:szCs w:val="20"/>
        </w:rPr>
        <w:object w:dxaOrig="1440" w:dyaOrig="1270" w14:anchorId="448E5443">
          <v:shape id="_x0000_i1039" type="#_x0000_t75" style="width:1in;height:65.5pt" o:ole="">
            <v:imagedata r:id="rId86" o:title=""/>
          </v:shape>
          <o:OLEObject Type="Embed" ProgID="Outlook.FileAttach" ShapeID="_x0000_i1039" DrawAspect="Icon" ObjectID="_1684066982" r:id="rId87"/>
        </w:object>
      </w:r>
      <w:r w:rsidRPr="002A7673">
        <w:rPr>
          <w:rFonts w:ascii="Times New Roman" w:hAnsi="Times New Roman" w:cs="Times New Roman"/>
          <w:i/>
          <w:iCs/>
          <w:sz w:val="20"/>
          <w:szCs w:val="20"/>
        </w:rPr>
        <w:t xml:space="preserve"> </w:t>
      </w:r>
      <w:r w:rsidRPr="002A7673">
        <w:rPr>
          <w:rFonts w:ascii="Times New Roman" w:eastAsia="Times New Roman" w:hAnsi="Times New Roman" w:cs="Times New Roman"/>
          <w:i/>
          <w:iCs/>
          <w:sz w:val="20"/>
          <w:szCs w:val="20"/>
        </w:rPr>
        <w:object w:dxaOrig="1440" w:dyaOrig="1270" w14:anchorId="23436C4D">
          <v:shape id="_x0000_i1040" type="#_x0000_t75" style="width:1in;height:65.5pt" o:ole="">
            <v:imagedata r:id="rId88" o:title=""/>
          </v:shape>
          <o:OLEObject Type="Embed" ProgID="Outlook.FileAttach" ShapeID="_x0000_i1040" DrawAspect="Icon" ObjectID="_1684066983" r:id="rId89"/>
        </w:object>
      </w:r>
    </w:p>
    <w:p w14:paraId="3F43FE01" w14:textId="77777777" w:rsidR="005218C2" w:rsidRPr="002A7673" w:rsidRDefault="005218C2" w:rsidP="005218C2">
      <w:pPr>
        <w:spacing w:after="0" w:line="240" w:lineRule="auto"/>
        <w:ind w:left="1560" w:right="851"/>
        <w:jc w:val="both"/>
        <w:rPr>
          <w:rFonts w:ascii="Times New Roman" w:eastAsia="Times New Roman" w:hAnsi="Times New Roman" w:cs="Times New Roman"/>
          <w:i/>
          <w:iCs/>
          <w:sz w:val="26"/>
          <w:szCs w:val="26"/>
          <w:lang w:val="es-ES" w:eastAsia="es-ES"/>
        </w:rPr>
      </w:pPr>
    </w:p>
    <w:p w14:paraId="2E743DBD" w14:textId="77777777" w:rsidR="005218C2" w:rsidRPr="002A7673" w:rsidRDefault="005218C2" w:rsidP="00FF3FAC">
      <w:pPr>
        <w:numPr>
          <w:ilvl w:val="0"/>
          <w:numId w:val="53"/>
        </w:numPr>
        <w:spacing w:after="0" w:line="240" w:lineRule="auto"/>
        <w:ind w:left="851" w:right="851" w:firstLine="709"/>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 xml:space="preserve">Oficio PJ-DGH-CAP-190-2021 correspondiente a las estimaciones de especialistas en contenido para el año 2022. </w:t>
      </w:r>
    </w:p>
    <w:p w14:paraId="3C71392D" w14:textId="77777777" w:rsidR="005218C2" w:rsidRPr="002A7673" w:rsidRDefault="005218C2" w:rsidP="005218C2">
      <w:pPr>
        <w:spacing w:after="0" w:line="240" w:lineRule="auto"/>
        <w:ind w:left="1560" w:right="851"/>
        <w:jc w:val="both"/>
        <w:rPr>
          <w:rFonts w:ascii="Times New Roman" w:eastAsia="Times New Roman" w:hAnsi="Times New Roman" w:cs="Times New Roman"/>
          <w:i/>
          <w:iCs/>
          <w:sz w:val="26"/>
          <w:szCs w:val="26"/>
          <w:lang w:val="es-ES" w:eastAsia="es-ES"/>
        </w:rPr>
      </w:pPr>
    </w:p>
    <w:p w14:paraId="5EAB520E" w14:textId="77777777" w:rsidR="005218C2" w:rsidRPr="002A7673" w:rsidRDefault="005218C2" w:rsidP="005218C2">
      <w:pPr>
        <w:spacing w:after="0" w:line="240" w:lineRule="auto"/>
        <w:ind w:left="360"/>
        <w:rPr>
          <w:rFonts w:ascii="Times New Roman" w:hAnsi="Times New Roman" w:cs="Times New Roman"/>
          <w:i/>
          <w:iCs/>
          <w:sz w:val="20"/>
          <w:szCs w:val="20"/>
        </w:rPr>
      </w:pPr>
      <w:r w:rsidRPr="002A7673">
        <w:rPr>
          <w:rFonts w:ascii="Times New Roman" w:eastAsia="Times New Roman" w:hAnsi="Times New Roman" w:cs="Times New Roman"/>
          <w:i/>
          <w:iCs/>
          <w:sz w:val="20"/>
          <w:szCs w:val="20"/>
        </w:rPr>
        <w:object w:dxaOrig="1440" w:dyaOrig="1270" w14:anchorId="6C9E9744">
          <v:shape id="_x0000_i1041" type="#_x0000_t75" style="width:1in;height:65.5pt" o:ole="">
            <v:imagedata r:id="rId90" o:title=""/>
          </v:shape>
          <o:OLEObject Type="Embed" ProgID="Outlook.FileAttach" ShapeID="_x0000_i1041" DrawAspect="Icon" ObjectID="_1684066984" r:id="rId91"/>
        </w:object>
      </w:r>
      <w:r w:rsidRPr="002A7673">
        <w:rPr>
          <w:rFonts w:ascii="Times New Roman" w:hAnsi="Times New Roman" w:cs="Times New Roman"/>
          <w:i/>
          <w:iCs/>
          <w:sz w:val="20"/>
          <w:szCs w:val="20"/>
        </w:rPr>
        <w:t xml:space="preserve"> </w:t>
      </w:r>
      <w:r w:rsidRPr="002A7673">
        <w:rPr>
          <w:rFonts w:ascii="Times New Roman" w:eastAsia="Times New Roman" w:hAnsi="Times New Roman" w:cs="Times New Roman"/>
          <w:i/>
          <w:iCs/>
          <w:sz w:val="20"/>
          <w:szCs w:val="20"/>
        </w:rPr>
        <w:object w:dxaOrig="1440" w:dyaOrig="1270" w14:anchorId="1B1E0EFB">
          <v:shape id="_x0000_i1042" type="#_x0000_t75" style="width:1in;height:65.5pt" o:ole="">
            <v:imagedata r:id="rId92" o:title=""/>
          </v:shape>
          <o:OLEObject Type="Embed" ProgID="Outlook.FileAttach" ShapeID="_x0000_i1042" DrawAspect="Icon" ObjectID="_1684066985" r:id="rId93"/>
        </w:object>
      </w:r>
      <w:r w:rsidRPr="002A7673">
        <w:rPr>
          <w:rFonts w:ascii="Times New Roman" w:eastAsia="Times New Roman" w:hAnsi="Times New Roman" w:cs="Times New Roman"/>
          <w:i/>
          <w:iCs/>
          <w:sz w:val="20"/>
          <w:szCs w:val="20"/>
        </w:rPr>
        <w:t>(…)”</w:t>
      </w:r>
    </w:p>
    <w:p w14:paraId="2AC5AD7A" w14:textId="1D3DBDE8" w:rsidR="00A60CCD" w:rsidRPr="002A7673" w:rsidRDefault="005218C2" w:rsidP="00A60CCD">
      <w:pPr>
        <w:spacing w:after="0" w:line="480" w:lineRule="auto"/>
        <w:ind w:firstLine="709"/>
        <w:rPr>
          <w:rFonts w:ascii="Times New Roman" w:eastAsia="Calibri" w:hAnsi="Times New Roman" w:cs="Times New Roman"/>
          <w:sz w:val="28"/>
          <w:szCs w:val="28"/>
        </w:rPr>
      </w:pPr>
      <w:r w:rsidRPr="002A7673">
        <w:rPr>
          <w:rFonts w:ascii="Times New Roman" w:eastAsia="Calibri" w:hAnsi="Times New Roman" w:cs="Times New Roman"/>
          <w:sz w:val="28"/>
          <w:szCs w:val="28"/>
        </w:rPr>
        <w:t>En este correo se remite el oficio PJ-DGH-CAP-187-2021, en el cual se plantean tres escenarios:</w:t>
      </w:r>
    </w:p>
    <w:p w14:paraId="2C313305" w14:textId="77777777" w:rsidR="00A60CCD" w:rsidRPr="002A7673" w:rsidRDefault="00A60CCD" w:rsidP="005218C2">
      <w:pPr>
        <w:spacing w:after="0" w:line="240" w:lineRule="auto"/>
        <w:ind w:left="851" w:right="851" w:firstLine="709"/>
        <w:rPr>
          <w:rFonts w:ascii="Times New Roman" w:hAnsi="Times New Roman" w:cs="Times New Roman"/>
          <w:b/>
          <w:bCs/>
          <w:color w:val="000000"/>
          <w:sz w:val="24"/>
          <w:szCs w:val="24"/>
          <w:u w:val="single"/>
        </w:rPr>
      </w:pPr>
    </w:p>
    <w:p w14:paraId="29017A75" w14:textId="7C9CF35D" w:rsidR="005218C2" w:rsidRPr="002A7673" w:rsidRDefault="005218C2" w:rsidP="005218C2">
      <w:pPr>
        <w:spacing w:after="0" w:line="240" w:lineRule="auto"/>
        <w:ind w:left="851" w:right="851" w:firstLine="709"/>
        <w:rPr>
          <w:rFonts w:ascii="Times New Roman" w:eastAsia="Calibri" w:hAnsi="Times New Roman" w:cs="Times New Roman"/>
          <w:b/>
          <w:bCs/>
          <w:color w:val="000000"/>
          <w:sz w:val="26"/>
          <w:szCs w:val="26"/>
          <w:u w:val="single"/>
        </w:rPr>
      </w:pPr>
      <w:r w:rsidRPr="002A7673">
        <w:rPr>
          <w:rFonts w:ascii="Times New Roman" w:eastAsia="Calibri" w:hAnsi="Times New Roman" w:cs="Times New Roman"/>
          <w:b/>
          <w:bCs/>
          <w:color w:val="000000"/>
          <w:sz w:val="26"/>
          <w:szCs w:val="26"/>
          <w:u w:val="single"/>
        </w:rPr>
        <w:t xml:space="preserve">PROPUESTA NO. 1 </w:t>
      </w:r>
    </w:p>
    <w:p w14:paraId="38C39ADE"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p>
    <w:p w14:paraId="4319119D"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r w:rsidRPr="002A7673">
        <w:rPr>
          <w:rFonts w:ascii="Times New Roman" w:eastAsia="Times New Roman" w:hAnsi="Times New Roman" w:cs="Times New Roman"/>
          <w:sz w:val="26"/>
          <w:szCs w:val="26"/>
          <w:u w:color="000000"/>
          <w:shd w:val="clear" w:color="auto" w:fill="FFFFFF"/>
          <w:lang w:val="es-ES" w:eastAsia="es-ES"/>
        </w:rPr>
        <w:t xml:space="preserve">Distribuir el monto total de </w:t>
      </w:r>
      <w:r w:rsidRPr="002A7673">
        <w:rPr>
          <w:rFonts w:ascii="Times New Roman" w:eastAsia="Times New Roman" w:hAnsi="Times New Roman" w:cs="Times New Roman"/>
          <w:b/>
          <w:bCs/>
          <w:color w:val="000000"/>
          <w:sz w:val="26"/>
          <w:szCs w:val="26"/>
          <w:u w:color="000000"/>
          <w:shd w:val="clear" w:color="auto" w:fill="FFFFFF"/>
          <w:lang w:eastAsia="es-ES"/>
        </w:rPr>
        <w:t>₡</w:t>
      </w:r>
      <w:r w:rsidRPr="002A7673">
        <w:rPr>
          <w:rFonts w:ascii="Times New Roman" w:eastAsia="Times New Roman" w:hAnsi="Times New Roman" w:cs="Times New Roman"/>
          <w:b/>
          <w:bCs/>
          <w:color w:val="000000"/>
          <w:sz w:val="26"/>
          <w:szCs w:val="26"/>
          <w:u w:color="000000"/>
          <w:shd w:val="clear" w:color="auto" w:fill="FFFFFF"/>
          <w:lang w:eastAsia="es-CR"/>
        </w:rPr>
        <w:t>23.408.096,24</w:t>
      </w:r>
      <w:r w:rsidRPr="002A7673">
        <w:rPr>
          <w:rFonts w:ascii="Times New Roman" w:eastAsia="Times New Roman" w:hAnsi="Times New Roman" w:cs="Times New Roman"/>
          <w:color w:val="000000"/>
          <w:sz w:val="26"/>
          <w:szCs w:val="26"/>
          <w:u w:color="000000"/>
          <w:shd w:val="clear" w:color="auto" w:fill="FFFFFF"/>
          <w:lang w:eastAsia="es-ES"/>
        </w:rPr>
        <w:t xml:space="preserve">, de manera porcentual entre los seis programas presupuestarios (926, 927, 928, 929, 930 y 950), </w:t>
      </w:r>
      <w:r w:rsidRPr="002A7673">
        <w:rPr>
          <w:rFonts w:ascii="Times New Roman" w:eastAsia="Times New Roman" w:hAnsi="Times New Roman" w:cs="Times New Roman"/>
          <w:b/>
          <w:bCs/>
          <w:color w:val="000000"/>
          <w:sz w:val="26"/>
          <w:szCs w:val="26"/>
          <w:highlight w:val="lightGray"/>
          <w:u w:color="000000"/>
          <w:shd w:val="clear" w:color="auto" w:fill="FFFFFF"/>
          <w:lang w:eastAsia="es-ES"/>
        </w:rPr>
        <w:lastRenderedPageBreak/>
        <w:t>considerando l</w:t>
      </w:r>
      <w:r w:rsidRPr="002A7673">
        <w:rPr>
          <w:rFonts w:ascii="Times New Roman" w:eastAsia="Times New Roman" w:hAnsi="Times New Roman" w:cs="Times New Roman"/>
          <w:b/>
          <w:bCs/>
          <w:sz w:val="26"/>
          <w:szCs w:val="26"/>
          <w:highlight w:val="lightGray"/>
          <w:u w:color="000000"/>
          <w:shd w:val="clear" w:color="auto" w:fill="FFFFFF"/>
          <w:lang w:val="es-ES" w:eastAsia="es-ES"/>
        </w:rPr>
        <w:t>a cantidad de personas por programa presupuestario</w:t>
      </w:r>
      <w:r w:rsidRPr="002A7673">
        <w:rPr>
          <w:rFonts w:ascii="Times New Roman" w:eastAsia="Times New Roman" w:hAnsi="Times New Roman" w:cs="Times New Roman"/>
          <w:sz w:val="26"/>
          <w:szCs w:val="26"/>
          <w:u w:color="000000"/>
          <w:shd w:val="clear" w:color="auto" w:fill="FFFFFF"/>
          <w:lang w:val="es-ES" w:eastAsia="es-ES"/>
        </w:rPr>
        <w:t xml:space="preserve"> según la información contenida en la base de datos de la Dirección de Gestión Humana, quedando de la siguiente manera: </w:t>
      </w:r>
    </w:p>
    <w:p w14:paraId="33C57B25" w14:textId="77777777" w:rsidR="005218C2" w:rsidRPr="002A7673" w:rsidRDefault="005218C2" w:rsidP="005218C2">
      <w:pPr>
        <w:spacing w:after="0" w:line="360" w:lineRule="auto"/>
        <w:ind w:firstLine="284"/>
        <w:jc w:val="both"/>
        <w:rPr>
          <w:rFonts w:ascii="Times New Roman" w:eastAsia="Times New Roman" w:hAnsi="Times New Roman" w:cs="Times New Roman"/>
          <w:sz w:val="24"/>
          <w:szCs w:val="24"/>
          <w:u w:color="000000"/>
          <w:shd w:val="clear" w:color="auto" w:fill="FFFFFF"/>
          <w:lang w:val="es-ES" w:eastAsia="es-ES"/>
        </w:rPr>
      </w:pPr>
    </w:p>
    <w:tbl>
      <w:tblPr>
        <w:tblW w:w="9498" w:type="dxa"/>
        <w:jc w:val="center"/>
        <w:tblCellMar>
          <w:left w:w="70" w:type="dxa"/>
          <w:right w:w="70" w:type="dxa"/>
        </w:tblCellMar>
        <w:tblLook w:val="04A0" w:firstRow="1" w:lastRow="0" w:firstColumn="1" w:lastColumn="0" w:noHBand="0" w:noVBand="1"/>
      </w:tblPr>
      <w:tblGrid>
        <w:gridCol w:w="3824"/>
        <w:gridCol w:w="1563"/>
        <w:gridCol w:w="1559"/>
        <w:gridCol w:w="2552"/>
      </w:tblGrid>
      <w:tr w:rsidR="005218C2" w:rsidRPr="002A7673" w14:paraId="79D376C4" w14:textId="77777777" w:rsidTr="00F36B66">
        <w:trPr>
          <w:trHeight w:val="1469"/>
          <w:jc w:val="center"/>
        </w:trPr>
        <w:tc>
          <w:tcPr>
            <w:tcW w:w="382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A11FC61"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Programa presupuestario</w:t>
            </w:r>
          </w:p>
        </w:tc>
        <w:tc>
          <w:tcPr>
            <w:tcW w:w="1563" w:type="dxa"/>
            <w:tcBorders>
              <w:top w:val="single" w:sz="4" w:space="0" w:color="auto"/>
              <w:left w:val="nil"/>
              <w:bottom w:val="single" w:sz="4" w:space="0" w:color="auto"/>
              <w:right w:val="single" w:sz="4" w:space="0" w:color="auto"/>
            </w:tcBorders>
            <w:shd w:val="clear" w:color="000000" w:fill="D9D9D9"/>
            <w:vAlign w:val="center"/>
            <w:hideMark/>
          </w:tcPr>
          <w:p w14:paraId="5F0BE915"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Cantidad de personas por programa</w:t>
            </w:r>
          </w:p>
        </w:tc>
        <w:tc>
          <w:tcPr>
            <w:tcW w:w="1559" w:type="dxa"/>
            <w:tcBorders>
              <w:top w:val="single" w:sz="4" w:space="0" w:color="auto"/>
              <w:left w:val="nil"/>
              <w:bottom w:val="single" w:sz="4" w:space="0" w:color="auto"/>
              <w:right w:val="single" w:sz="4" w:space="0" w:color="auto"/>
            </w:tcBorders>
            <w:shd w:val="clear" w:color="000000" w:fill="D9D9D9"/>
            <w:vAlign w:val="center"/>
            <w:hideMark/>
          </w:tcPr>
          <w:p w14:paraId="66F9AE48"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Porcentaje</w:t>
            </w:r>
          </w:p>
        </w:tc>
        <w:tc>
          <w:tcPr>
            <w:tcW w:w="2552" w:type="dxa"/>
            <w:tcBorders>
              <w:top w:val="single" w:sz="4" w:space="0" w:color="auto"/>
              <w:left w:val="nil"/>
              <w:bottom w:val="single" w:sz="4" w:space="0" w:color="auto"/>
              <w:right w:val="single" w:sz="4" w:space="0" w:color="auto"/>
            </w:tcBorders>
            <w:shd w:val="clear" w:color="000000" w:fill="F8CBAD"/>
            <w:vAlign w:val="center"/>
            <w:hideMark/>
          </w:tcPr>
          <w:p w14:paraId="139FF054"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Presupuesto por asignar según la cantidad de personas por programa</w:t>
            </w:r>
          </w:p>
        </w:tc>
      </w:tr>
      <w:tr w:rsidR="005218C2" w:rsidRPr="002A7673" w14:paraId="367D8061" w14:textId="77777777" w:rsidTr="00F36B66">
        <w:trPr>
          <w:trHeight w:val="318"/>
          <w:jc w:val="center"/>
        </w:trPr>
        <w:tc>
          <w:tcPr>
            <w:tcW w:w="3824" w:type="dxa"/>
            <w:tcBorders>
              <w:top w:val="nil"/>
              <w:left w:val="single" w:sz="4" w:space="0" w:color="auto"/>
              <w:bottom w:val="single" w:sz="4" w:space="0" w:color="auto"/>
              <w:right w:val="single" w:sz="4" w:space="0" w:color="auto"/>
            </w:tcBorders>
            <w:shd w:val="clear" w:color="auto" w:fill="auto"/>
            <w:vAlign w:val="center"/>
            <w:hideMark/>
          </w:tcPr>
          <w:p w14:paraId="40803C82"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926 (Dirección y Administración)</w:t>
            </w:r>
          </w:p>
        </w:tc>
        <w:tc>
          <w:tcPr>
            <w:tcW w:w="1563" w:type="dxa"/>
            <w:tcBorders>
              <w:top w:val="nil"/>
              <w:left w:val="nil"/>
              <w:bottom w:val="single" w:sz="4" w:space="0" w:color="auto"/>
              <w:right w:val="single" w:sz="4" w:space="0" w:color="auto"/>
            </w:tcBorders>
            <w:shd w:val="clear" w:color="auto" w:fill="auto"/>
            <w:vAlign w:val="center"/>
            <w:hideMark/>
          </w:tcPr>
          <w:p w14:paraId="129E1215"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2 328,00</w:t>
            </w:r>
          </w:p>
        </w:tc>
        <w:tc>
          <w:tcPr>
            <w:tcW w:w="1559" w:type="dxa"/>
            <w:tcBorders>
              <w:top w:val="nil"/>
              <w:left w:val="nil"/>
              <w:bottom w:val="single" w:sz="4" w:space="0" w:color="auto"/>
              <w:right w:val="single" w:sz="4" w:space="0" w:color="auto"/>
            </w:tcBorders>
            <w:shd w:val="clear" w:color="auto" w:fill="auto"/>
            <w:vAlign w:val="center"/>
            <w:hideMark/>
          </w:tcPr>
          <w:p w14:paraId="552874B6"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18,66%</w:t>
            </w:r>
          </w:p>
        </w:tc>
        <w:tc>
          <w:tcPr>
            <w:tcW w:w="2552" w:type="dxa"/>
            <w:tcBorders>
              <w:top w:val="nil"/>
              <w:left w:val="nil"/>
              <w:bottom w:val="single" w:sz="4" w:space="0" w:color="auto"/>
              <w:right w:val="single" w:sz="4" w:space="0" w:color="auto"/>
            </w:tcBorders>
            <w:shd w:val="clear" w:color="auto" w:fill="auto"/>
            <w:vAlign w:val="center"/>
            <w:hideMark/>
          </w:tcPr>
          <w:p w14:paraId="0C125618"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₡4 368 260,36</w:t>
            </w:r>
          </w:p>
        </w:tc>
      </w:tr>
      <w:tr w:rsidR="005218C2" w:rsidRPr="002A7673" w14:paraId="14BC406C" w14:textId="77777777" w:rsidTr="00F36B66">
        <w:trPr>
          <w:trHeight w:val="318"/>
          <w:jc w:val="center"/>
        </w:trPr>
        <w:tc>
          <w:tcPr>
            <w:tcW w:w="3824" w:type="dxa"/>
            <w:tcBorders>
              <w:top w:val="nil"/>
              <w:left w:val="single" w:sz="4" w:space="0" w:color="auto"/>
              <w:bottom w:val="single" w:sz="4" w:space="0" w:color="auto"/>
              <w:right w:val="single" w:sz="4" w:space="0" w:color="auto"/>
            </w:tcBorders>
            <w:shd w:val="clear" w:color="auto" w:fill="auto"/>
            <w:vAlign w:val="center"/>
            <w:hideMark/>
          </w:tcPr>
          <w:p w14:paraId="07B2E2C8"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927 (Judicatura)</w:t>
            </w:r>
          </w:p>
        </w:tc>
        <w:tc>
          <w:tcPr>
            <w:tcW w:w="1563" w:type="dxa"/>
            <w:tcBorders>
              <w:top w:val="nil"/>
              <w:left w:val="nil"/>
              <w:bottom w:val="single" w:sz="4" w:space="0" w:color="auto"/>
              <w:right w:val="single" w:sz="4" w:space="0" w:color="auto"/>
            </w:tcBorders>
            <w:shd w:val="clear" w:color="auto" w:fill="auto"/>
            <w:vAlign w:val="center"/>
            <w:hideMark/>
          </w:tcPr>
          <w:p w14:paraId="74B2C874"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4 569,00</w:t>
            </w:r>
          </w:p>
        </w:tc>
        <w:tc>
          <w:tcPr>
            <w:tcW w:w="1559" w:type="dxa"/>
            <w:tcBorders>
              <w:top w:val="nil"/>
              <w:left w:val="nil"/>
              <w:bottom w:val="single" w:sz="4" w:space="0" w:color="auto"/>
              <w:right w:val="single" w:sz="4" w:space="0" w:color="auto"/>
            </w:tcBorders>
            <w:shd w:val="clear" w:color="auto" w:fill="auto"/>
            <w:vAlign w:val="center"/>
            <w:hideMark/>
          </w:tcPr>
          <w:p w14:paraId="09C0F405"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36,63%</w:t>
            </w:r>
          </w:p>
        </w:tc>
        <w:tc>
          <w:tcPr>
            <w:tcW w:w="2552" w:type="dxa"/>
            <w:tcBorders>
              <w:top w:val="nil"/>
              <w:left w:val="nil"/>
              <w:bottom w:val="single" w:sz="4" w:space="0" w:color="auto"/>
              <w:right w:val="single" w:sz="4" w:space="0" w:color="auto"/>
            </w:tcBorders>
            <w:shd w:val="clear" w:color="auto" w:fill="auto"/>
            <w:vAlign w:val="center"/>
            <w:hideMark/>
          </w:tcPr>
          <w:p w14:paraId="4A5E0A41"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₡8 573 273,89</w:t>
            </w:r>
          </w:p>
        </w:tc>
      </w:tr>
      <w:tr w:rsidR="005218C2" w:rsidRPr="002A7673" w14:paraId="17CCA3B2" w14:textId="77777777" w:rsidTr="00F36B66">
        <w:trPr>
          <w:trHeight w:val="318"/>
          <w:jc w:val="center"/>
        </w:trPr>
        <w:tc>
          <w:tcPr>
            <w:tcW w:w="3824" w:type="dxa"/>
            <w:tcBorders>
              <w:top w:val="nil"/>
              <w:left w:val="single" w:sz="4" w:space="0" w:color="auto"/>
              <w:bottom w:val="single" w:sz="4" w:space="0" w:color="auto"/>
              <w:right w:val="single" w:sz="4" w:space="0" w:color="auto"/>
            </w:tcBorders>
            <w:shd w:val="clear" w:color="auto" w:fill="auto"/>
            <w:vAlign w:val="center"/>
            <w:hideMark/>
          </w:tcPr>
          <w:p w14:paraId="15003CCA"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928 (OIJ)</w:t>
            </w:r>
          </w:p>
        </w:tc>
        <w:tc>
          <w:tcPr>
            <w:tcW w:w="1563" w:type="dxa"/>
            <w:tcBorders>
              <w:top w:val="nil"/>
              <w:left w:val="nil"/>
              <w:bottom w:val="single" w:sz="4" w:space="0" w:color="auto"/>
              <w:right w:val="single" w:sz="4" w:space="0" w:color="auto"/>
            </w:tcBorders>
            <w:shd w:val="clear" w:color="auto" w:fill="auto"/>
            <w:vAlign w:val="center"/>
            <w:hideMark/>
          </w:tcPr>
          <w:p w14:paraId="4528C4C9"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3 199,00</w:t>
            </w:r>
          </w:p>
        </w:tc>
        <w:tc>
          <w:tcPr>
            <w:tcW w:w="1559" w:type="dxa"/>
            <w:tcBorders>
              <w:top w:val="nil"/>
              <w:left w:val="nil"/>
              <w:bottom w:val="single" w:sz="4" w:space="0" w:color="auto"/>
              <w:right w:val="single" w:sz="4" w:space="0" w:color="auto"/>
            </w:tcBorders>
            <w:shd w:val="clear" w:color="auto" w:fill="auto"/>
            <w:vAlign w:val="center"/>
            <w:hideMark/>
          </w:tcPr>
          <w:p w14:paraId="48121DB9"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25,64%</w:t>
            </w:r>
          </w:p>
        </w:tc>
        <w:tc>
          <w:tcPr>
            <w:tcW w:w="2552" w:type="dxa"/>
            <w:tcBorders>
              <w:top w:val="nil"/>
              <w:left w:val="nil"/>
              <w:bottom w:val="single" w:sz="4" w:space="0" w:color="auto"/>
              <w:right w:val="single" w:sz="4" w:space="0" w:color="auto"/>
            </w:tcBorders>
            <w:shd w:val="clear" w:color="auto" w:fill="auto"/>
            <w:vAlign w:val="center"/>
            <w:hideMark/>
          </w:tcPr>
          <w:p w14:paraId="7A0B1FB7"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₡6 002 605,20</w:t>
            </w:r>
          </w:p>
        </w:tc>
      </w:tr>
      <w:tr w:rsidR="005218C2" w:rsidRPr="002A7673" w14:paraId="5588245B" w14:textId="77777777" w:rsidTr="00F36B66">
        <w:trPr>
          <w:trHeight w:val="318"/>
          <w:jc w:val="center"/>
        </w:trPr>
        <w:tc>
          <w:tcPr>
            <w:tcW w:w="3824" w:type="dxa"/>
            <w:tcBorders>
              <w:top w:val="nil"/>
              <w:left w:val="single" w:sz="4" w:space="0" w:color="auto"/>
              <w:bottom w:val="single" w:sz="4" w:space="0" w:color="auto"/>
              <w:right w:val="single" w:sz="4" w:space="0" w:color="auto"/>
            </w:tcBorders>
            <w:shd w:val="clear" w:color="auto" w:fill="auto"/>
            <w:vAlign w:val="center"/>
            <w:hideMark/>
          </w:tcPr>
          <w:p w14:paraId="20B0B304"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929 (Ministerio Público)</w:t>
            </w:r>
          </w:p>
        </w:tc>
        <w:tc>
          <w:tcPr>
            <w:tcW w:w="1563" w:type="dxa"/>
            <w:tcBorders>
              <w:top w:val="nil"/>
              <w:left w:val="nil"/>
              <w:bottom w:val="single" w:sz="4" w:space="0" w:color="auto"/>
              <w:right w:val="single" w:sz="4" w:space="0" w:color="auto"/>
            </w:tcBorders>
            <w:shd w:val="clear" w:color="auto" w:fill="auto"/>
            <w:vAlign w:val="center"/>
            <w:hideMark/>
          </w:tcPr>
          <w:p w14:paraId="35D061A4"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1 268,00</w:t>
            </w:r>
          </w:p>
        </w:tc>
        <w:tc>
          <w:tcPr>
            <w:tcW w:w="1559" w:type="dxa"/>
            <w:tcBorders>
              <w:top w:val="nil"/>
              <w:left w:val="nil"/>
              <w:bottom w:val="single" w:sz="4" w:space="0" w:color="auto"/>
              <w:right w:val="single" w:sz="4" w:space="0" w:color="auto"/>
            </w:tcBorders>
            <w:shd w:val="clear" w:color="auto" w:fill="auto"/>
            <w:vAlign w:val="center"/>
            <w:hideMark/>
          </w:tcPr>
          <w:p w14:paraId="163EAB78"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10,16%</w:t>
            </w:r>
          </w:p>
        </w:tc>
        <w:tc>
          <w:tcPr>
            <w:tcW w:w="2552" w:type="dxa"/>
            <w:tcBorders>
              <w:top w:val="nil"/>
              <w:left w:val="nil"/>
              <w:bottom w:val="single" w:sz="4" w:space="0" w:color="auto"/>
              <w:right w:val="single" w:sz="4" w:space="0" w:color="auto"/>
            </w:tcBorders>
            <w:shd w:val="clear" w:color="auto" w:fill="auto"/>
            <w:vAlign w:val="center"/>
            <w:hideMark/>
          </w:tcPr>
          <w:p w14:paraId="7D44DABB"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₡2 379 275,83</w:t>
            </w:r>
          </w:p>
        </w:tc>
      </w:tr>
      <w:tr w:rsidR="005218C2" w:rsidRPr="002A7673" w14:paraId="7DA77979" w14:textId="77777777" w:rsidTr="00F36B66">
        <w:trPr>
          <w:trHeight w:val="318"/>
          <w:jc w:val="center"/>
        </w:trPr>
        <w:tc>
          <w:tcPr>
            <w:tcW w:w="3824" w:type="dxa"/>
            <w:tcBorders>
              <w:top w:val="nil"/>
              <w:left w:val="single" w:sz="4" w:space="0" w:color="auto"/>
              <w:bottom w:val="single" w:sz="4" w:space="0" w:color="auto"/>
              <w:right w:val="single" w:sz="4" w:space="0" w:color="auto"/>
            </w:tcBorders>
            <w:shd w:val="clear" w:color="auto" w:fill="auto"/>
            <w:vAlign w:val="center"/>
            <w:hideMark/>
          </w:tcPr>
          <w:p w14:paraId="62E78A9A"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930 (Defensa Pública)</w:t>
            </w:r>
          </w:p>
        </w:tc>
        <w:tc>
          <w:tcPr>
            <w:tcW w:w="1563" w:type="dxa"/>
            <w:tcBorders>
              <w:top w:val="nil"/>
              <w:left w:val="nil"/>
              <w:bottom w:val="single" w:sz="4" w:space="0" w:color="auto"/>
              <w:right w:val="single" w:sz="4" w:space="0" w:color="auto"/>
            </w:tcBorders>
            <w:shd w:val="clear" w:color="auto" w:fill="auto"/>
            <w:vAlign w:val="center"/>
            <w:hideMark/>
          </w:tcPr>
          <w:p w14:paraId="67BD2416"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827,00</w:t>
            </w:r>
          </w:p>
        </w:tc>
        <w:tc>
          <w:tcPr>
            <w:tcW w:w="1559" w:type="dxa"/>
            <w:tcBorders>
              <w:top w:val="nil"/>
              <w:left w:val="nil"/>
              <w:bottom w:val="single" w:sz="4" w:space="0" w:color="auto"/>
              <w:right w:val="single" w:sz="4" w:space="0" w:color="auto"/>
            </w:tcBorders>
            <w:shd w:val="clear" w:color="auto" w:fill="auto"/>
            <w:vAlign w:val="center"/>
            <w:hideMark/>
          </w:tcPr>
          <w:p w14:paraId="5E1E60A4"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6,63%</w:t>
            </w:r>
          </w:p>
        </w:tc>
        <w:tc>
          <w:tcPr>
            <w:tcW w:w="2552" w:type="dxa"/>
            <w:tcBorders>
              <w:top w:val="nil"/>
              <w:left w:val="nil"/>
              <w:bottom w:val="single" w:sz="4" w:space="0" w:color="auto"/>
              <w:right w:val="single" w:sz="4" w:space="0" w:color="auto"/>
            </w:tcBorders>
            <w:shd w:val="clear" w:color="auto" w:fill="auto"/>
            <w:vAlign w:val="center"/>
            <w:hideMark/>
          </w:tcPr>
          <w:p w14:paraId="4E6E6F0F"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₡1 551 783,21</w:t>
            </w:r>
          </w:p>
        </w:tc>
      </w:tr>
      <w:tr w:rsidR="005218C2" w:rsidRPr="002A7673" w14:paraId="56142D73" w14:textId="77777777" w:rsidTr="00F36B66">
        <w:trPr>
          <w:trHeight w:val="318"/>
          <w:jc w:val="center"/>
        </w:trPr>
        <w:tc>
          <w:tcPr>
            <w:tcW w:w="3824" w:type="dxa"/>
            <w:tcBorders>
              <w:top w:val="nil"/>
              <w:left w:val="single" w:sz="4" w:space="0" w:color="auto"/>
              <w:bottom w:val="single" w:sz="4" w:space="0" w:color="auto"/>
              <w:right w:val="single" w:sz="4" w:space="0" w:color="auto"/>
            </w:tcBorders>
            <w:shd w:val="clear" w:color="auto" w:fill="auto"/>
            <w:vAlign w:val="center"/>
            <w:hideMark/>
          </w:tcPr>
          <w:p w14:paraId="1CEC0DCC"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950 (OAPVD)</w:t>
            </w:r>
          </w:p>
        </w:tc>
        <w:tc>
          <w:tcPr>
            <w:tcW w:w="1563" w:type="dxa"/>
            <w:tcBorders>
              <w:top w:val="nil"/>
              <w:left w:val="nil"/>
              <w:bottom w:val="single" w:sz="4" w:space="0" w:color="auto"/>
              <w:right w:val="single" w:sz="4" w:space="0" w:color="auto"/>
            </w:tcBorders>
            <w:shd w:val="clear" w:color="auto" w:fill="auto"/>
            <w:vAlign w:val="center"/>
            <w:hideMark/>
          </w:tcPr>
          <w:p w14:paraId="26DA01E2"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284,00</w:t>
            </w:r>
          </w:p>
        </w:tc>
        <w:tc>
          <w:tcPr>
            <w:tcW w:w="1559" w:type="dxa"/>
            <w:tcBorders>
              <w:top w:val="nil"/>
              <w:left w:val="nil"/>
              <w:bottom w:val="single" w:sz="4" w:space="0" w:color="auto"/>
              <w:right w:val="single" w:sz="4" w:space="0" w:color="auto"/>
            </w:tcBorders>
            <w:shd w:val="clear" w:color="auto" w:fill="auto"/>
            <w:vAlign w:val="center"/>
            <w:hideMark/>
          </w:tcPr>
          <w:p w14:paraId="14870C7A"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2,28%</w:t>
            </w:r>
          </w:p>
        </w:tc>
        <w:tc>
          <w:tcPr>
            <w:tcW w:w="2552" w:type="dxa"/>
            <w:tcBorders>
              <w:top w:val="nil"/>
              <w:left w:val="nil"/>
              <w:bottom w:val="single" w:sz="4" w:space="0" w:color="auto"/>
              <w:right w:val="single" w:sz="4" w:space="0" w:color="auto"/>
            </w:tcBorders>
            <w:shd w:val="clear" w:color="auto" w:fill="auto"/>
            <w:vAlign w:val="center"/>
            <w:hideMark/>
          </w:tcPr>
          <w:p w14:paraId="1BF661D7"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₡532 897,74</w:t>
            </w:r>
          </w:p>
        </w:tc>
      </w:tr>
      <w:tr w:rsidR="005218C2" w:rsidRPr="002A7673" w14:paraId="2812CFBD" w14:textId="77777777" w:rsidTr="00F36B66">
        <w:trPr>
          <w:trHeight w:val="318"/>
          <w:jc w:val="center"/>
        </w:trPr>
        <w:tc>
          <w:tcPr>
            <w:tcW w:w="3824" w:type="dxa"/>
            <w:tcBorders>
              <w:top w:val="nil"/>
              <w:left w:val="single" w:sz="4" w:space="0" w:color="auto"/>
              <w:bottom w:val="single" w:sz="4" w:space="0" w:color="auto"/>
              <w:right w:val="single" w:sz="4" w:space="0" w:color="auto"/>
            </w:tcBorders>
            <w:shd w:val="clear" w:color="auto" w:fill="auto"/>
            <w:vAlign w:val="center"/>
            <w:hideMark/>
          </w:tcPr>
          <w:p w14:paraId="5F208565"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TOTAL</w:t>
            </w:r>
          </w:p>
        </w:tc>
        <w:tc>
          <w:tcPr>
            <w:tcW w:w="1563" w:type="dxa"/>
            <w:tcBorders>
              <w:top w:val="nil"/>
              <w:left w:val="nil"/>
              <w:bottom w:val="single" w:sz="4" w:space="0" w:color="auto"/>
              <w:right w:val="single" w:sz="4" w:space="0" w:color="auto"/>
            </w:tcBorders>
            <w:shd w:val="clear" w:color="auto" w:fill="auto"/>
            <w:vAlign w:val="center"/>
            <w:hideMark/>
          </w:tcPr>
          <w:p w14:paraId="7DAA4DC0"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12 475,00</w:t>
            </w:r>
          </w:p>
        </w:tc>
        <w:tc>
          <w:tcPr>
            <w:tcW w:w="1559" w:type="dxa"/>
            <w:tcBorders>
              <w:top w:val="nil"/>
              <w:left w:val="nil"/>
              <w:bottom w:val="single" w:sz="4" w:space="0" w:color="auto"/>
              <w:right w:val="single" w:sz="4" w:space="0" w:color="auto"/>
            </w:tcBorders>
            <w:shd w:val="clear" w:color="auto" w:fill="auto"/>
            <w:vAlign w:val="center"/>
            <w:hideMark/>
          </w:tcPr>
          <w:p w14:paraId="0975CBB2"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100,00%</w:t>
            </w:r>
          </w:p>
        </w:tc>
        <w:tc>
          <w:tcPr>
            <w:tcW w:w="2552" w:type="dxa"/>
            <w:tcBorders>
              <w:top w:val="nil"/>
              <w:left w:val="nil"/>
              <w:bottom w:val="single" w:sz="4" w:space="0" w:color="auto"/>
              <w:right w:val="single" w:sz="4" w:space="0" w:color="auto"/>
            </w:tcBorders>
            <w:shd w:val="clear" w:color="000000" w:fill="FFFF00"/>
            <w:vAlign w:val="center"/>
            <w:hideMark/>
          </w:tcPr>
          <w:p w14:paraId="07141268"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₡23 408 096,24</w:t>
            </w:r>
          </w:p>
        </w:tc>
      </w:tr>
    </w:tbl>
    <w:p w14:paraId="74B842B9"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r w:rsidRPr="002A7673">
        <w:rPr>
          <w:rFonts w:ascii="Times New Roman" w:eastAsia="Times New Roman" w:hAnsi="Times New Roman" w:cs="Times New Roman"/>
          <w:i/>
          <w:iCs/>
          <w:sz w:val="26"/>
          <w:szCs w:val="26"/>
          <w:u w:color="000000"/>
          <w:shd w:val="clear" w:color="auto" w:fill="FFFFFF"/>
          <w:lang w:val="es-ES" w:eastAsia="es-ES"/>
        </w:rPr>
        <w:t>** Los cálculos correspondientes se detallan en el documento de Excel adjunto, específicamente en la hoja denominada “PROPUESTA DISTRIB. BECAS”.</w:t>
      </w:r>
    </w:p>
    <w:p w14:paraId="5BE4B4D5"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p>
    <w:p w14:paraId="6FFA3282"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r w:rsidRPr="002A7673">
        <w:rPr>
          <w:rFonts w:ascii="Times New Roman" w:eastAsia="Calibri" w:hAnsi="Times New Roman" w:cs="Times New Roman"/>
          <w:b/>
          <w:bCs/>
          <w:color w:val="000000"/>
          <w:sz w:val="26"/>
          <w:szCs w:val="26"/>
          <w:u w:val="single"/>
        </w:rPr>
        <w:t>PROPUESTA NO. 2</w:t>
      </w:r>
    </w:p>
    <w:p w14:paraId="6C708AFA"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p>
    <w:p w14:paraId="34908C70" w14:textId="64AB288C"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r w:rsidRPr="002A7673">
        <w:rPr>
          <w:rFonts w:ascii="Times New Roman" w:eastAsia="Times New Roman" w:hAnsi="Times New Roman" w:cs="Times New Roman"/>
          <w:sz w:val="26"/>
          <w:szCs w:val="26"/>
          <w:u w:color="000000"/>
          <w:shd w:val="clear" w:color="auto" w:fill="FFFFFF"/>
          <w:lang w:val="es-ES" w:eastAsia="es-ES"/>
        </w:rPr>
        <w:t xml:space="preserve">Distribuir el monto total de </w:t>
      </w:r>
      <w:r w:rsidRPr="002A7673">
        <w:rPr>
          <w:rFonts w:ascii="Times New Roman" w:eastAsia="Times New Roman" w:hAnsi="Times New Roman" w:cs="Times New Roman"/>
          <w:b/>
          <w:bCs/>
          <w:color w:val="000000"/>
          <w:sz w:val="26"/>
          <w:szCs w:val="26"/>
          <w:u w:color="000000"/>
          <w:shd w:val="clear" w:color="auto" w:fill="FFFFFF"/>
          <w:lang w:eastAsia="es-ES"/>
        </w:rPr>
        <w:t>₡</w:t>
      </w:r>
      <w:r w:rsidRPr="002A7673">
        <w:rPr>
          <w:rFonts w:ascii="Times New Roman" w:eastAsia="Times New Roman" w:hAnsi="Times New Roman" w:cs="Times New Roman"/>
          <w:b/>
          <w:bCs/>
          <w:color w:val="000000"/>
          <w:sz w:val="26"/>
          <w:szCs w:val="26"/>
          <w:u w:color="000000"/>
          <w:shd w:val="clear" w:color="auto" w:fill="FFFFFF"/>
          <w:lang w:eastAsia="es-CR"/>
        </w:rPr>
        <w:t>23.408.096,24</w:t>
      </w:r>
      <w:r w:rsidRPr="002A7673">
        <w:rPr>
          <w:rFonts w:ascii="Times New Roman" w:eastAsia="Times New Roman" w:hAnsi="Times New Roman" w:cs="Times New Roman"/>
          <w:color w:val="000000"/>
          <w:sz w:val="26"/>
          <w:szCs w:val="26"/>
          <w:u w:color="000000"/>
          <w:shd w:val="clear" w:color="auto" w:fill="FFFFFF"/>
          <w:lang w:eastAsia="es-ES"/>
        </w:rPr>
        <w:t xml:space="preserve">, de manera porcentual entre los seis programas presupuestarios (926, 927, 928, 929, 930 y 950), </w:t>
      </w:r>
      <w:r w:rsidRPr="002A7673">
        <w:rPr>
          <w:rFonts w:ascii="Times New Roman" w:eastAsia="Times New Roman" w:hAnsi="Times New Roman" w:cs="Times New Roman"/>
          <w:b/>
          <w:bCs/>
          <w:color w:val="000000"/>
          <w:sz w:val="26"/>
          <w:szCs w:val="26"/>
          <w:highlight w:val="lightGray"/>
          <w:u w:color="000000"/>
          <w:shd w:val="clear" w:color="auto" w:fill="FFFFFF"/>
          <w:lang w:eastAsia="es-ES"/>
        </w:rPr>
        <w:t>considerando l</w:t>
      </w:r>
      <w:r w:rsidRPr="002A7673">
        <w:rPr>
          <w:rFonts w:ascii="Times New Roman" w:eastAsia="Times New Roman" w:hAnsi="Times New Roman" w:cs="Times New Roman"/>
          <w:b/>
          <w:bCs/>
          <w:sz w:val="26"/>
          <w:szCs w:val="26"/>
          <w:highlight w:val="lightGray"/>
          <w:u w:color="000000"/>
          <w:shd w:val="clear" w:color="auto" w:fill="FFFFFF"/>
          <w:lang w:val="es-ES" w:eastAsia="es-ES"/>
        </w:rPr>
        <w:t>a cantidad de becas otorgadas en el periodo 2019-2020 por programa presupuestario</w:t>
      </w:r>
      <w:r w:rsidRPr="002A7673">
        <w:rPr>
          <w:rFonts w:ascii="Times New Roman" w:eastAsia="Times New Roman" w:hAnsi="Times New Roman" w:cs="Times New Roman"/>
          <w:sz w:val="26"/>
          <w:szCs w:val="26"/>
          <w:u w:color="000000"/>
          <w:shd w:val="clear" w:color="auto" w:fill="FFFFFF"/>
          <w:lang w:val="es-ES" w:eastAsia="es-ES"/>
        </w:rPr>
        <w:t xml:space="preserve"> según los registros del Subproceso Gestión de la Capacitación de la Dirección de Gestión Humana, quedando de la siguiente manera:</w:t>
      </w:r>
    </w:p>
    <w:p w14:paraId="153F76B4" w14:textId="3EB983D3" w:rsidR="00A60CCD" w:rsidRPr="002A7673" w:rsidRDefault="00A60CCD"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p>
    <w:p w14:paraId="6E030479" w14:textId="77777777" w:rsidR="00A60CCD" w:rsidRPr="002A7673" w:rsidRDefault="00A60CCD"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p>
    <w:tbl>
      <w:tblPr>
        <w:tblW w:w="5058" w:type="pct"/>
        <w:jc w:val="center"/>
        <w:tblCellMar>
          <w:left w:w="70" w:type="dxa"/>
          <w:right w:w="70" w:type="dxa"/>
        </w:tblCellMar>
        <w:tblLook w:val="04A0" w:firstRow="1" w:lastRow="0" w:firstColumn="1" w:lastColumn="0" w:noHBand="0" w:noVBand="1"/>
      </w:tblPr>
      <w:tblGrid>
        <w:gridCol w:w="3652"/>
        <w:gridCol w:w="2087"/>
        <w:gridCol w:w="1708"/>
        <w:gridCol w:w="2323"/>
      </w:tblGrid>
      <w:tr w:rsidR="005218C2" w:rsidRPr="002A7673" w14:paraId="4332F6A6" w14:textId="77777777" w:rsidTr="00F36B66">
        <w:trPr>
          <w:trHeight w:val="1530"/>
          <w:jc w:val="center"/>
        </w:trPr>
        <w:tc>
          <w:tcPr>
            <w:tcW w:w="186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86862A8"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Programa presupuestario</w:t>
            </w:r>
          </w:p>
        </w:tc>
        <w:tc>
          <w:tcPr>
            <w:tcW w:w="1068" w:type="pct"/>
            <w:tcBorders>
              <w:top w:val="single" w:sz="4" w:space="0" w:color="auto"/>
              <w:left w:val="nil"/>
              <w:bottom w:val="single" w:sz="4" w:space="0" w:color="auto"/>
              <w:right w:val="single" w:sz="4" w:space="0" w:color="auto"/>
            </w:tcBorders>
            <w:shd w:val="clear" w:color="000000" w:fill="D9D9D9"/>
            <w:vAlign w:val="center"/>
            <w:hideMark/>
          </w:tcPr>
          <w:p w14:paraId="479D82D3"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Cantidad de becas otorgadas en el periodo 2019-2020 según los registros de la DGH</w:t>
            </w:r>
          </w:p>
        </w:tc>
        <w:tc>
          <w:tcPr>
            <w:tcW w:w="874" w:type="pct"/>
            <w:tcBorders>
              <w:top w:val="single" w:sz="4" w:space="0" w:color="auto"/>
              <w:left w:val="nil"/>
              <w:bottom w:val="single" w:sz="4" w:space="0" w:color="auto"/>
              <w:right w:val="single" w:sz="4" w:space="0" w:color="auto"/>
            </w:tcBorders>
            <w:shd w:val="clear" w:color="000000" w:fill="D9D9D9"/>
            <w:vAlign w:val="center"/>
            <w:hideMark/>
          </w:tcPr>
          <w:p w14:paraId="00B0B08C"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Porcentaje</w:t>
            </w:r>
          </w:p>
        </w:tc>
        <w:tc>
          <w:tcPr>
            <w:tcW w:w="1190" w:type="pct"/>
            <w:tcBorders>
              <w:top w:val="single" w:sz="4" w:space="0" w:color="auto"/>
              <w:left w:val="nil"/>
              <w:bottom w:val="single" w:sz="4" w:space="0" w:color="auto"/>
              <w:right w:val="single" w:sz="4" w:space="0" w:color="auto"/>
            </w:tcBorders>
            <w:shd w:val="clear" w:color="000000" w:fill="F8CBAD"/>
            <w:vAlign w:val="center"/>
            <w:hideMark/>
          </w:tcPr>
          <w:p w14:paraId="1571A0D0"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Presupuesto por asignar según la cantidad de becas otorgadas en el periodo 2019-2020</w:t>
            </w:r>
          </w:p>
        </w:tc>
      </w:tr>
      <w:tr w:rsidR="005218C2" w:rsidRPr="002A7673" w14:paraId="74B9FEA6" w14:textId="77777777" w:rsidTr="00F36B66">
        <w:trPr>
          <w:trHeight w:val="331"/>
          <w:jc w:val="center"/>
        </w:trPr>
        <w:tc>
          <w:tcPr>
            <w:tcW w:w="1869" w:type="pct"/>
            <w:tcBorders>
              <w:top w:val="nil"/>
              <w:left w:val="single" w:sz="4" w:space="0" w:color="auto"/>
              <w:bottom w:val="single" w:sz="4" w:space="0" w:color="auto"/>
              <w:right w:val="single" w:sz="4" w:space="0" w:color="auto"/>
            </w:tcBorders>
            <w:shd w:val="clear" w:color="auto" w:fill="auto"/>
            <w:vAlign w:val="center"/>
            <w:hideMark/>
          </w:tcPr>
          <w:p w14:paraId="152D0E4B"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926 (Dirección y Administración)</w:t>
            </w:r>
          </w:p>
        </w:tc>
        <w:tc>
          <w:tcPr>
            <w:tcW w:w="1068" w:type="pct"/>
            <w:tcBorders>
              <w:top w:val="nil"/>
              <w:left w:val="nil"/>
              <w:bottom w:val="single" w:sz="4" w:space="0" w:color="auto"/>
              <w:right w:val="single" w:sz="4" w:space="0" w:color="auto"/>
            </w:tcBorders>
            <w:shd w:val="clear" w:color="auto" w:fill="auto"/>
            <w:vAlign w:val="center"/>
            <w:hideMark/>
          </w:tcPr>
          <w:p w14:paraId="7C8A1614"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10,00</w:t>
            </w:r>
          </w:p>
        </w:tc>
        <w:tc>
          <w:tcPr>
            <w:tcW w:w="874" w:type="pct"/>
            <w:tcBorders>
              <w:top w:val="nil"/>
              <w:left w:val="nil"/>
              <w:bottom w:val="single" w:sz="4" w:space="0" w:color="auto"/>
              <w:right w:val="single" w:sz="4" w:space="0" w:color="auto"/>
            </w:tcBorders>
            <w:shd w:val="clear" w:color="auto" w:fill="auto"/>
            <w:vAlign w:val="center"/>
            <w:hideMark/>
          </w:tcPr>
          <w:p w14:paraId="587DFE5E"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9,09%</w:t>
            </w:r>
          </w:p>
        </w:tc>
        <w:tc>
          <w:tcPr>
            <w:tcW w:w="1190" w:type="pct"/>
            <w:tcBorders>
              <w:top w:val="nil"/>
              <w:left w:val="nil"/>
              <w:bottom w:val="single" w:sz="4" w:space="0" w:color="auto"/>
              <w:right w:val="single" w:sz="4" w:space="0" w:color="auto"/>
            </w:tcBorders>
            <w:shd w:val="clear" w:color="auto" w:fill="auto"/>
            <w:vAlign w:val="center"/>
            <w:hideMark/>
          </w:tcPr>
          <w:p w14:paraId="749434C9"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₡2 128 008,75</w:t>
            </w:r>
          </w:p>
        </w:tc>
      </w:tr>
      <w:tr w:rsidR="005218C2" w:rsidRPr="002A7673" w14:paraId="01DCDA6D" w14:textId="77777777" w:rsidTr="00F36B66">
        <w:trPr>
          <w:trHeight w:val="331"/>
          <w:jc w:val="center"/>
        </w:trPr>
        <w:tc>
          <w:tcPr>
            <w:tcW w:w="1869" w:type="pct"/>
            <w:tcBorders>
              <w:top w:val="nil"/>
              <w:left w:val="single" w:sz="4" w:space="0" w:color="auto"/>
              <w:bottom w:val="single" w:sz="4" w:space="0" w:color="auto"/>
              <w:right w:val="single" w:sz="4" w:space="0" w:color="auto"/>
            </w:tcBorders>
            <w:shd w:val="clear" w:color="auto" w:fill="auto"/>
            <w:vAlign w:val="center"/>
            <w:hideMark/>
          </w:tcPr>
          <w:p w14:paraId="1E6B1B6C"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927 (Judicatura)</w:t>
            </w:r>
          </w:p>
        </w:tc>
        <w:tc>
          <w:tcPr>
            <w:tcW w:w="1068" w:type="pct"/>
            <w:tcBorders>
              <w:top w:val="nil"/>
              <w:left w:val="nil"/>
              <w:bottom w:val="single" w:sz="4" w:space="0" w:color="auto"/>
              <w:right w:val="single" w:sz="4" w:space="0" w:color="auto"/>
            </w:tcBorders>
            <w:shd w:val="clear" w:color="auto" w:fill="auto"/>
            <w:vAlign w:val="center"/>
            <w:hideMark/>
          </w:tcPr>
          <w:p w14:paraId="0E07AE1E"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59,00</w:t>
            </w:r>
          </w:p>
        </w:tc>
        <w:tc>
          <w:tcPr>
            <w:tcW w:w="874" w:type="pct"/>
            <w:tcBorders>
              <w:top w:val="nil"/>
              <w:left w:val="nil"/>
              <w:bottom w:val="single" w:sz="4" w:space="0" w:color="auto"/>
              <w:right w:val="single" w:sz="4" w:space="0" w:color="auto"/>
            </w:tcBorders>
            <w:shd w:val="clear" w:color="auto" w:fill="auto"/>
            <w:vAlign w:val="center"/>
            <w:hideMark/>
          </w:tcPr>
          <w:p w14:paraId="57AF6AFF"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53,64%</w:t>
            </w:r>
          </w:p>
        </w:tc>
        <w:tc>
          <w:tcPr>
            <w:tcW w:w="1190" w:type="pct"/>
            <w:tcBorders>
              <w:top w:val="nil"/>
              <w:left w:val="nil"/>
              <w:bottom w:val="single" w:sz="4" w:space="0" w:color="auto"/>
              <w:right w:val="single" w:sz="4" w:space="0" w:color="auto"/>
            </w:tcBorders>
            <w:shd w:val="clear" w:color="auto" w:fill="auto"/>
            <w:vAlign w:val="center"/>
            <w:hideMark/>
          </w:tcPr>
          <w:p w14:paraId="7FA89804"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₡12 555 251,62</w:t>
            </w:r>
          </w:p>
        </w:tc>
      </w:tr>
      <w:tr w:rsidR="005218C2" w:rsidRPr="002A7673" w14:paraId="3E1EFE06" w14:textId="77777777" w:rsidTr="00F36B66">
        <w:trPr>
          <w:trHeight w:val="331"/>
          <w:jc w:val="center"/>
        </w:trPr>
        <w:tc>
          <w:tcPr>
            <w:tcW w:w="1869" w:type="pct"/>
            <w:tcBorders>
              <w:top w:val="nil"/>
              <w:left w:val="single" w:sz="4" w:space="0" w:color="auto"/>
              <w:bottom w:val="single" w:sz="4" w:space="0" w:color="auto"/>
              <w:right w:val="single" w:sz="4" w:space="0" w:color="auto"/>
            </w:tcBorders>
            <w:shd w:val="clear" w:color="auto" w:fill="auto"/>
            <w:vAlign w:val="center"/>
            <w:hideMark/>
          </w:tcPr>
          <w:p w14:paraId="10B43C93"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928 (OIJ)</w:t>
            </w:r>
          </w:p>
        </w:tc>
        <w:tc>
          <w:tcPr>
            <w:tcW w:w="1068" w:type="pct"/>
            <w:tcBorders>
              <w:top w:val="nil"/>
              <w:left w:val="nil"/>
              <w:bottom w:val="single" w:sz="4" w:space="0" w:color="auto"/>
              <w:right w:val="single" w:sz="4" w:space="0" w:color="auto"/>
            </w:tcBorders>
            <w:shd w:val="clear" w:color="auto" w:fill="auto"/>
            <w:vAlign w:val="center"/>
            <w:hideMark/>
          </w:tcPr>
          <w:p w14:paraId="6D8496FD"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5,00</w:t>
            </w:r>
          </w:p>
        </w:tc>
        <w:tc>
          <w:tcPr>
            <w:tcW w:w="874" w:type="pct"/>
            <w:tcBorders>
              <w:top w:val="nil"/>
              <w:left w:val="nil"/>
              <w:bottom w:val="single" w:sz="4" w:space="0" w:color="auto"/>
              <w:right w:val="single" w:sz="4" w:space="0" w:color="auto"/>
            </w:tcBorders>
            <w:shd w:val="clear" w:color="auto" w:fill="auto"/>
            <w:vAlign w:val="center"/>
            <w:hideMark/>
          </w:tcPr>
          <w:p w14:paraId="12A1529C"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4,55%</w:t>
            </w:r>
          </w:p>
        </w:tc>
        <w:tc>
          <w:tcPr>
            <w:tcW w:w="1190" w:type="pct"/>
            <w:tcBorders>
              <w:top w:val="nil"/>
              <w:left w:val="nil"/>
              <w:bottom w:val="single" w:sz="4" w:space="0" w:color="auto"/>
              <w:right w:val="single" w:sz="4" w:space="0" w:color="auto"/>
            </w:tcBorders>
            <w:shd w:val="clear" w:color="auto" w:fill="auto"/>
            <w:vAlign w:val="center"/>
            <w:hideMark/>
          </w:tcPr>
          <w:p w14:paraId="51EAF753"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₡1 064 004,37</w:t>
            </w:r>
          </w:p>
        </w:tc>
      </w:tr>
      <w:tr w:rsidR="005218C2" w:rsidRPr="002A7673" w14:paraId="3D3BCDDB" w14:textId="77777777" w:rsidTr="00F36B66">
        <w:trPr>
          <w:trHeight w:val="331"/>
          <w:jc w:val="center"/>
        </w:trPr>
        <w:tc>
          <w:tcPr>
            <w:tcW w:w="1869" w:type="pct"/>
            <w:tcBorders>
              <w:top w:val="nil"/>
              <w:left w:val="single" w:sz="4" w:space="0" w:color="auto"/>
              <w:bottom w:val="single" w:sz="4" w:space="0" w:color="auto"/>
              <w:right w:val="single" w:sz="4" w:space="0" w:color="auto"/>
            </w:tcBorders>
            <w:shd w:val="clear" w:color="auto" w:fill="auto"/>
            <w:vAlign w:val="center"/>
            <w:hideMark/>
          </w:tcPr>
          <w:p w14:paraId="460401F9"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lastRenderedPageBreak/>
              <w:t>929 (Ministerio Público)</w:t>
            </w:r>
          </w:p>
        </w:tc>
        <w:tc>
          <w:tcPr>
            <w:tcW w:w="1068" w:type="pct"/>
            <w:tcBorders>
              <w:top w:val="nil"/>
              <w:left w:val="nil"/>
              <w:bottom w:val="single" w:sz="4" w:space="0" w:color="auto"/>
              <w:right w:val="single" w:sz="4" w:space="0" w:color="auto"/>
            </w:tcBorders>
            <w:shd w:val="clear" w:color="auto" w:fill="auto"/>
            <w:vAlign w:val="center"/>
            <w:hideMark/>
          </w:tcPr>
          <w:p w14:paraId="22CC8679"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4,00</w:t>
            </w:r>
          </w:p>
        </w:tc>
        <w:tc>
          <w:tcPr>
            <w:tcW w:w="874" w:type="pct"/>
            <w:tcBorders>
              <w:top w:val="nil"/>
              <w:left w:val="nil"/>
              <w:bottom w:val="single" w:sz="4" w:space="0" w:color="auto"/>
              <w:right w:val="single" w:sz="4" w:space="0" w:color="auto"/>
            </w:tcBorders>
            <w:shd w:val="clear" w:color="auto" w:fill="auto"/>
            <w:vAlign w:val="center"/>
            <w:hideMark/>
          </w:tcPr>
          <w:p w14:paraId="1B4FA1B5"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3,64%</w:t>
            </w:r>
          </w:p>
        </w:tc>
        <w:tc>
          <w:tcPr>
            <w:tcW w:w="1190" w:type="pct"/>
            <w:tcBorders>
              <w:top w:val="nil"/>
              <w:left w:val="nil"/>
              <w:bottom w:val="single" w:sz="4" w:space="0" w:color="auto"/>
              <w:right w:val="single" w:sz="4" w:space="0" w:color="auto"/>
            </w:tcBorders>
            <w:shd w:val="clear" w:color="auto" w:fill="auto"/>
            <w:vAlign w:val="center"/>
            <w:hideMark/>
          </w:tcPr>
          <w:p w14:paraId="58FB56BF"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₡851 203,50</w:t>
            </w:r>
          </w:p>
        </w:tc>
      </w:tr>
      <w:tr w:rsidR="005218C2" w:rsidRPr="002A7673" w14:paraId="1447DB30" w14:textId="77777777" w:rsidTr="00F36B66">
        <w:trPr>
          <w:trHeight w:val="331"/>
          <w:jc w:val="center"/>
        </w:trPr>
        <w:tc>
          <w:tcPr>
            <w:tcW w:w="1869" w:type="pct"/>
            <w:tcBorders>
              <w:top w:val="nil"/>
              <w:left w:val="single" w:sz="4" w:space="0" w:color="auto"/>
              <w:bottom w:val="single" w:sz="4" w:space="0" w:color="auto"/>
              <w:right w:val="single" w:sz="4" w:space="0" w:color="auto"/>
            </w:tcBorders>
            <w:shd w:val="clear" w:color="auto" w:fill="auto"/>
            <w:vAlign w:val="center"/>
            <w:hideMark/>
          </w:tcPr>
          <w:p w14:paraId="3A5516B0"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930 (Defensa Pública)</w:t>
            </w:r>
          </w:p>
        </w:tc>
        <w:tc>
          <w:tcPr>
            <w:tcW w:w="1068" w:type="pct"/>
            <w:tcBorders>
              <w:top w:val="nil"/>
              <w:left w:val="nil"/>
              <w:bottom w:val="single" w:sz="4" w:space="0" w:color="auto"/>
              <w:right w:val="single" w:sz="4" w:space="0" w:color="auto"/>
            </w:tcBorders>
            <w:shd w:val="clear" w:color="auto" w:fill="auto"/>
            <w:vAlign w:val="center"/>
            <w:hideMark/>
          </w:tcPr>
          <w:p w14:paraId="6D542664"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30,00</w:t>
            </w:r>
          </w:p>
        </w:tc>
        <w:tc>
          <w:tcPr>
            <w:tcW w:w="874" w:type="pct"/>
            <w:tcBorders>
              <w:top w:val="nil"/>
              <w:left w:val="nil"/>
              <w:bottom w:val="single" w:sz="4" w:space="0" w:color="auto"/>
              <w:right w:val="single" w:sz="4" w:space="0" w:color="auto"/>
            </w:tcBorders>
            <w:shd w:val="clear" w:color="auto" w:fill="auto"/>
            <w:vAlign w:val="center"/>
            <w:hideMark/>
          </w:tcPr>
          <w:p w14:paraId="5051BCF8"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27,27%</w:t>
            </w:r>
          </w:p>
        </w:tc>
        <w:tc>
          <w:tcPr>
            <w:tcW w:w="1190" w:type="pct"/>
            <w:tcBorders>
              <w:top w:val="nil"/>
              <w:left w:val="nil"/>
              <w:bottom w:val="single" w:sz="4" w:space="0" w:color="auto"/>
              <w:right w:val="single" w:sz="4" w:space="0" w:color="auto"/>
            </w:tcBorders>
            <w:shd w:val="clear" w:color="auto" w:fill="auto"/>
            <w:vAlign w:val="center"/>
            <w:hideMark/>
          </w:tcPr>
          <w:p w14:paraId="6ACB4CA2"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₡6 384 026,25</w:t>
            </w:r>
          </w:p>
        </w:tc>
      </w:tr>
      <w:tr w:rsidR="005218C2" w:rsidRPr="002A7673" w14:paraId="2B7BAE87" w14:textId="77777777" w:rsidTr="00F36B66">
        <w:trPr>
          <w:trHeight w:val="331"/>
          <w:jc w:val="center"/>
        </w:trPr>
        <w:tc>
          <w:tcPr>
            <w:tcW w:w="1869" w:type="pct"/>
            <w:tcBorders>
              <w:top w:val="nil"/>
              <w:left w:val="single" w:sz="4" w:space="0" w:color="auto"/>
              <w:bottom w:val="single" w:sz="4" w:space="0" w:color="auto"/>
              <w:right w:val="single" w:sz="4" w:space="0" w:color="auto"/>
            </w:tcBorders>
            <w:shd w:val="clear" w:color="auto" w:fill="auto"/>
            <w:vAlign w:val="center"/>
            <w:hideMark/>
          </w:tcPr>
          <w:p w14:paraId="23B08F7D"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950 (OAPVD)</w:t>
            </w:r>
          </w:p>
        </w:tc>
        <w:tc>
          <w:tcPr>
            <w:tcW w:w="1068" w:type="pct"/>
            <w:tcBorders>
              <w:top w:val="nil"/>
              <w:left w:val="nil"/>
              <w:bottom w:val="single" w:sz="4" w:space="0" w:color="auto"/>
              <w:right w:val="single" w:sz="4" w:space="0" w:color="auto"/>
            </w:tcBorders>
            <w:shd w:val="clear" w:color="auto" w:fill="auto"/>
            <w:vAlign w:val="center"/>
            <w:hideMark/>
          </w:tcPr>
          <w:p w14:paraId="477D7A16"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2,00</w:t>
            </w:r>
          </w:p>
        </w:tc>
        <w:tc>
          <w:tcPr>
            <w:tcW w:w="874" w:type="pct"/>
            <w:tcBorders>
              <w:top w:val="nil"/>
              <w:left w:val="nil"/>
              <w:bottom w:val="single" w:sz="4" w:space="0" w:color="auto"/>
              <w:right w:val="single" w:sz="4" w:space="0" w:color="auto"/>
            </w:tcBorders>
            <w:shd w:val="clear" w:color="auto" w:fill="auto"/>
            <w:vAlign w:val="center"/>
            <w:hideMark/>
          </w:tcPr>
          <w:p w14:paraId="33C1895E"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1,82%</w:t>
            </w:r>
          </w:p>
        </w:tc>
        <w:tc>
          <w:tcPr>
            <w:tcW w:w="1190" w:type="pct"/>
            <w:tcBorders>
              <w:top w:val="nil"/>
              <w:left w:val="nil"/>
              <w:bottom w:val="single" w:sz="4" w:space="0" w:color="auto"/>
              <w:right w:val="single" w:sz="4" w:space="0" w:color="auto"/>
            </w:tcBorders>
            <w:shd w:val="clear" w:color="auto" w:fill="auto"/>
            <w:vAlign w:val="center"/>
            <w:hideMark/>
          </w:tcPr>
          <w:p w14:paraId="22BF99CA"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₡425 601,75</w:t>
            </w:r>
          </w:p>
        </w:tc>
      </w:tr>
      <w:tr w:rsidR="005218C2" w:rsidRPr="002A7673" w14:paraId="709DCCE2" w14:textId="77777777" w:rsidTr="00F36B66">
        <w:trPr>
          <w:trHeight w:val="331"/>
          <w:jc w:val="center"/>
        </w:trPr>
        <w:tc>
          <w:tcPr>
            <w:tcW w:w="1869" w:type="pct"/>
            <w:tcBorders>
              <w:top w:val="nil"/>
              <w:left w:val="single" w:sz="4" w:space="0" w:color="auto"/>
              <w:bottom w:val="single" w:sz="4" w:space="0" w:color="auto"/>
              <w:right w:val="single" w:sz="4" w:space="0" w:color="auto"/>
            </w:tcBorders>
            <w:shd w:val="clear" w:color="auto" w:fill="auto"/>
            <w:vAlign w:val="center"/>
            <w:hideMark/>
          </w:tcPr>
          <w:p w14:paraId="42E34A35"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TOTAL</w:t>
            </w:r>
          </w:p>
        </w:tc>
        <w:tc>
          <w:tcPr>
            <w:tcW w:w="1068" w:type="pct"/>
            <w:tcBorders>
              <w:top w:val="nil"/>
              <w:left w:val="nil"/>
              <w:bottom w:val="single" w:sz="4" w:space="0" w:color="auto"/>
              <w:right w:val="single" w:sz="4" w:space="0" w:color="auto"/>
            </w:tcBorders>
            <w:shd w:val="clear" w:color="auto" w:fill="auto"/>
            <w:vAlign w:val="center"/>
            <w:hideMark/>
          </w:tcPr>
          <w:p w14:paraId="24A2B2F0"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110,00</w:t>
            </w:r>
          </w:p>
        </w:tc>
        <w:tc>
          <w:tcPr>
            <w:tcW w:w="874" w:type="pct"/>
            <w:tcBorders>
              <w:top w:val="nil"/>
              <w:left w:val="nil"/>
              <w:bottom w:val="single" w:sz="4" w:space="0" w:color="auto"/>
              <w:right w:val="single" w:sz="4" w:space="0" w:color="auto"/>
            </w:tcBorders>
            <w:shd w:val="clear" w:color="auto" w:fill="auto"/>
            <w:vAlign w:val="center"/>
            <w:hideMark/>
          </w:tcPr>
          <w:p w14:paraId="10B7794E"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100,00%</w:t>
            </w:r>
          </w:p>
        </w:tc>
        <w:tc>
          <w:tcPr>
            <w:tcW w:w="1190" w:type="pct"/>
            <w:tcBorders>
              <w:top w:val="nil"/>
              <w:left w:val="nil"/>
              <w:bottom w:val="single" w:sz="4" w:space="0" w:color="auto"/>
              <w:right w:val="single" w:sz="4" w:space="0" w:color="auto"/>
            </w:tcBorders>
            <w:shd w:val="clear" w:color="000000" w:fill="FFFF00"/>
            <w:vAlign w:val="center"/>
            <w:hideMark/>
          </w:tcPr>
          <w:p w14:paraId="69B57030"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₡23 408 096,24</w:t>
            </w:r>
          </w:p>
        </w:tc>
      </w:tr>
    </w:tbl>
    <w:p w14:paraId="2B3EEEF4" w14:textId="6BC9B99B" w:rsidR="00A60CCD" w:rsidRPr="002A7673" w:rsidRDefault="005218C2" w:rsidP="00A60CCD">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ES"/>
        </w:rPr>
      </w:pPr>
      <w:r w:rsidRPr="002A7673">
        <w:rPr>
          <w:rFonts w:ascii="Times New Roman" w:eastAsia="Times New Roman" w:hAnsi="Times New Roman" w:cs="Times New Roman"/>
          <w:i/>
          <w:iCs/>
          <w:sz w:val="26"/>
          <w:szCs w:val="26"/>
          <w:u w:color="000000"/>
          <w:shd w:val="clear" w:color="auto" w:fill="FFFFFF"/>
          <w:lang w:val="es-ES" w:eastAsia="es-ES"/>
        </w:rPr>
        <w:t>** Los cálculos correspondientes se detallan en el documento de Excel adjunto, específicamente en la hoja denominada “PROPUESTA DISTRIB. BECAS”.</w:t>
      </w:r>
    </w:p>
    <w:p w14:paraId="0C8C3701"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p>
    <w:p w14:paraId="7A26DB94"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r w:rsidRPr="002A7673">
        <w:rPr>
          <w:rFonts w:ascii="Times New Roman" w:eastAsia="Times New Roman" w:hAnsi="Times New Roman" w:cs="Times New Roman"/>
          <w:sz w:val="26"/>
          <w:szCs w:val="26"/>
          <w:u w:color="000000"/>
          <w:shd w:val="clear" w:color="auto" w:fill="FFFFFF"/>
          <w:lang w:val="es-ES" w:eastAsia="es-ES"/>
        </w:rPr>
        <w:t xml:space="preserve">Para esta propuesta se debe considerar que es el Consejo Superior quien otorga las becas y que la participación de las personas servidoras judiciales se encuentra sujeta al cumplimiento de los requisitos establecidos en los artículos 16 y 22 del </w:t>
      </w:r>
      <w:r w:rsidRPr="002A7673">
        <w:rPr>
          <w:rFonts w:ascii="Times New Roman" w:eastAsia="Times New Roman" w:hAnsi="Times New Roman" w:cs="Times New Roman"/>
          <w:i/>
          <w:iCs/>
          <w:sz w:val="26"/>
          <w:szCs w:val="26"/>
          <w:u w:color="000000"/>
          <w:shd w:val="clear" w:color="auto" w:fill="FFFFFF"/>
          <w:lang w:val="es-ES" w:eastAsia="es-ES"/>
        </w:rPr>
        <w:t xml:space="preserve">Reglamento de becas y permisos de estudio para el personal del Poder Judicial </w:t>
      </w:r>
      <w:r w:rsidRPr="002A7673">
        <w:rPr>
          <w:rFonts w:ascii="Times New Roman" w:eastAsia="Times New Roman" w:hAnsi="Times New Roman" w:cs="Times New Roman"/>
          <w:sz w:val="26"/>
          <w:szCs w:val="26"/>
          <w:u w:color="000000"/>
          <w:shd w:val="clear" w:color="auto" w:fill="FFFFFF"/>
          <w:lang w:val="es-ES" w:eastAsia="es-ES"/>
        </w:rPr>
        <w:t xml:space="preserve">actualmente vigente, así como a las condiciones externas a la persona servidora judicial que puedan afectar su participación en las actividades formativas. </w:t>
      </w:r>
    </w:p>
    <w:p w14:paraId="3FC2C223"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p>
    <w:p w14:paraId="2D9E9ED8" w14:textId="77777777" w:rsidR="005218C2" w:rsidRPr="002A7673" w:rsidRDefault="005218C2" w:rsidP="005218C2">
      <w:pPr>
        <w:spacing w:after="0" w:line="240" w:lineRule="auto"/>
        <w:ind w:left="851" w:right="851" w:firstLine="709"/>
        <w:jc w:val="both"/>
        <w:rPr>
          <w:rFonts w:ascii="Times New Roman" w:eastAsia="Calibri" w:hAnsi="Times New Roman" w:cs="Times New Roman"/>
          <w:b/>
          <w:bCs/>
          <w:color w:val="000000"/>
          <w:sz w:val="26"/>
          <w:szCs w:val="26"/>
          <w:u w:val="single"/>
        </w:rPr>
      </w:pPr>
      <w:r w:rsidRPr="002A7673">
        <w:rPr>
          <w:rFonts w:ascii="Times New Roman" w:eastAsia="Calibri" w:hAnsi="Times New Roman" w:cs="Times New Roman"/>
          <w:b/>
          <w:bCs/>
          <w:color w:val="000000"/>
          <w:sz w:val="26"/>
          <w:szCs w:val="26"/>
          <w:u w:val="single"/>
        </w:rPr>
        <w:t>PROPUESTA NO. 3</w:t>
      </w:r>
    </w:p>
    <w:p w14:paraId="39408E0D"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p>
    <w:p w14:paraId="7C964A6E" w14:textId="34E26C37" w:rsidR="005218C2" w:rsidRPr="002A7673" w:rsidRDefault="005218C2" w:rsidP="005218C2">
      <w:pPr>
        <w:spacing w:after="0" w:line="240" w:lineRule="auto"/>
        <w:ind w:left="851" w:right="851" w:firstLine="709"/>
        <w:jc w:val="both"/>
        <w:rPr>
          <w:rFonts w:ascii="Times New Roman" w:eastAsia="Times New Roman" w:hAnsi="Times New Roman" w:cs="Times New Roman"/>
          <w:color w:val="000000"/>
          <w:sz w:val="26"/>
          <w:szCs w:val="26"/>
          <w:u w:color="000000"/>
          <w:shd w:val="clear" w:color="auto" w:fill="FFFFFF"/>
          <w:lang w:eastAsia="es-ES"/>
        </w:rPr>
      </w:pPr>
      <w:r w:rsidRPr="002A7673">
        <w:rPr>
          <w:rFonts w:ascii="Times New Roman" w:eastAsia="Times New Roman" w:hAnsi="Times New Roman" w:cs="Times New Roman"/>
          <w:sz w:val="26"/>
          <w:szCs w:val="26"/>
          <w:u w:color="000000"/>
          <w:shd w:val="clear" w:color="auto" w:fill="FFFFFF"/>
          <w:lang w:val="es-ES" w:eastAsia="es-ES"/>
        </w:rPr>
        <w:t xml:space="preserve">Distribuir el monto total de </w:t>
      </w:r>
      <w:r w:rsidRPr="002A7673">
        <w:rPr>
          <w:rFonts w:ascii="Times New Roman" w:eastAsia="Times New Roman" w:hAnsi="Times New Roman" w:cs="Times New Roman"/>
          <w:b/>
          <w:bCs/>
          <w:color w:val="000000"/>
          <w:sz w:val="26"/>
          <w:szCs w:val="26"/>
          <w:u w:color="000000"/>
          <w:shd w:val="clear" w:color="auto" w:fill="FFFFFF"/>
          <w:lang w:eastAsia="es-ES"/>
        </w:rPr>
        <w:t>₡</w:t>
      </w:r>
      <w:r w:rsidRPr="002A7673">
        <w:rPr>
          <w:rFonts w:ascii="Times New Roman" w:eastAsia="Times New Roman" w:hAnsi="Times New Roman" w:cs="Times New Roman"/>
          <w:b/>
          <w:bCs/>
          <w:color w:val="000000"/>
          <w:sz w:val="26"/>
          <w:szCs w:val="26"/>
          <w:u w:color="000000"/>
          <w:shd w:val="clear" w:color="auto" w:fill="FFFFFF"/>
          <w:lang w:eastAsia="es-CR"/>
        </w:rPr>
        <w:t>23.408.096,24</w:t>
      </w:r>
      <w:r w:rsidRPr="002A7673">
        <w:rPr>
          <w:rFonts w:ascii="Times New Roman" w:eastAsia="Times New Roman" w:hAnsi="Times New Roman" w:cs="Times New Roman"/>
          <w:color w:val="000000"/>
          <w:sz w:val="26"/>
          <w:szCs w:val="26"/>
          <w:u w:color="000000"/>
          <w:shd w:val="clear" w:color="auto" w:fill="FFFFFF"/>
          <w:lang w:eastAsia="es-ES"/>
        </w:rPr>
        <w:t xml:space="preserve">, de manera porcentual entre los seis programas presupuestarios (926, 927, 928, 929, 930 y 950) a partir de una </w:t>
      </w:r>
      <w:r w:rsidRPr="002A7673">
        <w:rPr>
          <w:rFonts w:ascii="Times New Roman" w:eastAsia="Times New Roman" w:hAnsi="Times New Roman" w:cs="Times New Roman"/>
          <w:b/>
          <w:bCs/>
          <w:color w:val="000000"/>
          <w:sz w:val="26"/>
          <w:szCs w:val="26"/>
          <w:highlight w:val="lightGray"/>
          <w:u w:color="000000"/>
          <w:shd w:val="clear" w:color="auto" w:fill="FFFFFF"/>
          <w:lang w:eastAsia="es-ES"/>
        </w:rPr>
        <w:t>nueva distribución sugerida que integre los elementos considerados en las dos propuestas anteriores</w:t>
      </w:r>
      <w:r w:rsidRPr="002A7673">
        <w:rPr>
          <w:rFonts w:ascii="Times New Roman" w:eastAsia="Times New Roman" w:hAnsi="Times New Roman" w:cs="Times New Roman"/>
          <w:color w:val="000000"/>
          <w:sz w:val="26"/>
          <w:szCs w:val="26"/>
          <w:u w:color="000000"/>
          <w:shd w:val="clear" w:color="auto" w:fill="FFFFFF"/>
          <w:lang w:eastAsia="es-ES"/>
        </w:rPr>
        <w:t xml:space="preserve">. </w:t>
      </w:r>
    </w:p>
    <w:p w14:paraId="6D5E4C06" w14:textId="55977E69" w:rsidR="00A60CCD" w:rsidRPr="002A7673" w:rsidRDefault="00A60CCD" w:rsidP="005218C2">
      <w:pPr>
        <w:spacing w:after="0" w:line="240" w:lineRule="auto"/>
        <w:ind w:left="851" w:right="851" w:firstLine="709"/>
        <w:jc w:val="both"/>
        <w:rPr>
          <w:rFonts w:ascii="Times New Roman" w:eastAsia="Times New Roman" w:hAnsi="Times New Roman" w:cs="Times New Roman"/>
          <w:color w:val="000000"/>
          <w:sz w:val="26"/>
          <w:szCs w:val="26"/>
          <w:u w:color="000000"/>
          <w:shd w:val="clear" w:color="auto" w:fill="FFFFFF"/>
          <w:lang w:eastAsia="es-ES"/>
        </w:rPr>
      </w:pPr>
    </w:p>
    <w:p w14:paraId="2FD96247" w14:textId="419C195B" w:rsidR="00A60CCD" w:rsidRPr="002A7673" w:rsidRDefault="00A60CCD" w:rsidP="005218C2">
      <w:pPr>
        <w:spacing w:after="0" w:line="240" w:lineRule="auto"/>
        <w:ind w:left="851" w:right="851" w:firstLine="709"/>
        <w:jc w:val="both"/>
        <w:rPr>
          <w:rFonts w:ascii="Times New Roman" w:eastAsia="Times New Roman" w:hAnsi="Times New Roman" w:cs="Times New Roman"/>
          <w:color w:val="000000"/>
          <w:sz w:val="26"/>
          <w:szCs w:val="26"/>
          <w:u w:color="000000"/>
          <w:shd w:val="clear" w:color="auto" w:fill="FFFFFF"/>
          <w:lang w:eastAsia="es-ES"/>
        </w:rPr>
      </w:pPr>
    </w:p>
    <w:p w14:paraId="18D0C720" w14:textId="77777777" w:rsidR="005218C2" w:rsidRPr="002A7673" w:rsidRDefault="005218C2" w:rsidP="005218C2">
      <w:pPr>
        <w:spacing w:after="0" w:line="360" w:lineRule="auto"/>
        <w:ind w:firstLine="284"/>
        <w:jc w:val="both"/>
        <w:rPr>
          <w:rFonts w:ascii="Times New Roman" w:eastAsia="Times New Roman" w:hAnsi="Times New Roman" w:cs="Times New Roman"/>
          <w:sz w:val="24"/>
          <w:szCs w:val="24"/>
          <w:u w:color="000000"/>
          <w:shd w:val="clear" w:color="auto" w:fill="FFFFFF"/>
          <w:lang w:val="es-ES" w:eastAsia="es-ES"/>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2"/>
        <w:gridCol w:w="1701"/>
        <w:gridCol w:w="1559"/>
        <w:gridCol w:w="1418"/>
        <w:gridCol w:w="2410"/>
      </w:tblGrid>
      <w:tr w:rsidR="005218C2" w:rsidRPr="002A7673" w14:paraId="2B4DF693" w14:textId="77777777" w:rsidTr="00F36B66">
        <w:trPr>
          <w:trHeight w:val="590"/>
          <w:jc w:val="center"/>
        </w:trPr>
        <w:tc>
          <w:tcPr>
            <w:tcW w:w="2552" w:type="dxa"/>
            <w:vMerge w:val="restart"/>
            <w:shd w:val="clear" w:color="000000" w:fill="D9D9D9"/>
            <w:vAlign w:val="center"/>
            <w:hideMark/>
          </w:tcPr>
          <w:p w14:paraId="1C73D172"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Programa presupuestario</w:t>
            </w:r>
          </w:p>
        </w:tc>
        <w:tc>
          <w:tcPr>
            <w:tcW w:w="7088" w:type="dxa"/>
            <w:gridSpan w:val="4"/>
            <w:shd w:val="clear" w:color="000000" w:fill="D9D9D9"/>
            <w:vAlign w:val="center"/>
            <w:hideMark/>
          </w:tcPr>
          <w:p w14:paraId="2236CC72"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PROPUESTA NO. 3</w:t>
            </w:r>
          </w:p>
        </w:tc>
      </w:tr>
      <w:tr w:rsidR="005218C2" w:rsidRPr="002A7673" w14:paraId="41FFA6D5" w14:textId="77777777" w:rsidTr="00F36B66">
        <w:trPr>
          <w:trHeight w:val="1340"/>
          <w:jc w:val="center"/>
        </w:trPr>
        <w:tc>
          <w:tcPr>
            <w:tcW w:w="2552" w:type="dxa"/>
            <w:vMerge/>
            <w:vAlign w:val="center"/>
            <w:hideMark/>
          </w:tcPr>
          <w:p w14:paraId="68F931FA" w14:textId="77777777" w:rsidR="005218C2" w:rsidRPr="002A7673" w:rsidRDefault="005218C2" w:rsidP="0048334E">
            <w:pPr>
              <w:spacing w:after="0" w:line="240" w:lineRule="auto"/>
              <w:rPr>
                <w:rFonts w:ascii="Times New Roman" w:eastAsia="Times New Roman" w:hAnsi="Times New Roman" w:cs="Times New Roman"/>
                <w:b/>
                <w:bCs/>
                <w:color w:val="000000"/>
                <w:lang w:eastAsia="es-CR"/>
              </w:rPr>
            </w:pPr>
          </w:p>
        </w:tc>
        <w:tc>
          <w:tcPr>
            <w:tcW w:w="1701" w:type="dxa"/>
            <w:shd w:val="clear" w:color="000000" w:fill="D9D9D9"/>
            <w:vAlign w:val="center"/>
            <w:hideMark/>
          </w:tcPr>
          <w:p w14:paraId="3AFF3616"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Cantidad de personas por programa</w:t>
            </w:r>
          </w:p>
        </w:tc>
        <w:tc>
          <w:tcPr>
            <w:tcW w:w="1559" w:type="dxa"/>
            <w:shd w:val="clear" w:color="000000" w:fill="D9D9D9"/>
            <w:vAlign w:val="center"/>
            <w:hideMark/>
          </w:tcPr>
          <w:p w14:paraId="6BCAC3E7"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Cantidad de becas otorgadas en el periodo 2019-2020 según los registros de la DGH</w:t>
            </w:r>
          </w:p>
        </w:tc>
        <w:tc>
          <w:tcPr>
            <w:tcW w:w="1418" w:type="dxa"/>
            <w:shd w:val="clear" w:color="000000" w:fill="D9D9D9"/>
            <w:vAlign w:val="center"/>
            <w:hideMark/>
          </w:tcPr>
          <w:p w14:paraId="5CCA73EC"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Porcentaje</w:t>
            </w:r>
          </w:p>
        </w:tc>
        <w:tc>
          <w:tcPr>
            <w:tcW w:w="2410" w:type="dxa"/>
            <w:shd w:val="clear" w:color="000000" w:fill="F8CBAD"/>
            <w:vAlign w:val="center"/>
            <w:hideMark/>
          </w:tcPr>
          <w:p w14:paraId="5DCDFA14" w14:textId="77777777" w:rsidR="005218C2" w:rsidRPr="002A7673" w:rsidRDefault="005218C2" w:rsidP="0048334E">
            <w:pPr>
              <w:spacing w:after="0" w:line="240" w:lineRule="auto"/>
              <w:jc w:val="center"/>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Presupuesto por asignar según la cantidad de personas por programa y becas otorgadas en el periodo 2019-2020</w:t>
            </w:r>
          </w:p>
        </w:tc>
      </w:tr>
      <w:tr w:rsidR="005218C2" w:rsidRPr="002A7673" w14:paraId="5A3EA4D1" w14:textId="77777777" w:rsidTr="00F36B66">
        <w:trPr>
          <w:trHeight w:val="290"/>
          <w:jc w:val="center"/>
        </w:trPr>
        <w:tc>
          <w:tcPr>
            <w:tcW w:w="2552" w:type="dxa"/>
            <w:shd w:val="clear" w:color="auto" w:fill="auto"/>
            <w:vAlign w:val="center"/>
            <w:hideMark/>
          </w:tcPr>
          <w:p w14:paraId="07B023DB"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926 (Dirección y Administración)</w:t>
            </w:r>
          </w:p>
        </w:tc>
        <w:tc>
          <w:tcPr>
            <w:tcW w:w="1701" w:type="dxa"/>
            <w:shd w:val="clear" w:color="auto" w:fill="auto"/>
            <w:vAlign w:val="center"/>
            <w:hideMark/>
          </w:tcPr>
          <w:p w14:paraId="0B5C404F"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2 328,00</w:t>
            </w:r>
          </w:p>
        </w:tc>
        <w:tc>
          <w:tcPr>
            <w:tcW w:w="1559" w:type="dxa"/>
            <w:shd w:val="clear" w:color="auto" w:fill="auto"/>
            <w:vAlign w:val="center"/>
            <w:hideMark/>
          </w:tcPr>
          <w:p w14:paraId="6D1BCF91"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10,00</w:t>
            </w:r>
          </w:p>
        </w:tc>
        <w:tc>
          <w:tcPr>
            <w:tcW w:w="1418" w:type="dxa"/>
            <w:shd w:val="clear" w:color="auto" w:fill="auto"/>
            <w:vAlign w:val="center"/>
            <w:hideMark/>
          </w:tcPr>
          <w:p w14:paraId="5EF6E8B5"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18,58%</w:t>
            </w:r>
          </w:p>
        </w:tc>
        <w:tc>
          <w:tcPr>
            <w:tcW w:w="2410" w:type="dxa"/>
            <w:shd w:val="clear" w:color="auto" w:fill="auto"/>
            <w:vAlign w:val="center"/>
            <w:hideMark/>
          </w:tcPr>
          <w:p w14:paraId="414A4B7C"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₡4 348 679,30</w:t>
            </w:r>
          </w:p>
        </w:tc>
      </w:tr>
      <w:tr w:rsidR="005218C2" w:rsidRPr="002A7673" w14:paraId="77606076" w14:textId="77777777" w:rsidTr="00F36B66">
        <w:trPr>
          <w:trHeight w:val="290"/>
          <w:jc w:val="center"/>
        </w:trPr>
        <w:tc>
          <w:tcPr>
            <w:tcW w:w="2552" w:type="dxa"/>
            <w:shd w:val="clear" w:color="auto" w:fill="auto"/>
            <w:vAlign w:val="center"/>
            <w:hideMark/>
          </w:tcPr>
          <w:p w14:paraId="3045DEC9"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927 (Judicatura)</w:t>
            </w:r>
          </w:p>
        </w:tc>
        <w:tc>
          <w:tcPr>
            <w:tcW w:w="1701" w:type="dxa"/>
            <w:shd w:val="clear" w:color="auto" w:fill="auto"/>
            <w:vAlign w:val="center"/>
            <w:hideMark/>
          </w:tcPr>
          <w:p w14:paraId="03809E57"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4 569,00</w:t>
            </w:r>
          </w:p>
        </w:tc>
        <w:tc>
          <w:tcPr>
            <w:tcW w:w="1559" w:type="dxa"/>
            <w:shd w:val="clear" w:color="auto" w:fill="auto"/>
            <w:vAlign w:val="center"/>
            <w:hideMark/>
          </w:tcPr>
          <w:p w14:paraId="7847107F"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59,00</w:t>
            </w:r>
          </w:p>
        </w:tc>
        <w:tc>
          <w:tcPr>
            <w:tcW w:w="1418" w:type="dxa"/>
            <w:shd w:val="clear" w:color="auto" w:fill="auto"/>
            <w:vAlign w:val="center"/>
            <w:hideMark/>
          </w:tcPr>
          <w:p w14:paraId="5950CE5F"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36,77%</w:t>
            </w:r>
          </w:p>
        </w:tc>
        <w:tc>
          <w:tcPr>
            <w:tcW w:w="2410" w:type="dxa"/>
            <w:shd w:val="clear" w:color="auto" w:fill="auto"/>
            <w:vAlign w:val="center"/>
            <w:hideMark/>
          </w:tcPr>
          <w:p w14:paraId="0C0A04A2"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₡8 608 078,62</w:t>
            </w:r>
          </w:p>
        </w:tc>
      </w:tr>
      <w:tr w:rsidR="005218C2" w:rsidRPr="002A7673" w14:paraId="042AE91E" w14:textId="77777777" w:rsidTr="00F36B66">
        <w:trPr>
          <w:trHeight w:val="290"/>
          <w:jc w:val="center"/>
        </w:trPr>
        <w:tc>
          <w:tcPr>
            <w:tcW w:w="2552" w:type="dxa"/>
            <w:shd w:val="clear" w:color="auto" w:fill="auto"/>
            <w:vAlign w:val="center"/>
            <w:hideMark/>
          </w:tcPr>
          <w:p w14:paraId="4761961D"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928 (OIJ)</w:t>
            </w:r>
          </w:p>
        </w:tc>
        <w:tc>
          <w:tcPr>
            <w:tcW w:w="1701" w:type="dxa"/>
            <w:shd w:val="clear" w:color="auto" w:fill="auto"/>
            <w:vAlign w:val="center"/>
            <w:hideMark/>
          </w:tcPr>
          <w:p w14:paraId="05C8AB22"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3 199,00</w:t>
            </w:r>
          </w:p>
        </w:tc>
        <w:tc>
          <w:tcPr>
            <w:tcW w:w="1559" w:type="dxa"/>
            <w:shd w:val="clear" w:color="auto" w:fill="auto"/>
            <w:vAlign w:val="center"/>
            <w:hideMark/>
          </w:tcPr>
          <w:p w14:paraId="7E59ED99"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5,00</w:t>
            </w:r>
          </w:p>
        </w:tc>
        <w:tc>
          <w:tcPr>
            <w:tcW w:w="1418" w:type="dxa"/>
            <w:shd w:val="clear" w:color="auto" w:fill="auto"/>
            <w:vAlign w:val="center"/>
            <w:hideMark/>
          </w:tcPr>
          <w:p w14:paraId="5AFCF3E7"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25,46%</w:t>
            </w:r>
          </w:p>
        </w:tc>
        <w:tc>
          <w:tcPr>
            <w:tcW w:w="2410" w:type="dxa"/>
            <w:shd w:val="clear" w:color="auto" w:fill="auto"/>
            <w:vAlign w:val="center"/>
            <w:hideMark/>
          </w:tcPr>
          <w:p w14:paraId="3525BF5B"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₡5 959 439,04</w:t>
            </w:r>
          </w:p>
        </w:tc>
      </w:tr>
      <w:tr w:rsidR="005218C2" w:rsidRPr="002A7673" w14:paraId="276418C8" w14:textId="77777777" w:rsidTr="00F36B66">
        <w:trPr>
          <w:trHeight w:val="290"/>
          <w:jc w:val="center"/>
        </w:trPr>
        <w:tc>
          <w:tcPr>
            <w:tcW w:w="2552" w:type="dxa"/>
            <w:shd w:val="clear" w:color="auto" w:fill="auto"/>
            <w:vAlign w:val="center"/>
            <w:hideMark/>
          </w:tcPr>
          <w:p w14:paraId="7D3DDC51"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929 (Ministerio Público)</w:t>
            </w:r>
          </w:p>
        </w:tc>
        <w:tc>
          <w:tcPr>
            <w:tcW w:w="1701" w:type="dxa"/>
            <w:shd w:val="clear" w:color="auto" w:fill="auto"/>
            <w:vAlign w:val="center"/>
            <w:hideMark/>
          </w:tcPr>
          <w:p w14:paraId="493A0703"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1 268,00</w:t>
            </w:r>
          </w:p>
        </w:tc>
        <w:tc>
          <w:tcPr>
            <w:tcW w:w="1559" w:type="dxa"/>
            <w:shd w:val="clear" w:color="auto" w:fill="auto"/>
            <w:vAlign w:val="center"/>
            <w:hideMark/>
          </w:tcPr>
          <w:p w14:paraId="522BD408"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4,00</w:t>
            </w:r>
          </w:p>
        </w:tc>
        <w:tc>
          <w:tcPr>
            <w:tcW w:w="1418" w:type="dxa"/>
            <w:shd w:val="clear" w:color="auto" w:fill="auto"/>
            <w:vAlign w:val="center"/>
            <w:hideMark/>
          </w:tcPr>
          <w:p w14:paraId="76721DDB"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10,11%</w:t>
            </w:r>
          </w:p>
        </w:tc>
        <w:tc>
          <w:tcPr>
            <w:tcW w:w="2410" w:type="dxa"/>
            <w:shd w:val="clear" w:color="auto" w:fill="auto"/>
            <w:vAlign w:val="center"/>
            <w:hideMark/>
          </w:tcPr>
          <w:p w14:paraId="12F04A6E"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₡2 365 919,62</w:t>
            </w:r>
          </w:p>
        </w:tc>
      </w:tr>
      <w:tr w:rsidR="005218C2" w:rsidRPr="002A7673" w14:paraId="3FE54B52" w14:textId="77777777" w:rsidTr="00F36B66">
        <w:trPr>
          <w:trHeight w:val="290"/>
          <w:jc w:val="center"/>
        </w:trPr>
        <w:tc>
          <w:tcPr>
            <w:tcW w:w="2552" w:type="dxa"/>
            <w:shd w:val="clear" w:color="auto" w:fill="auto"/>
            <w:vAlign w:val="center"/>
            <w:hideMark/>
          </w:tcPr>
          <w:p w14:paraId="46177AAF"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930 (Defensa Pública)</w:t>
            </w:r>
          </w:p>
        </w:tc>
        <w:tc>
          <w:tcPr>
            <w:tcW w:w="1701" w:type="dxa"/>
            <w:shd w:val="clear" w:color="auto" w:fill="auto"/>
            <w:vAlign w:val="center"/>
            <w:hideMark/>
          </w:tcPr>
          <w:p w14:paraId="0DCA771A"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827,00</w:t>
            </w:r>
          </w:p>
        </w:tc>
        <w:tc>
          <w:tcPr>
            <w:tcW w:w="1559" w:type="dxa"/>
            <w:shd w:val="clear" w:color="auto" w:fill="auto"/>
            <w:vAlign w:val="center"/>
            <w:hideMark/>
          </w:tcPr>
          <w:p w14:paraId="2B47C6A9"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30,00</w:t>
            </w:r>
          </w:p>
        </w:tc>
        <w:tc>
          <w:tcPr>
            <w:tcW w:w="1418" w:type="dxa"/>
            <w:shd w:val="clear" w:color="auto" w:fill="auto"/>
            <w:vAlign w:val="center"/>
            <w:hideMark/>
          </w:tcPr>
          <w:p w14:paraId="7B9D0D4B"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6,81%</w:t>
            </w:r>
          </w:p>
        </w:tc>
        <w:tc>
          <w:tcPr>
            <w:tcW w:w="2410" w:type="dxa"/>
            <w:shd w:val="clear" w:color="auto" w:fill="auto"/>
            <w:vAlign w:val="center"/>
            <w:hideMark/>
          </w:tcPr>
          <w:p w14:paraId="5313F686"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₡1 594 019,74</w:t>
            </w:r>
          </w:p>
        </w:tc>
      </w:tr>
      <w:tr w:rsidR="005218C2" w:rsidRPr="002A7673" w14:paraId="43308EEA" w14:textId="77777777" w:rsidTr="00F36B66">
        <w:trPr>
          <w:trHeight w:val="290"/>
          <w:jc w:val="center"/>
        </w:trPr>
        <w:tc>
          <w:tcPr>
            <w:tcW w:w="2552" w:type="dxa"/>
            <w:shd w:val="clear" w:color="auto" w:fill="auto"/>
            <w:vAlign w:val="center"/>
            <w:hideMark/>
          </w:tcPr>
          <w:p w14:paraId="5A875E0E" w14:textId="77777777" w:rsidR="005218C2" w:rsidRPr="002A7673" w:rsidRDefault="005218C2" w:rsidP="0048334E">
            <w:pPr>
              <w:spacing w:after="0" w:line="240" w:lineRule="auto"/>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lastRenderedPageBreak/>
              <w:t>950 (OAPVD)</w:t>
            </w:r>
          </w:p>
        </w:tc>
        <w:tc>
          <w:tcPr>
            <w:tcW w:w="1701" w:type="dxa"/>
            <w:shd w:val="clear" w:color="auto" w:fill="auto"/>
            <w:vAlign w:val="center"/>
            <w:hideMark/>
          </w:tcPr>
          <w:p w14:paraId="1630340D"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284,00</w:t>
            </w:r>
          </w:p>
        </w:tc>
        <w:tc>
          <w:tcPr>
            <w:tcW w:w="1559" w:type="dxa"/>
            <w:shd w:val="clear" w:color="auto" w:fill="auto"/>
            <w:vAlign w:val="center"/>
            <w:hideMark/>
          </w:tcPr>
          <w:p w14:paraId="52499EF4"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2,00</w:t>
            </w:r>
          </w:p>
        </w:tc>
        <w:tc>
          <w:tcPr>
            <w:tcW w:w="1418" w:type="dxa"/>
            <w:shd w:val="clear" w:color="auto" w:fill="auto"/>
            <w:vAlign w:val="center"/>
            <w:hideMark/>
          </w:tcPr>
          <w:p w14:paraId="6D63D460"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2,27%</w:t>
            </w:r>
          </w:p>
        </w:tc>
        <w:tc>
          <w:tcPr>
            <w:tcW w:w="2410" w:type="dxa"/>
            <w:shd w:val="clear" w:color="auto" w:fill="auto"/>
            <w:vAlign w:val="center"/>
            <w:hideMark/>
          </w:tcPr>
          <w:p w14:paraId="29D749A2" w14:textId="77777777" w:rsidR="005218C2" w:rsidRPr="002A7673" w:rsidRDefault="005218C2" w:rsidP="0048334E">
            <w:pPr>
              <w:spacing w:after="0" w:line="240" w:lineRule="auto"/>
              <w:jc w:val="right"/>
              <w:rPr>
                <w:rFonts w:ascii="Times New Roman" w:eastAsia="Times New Roman" w:hAnsi="Times New Roman" w:cs="Times New Roman"/>
                <w:color w:val="000000"/>
                <w:lang w:eastAsia="es-CR"/>
              </w:rPr>
            </w:pPr>
            <w:r w:rsidRPr="002A7673">
              <w:rPr>
                <w:rFonts w:ascii="Times New Roman" w:eastAsia="Times New Roman" w:hAnsi="Times New Roman" w:cs="Times New Roman"/>
                <w:color w:val="000000"/>
                <w:lang w:eastAsia="es-CR"/>
              </w:rPr>
              <w:t>₡531 959,91</w:t>
            </w:r>
          </w:p>
        </w:tc>
      </w:tr>
      <w:tr w:rsidR="005218C2" w:rsidRPr="002A7673" w14:paraId="3A83D794" w14:textId="77777777" w:rsidTr="00F36B66">
        <w:trPr>
          <w:trHeight w:val="290"/>
          <w:jc w:val="center"/>
        </w:trPr>
        <w:tc>
          <w:tcPr>
            <w:tcW w:w="2552" w:type="dxa"/>
            <w:shd w:val="clear" w:color="auto" w:fill="auto"/>
            <w:vAlign w:val="center"/>
            <w:hideMark/>
          </w:tcPr>
          <w:p w14:paraId="38E7704A"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TOTAL</w:t>
            </w:r>
          </w:p>
        </w:tc>
        <w:tc>
          <w:tcPr>
            <w:tcW w:w="1701" w:type="dxa"/>
            <w:shd w:val="clear" w:color="auto" w:fill="auto"/>
            <w:vAlign w:val="center"/>
            <w:hideMark/>
          </w:tcPr>
          <w:p w14:paraId="21CB9316"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12 475,00</w:t>
            </w:r>
          </w:p>
        </w:tc>
        <w:tc>
          <w:tcPr>
            <w:tcW w:w="1559" w:type="dxa"/>
            <w:shd w:val="clear" w:color="auto" w:fill="auto"/>
            <w:vAlign w:val="center"/>
            <w:hideMark/>
          </w:tcPr>
          <w:p w14:paraId="19D6826B"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110,00</w:t>
            </w:r>
          </w:p>
        </w:tc>
        <w:tc>
          <w:tcPr>
            <w:tcW w:w="1418" w:type="dxa"/>
            <w:shd w:val="clear" w:color="auto" w:fill="auto"/>
            <w:vAlign w:val="center"/>
            <w:hideMark/>
          </w:tcPr>
          <w:p w14:paraId="55560B07"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100,00%</w:t>
            </w:r>
          </w:p>
        </w:tc>
        <w:tc>
          <w:tcPr>
            <w:tcW w:w="2410" w:type="dxa"/>
            <w:shd w:val="clear" w:color="000000" w:fill="FFFF00"/>
            <w:vAlign w:val="center"/>
            <w:hideMark/>
          </w:tcPr>
          <w:p w14:paraId="60F1E24F" w14:textId="77777777" w:rsidR="005218C2" w:rsidRPr="002A7673" w:rsidRDefault="005218C2" w:rsidP="0048334E">
            <w:pPr>
              <w:spacing w:after="0" w:line="240" w:lineRule="auto"/>
              <w:jc w:val="right"/>
              <w:rPr>
                <w:rFonts w:ascii="Times New Roman" w:eastAsia="Times New Roman" w:hAnsi="Times New Roman" w:cs="Times New Roman"/>
                <w:b/>
                <w:bCs/>
                <w:color w:val="000000"/>
                <w:lang w:eastAsia="es-CR"/>
              </w:rPr>
            </w:pPr>
            <w:r w:rsidRPr="002A7673">
              <w:rPr>
                <w:rFonts w:ascii="Times New Roman" w:eastAsia="Times New Roman" w:hAnsi="Times New Roman" w:cs="Times New Roman"/>
                <w:b/>
                <w:bCs/>
                <w:color w:val="000000"/>
                <w:lang w:eastAsia="es-CR"/>
              </w:rPr>
              <w:t>₡23 408 096,24</w:t>
            </w:r>
          </w:p>
        </w:tc>
      </w:tr>
    </w:tbl>
    <w:p w14:paraId="6EF20B4D"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ES"/>
        </w:rPr>
      </w:pPr>
      <w:r w:rsidRPr="002A7673">
        <w:rPr>
          <w:rFonts w:ascii="Times New Roman" w:eastAsia="Times New Roman" w:hAnsi="Times New Roman" w:cs="Times New Roman"/>
          <w:i/>
          <w:iCs/>
          <w:sz w:val="26"/>
          <w:szCs w:val="26"/>
          <w:u w:color="000000"/>
          <w:shd w:val="clear" w:color="auto" w:fill="FFFFFF"/>
          <w:lang w:val="es-ES" w:eastAsia="es-ES"/>
        </w:rPr>
        <w:t>** Los cálculos correspondientes se detallan en el documento de Excel adjunto, específicamente en la hoja denominada “PROPUESTA DISTRIB. BECAS”.</w:t>
      </w:r>
    </w:p>
    <w:p w14:paraId="56A86E33" w14:textId="77777777" w:rsidR="005218C2" w:rsidRPr="002A7673" w:rsidRDefault="005218C2" w:rsidP="005218C2">
      <w:pPr>
        <w:spacing w:after="0" w:line="480" w:lineRule="auto"/>
        <w:ind w:left="720"/>
        <w:jc w:val="center"/>
        <w:rPr>
          <w:rFonts w:ascii="Times New Roman" w:eastAsia="Times New Roman" w:hAnsi="Times New Roman" w:cs="Times New Roman"/>
          <w:sz w:val="28"/>
          <w:szCs w:val="28"/>
          <w:u w:color="000000"/>
          <w:shd w:val="clear" w:color="auto" w:fill="FFFFFF"/>
          <w:lang w:val="es-ES" w:eastAsia="es-ES"/>
        </w:rPr>
      </w:pPr>
      <w:r w:rsidRPr="002A7673">
        <w:rPr>
          <w:rFonts w:ascii="Times New Roman" w:eastAsia="Times New Roman" w:hAnsi="Times New Roman" w:cs="Times New Roman"/>
          <w:sz w:val="28"/>
          <w:szCs w:val="28"/>
          <w:u w:color="000000"/>
          <w:shd w:val="clear" w:color="auto" w:fill="FFFFFF"/>
          <w:lang w:val="es-ES" w:eastAsia="es-ES"/>
        </w:rPr>
        <w:t>-0-</w:t>
      </w:r>
    </w:p>
    <w:p w14:paraId="169883A8" w14:textId="77777777" w:rsidR="005218C2" w:rsidRPr="002A7673" w:rsidRDefault="005218C2" w:rsidP="005218C2">
      <w:pPr>
        <w:spacing w:after="0" w:line="480" w:lineRule="auto"/>
        <w:ind w:firstLine="709"/>
        <w:jc w:val="both"/>
        <w:rPr>
          <w:rFonts w:ascii="Times New Roman" w:eastAsia="Times New Roman" w:hAnsi="Times New Roman" w:cs="Times New Roman"/>
          <w:sz w:val="28"/>
          <w:szCs w:val="28"/>
          <w:u w:color="000000"/>
          <w:shd w:val="clear" w:color="auto" w:fill="FFFFFF"/>
          <w:lang w:val="es-ES" w:eastAsia="es-ES"/>
        </w:rPr>
      </w:pPr>
      <w:r w:rsidRPr="002A7673">
        <w:rPr>
          <w:rFonts w:ascii="Times New Roman" w:eastAsia="Times New Roman" w:hAnsi="Times New Roman" w:cs="Times New Roman"/>
          <w:sz w:val="28"/>
          <w:szCs w:val="28"/>
          <w:u w:color="000000"/>
          <w:shd w:val="clear" w:color="auto" w:fill="FFFFFF"/>
          <w:lang w:val="es-ES" w:eastAsia="es-ES"/>
        </w:rPr>
        <w:t xml:space="preserve">Finalmente, el Subproceso Gestión de la Capacitación de la Dirección de Gestión Humana en cuanto a la estimación del costo de los </w:t>
      </w:r>
      <w:r w:rsidRPr="002A7673">
        <w:rPr>
          <w:rFonts w:ascii="Times New Roman" w:eastAsia="Times New Roman" w:hAnsi="Times New Roman" w:cs="Times New Roman"/>
          <w:b/>
          <w:bCs/>
          <w:i/>
          <w:iCs/>
          <w:sz w:val="28"/>
          <w:szCs w:val="28"/>
          <w:u w:color="000000"/>
          <w:shd w:val="clear" w:color="auto" w:fill="FFFFFF"/>
          <w:lang w:val="es-ES" w:eastAsia="es-ES"/>
        </w:rPr>
        <w:t xml:space="preserve">especialistas en contenido </w:t>
      </w:r>
      <w:r w:rsidRPr="002A7673">
        <w:rPr>
          <w:rFonts w:ascii="Times New Roman" w:eastAsia="Times New Roman" w:hAnsi="Times New Roman" w:cs="Times New Roman"/>
          <w:sz w:val="28"/>
          <w:szCs w:val="28"/>
          <w:u w:color="000000"/>
          <w:shd w:val="clear" w:color="auto" w:fill="FFFFFF"/>
          <w:lang w:val="es-ES" w:eastAsia="es-ES"/>
        </w:rPr>
        <w:t>para el año 2022 señala lo siguiente:</w:t>
      </w:r>
    </w:p>
    <w:p w14:paraId="73FF716F"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ES"/>
        </w:rPr>
      </w:pPr>
      <w:r w:rsidRPr="002A7673">
        <w:rPr>
          <w:rFonts w:ascii="Times New Roman" w:eastAsia="Times New Roman" w:hAnsi="Times New Roman" w:cs="Times New Roman"/>
          <w:i/>
          <w:iCs/>
          <w:sz w:val="26"/>
          <w:szCs w:val="26"/>
          <w:u w:color="000000"/>
          <w:shd w:val="clear" w:color="auto" w:fill="FFFFFF"/>
          <w:lang w:val="es-ES" w:eastAsia="es-ES"/>
        </w:rPr>
        <w:t xml:space="preserve">“(…)  Es relevante destacar que la estimación correspondiente a </w:t>
      </w:r>
      <w:r w:rsidRPr="002A7673">
        <w:rPr>
          <w:rFonts w:ascii="Times New Roman" w:eastAsia="Times New Roman" w:hAnsi="Times New Roman" w:cs="Times New Roman"/>
          <w:b/>
          <w:bCs/>
          <w:i/>
          <w:iCs/>
          <w:sz w:val="26"/>
          <w:szCs w:val="26"/>
          <w:u w:color="000000"/>
          <w:shd w:val="clear" w:color="auto" w:fill="FFFFFF"/>
          <w:lang w:val="es-ES" w:eastAsia="es-ES"/>
        </w:rPr>
        <w:t xml:space="preserve">Especialistas en </w:t>
      </w:r>
      <w:proofErr w:type="gramStart"/>
      <w:r w:rsidRPr="002A7673">
        <w:rPr>
          <w:rFonts w:ascii="Times New Roman" w:eastAsia="Times New Roman" w:hAnsi="Times New Roman" w:cs="Times New Roman"/>
          <w:b/>
          <w:bCs/>
          <w:i/>
          <w:iCs/>
          <w:sz w:val="26"/>
          <w:szCs w:val="26"/>
          <w:u w:color="000000"/>
          <w:shd w:val="clear" w:color="auto" w:fill="FFFFFF"/>
          <w:lang w:val="es-ES" w:eastAsia="es-ES"/>
        </w:rPr>
        <w:t>contenido,</w:t>
      </w:r>
      <w:proofErr w:type="gramEnd"/>
      <w:r w:rsidRPr="002A7673">
        <w:rPr>
          <w:rFonts w:ascii="Times New Roman" w:eastAsia="Times New Roman" w:hAnsi="Times New Roman" w:cs="Times New Roman"/>
          <w:b/>
          <w:bCs/>
          <w:i/>
          <w:iCs/>
          <w:sz w:val="26"/>
          <w:szCs w:val="26"/>
          <w:u w:color="000000"/>
          <w:shd w:val="clear" w:color="auto" w:fill="FFFFFF"/>
          <w:lang w:val="es-ES" w:eastAsia="es-ES"/>
        </w:rPr>
        <w:t xml:space="preserve"> </w:t>
      </w:r>
      <w:r w:rsidRPr="002A7673">
        <w:rPr>
          <w:rFonts w:ascii="Times New Roman" w:eastAsia="Times New Roman" w:hAnsi="Times New Roman" w:cs="Times New Roman"/>
          <w:i/>
          <w:iCs/>
          <w:sz w:val="26"/>
          <w:szCs w:val="26"/>
          <w:u w:color="000000"/>
          <w:shd w:val="clear" w:color="auto" w:fill="FFFFFF"/>
          <w:lang w:val="es-ES" w:eastAsia="es-ES"/>
        </w:rPr>
        <w:t xml:space="preserve">no es competencia actual de este Subproceso debido a que en sesión de Consejo Superior No. 38-20, celebrada el 17 de abril de 2020, artículo I, se autorizó separar estos recursos del presupuesto de becas. </w:t>
      </w:r>
    </w:p>
    <w:p w14:paraId="29AFB260"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ES"/>
        </w:rPr>
      </w:pPr>
    </w:p>
    <w:p w14:paraId="545ADAE0"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ES"/>
        </w:rPr>
      </w:pPr>
      <w:r w:rsidRPr="002A7673">
        <w:rPr>
          <w:rFonts w:ascii="Times New Roman" w:eastAsia="Times New Roman" w:hAnsi="Times New Roman" w:cs="Times New Roman"/>
          <w:i/>
          <w:iCs/>
          <w:sz w:val="26"/>
          <w:szCs w:val="26"/>
          <w:u w:color="000000"/>
          <w:shd w:val="clear" w:color="auto" w:fill="FFFFFF"/>
          <w:lang w:val="es-ES" w:eastAsia="es-ES"/>
        </w:rPr>
        <w:t xml:space="preserve">No obstante, apelando a la experiencia de este Subproceso y por motivo de la directriz mencionada al inicio del presente oficio, se hará una excepción para el año 2022.  A continuación, se presenta un cuadro resumen con el detalle para cada programa presupuestario: </w:t>
      </w:r>
    </w:p>
    <w:p w14:paraId="3C8BA096"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ES"/>
        </w:rPr>
      </w:pPr>
    </w:p>
    <w:tbl>
      <w:tblPr>
        <w:tblW w:w="46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4"/>
        <w:gridCol w:w="921"/>
        <w:gridCol w:w="921"/>
        <w:gridCol w:w="1100"/>
        <w:gridCol w:w="1127"/>
        <w:gridCol w:w="1021"/>
        <w:gridCol w:w="1132"/>
        <w:gridCol w:w="1032"/>
        <w:gridCol w:w="603"/>
      </w:tblGrid>
      <w:tr w:rsidR="005218C2" w:rsidRPr="002A7673" w14:paraId="33EE3523" w14:textId="77777777" w:rsidTr="00F36B66">
        <w:trPr>
          <w:trHeight w:val="456"/>
          <w:jc w:val="center"/>
        </w:trPr>
        <w:tc>
          <w:tcPr>
            <w:tcW w:w="5000" w:type="pct"/>
            <w:gridSpan w:val="9"/>
            <w:shd w:val="clear" w:color="000000" w:fill="D9D9D9"/>
            <w:noWrap/>
            <w:vAlign w:val="center"/>
            <w:hideMark/>
          </w:tcPr>
          <w:p w14:paraId="539C72D5"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RESUMEN SUBPARTIDA 00105 (PERMISOS CON GOCE DE SALARIO CON SUSTITUCIÓN)</w:t>
            </w:r>
          </w:p>
        </w:tc>
      </w:tr>
      <w:tr w:rsidR="005218C2" w:rsidRPr="002A7673" w14:paraId="0372D513" w14:textId="77777777" w:rsidTr="00F36B66">
        <w:trPr>
          <w:trHeight w:val="794"/>
          <w:jc w:val="center"/>
        </w:trPr>
        <w:tc>
          <w:tcPr>
            <w:tcW w:w="607" w:type="pct"/>
            <w:vMerge w:val="restart"/>
            <w:shd w:val="clear" w:color="000000" w:fill="D9D9D9"/>
            <w:noWrap/>
            <w:vAlign w:val="center"/>
            <w:hideMark/>
          </w:tcPr>
          <w:p w14:paraId="54795ECC"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 xml:space="preserve">Programa </w:t>
            </w:r>
          </w:p>
          <w:p w14:paraId="4F36A534"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presupuestario</w:t>
            </w:r>
          </w:p>
        </w:tc>
        <w:tc>
          <w:tcPr>
            <w:tcW w:w="515" w:type="pct"/>
            <w:vMerge w:val="restart"/>
            <w:shd w:val="clear" w:color="000000" w:fill="D9D9D9"/>
            <w:vAlign w:val="center"/>
            <w:hideMark/>
          </w:tcPr>
          <w:p w14:paraId="7E6CA7B5"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Cantidad de Permisos para especialistas en contenido del año 2022</w:t>
            </w:r>
          </w:p>
        </w:tc>
        <w:tc>
          <w:tcPr>
            <w:tcW w:w="515" w:type="pct"/>
            <w:vMerge w:val="restart"/>
            <w:shd w:val="clear" w:color="000000" w:fill="D9D9D9"/>
            <w:vAlign w:val="center"/>
            <w:hideMark/>
          </w:tcPr>
          <w:p w14:paraId="296AD992"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Cantidad de meses de sustitución para especialistas en contenido en el año 2022</w:t>
            </w:r>
          </w:p>
        </w:tc>
        <w:tc>
          <w:tcPr>
            <w:tcW w:w="615" w:type="pct"/>
            <w:vMerge w:val="restart"/>
            <w:shd w:val="clear" w:color="000000" w:fill="D9D9D9"/>
            <w:vAlign w:val="center"/>
            <w:hideMark/>
          </w:tcPr>
          <w:p w14:paraId="0329719C"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MONTO APROBADO 2021</w:t>
            </w:r>
          </w:p>
        </w:tc>
        <w:tc>
          <w:tcPr>
            <w:tcW w:w="630" w:type="pct"/>
            <w:vMerge w:val="restart"/>
            <w:shd w:val="clear" w:color="000000" w:fill="8EA9DB"/>
            <w:vAlign w:val="center"/>
            <w:hideMark/>
          </w:tcPr>
          <w:p w14:paraId="67F830A8"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 xml:space="preserve">MONTO LÍMITE POR PRESUPUESTAR PARA EL AÑO 2022 SEGÚN OFICIO </w:t>
            </w:r>
          </w:p>
          <w:p w14:paraId="376F85B6"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90-TR-2021</w:t>
            </w:r>
          </w:p>
        </w:tc>
        <w:tc>
          <w:tcPr>
            <w:tcW w:w="571" w:type="pct"/>
            <w:vMerge w:val="restart"/>
            <w:shd w:val="clear" w:color="000000" w:fill="D9D9D9"/>
            <w:vAlign w:val="center"/>
            <w:hideMark/>
          </w:tcPr>
          <w:p w14:paraId="4C695814"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PROYECCIÓN PARA BECAS 2022</w:t>
            </w:r>
          </w:p>
        </w:tc>
        <w:tc>
          <w:tcPr>
            <w:tcW w:w="633" w:type="pct"/>
            <w:vMerge w:val="restart"/>
            <w:shd w:val="clear" w:color="000000" w:fill="D9D9D9"/>
            <w:vAlign w:val="center"/>
            <w:hideMark/>
          </w:tcPr>
          <w:p w14:paraId="0064E39E"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ESPECIALISTAS EN CONTENIDO 2022</w:t>
            </w:r>
          </w:p>
        </w:tc>
        <w:tc>
          <w:tcPr>
            <w:tcW w:w="914" w:type="pct"/>
            <w:gridSpan w:val="2"/>
            <w:shd w:val="clear" w:color="000000" w:fill="D9D9D9"/>
            <w:vAlign w:val="center"/>
            <w:hideMark/>
          </w:tcPr>
          <w:p w14:paraId="397CCA8A"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DIFERENCIA TOTAL</w:t>
            </w:r>
            <w:r w:rsidRPr="002A7673">
              <w:rPr>
                <w:rFonts w:ascii="Times New Roman" w:eastAsia="Times New Roman" w:hAnsi="Times New Roman" w:cs="Times New Roman"/>
                <w:b/>
                <w:bCs/>
                <w:sz w:val="16"/>
                <w:szCs w:val="16"/>
                <w:lang w:eastAsia="es-CR"/>
              </w:rPr>
              <w:br/>
              <w:t>2021 - 2022</w:t>
            </w:r>
          </w:p>
        </w:tc>
      </w:tr>
      <w:tr w:rsidR="005218C2" w:rsidRPr="002A7673" w14:paraId="6A36C66C" w14:textId="77777777" w:rsidTr="00F36B66">
        <w:trPr>
          <w:trHeight w:val="1113"/>
          <w:jc w:val="center"/>
        </w:trPr>
        <w:tc>
          <w:tcPr>
            <w:tcW w:w="607" w:type="pct"/>
            <w:vMerge/>
            <w:vAlign w:val="center"/>
            <w:hideMark/>
          </w:tcPr>
          <w:p w14:paraId="6764D998" w14:textId="77777777" w:rsidR="005218C2" w:rsidRPr="002A7673" w:rsidRDefault="005218C2" w:rsidP="0048334E">
            <w:pPr>
              <w:spacing w:after="0" w:line="240" w:lineRule="auto"/>
              <w:rPr>
                <w:rFonts w:ascii="Times New Roman" w:eastAsia="Times New Roman" w:hAnsi="Times New Roman" w:cs="Times New Roman"/>
                <w:b/>
                <w:bCs/>
                <w:sz w:val="16"/>
                <w:szCs w:val="16"/>
                <w:lang w:eastAsia="es-CR"/>
              </w:rPr>
            </w:pPr>
          </w:p>
        </w:tc>
        <w:tc>
          <w:tcPr>
            <w:tcW w:w="515" w:type="pct"/>
            <w:vMerge/>
            <w:vAlign w:val="center"/>
            <w:hideMark/>
          </w:tcPr>
          <w:p w14:paraId="22FC960E" w14:textId="77777777" w:rsidR="005218C2" w:rsidRPr="002A7673" w:rsidRDefault="005218C2" w:rsidP="0048334E">
            <w:pPr>
              <w:spacing w:after="0" w:line="240" w:lineRule="auto"/>
              <w:rPr>
                <w:rFonts w:ascii="Times New Roman" w:eastAsia="Times New Roman" w:hAnsi="Times New Roman" w:cs="Times New Roman"/>
                <w:b/>
                <w:bCs/>
                <w:sz w:val="16"/>
                <w:szCs w:val="16"/>
                <w:lang w:eastAsia="es-CR"/>
              </w:rPr>
            </w:pPr>
          </w:p>
        </w:tc>
        <w:tc>
          <w:tcPr>
            <w:tcW w:w="515" w:type="pct"/>
            <w:vMerge/>
            <w:vAlign w:val="center"/>
            <w:hideMark/>
          </w:tcPr>
          <w:p w14:paraId="4F1557E6" w14:textId="77777777" w:rsidR="005218C2" w:rsidRPr="002A7673" w:rsidRDefault="005218C2" w:rsidP="0048334E">
            <w:pPr>
              <w:spacing w:after="0" w:line="240" w:lineRule="auto"/>
              <w:rPr>
                <w:rFonts w:ascii="Times New Roman" w:eastAsia="Times New Roman" w:hAnsi="Times New Roman" w:cs="Times New Roman"/>
                <w:b/>
                <w:bCs/>
                <w:sz w:val="16"/>
                <w:szCs w:val="16"/>
                <w:lang w:eastAsia="es-CR"/>
              </w:rPr>
            </w:pPr>
          </w:p>
        </w:tc>
        <w:tc>
          <w:tcPr>
            <w:tcW w:w="615" w:type="pct"/>
            <w:vMerge/>
            <w:vAlign w:val="center"/>
            <w:hideMark/>
          </w:tcPr>
          <w:p w14:paraId="00D9F0F8" w14:textId="77777777" w:rsidR="005218C2" w:rsidRPr="002A7673" w:rsidRDefault="005218C2" w:rsidP="0048334E">
            <w:pPr>
              <w:spacing w:after="0" w:line="240" w:lineRule="auto"/>
              <w:rPr>
                <w:rFonts w:ascii="Times New Roman" w:eastAsia="Times New Roman" w:hAnsi="Times New Roman" w:cs="Times New Roman"/>
                <w:b/>
                <w:bCs/>
                <w:sz w:val="16"/>
                <w:szCs w:val="16"/>
                <w:lang w:eastAsia="es-CR"/>
              </w:rPr>
            </w:pPr>
          </w:p>
        </w:tc>
        <w:tc>
          <w:tcPr>
            <w:tcW w:w="630" w:type="pct"/>
            <w:vMerge/>
            <w:vAlign w:val="center"/>
            <w:hideMark/>
          </w:tcPr>
          <w:p w14:paraId="43FE0879" w14:textId="77777777" w:rsidR="005218C2" w:rsidRPr="002A7673" w:rsidRDefault="005218C2" w:rsidP="0048334E">
            <w:pPr>
              <w:spacing w:after="0" w:line="240" w:lineRule="auto"/>
              <w:rPr>
                <w:rFonts w:ascii="Times New Roman" w:eastAsia="Times New Roman" w:hAnsi="Times New Roman" w:cs="Times New Roman"/>
                <w:b/>
                <w:bCs/>
                <w:sz w:val="16"/>
                <w:szCs w:val="16"/>
                <w:lang w:eastAsia="es-CR"/>
              </w:rPr>
            </w:pPr>
          </w:p>
        </w:tc>
        <w:tc>
          <w:tcPr>
            <w:tcW w:w="571" w:type="pct"/>
            <w:vMerge/>
            <w:vAlign w:val="center"/>
            <w:hideMark/>
          </w:tcPr>
          <w:p w14:paraId="0397F483" w14:textId="77777777" w:rsidR="005218C2" w:rsidRPr="002A7673" w:rsidRDefault="005218C2" w:rsidP="0048334E">
            <w:pPr>
              <w:spacing w:after="0" w:line="240" w:lineRule="auto"/>
              <w:rPr>
                <w:rFonts w:ascii="Times New Roman" w:eastAsia="Times New Roman" w:hAnsi="Times New Roman" w:cs="Times New Roman"/>
                <w:b/>
                <w:bCs/>
                <w:sz w:val="16"/>
                <w:szCs w:val="16"/>
                <w:lang w:eastAsia="es-CR"/>
              </w:rPr>
            </w:pPr>
          </w:p>
        </w:tc>
        <w:tc>
          <w:tcPr>
            <w:tcW w:w="633" w:type="pct"/>
            <w:vMerge/>
            <w:vAlign w:val="center"/>
            <w:hideMark/>
          </w:tcPr>
          <w:p w14:paraId="778BE967" w14:textId="77777777" w:rsidR="005218C2" w:rsidRPr="002A7673" w:rsidRDefault="005218C2" w:rsidP="0048334E">
            <w:pPr>
              <w:spacing w:after="0" w:line="240" w:lineRule="auto"/>
              <w:rPr>
                <w:rFonts w:ascii="Times New Roman" w:eastAsia="Times New Roman" w:hAnsi="Times New Roman" w:cs="Times New Roman"/>
                <w:b/>
                <w:bCs/>
                <w:sz w:val="16"/>
                <w:szCs w:val="16"/>
                <w:lang w:eastAsia="es-CR"/>
              </w:rPr>
            </w:pPr>
          </w:p>
        </w:tc>
        <w:tc>
          <w:tcPr>
            <w:tcW w:w="577" w:type="pct"/>
            <w:shd w:val="clear" w:color="000000" w:fill="D9D9D9"/>
            <w:noWrap/>
            <w:vAlign w:val="center"/>
            <w:hideMark/>
          </w:tcPr>
          <w:p w14:paraId="4D860DE0"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Monto</w:t>
            </w:r>
          </w:p>
        </w:tc>
        <w:tc>
          <w:tcPr>
            <w:tcW w:w="337" w:type="pct"/>
            <w:shd w:val="clear" w:color="000000" w:fill="D9D9D9"/>
            <w:vAlign w:val="center"/>
            <w:hideMark/>
          </w:tcPr>
          <w:p w14:paraId="2ACF3526" w14:textId="77777777" w:rsidR="005218C2" w:rsidRPr="002A7673" w:rsidRDefault="005218C2" w:rsidP="0048334E">
            <w:pPr>
              <w:spacing w:after="0" w:line="240" w:lineRule="auto"/>
              <w:jc w:val="center"/>
              <w:rPr>
                <w:rFonts w:ascii="Times New Roman" w:eastAsia="Times New Roman" w:hAnsi="Times New Roman" w:cs="Times New Roman"/>
                <w:b/>
                <w:bCs/>
                <w:sz w:val="16"/>
                <w:szCs w:val="16"/>
                <w:lang w:eastAsia="es-CR"/>
              </w:rPr>
            </w:pPr>
            <w:r w:rsidRPr="002A7673">
              <w:rPr>
                <w:rFonts w:ascii="Times New Roman" w:eastAsia="Times New Roman" w:hAnsi="Times New Roman" w:cs="Times New Roman"/>
                <w:b/>
                <w:bCs/>
                <w:sz w:val="16"/>
                <w:szCs w:val="16"/>
                <w:lang w:eastAsia="es-CR"/>
              </w:rPr>
              <w:t>Porcentual</w:t>
            </w:r>
          </w:p>
        </w:tc>
      </w:tr>
      <w:tr w:rsidR="005218C2" w:rsidRPr="002A7673" w14:paraId="258F084D" w14:textId="77777777" w:rsidTr="00F36B66">
        <w:trPr>
          <w:trHeight w:val="716"/>
          <w:jc w:val="center"/>
        </w:trPr>
        <w:tc>
          <w:tcPr>
            <w:tcW w:w="607" w:type="pct"/>
            <w:shd w:val="clear" w:color="auto" w:fill="auto"/>
            <w:vAlign w:val="center"/>
            <w:hideMark/>
          </w:tcPr>
          <w:p w14:paraId="52671259" w14:textId="77777777" w:rsidR="005218C2" w:rsidRPr="002A7673" w:rsidRDefault="005218C2" w:rsidP="0048334E">
            <w:pPr>
              <w:spacing w:after="0" w:line="240" w:lineRule="auto"/>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926 (Dirección y Administración)</w:t>
            </w:r>
          </w:p>
        </w:tc>
        <w:tc>
          <w:tcPr>
            <w:tcW w:w="515" w:type="pct"/>
            <w:shd w:val="clear" w:color="auto" w:fill="auto"/>
            <w:noWrap/>
            <w:vAlign w:val="center"/>
            <w:hideMark/>
          </w:tcPr>
          <w:p w14:paraId="5737B680"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1,54</w:t>
            </w:r>
          </w:p>
        </w:tc>
        <w:tc>
          <w:tcPr>
            <w:tcW w:w="515" w:type="pct"/>
            <w:shd w:val="clear" w:color="auto" w:fill="auto"/>
            <w:noWrap/>
            <w:vAlign w:val="center"/>
            <w:hideMark/>
          </w:tcPr>
          <w:p w14:paraId="0F6121FF"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18,48</w:t>
            </w:r>
          </w:p>
        </w:tc>
        <w:tc>
          <w:tcPr>
            <w:tcW w:w="615" w:type="pct"/>
            <w:shd w:val="clear" w:color="auto" w:fill="auto"/>
            <w:noWrap/>
            <w:vAlign w:val="center"/>
            <w:hideMark/>
          </w:tcPr>
          <w:p w14:paraId="1C61F0C8"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48 131 763,00</w:t>
            </w:r>
          </w:p>
        </w:tc>
        <w:tc>
          <w:tcPr>
            <w:tcW w:w="630" w:type="pct"/>
            <w:shd w:val="clear" w:color="auto" w:fill="auto"/>
            <w:noWrap/>
            <w:vAlign w:val="center"/>
            <w:hideMark/>
          </w:tcPr>
          <w:p w14:paraId="745EE485"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46 206 492,48</w:t>
            </w:r>
          </w:p>
        </w:tc>
        <w:tc>
          <w:tcPr>
            <w:tcW w:w="571" w:type="pct"/>
            <w:shd w:val="clear" w:color="auto" w:fill="auto"/>
            <w:noWrap/>
            <w:vAlign w:val="center"/>
            <w:hideMark/>
          </w:tcPr>
          <w:p w14:paraId="7771C789"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33" w:type="pct"/>
            <w:shd w:val="clear" w:color="auto" w:fill="auto"/>
            <w:noWrap/>
            <w:vAlign w:val="center"/>
            <w:hideMark/>
          </w:tcPr>
          <w:p w14:paraId="6300D179"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46 138 264,60</w:t>
            </w:r>
          </w:p>
        </w:tc>
        <w:tc>
          <w:tcPr>
            <w:tcW w:w="577" w:type="pct"/>
            <w:shd w:val="clear" w:color="auto" w:fill="auto"/>
            <w:noWrap/>
            <w:vAlign w:val="center"/>
            <w:hideMark/>
          </w:tcPr>
          <w:p w14:paraId="3170EECB"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1 993 498,40</w:t>
            </w:r>
          </w:p>
        </w:tc>
        <w:tc>
          <w:tcPr>
            <w:tcW w:w="337" w:type="pct"/>
            <w:shd w:val="clear" w:color="auto" w:fill="auto"/>
            <w:noWrap/>
            <w:vAlign w:val="center"/>
            <w:hideMark/>
          </w:tcPr>
          <w:p w14:paraId="5485A16F"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-4,14%</w:t>
            </w:r>
          </w:p>
        </w:tc>
      </w:tr>
      <w:tr w:rsidR="005218C2" w:rsidRPr="002A7673" w14:paraId="2B4E433A" w14:textId="77777777" w:rsidTr="00F36B66">
        <w:trPr>
          <w:trHeight w:val="557"/>
          <w:jc w:val="center"/>
        </w:trPr>
        <w:tc>
          <w:tcPr>
            <w:tcW w:w="607" w:type="pct"/>
            <w:shd w:val="clear" w:color="auto" w:fill="auto"/>
            <w:vAlign w:val="center"/>
            <w:hideMark/>
          </w:tcPr>
          <w:p w14:paraId="7B3E37CD" w14:textId="77777777" w:rsidR="005218C2" w:rsidRPr="002A7673" w:rsidRDefault="005218C2" w:rsidP="0048334E">
            <w:pPr>
              <w:spacing w:after="0" w:line="240" w:lineRule="auto"/>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927 (Judicatura)</w:t>
            </w:r>
          </w:p>
        </w:tc>
        <w:tc>
          <w:tcPr>
            <w:tcW w:w="515" w:type="pct"/>
            <w:shd w:val="clear" w:color="auto" w:fill="auto"/>
            <w:noWrap/>
            <w:vAlign w:val="center"/>
            <w:hideMark/>
          </w:tcPr>
          <w:p w14:paraId="1CEFBEC4"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7,97</w:t>
            </w:r>
          </w:p>
        </w:tc>
        <w:tc>
          <w:tcPr>
            <w:tcW w:w="515" w:type="pct"/>
            <w:shd w:val="clear" w:color="auto" w:fill="auto"/>
            <w:noWrap/>
            <w:vAlign w:val="center"/>
            <w:hideMark/>
          </w:tcPr>
          <w:p w14:paraId="34763275"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95,64</w:t>
            </w:r>
          </w:p>
        </w:tc>
        <w:tc>
          <w:tcPr>
            <w:tcW w:w="615" w:type="pct"/>
            <w:shd w:val="clear" w:color="auto" w:fill="auto"/>
            <w:noWrap/>
            <w:vAlign w:val="center"/>
            <w:hideMark/>
          </w:tcPr>
          <w:p w14:paraId="357A7065"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414 789 303,00</w:t>
            </w:r>
          </w:p>
        </w:tc>
        <w:tc>
          <w:tcPr>
            <w:tcW w:w="630" w:type="pct"/>
            <w:shd w:val="clear" w:color="auto" w:fill="auto"/>
            <w:noWrap/>
            <w:vAlign w:val="center"/>
            <w:hideMark/>
          </w:tcPr>
          <w:p w14:paraId="3536ADE1"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398 197 730,88</w:t>
            </w:r>
          </w:p>
        </w:tc>
        <w:tc>
          <w:tcPr>
            <w:tcW w:w="571" w:type="pct"/>
            <w:shd w:val="clear" w:color="auto" w:fill="auto"/>
            <w:noWrap/>
            <w:vAlign w:val="center"/>
            <w:hideMark/>
          </w:tcPr>
          <w:p w14:paraId="0DB96CC1"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75 830 295,60</w:t>
            </w:r>
          </w:p>
        </w:tc>
        <w:tc>
          <w:tcPr>
            <w:tcW w:w="633" w:type="pct"/>
            <w:shd w:val="clear" w:color="auto" w:fill="auto"/>
            <w:noWrap/>
            <w:vAlign w:val="center"/>
            <w:hideMark/>
          </w:tcPr>
          <w:p w14:paraId="1D8DDDB0"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322 329 309,83</w:t>
            </w:r>
          </w:p>
        </w:tc>
        <w:tc>
          <w:tcPr>
            <w:tcW w:w="577" w:type="pct"/>
            <w:shd w:val="clear" w:color="auto" w:fill="auto"/>
            <w:noWrap/>
            <w:vAlign w:val="center"/>
            <w:hideMark/>
          </w:tcPr>
          <w:p w14:paraId="667E7DE7"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16 629 697,57</w:t>
            </w:r>
          </w:p>
        </w:tc>
        <w:tc>
          <w:tcPr>
            <w:tcW w:w="337" w:type="pct"/>
            <w:shd w:val="clear" w:color="auto" w:fill="auto"/>
            <w:noWrap/>
            <w:vAlign w:val="center"/>
            <w:hideMark/>
          </w:tcPr>
          <w:p w14:paraId="1DB10660"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-4,01%</w:t>
            </w:r>
          </w:p>
        </w:tc>
      </w:tr>
      <w:tr w:rsidR="005218C2" w:rsidRPr="002A7673" w14:paraId="202BE482" w14:textId="77777777" w:rsidTr="00F36B66">
        <w:trPr>
          <w:trHeight w:val="565"/>
          <w:jc w:val="center"/>
        </w:trPr>
        <w:tc>
          <w:tcPr>
            <w:tcW w:w="607" w:type="pct"/>
            <w:shd w:val="clear" w:color="auto" w:fill="auto"/>
            <w:vAlign w:val="center"/>
            <w:hideMark/>
          </w:tcPr>
          <w:p w14:paraId="7475E44E" w14:textId="77777777" w:rsidR="005218C2" w:rsidRPr="002A7673" w:rsidRDefault="005218C2" w:rsidP="0048334E">
            <w:pPr>
              <w:spacing w:after="0" w:line="240" w:lineRule="auto"/>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928 (OIJ)</w:t>
            </w:r>
          </w:p>
        </w:tc>
        <w:tc>
          <w:tcPr>
            <w:tcW w:w="515" w:type="pct"/>
            <w:shd w:val="clear" w:color="auto" w:fill="auto"/>
            <w:noWrap/>
            <w:vAlign w:val="center"/>
            <w:hideMark/>
          </w:tcPr>
          <w:p w14:paraId="69C4752D"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515" w:type="pct"/>
            <w:shd w:val="clear" w:color="auto" w:fill="auto"/>
            <w:noWrap/>
            <w:vAlign w:val="center"/>
            <w:hideMark/>
          </w:tcPr>
          <w:p w14:paraId="30D02E78"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15" w:type="pct"/>
            <w:shd w:val="clear" w:color="auto" w:fill="auto"/>
            <w:noWrap/>
            <w:vAlign w:val="center"/>
            <w:hideMark/>
          </w:tcPr>
          <w:p w14:paraId="3D937362"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30" w:type="pct"/>
            <w:shd w:val="clear" w:color="auto" w:fill="auto"/>
            <w:noWrap/>
            <w:vAlign w:val="center"/>
            <w:hideMark/>
          </w:tcPr>
          <w:p w14:paraId="5CBE3C82"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571" w:type="pct"/>
            <w:shd w:val="clear" w:color="auto" w:fill="auto"/>
            <w:noWrap/>
            <w:vAlign w:val="center"/>
            <w:hideMark/>
          </w:tcPr>
          <w:p w14:paraId="09243321"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33" w:type="pct"/>
            <w:shd w:val="clear" w:color="auto" w:fill="auto"/>
            <w:noWrap/>
            <w:vAlign w:val="center"/>
            <w:hideMark/>
          </w:tcPr>
          <w:p w14:paraId="4CCA1BAE"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577" w:type="pct"/>
            <w:shd w:val="clear" w:color="auto" w:fill="auto"/>
            <w:noWrap/>
            <w:vAlign w:val="center"/>
            <w:hideMark/>
          </w:tcPr>
          <w:p w14:paraId="0094BFE0"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337" w:type="pct"/>
            <w:shd w:val="clear" w:color="auto" w:fill="auto"/>
            <w:noWrap/>
            <w:vAlign w:val="center"/>
            <w:hideMark/>
          </w:tcPr>
          <w:p w14:paraId="6591A9CC"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r>
      <w:tr w:rsidR="005218C2" w:rsidRPr="002A7673" w14:paraId="50F47AB7" w14:textId="77777777" w:rsidTr="00F36B66">
        <w:trPr>
          <w:trHeight w:val="709"/>
          <w:jc w:val="center"/>
        </w:trPr>
        <w:tc>
          <w:tcPr>
            <w:tcW w:w="607" w:type="pct"/>
            <w:shd w:val="clear" w:color="auto" w:fill="auto"/>
            <w:vAlign w:val="center"/>
            <w:hideMark/>
          </w:tcPr>
          <w:p w14:paraId="4EEA15A9" w14:textId="77777777" w:rsidR="005218C2" w:rsidRPr="002A7673" w:rsidRDefault="005218C2" w:rsidP="0048334E">
            <w:pPr>
              <w:spacing w:after="0" w:line="240" w:lineRule="auto"/>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lastRenderedPageBreak/>
              <w:t>929 (Ministerio Público)</w:t>
            </w:r>
          </w:p>
        </w:tc>
        <w:tc>
          <w:tcPr>
            <w:tcW w:w="515" w:type="pct"/>
            <w:shd w:val="clear" w:color="auto" w:fill="auto"/>
            <w:noWrap/>
            <w:vAlign w:val="center"/>
            <w:hideMark/>
          </w:tcPr>
          <w:p w14:paraId="054DC459"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2,40</w:t>
            </w:r>
          </w:p>
        </w:tc>
        <w:tc>
          <w:tcPr>
            <w:tcW w:w="515" w:type="pct"/>
            <w:shd w:val="clear" w:color="auto" w:fill="auto"/>
            <w:noWrap/>
            <w:vAlign w:val="center"/>
            <w:hideMark/>
          </w:tcPr>
          <w:p w14:paraId="1372368B"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28,80</w:t>
            </w:r>
          </w:p>
        </w:tc>
        <w:tc>
          <w:tcPr>
            <w:tcW w:w="615" w:type="pct"/>
            <w:shd w:val="clear" w:color="auto" w:fill="auto"/>
            <w:noWrap/>
            <w:vAlign w:val="center"/>
            <w:hideMark/>
          </w:tcPr>
          <w:p w14:paraId="1FA32C6B"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135 393 997,00</w:t>
            </w:r>
          </w:p>
        </w:tc>
        <w:tc>
          <w:tcPr>
            <w:tcW w:w="630" w:type="pct"/>
            <w:shd w:val="clear" w:color="auto" w:fill="auto"/>
            <w:noWrap/>
            <w:vAlign w:val="center"/>
            <w:hideMark/>
          </w:tcPr>
          <w:p w14:paraId="51EBC802"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129 978 237,12</w:t>
            </w:r>
          </w:p>
        </w:tc>
        <w:tc>
          <w:tcPr>
            <w:tcW w:w="571" w:type="pct"/>
            <w:shd w:val="clear" w:color="auto" w:fill="auto"/>
            <w:noWrap/>
            <w:vAlign w:val="center"/>
            <w:hideMark/>
          </w:tcPr>
          <w:p w14:paraId="5D64C4F9"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33" w:type="pct"/>
            <w:shd w:val="clear" w:color="auto" w:fill="auto"/>
            <w:noWrap/>
            <w:vAlign w:val="center"/>
            <w:hideMark/>
          </w:tcPr>
          <w:p w14:paraId="7DE572E6"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129 709 072,22</w:t>
            </w:r>
          </w:p>
        </w:tc>
        <w:tc>
          <w:tcPr>
            <w:tcW w:w="577" w:type="pct"/>
            <w:shd w:val="clear" w:color="auto" w:fill="auto"/>
            <w:noWrap/>
            <w:vAlign w:val="center"/>
            <w:hideMark/>
          </w:tcPr>
          <w:p w14:paraId="6675D7B7"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5 684 924,78</w:t>
            </w:r>
          </w:p>
        </w:tc>
        <w:tc>
          <w:tcPr>
            <w:tcW w:w="337" w:type="pct"/>
            <w:shd w:val="clear" w:color="auto" w:fill="auto"/>
            <w:noWrap/>
            <w:vAlign w:val="center"/>
            <w:hideMark/>
          </w:tcPr>
          <w:p w14:paraId="51E1728D"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-4,20%</w:t>
            </w:r>
          </w:p>
        </w:tc>
      </w:tr>
      <w:tr w:rsidR="005218C2" w:rsidRPr="002A7673" w14:paraId="3F46692D" w14:textId="77777777" w:rsidTr="00F36B66">
        <w:trPr>
          <w:trHeight w:val="704"/>
          <w:jc w:val="center"/>
        </w:trPr>
        <w:tc>
          <w:tcPr>
            <w:tcW w:w="607" w:type="pct"/>
            <w:shd w:val="clear" w:color="auto" w:fill="auto"/>
            <w:vAlign w:val="center"/>
            <w:hideMark/>
          </w:tcPr>
          <w:p w14:paraId="4E14A31C" w14:textId="77777777" w:rsidR="005218C2" w:rsidRPr="002A7673" w:rsidRDefault="005218C2" w:rsidP="0048334E">
            <w:pPr>
              <w:spacing w:after="0" w:line="240" w:lineRule="auto"/>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930 (Defensa Pública)</w:t>
            </w:r>
          </w:p>
        </w:tc>
        <w:tc>
          <w:tcPr>
            <w:tcW w:w="515" w:type="pct"/>
            <w:shd w:val="clear" w:color="auto" w:fill="auto"/>
            <w:noWrap/>
            <w:vAlign w:val="center"/>
            <w:hideMark/>
          </w:tcPr>
          <w:p w14:paraId="08C240D7"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2,19</w:t>
            </w:r>
          </w:p>
        </w:tc>
        <w:tc>
          <w:tcPr>
            <w:tcW w:w="515" w:type="pct"/>
            <w:shd w:val="clear" w:color="auto" w:fill="auto"/>
            <w:noWrap/>
            <w:vAlign w:val="center"/>
            <w:hideMark/>
          </w:tcPr>
          <w:p w14:paraId="1F3E3F84"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15" w:type="pct"/>
            <w:shd w:val="clear" w:color="auto" w:fill="auto"/>
            <w:noWrap/>
            <w:vAlign w:val="center"/>
            <w:hideMark/>
          </w:tcPr>
          <w:p w14:paraId="32176267"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82 183 755,00</w:t>
            </w:r>
          </w:p>
        </w:tc>
        <w:tc>
          <w:tcPr>
            <w:tcW w:w="630" w:type="pct"/>
            <w:shd w:val="clear" w:color="auto" w:fill="auto"/>
            <w:noWrap/>
            <w:vAlign w:val="center"/>
            <w:hideMark/>
          </w:tcPr>
          <w:p w14:paraId="4626CCC7"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78 896 404,80</w:t>
            </w:r>
          </w:p>
        </w:tc>
        <w:tc>
          <w:tcPr>
            <w:tcW w:w="571" w:type="pct"/>
            <w:shd w:val="clear" w:color="auto" w:fill="auto"/>
            <w:noWrap/>
            <w:vAlign w:val="center"/>
            <w:hideMark/>
          </w:tcPr>
          <w:p w14:paraId="598AD372"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33" w:type="pct"/>
            <w:shd w:val="clear" w:color="auto" w:fill="auto"/>
            <w:noWrap/>
            <w:vAlign w:val="center"/>
            <w:hideMark/>
          </w:tcPr>
          <w:p w14:paraId="3DDE9E7F"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78 744 667,99</w:t>
            </w:r>
          </w:p>
        </w:tc>
        <w:tc>
          <w:tcPr>
            <w:tcW w:w="577" w:type="pct"/>
            <w:shd w:val="clear" w:color="auto" w:fill="auto"/>
            <w:noWrap/>
            <w:vAlign w:val="center"/>
            <w:hideMark/>
          </w:tcPr>
          <w:p w14:paraId="20733F10"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3 439 087,01</w:t>
            </w:r>
          </w:p>
        </w:tc>
        <w:tc>
          <w:tcPr>
            <w:tcW w:w="337" w:type="pct"/>
            <w:shd w:val="clear" w:color="auto" w:fill="auto"/>
            <w:noWrap/>
            <w:vAlign w:val="center"/>
            <w:hideMark/>
          </w:tcPr>
          <w:p w14:paraId="004702E3"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-4,18%</w:t>
            </w:r>
          </w:p>
        </w:tc>
      </w:tr>
      <w:tr w:rsidR="005218C2" w:rsidRPr="002A7673" w14:paraId="77FC7525" w14:textId="77777777" w:rsidTr="00F36B66">
        <w:trPr>
          <w:trHeight w:val="503"/>
          <w:jc w:val="center"/>
        </w:trPr>
        <w:tc>
          <w:tcPr>
            <w:tcW w:w="607" w:type="pct"/>
            <w:shd w:val="clear" w:color="auto" w:fill="auto"/>
            <w:vAlign w:val="center"/>
            <w:hideMark/>
          </w:tcPr>
          <w:p w14:paraId="0B3DAB5C" w14:textId="77777777" w:rsidR="005218C2" w:rsidRPr="002A7673" w:rsidRDefault="005218C2" w:rsidP="0048334E">
            <w:pPr>
              <w:spacing w:after="0" w:line="240" w:lineRule="auto"/>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959 (OAPVD)</w:t>
            </w:r>
          </w:p>
        </w:tc>
        <w:tc>
          <w:tcPr>
            <w:tcW w:w="515" w:type="pct"/>
            <w:shd w:val="clear" w:color="auto" w:fill="auto"/>
            <w:noWrap/>
            <w:vAlign w:val="center"/>
            <w:hideMark/>
          </w:tcPr>
          <w:p w14:paraId="57E39946"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515" w:type="pct"/>
            <w:shd w:val="clear" w:color="auto" w:fill="auto"/>
            <w:noWrap/>
            <w:vAlign w:val="center"/>
            <w:hideMark/>
          </w:tcPr>
          <w:p w14:paraId="517BFCC1"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15" w:type="pct"/>
            <w:shd w:val="clear" w:color="auto" w:fill="auto"/>
            <w:noWrap/>
            <w:vAlign w:val="center"/>
            <w:hideMark/>
          </w:tcPr>
          <w:p w14:paraId="1C9C484A"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30" w:type="pct"/>
            <w:shd w:val="clear" w:color="auto" w:fill="auto"/>
            <w:noWrap/>
            <w:vAlign w:val="center"/>
            <w:hideMark/>
          </w:tcPr>
          <w:p w14:paraId="328DFFFF"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571" w:type="pct"/>
            <w:shd w:val="clear" w:color="auto" w:fill="auto"/>
            <w:noWrap/>
            <w:vAlign w:val="center"/>
            <w:hideMark/>
          </w:tcPr>
          <w:p w14:paraId="0CA2AD8F"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633" w:type="pct"/>
            <w:shd w:val="clear" w:color="auto" w:fill="auto"/>
            <w:noWrap/>
            <w:vAlign w:val="center"/>
            <w:hideMark/>
          </w:tcPr>
          <w:p w14:paraId="57E90B35"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0,00 </w:t>
            </w:r>
          </w:p>
        </w:tc>
        <w:tc>
          <w:tcPr>
            <w:tcW w:w="577" w:type="pct"/>
            <w:shd w:val="clear" w:color="auto" w:fill="auto"/>
            <w:noWrap/>
            <w:vAlign w:val="center"/>
            <w:hideMark/>
          </w:tcPr>
          <w:p w14:paraId="225FDC4D"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c>
          <w:tcPr>
            <w:tcW w:w="337" w:type="pct"/>
            <w:shd w:val="clear" w:color="auto" w:fill="auto"/>
            <w:noWrap/>
            <w:vAlign w:val="center"/>
            <w:hideMark/>
          </w:tcPr>
          <w:p w14:paraId="52934CF7"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0,00%</w:t>
            </w:r>
          </w:p>
        </w:tc>
      </w:tr>
      <w:tr w:rsidR="005218C2" w:rsidRPr="002A7673" w14:paraId="56CE2027" w14:textId="77777777" w:rsidTr="00F36B66">
        <w:trPr>
          <w:trHeight w:val="467"/>
          <w:jc w:val="center"/>
        </w:trPr>
        <w:tc>
          <w:tcPr>
            <w:tcW w:w="607" w:type="pct"/>
            <w:shd w:val="clear" w:color="000000" w:fill="FFFFFF"/>
            <w:vAlign w:val="center"/>
            <w:hideMark/>
          </w:tcPr>
          <w:p w14:paraId="2B270F58" w14:textId="77777777" w:rsidR="005218C2" w:rsidRPr="002A7673" w:rsidRDefault="005218C2" w:rsidP="0048334E">
            <w:pPr>
              <w:spacing w:after="0" w:line="240" w:lineRule="auto"/>
              <w:jc w:val="center"/>
              <w:rPr>
                <w:rFonts w:ascii="Times New Roman" w:eastAsia="Times New Roman" w:hAnsi="Times New Roman" w:cs="Times New Roman"/>
                <w:b/>
                <w:bCs/>
                <w:sz w:val="14"/>
                <w:szCs w:val="14"/>
                <w:lang w:eastAsia="es-CR"/>
              </w:rPr>
            </w:pPr>
            <w:r w:rsidRPr="002A7673">
              <w:rPr>
                <w:rFonts w:ascii="Times New Roman" w:eastAsia="Times New Roman" w:hAnsi="Times New Roman" w:cs="Times New Roman"/>
                <w:b/>
                <w:bCs/>
                <w:sz w:val="14"/>
                <w:szCs w:val="14"/>
                <w:lang w:eastAsia="es-CR"/>
              </w:rPr>
              <w:t>TOTALES</w:t>
            </w:r>
          </w:p>
        </w:tc>
        <w:tc>
          <w:tcPr>
            <w:tcW w:w="515" w:type="pct"/>
            <w:shd w:val="clear" w:color="auto" w:fill="auto"/>
            <w:noWrap/>
            <w:vAlign w:val="center"/>
            <w:hideMark/>
          </w:tcPr>
          <w:p w14:paraId="14846309"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14,10</w:t>
            </w:r>
          </w:p>
        </w:tc>
        <w:tc>
          <w:tcPr>
            <w:tcW w:w="515" w:type="pct"/>
            <w:shd w:val="clear" w:color="auto" w:fill="auto"/>
            <w:noWrap/>
            <w:vAlign w:val="center"/>
            <w:hideMark/>
          </w:tcPr>
          <w:p w14:paraId="35D80F5C" w14:textId="77777777" w:rsidR="005218C2" w:rsidRPr="002A7673" w:rsidRDefault="005218C2" w:rsidP="0048334E">
            <w:pPr>
              <w:spacing w:after="0" w:line="240" w:lineRule="auto"/>
              <w:jc w:val="center"/>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142,92</w:t>
            </w:r>
          </w:p>
        </w:tc>
        <w:tc>
          <w:tcPr>
            <w:tcW w:w="615" w:type="pct"/>
            <w:shd w:val="clear" w:color="auto" w:fill="auto"/>
            <w:noWrap/>
            <w:vAlign w:val="center"/>
            <w:hideMark/>
          </w:tcPr>
          <w:p w14:paraId="3CD21403"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680 498 818,00</w:t>
            </w:r>
          </w:p>
        </w:tc>
        <w:tc>
          <w:tcPr>
            <w:tcW w:w="630" w:type="pct"/>
            <w:shd w:val="clear" w:color="auto" w:fill="auto"/>
            <w:noWrap/>
            <w:vAlign w:val="center"/>
            <w:hideMark/>
          </w:tcPr>
          <w:p w14:paraId="62569DE4"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653 278 865,28</w:t>
            </w:r>
          </w:p>
        </w:tc>
        <w:tc>
          <w:tcPr>
            <w:tcW w:w="571" w:type="pct"/>
            <w:shd w:val="clear" w:color="auto" w:fill="CCFF99"/>
            <w:noWrap/>
            <w:vAlign w:val="center"/>
            <w:hideMark/>
          </w:tcPr>
          <w:p w14:paraId="2FF415C3"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75 830 295,60</w:t>
            </w:r>
          </w:p>
        </w:tc>
        <w:tc>
          <w:tcPr>
            <w:tcW w:w="633" w:type="pct"/>
            <w:shd w:val="clear" w:color="auto" w:fill="FF99CC"/>
            <w:noWrap/>
            <w:vAlign w:val="center"/>
            <w:hideMark/>
          </w:tcPr>
          <w:p w14:paraId="41F39CD3" w14:textId="77777777" w:rsidR="005218C2" w:rsidRPr="002A7673" w:rsidRDefault="005218C2" w:rsidP="0048334E">
            <w:pPr>
              <w:spacing w:after="0" w:line="240" w:lineRule="auto"/>
              <w:rPr>
                <w:rFonts w:ascii="Times New Roman" w:hAnsi="Times New Roman" w:cs="Times New Roman"/>
                <w:sz w:val="14"/>
                <w:szCs w:val="14"/>
              </w:rPr>
            </w:pPr>
            <w:r w:rsidRPr="002A7673">
              <w:rPr>
                <w:rFonts w:ascii="Times New Roman" w:eastAsia="Times New Roman" w:hAnsi="Times New Roman" w:cs="Times New Roman"/>
                <w:sz w:val="14"/>
                <w:szCs w:val="14"/>
                <w:lang w:eastAsia="es-CR"/>
              </w:rPr>
              <w:t>576 921 314,64 </w:t>
            </w:r>
          </w:p>
        </w:tc>
        <w:tc>
          <w:tcPr>
            <w:tcW w:w="577" w:type="pct"/>
            <w:shd w:val="clear" w:color="000000" w:fill="FFFFFF"/>
            <w:noWrap/>
            <w:vAlign w:val="center"/>
            <w:hideMark/>
          </w:tcPr>
          <w:p w14:paraId="39D43354"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27 747 207,76</w:t>
            </w:r>
          </w:p>
        </w:tc>
        <w:tc>
          <w:tcPr>
            <w:tcW w:w="337" w:type="pct"/>
            <w:shd w:val="clear" w:color="000000" w:fill="FFFFFF"/>
            <w:noWrap/>
            <w:vAlign w:val="center"/>
            <w:hideMark/>
          </w:tcPr>
          <w:p w14:paraId="1CC1EDD7" w14:textId="77777777" w:rsidR="005218C2" w:rsidRPr="002A7673" w:rsidRDefault="005218C2" w:rsidP="0048334E">
            <w:pPr>
              <w:spacing w:after="0" w:line="240" w:lineRule="auto"/>
              <w:jc w:val="right"/>
              <w:rPr>
                <w:rFonts w:ascii="Times New Roman" w:eastAsia="Times New Roman" w:hAnsi="Times New Roman" w:cs="Times New Roman"/>
                <w:sz w:val="14"/>
                <w:szCs w:val="14"/>
                <w:lang w:eastAsia="es-CR"/>
              </w:rPr>
            </w:pPr>
            <w:r w:rsidRPr="002A7673">
              <w:rPr>
                <w:rFonts w:ascii="Times New Roman" w:eastAsia="Times New Roman" w:hAnsi="Times New Roman" w:cs="Times New Roman"/>
                <w:sz w:val="14"/>
                <w:szCs w:val="14"/>
                <w:lang w:eastAsia="es-CR"/>
              </w:rPr>
              <w:t>-4,08%</w:t>
            </w:r>
          </w:p>
        </w:tc>
      </w:tr>
    </w:tbl>
    <w:p w14:paraId="3CB46A36" w14:textId="77777777" w:rsidR="005218C2" w:rsidRPr="002A7673" w:rsidRDefault="005218C2" w:rsidP="005218C2">
      <w:pPr>
        <w:spacing w:after="0" w:line="240" w:lineRule="auto"/>
        <w:ind w:firstLine="284"/>
        <w:jc w:val="both"/>
        <w:rPr>
          <w:rFonts w:ascii="Times New Roman" w:eastAsia="Times New Roman" w:hAnsi="Times New Roman" w:cs="Times New Roman"/>
          <w:sz w:val="20"/>
          <w:szCs w:val="20"/>
          <w:u w:color="000000"/>
          <w:shd w:val="clear" w:color="auto" w:fill="FFFFFF"/>
          <w:lang w:val="es-ES" w:eastAsia="es-ES"/>
        </w:rPr>
      </w:pPr>
    </w:p>
    <w:p w14:paraId="705B5EA0"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ES"/>
        </w:rPr>
      </w:pPr>
      <w:r w:rsidRPr="002A7673">
        <w:rPr>
          <w:rFonts w:ascii="Times New Roman" w:eastAsia="Times New Roman" w:hAnsi="Times New Roman" w:cs="Times New Roman"/>
          <w:sz w:val="26"/>
          <w:szCs w:val="26"/>
          <w:u w:color="000000"/>
          <w:shd w:val="clear" w:color="auto" w:fill="FFFFFF"/>
          <w:lang w:val="es-ES" w:eastAsia="es-ES"/>
        </w:rPr>
        <w:t xml:space="preserve"> </w:t>
      </w:r>
      <w:r w:rsidRPr="002A7673">
        <w:rPr>
          <w:rFonts w:ascii="Times New Roman" w:eastAsia="Times New Roman" w:hAnsi="Times New Roman" w:cs="Times New Roman"/>
          <w:i/>
          <w:iCs/>
          <w:sz w:val="26"/>
          <w:szCs w:val="26"/>
          <w:u w:color="000000"/>
          <w:shd w:val="clear" w:color="auto" w:fill="FFFFFF"/>
          <w:lang w:val="es-ES" w:eastAsia="es-ES"/>
        </w:rPr>
        <w:t>** Los cálculos correspondientes se detallan en el documento de Excel adjunto, específicamente en la hoja denominada “ESP. EN CONTENIDO”.</w:t>
      </w:r>
    </w:p>
    <w:p w14:paraId="7C4A0520"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ES"/>
        </w:rPr>
      </w:pPr>
    </w:p>
    <w:p w14:paraId="3EB39722"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CR"/>
        </w:rPr>
      </w:pPr>
      <w:r w:rsidRPr="002A7673">
        <w:rPr>
          <w:rFonts w:ascii="Times New Roman" w:eastAsia="Times New Roman" w:hAnsi="Times New Roman" w:cs="Times New Roman"/>
          <w:i/>
          <w:iCs/>
          <w:sz w:val="26"/>
          <w:szCs w:val="26"/>
          <w:u w:color="000000"/>
          <w:shd w:val="clear" w:color="auto" w:fill="FFFFFF"/>
          <w:lang w:val="es-ES" w:eastAsia="es-CR"/>
        </w:rPr>
        <w:t xml:space="preserve">El cálculo de los salarios para la estimación correspondiente a becas y especialistas en </w:t>
      </w:r>
      <w:proofErr w:type="gramStart"/>
      <w:r w:rsidRPr="002A7673">
        <w:rPr>
          <w:rFonts w:ascii="Times New Roman" w:eastAsia="Times New Roman" w:hAnsi="Times New Roman" w:cs="Times New Roman"/>
          <w:i/>
          <w:iCs/>
          <w:sz w:val="26"/>
          <w:szCs w:val="26"/>
          <w:u w:color="000000"/>
          <w:shd w:val="clear" w:color="auto" w:fill="FFFFFF"/>
          <w:lang w:val="es-ES" w:eastAsia="es-CR"/>
        </w:rPr>
        <w:t>contenido,</w:t>
      </w:r>
      <w:proofErr w:type="gramEnd"/>
      <w:r w:rsidRPr="002A7673">
        <w:rPr>
          <w:rFonts w:ascii="Times New Roman" w:eastAsia="Times New Roman" w:hAnsi="Times New Roman" w:cs="Times New Roman"/>
          <w:i/>
          <w:iCs/>
          <w:sz w:val="26"/>
          <w:szCs w:val="26"/>
          <w:u w:color="000000"/>
          <w:shd w:val="clear" w:color="auto" w:fill="FFFFFF"/>
          <w:lang w:val="es-ES" w:eastAsia="es-CR"/>
        </w:rPr>
        <w:t xml:space="preserve"> se fundamenta en la información proporcionada por la Unidad de Presupuesto y Estudios Especiales de la Dirección de Gestión Humana. </w:t>
      </w:r>
    </w:p>
    <w:p w14:paraId="0AB9CC98"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CR"/>
        </w:rPr>
      </w:pPr>
    </w:p>
    <w:p w14:paraId="14EAA383"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i/>
          <w:iCs/>
          <w:sz w:val="26"/>
          <w:szCs w:val="26"/>
          <w:u w:color="000000"/>
          <w:shd w:val="clear" w:color="auto" w:fill="FFFFFF"/>
          <w:lang w:val="es-ES" w:eastAsia="es-CR"/>
        </w:rPr>
      </w:pPr>
      <w:r w:rsidRPr="002A7673">
        <w:rPr>
          <w:rFonts w:ascii="Times New Roman" w:eastAsia="Times New Roman" w:hAnsi="Times New Roman" w:cs="Times New Roman"/>
          <w:i/>
          <w:iCs/>
          <w:sz w:val="26"/>
          <w:szCs w:val="26"/>
          <w:u w:color="000000"/>
          <w:shd w:val="clear" w:color="auto" w:fill="FFFFFF"/>
          <w:lang w:val="es-ES" w:eastAsia="es-CR"/>
        </w:rPr>
        <w:t xml:space="preserve">Como se muestra en el cuadro anterior, </w:t>
      </w:r>
      <w:r w:rsidRPr="002A7673">
        <w:rPr>
          <w:rFonts w:ascii="Times New Roman" w:eastAsia="Times New Roman" w:hAnsi="Times New Roman" w:cs="Times New Roman"/>
          <w:i/>
          <w:iCs/>
          <w:sz w:val="26"/>
          <w:szCs w:val="26"/>
          <w:u w:color="000000"/>
          <w:shd w:val="clear" w:color="auto" w:fill="FFFFFF"/>
          <w:lang w:val="es-ES" w:eastAsia="es-ES"/>
        </w:rPr>
        <w:t xml:space="preserve">el monto proyectado en la subpartida 00105 (permisos con goce de salario con sustitución) </w:t>
      </w:r>
      <w:r w:rsidRPr="002A7673">
        <w:rPr>
          <w:rFonts w:ascii="Times New Roman" w:eastAsia="Times New Roman" w:hAnsi="Times New Roman" w:cs="Times New Roman"/>
          <w:b/>
          <w:bCs/>
          <w:i/>
          <w:iCs/>
          <w:sz w:val="26"/>
          <w:szCs w:val="26"/>
          <w:u w:color="000000"/>
          <w:shd w:val="clear" w:color="auto" w:fill="FFFFFF"/>
          <w:lang w:val="es-ES" w:eastAsia="es-ES"/>
        </w:rPr>
        <w:t>para atender las becas y especialistas en contenido</w:t>
      </w:r>
      <w:r w:rsidRPr="002A7673">
        <w:rPr>
          <w:rFonts w:ascii="Times New Roman" w:eastAsia="Times New Roman" w:hAnsi="Times New Roman" w:cs="Times New Roman"/>
          <w:i/>
          <w:iCs/>
          <w:sz w:val="26"/>
          <w:szCs w:val="26"/>
          <w:u w:color="000000"/>
          <w:shd w:val="clear" w:color="auto" w:fill="FFFFFF"/>
          <w:lang w:val="es-ES" w:eastAsia="es-ES"/>
        </w:rPr>
        <w:t xml:space="preserve"> del año 2022, se ajusta al monto límite establecido por la Dirección de Planificación en oficio 90-TR-2021, ya que se muestra una reducción total del 4,08% en comparación con el presupuesto aprobado para el año 2021. </w:t>
      </w:r>
    </w:p>
    <w:p w14:paraId="088F863A" w14:textId="77777777" w:rsidR="005218C2" w:rsidRPr="002A7673" w:rsidRDefault="005218C2" w:rsidP="005218C2">
      <w:pPr>
        <w:spacing w:after="0" w:line="240" w:lineRule="auto"/>
        <w:ind w:left="851" w:right="851" w:firstLine="709"/>
        <w:jc w:val="both"/>
        <w:rPr>
          <w:rFonts w:ascii="Times New Roman" w:eastAsia="Times New Roman" w:hAnsi="Times New Roman" w:cs="Times New Roman"/>
          <w:sz w:val="26"/>
          <w:szCs w:val="26"/>
          <w:u w:color="000000"/>
          <w:shd w:val="clear" w:color="auto" w:fill="FFFFFF"/>
          <w:lang w:val="es-ES" w:eastAsia="es-ES"/>
        </w:rPr>
      </w:pPr>
    </w:p>
    <w:p w14:paraId="051D03F0" w14:textId="77777777" w:rsidR="005218C2" w:rsidRPr="002A7673" w:rsidRDefault="005218C2" w:rsidP="005218C2">
      <w:pPr>
        <w:spacing w:after="0" w:line="480" w:lineRule="auto"/>
        <w:ind w:left="720"/>
        <w:jc w:val="center"/>
        <w:rPr>
          <w:rFonts w:ascii="Times New Roman" w:eastAsia="Times New Roman" w:hAnsi="Times New Roman" w:cs="Times New Roman"/>
          <w:i/>
          <w:iCs/>
          <w:sz w:val="28"/>
          <w:szCs w:val="28"/>
          <w:u w:color="000000"/>
          <w:shd w:val="clear" w:color="auto" w:fill="FFFFFF"/>
          <w:lang w:val="es-ES" w:eastAsia="es-ES"/>
        </w:rPr>
      </w:pPr>
      <w:r w:rsidRPr="002A7673">
        <w:rPr>
          <w:rFonts w:ascii="Times New Roman" w:eastAsia="Times New Roman" w:hAnsi="Times New Roman" w:cs="Times New Roman"/>
          <w:i/>
          <w:iCs/>
          <w:sz w:val="28"/>
          <w:szCs w:val="28"/>
          <w:u w:color="000000"/>
          <w:shd w:val="clear" w:color="auto" w:fill="FFFFFF"/>
          <w:lang w:val="es-ES" w:eastAsia="es-ES"/>
        </w:rPr>
        <w:t>-0-</w:t>
      </w:r>
    </w:p>
    <w:p w14:paraId="452CCFC0" w14:textId="77777777" w:rsidR="005218C2" w:rsidRPr="002A7673" w:rsidRDefault="005218C2" w:rsidP="005218C2">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Los integrantes del Consejo Superior hacen un análisis de los distintos escenarios presentados y el presupuesto inicialmente solicitado por Programa, lo cual en resumen se propone de esta forma:</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45"/>
        <w:gridCol w:w="1953"/>
        <w:gridCol w:w="4395"/>
      </w:tblGrid>
      <w:tr w:rsidR="005218C2" w:rsidRPr="002A7673" w14:paraId="7427F9DB" w14:textId="77777777" w:rsidTr="00F36B66">
        <w:trPr>
          <w:trHeight w:val="300"/>
          <w:jc w:val="center"/>
        </w:trPr>
        <w:tc>
          <w:tcPr>
            <w:tcW w:w="3145" w:type="dxa"/>
            <w:shd w:val="clear" w:color="auto" w:fill="auto"/>
            <w:noWrap/>
            <w:vAlign w:val="bottom"/>
            <w:hideMark/>
          </w:tcPr>
          <w:p w14:paraId="632AD01D" w14:textId="77777777" w:rsidR="005218C2" w:rsidRPr="002A7673" w:rsidRDefault="005218C2" w:rsidP="0048334E">
            <w:pPr>
              <w:spacing w:after="0" w:line="240" w:lineRule="auto"/>
              <w:jc w:val="center"/>
              <w:rPr>
                <w:rFonts w:ascii="Times New Roman" w:eastAsia="Times New Roman" w:hAnsi="Times New Roman" w:cs="Times New Roman"/>
                <w:b/>
                <w:bCs/>
                <w:color w:val="000000"/>
                <w:sz w:val="28"/>
                <w:szCs w:val="28"/>
                <w:lang w:eastAsia="es-CR"/>
              </w:rPr>
            </w:pPr>
            <w:r w:rsidRPr="002A7673">
              <w:rPr>
                <w:rFonts w:ascii="Times New Roman" w:eastAsia="Times New Roman" w:hAnsi="Times New Roman" w:cs="Times New Roman"/>
                <w:b/>
                <w:bCs/>
                <w:color w:val="000000"/>
                <w:sz w:val="28"/>
                <w:szCs w:val="28"/>
                <w:lang w:eastAsia="es-CR"/>
              </w:rPr>
              <w:t>PROGRAMA</w:t>
            </w:r>
          </w:p>
        </w:tc>
        <w:tc>
          <w:tcPr>
            <w:tcW w:w="1953" w:type="dxa"/>
            <w:shd w:val="clear" w:color="auto" w:fill="auto"/>
            <w:noWrap/>
            <w:vAlign w:val="bottom"/>
            <w:hideMark/>
          </w:tcPr>
          <w:p w14:paraId="7C7EE0CB" w14:textId="77777777" w:rsidR="005218C2" w:rsidRPr="002A7673" w:rsidRDefault="005218C2" w:rsidP="0048334E">
            <w:pPr>
              <w:spacing w:after="0" w:line="240" w:lineRule="auto"/>
              <w:jc w:val="center"/>
              <w:rPr>
                <w:rFonts w:ascii="Times New Roman" w:eastAsia="Times New Roman" w:hAnsi="Times New Roman" w:cs="Times New Roman"/>
                <w:b/>
                <w:bCs/>
                <w:color w:val="000000"/>
                <w:sz w:val="28"/>
                <w:szCs w:val="28"/>
                <w:lang w:eastAsia="es-CR"/>
              </w:rPr>
            </w:pPr>
            <w:r w:rsidRPr="002A7673">
              <w:rPr>
                <w:rFonts w:ascii="Times New Roman" w:eastAsia="Times New Roman" w:hAnsi="Times New Roman" w:cs="Times New Roman"/>
                <w:b/>
                <w:bCs/>
                <w:color w:val="000000"/>
                <w:sz w:val="28"/>
                <w:szCs w:val="28"/>
                <w:lang w:eastAsia="es-CR"/>
              </w:rPr>
              <w:t>MONTO</w:t>
            </w:r>
          </w:p>
        </w:tc>
        <w:tc>
          <w:tcPr>
            <w:tcW w:w="4395" w:type="dxa"/>
            <w:shd w:val="clear" w:color="auto" w:fill="auto"/>
            <w:noWrap/>
            <w:vAlign w:val="bottom"/>
            <w:hideMark/>
          </w:tcPr>
          <w:p w14:paraId="2A82BA0B" w14:textId="77777777" w:rsidR="005218C2" w:rsidRPr="002A7673" w:rsidRDefault="005218C2" w:rsidP="0048334E">
            <w:pPr>
              <w:spacing w:after="0" w:line="240" w:lineRule="auto"/>
              <w:jc w:val="center"/>
              <w:rPr>
                <w:rFonts w:ascii="Times New Roman" w:eastAsia="Times New Roman" w:hAnsi="Times New Roman" w:cs="Times New Roman"/>
                <w:b/>
                <w:bCs/>
                <w:color w:val="000000"/>
                <w:sz w:val="28"/>
                <w:szCs w:val="28"/>
                <w:lang w:eastAsia="es-CR"/>
              </w:rPr>
            </w:pPr>
            <w:r w:rsidRPr="002A7673">
              <w:rPr>
                <w:rFonts w:ascii="Times New Roman" w:eastAsia="Times New Roman" w:hAnsi="Times New Roman" w:cs="Times New Roman"/>
                <w:b/>
                <w:bCs/>
                <w:color w:val="000000"/>
                <w:sz w:val="28"/>
                <w:szCs w:val="28"/>
                <w:lang w:eastAsia="es-CR"/>
              </w:rPr>
              <w:t>OBSERVACIONES</w:t>
            </w:r>
          </w:p>
        </w:tc>
      </w:tr>
      <w:tr w:rsidR="005218C2" w:rsidRPr="002A7673" w14:paraId="5D77961C" w14:textId="77777777" w:rsidTr="00F36B66">
        <w:trPr>
          <w:trHeight w:val="580"/>
          <w:jc w:val="center"/>
        </w:trPr>
        <w:tc>
          <w:tcPr>
            <w:tcW w:w="3145" w:type="dxa"/>
            <w:shd w:val="clear" w:color="auto" w:fill="auto"/>
            <w:noWrap/>
            <w:hideMark/>
          </w:tcPr>
          <w:p w14:paraId="3CA939CD"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P.926 Dirección y Administración</w:t>
            </w:r>
          </w:p>
        </w:tc>
        <w:tc>
          <w:tcPr>
            <w:tcW w:w="1953" w:type="dxa"/>
            <w:shd w:val="clear" w:color="auto" w:fill="auto"/>
            <w:noWrap/>
            <w:hideMark/>
          </w:tcPr>
          <w:p w14:paraId="431B2F09"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2 128 008,00 </w:t>
            </w:r>
          </w:p>
        </w:tc>
        <w:tc>
          <w:tcPr>
            <w:tcW w:w="4395" w:type="dxa"/>
            <w:shd w:val="clear" w:color="auto" w:fill="auto"/>
            <w:hideMark/>
          </w:tcPr>
          <w:p w14:paraId="04E843A4" w14:textId="77777777" w:rsidR="005218C2" w:rsidRPr="002A7673" w:rsidRDefault="005218C2" w:rsidP="0048334E">
            <w:pPr>
              <w:spacing w:after="0" w:line="240" w:lineRule="auto"/>
              <w:rPr>
                <w:rFonts w:ascii="Times New Roman" w:eastAsia="Times New Roman" w:hAnsi="Times New Roman" w:cs="Times New Roman"/>
                <w:color w:val="000000"/>
                <w:sz w:val="28"/>
                <w:szCs w:val="28"/>
                <w:lang w:eastAsia="es-CR"/>
              </w:rPr>
            </w:pPr>
            <w:r w:rsidRPr="002A7673">
              <w:rPr>
                <w:rFonts w:ascii="Times New Roman" w:eastAsia="Times New Roman" w:hAnsi="Times New Roman" w:cs="Times New Roman"/>
                <w:color w:val="000000"/>
                <w:sz w:val="28"/>
                <w:szCs w:val="28"/>
                <w:lang w:eastAsia="es-CR"/>
              </w:rPr>
              <w:t xml:space="preserve">Según lo propuesto en escenario 2 de la </w:t>
            </w:r>
            <w:r w:rsidRPr="002A7673">
              <w:rPr>
                <w:rFonts w:ascii="Times New Roman" w:hAnsi="Times New Roman" w:cs="Times New Roman"/>
                <w:i/>
                <w:iCs/>
                <w:sz w:val="28"/>
                <w:szCs w:val="28"/>
                <w:lang w:eastAsia="es-CR"/>
              </w:rPr>
              <w:t>Dirección de Gestión Humana</w:t>
            </w:r>
            <w:r w:rsidRPr="002A7673">
              <w:rPr>
                <w:rFonts w:ascii="Times New Roman" w:eastAsia="Times New Roman" w:hAnsi="Times New Roman" w:cs="Times New Roman"/>
                <w:color w:val="000000"/>
                <w:sz w:val="28"/>
                <w:szCs w:val="28"/>
                <w:lang w:eastAsia="es-CR"/>
              </w:rPr>
              <w:t>.</w:t>
            </w:r>
          </w:p>
        </w:tc>
      </w:tr>
      <w:tr w:rsidR="005218C2" w:rsidRPr="002A7673" w14:paraId="69BACD03" w14:textId="77777777" w:rsidTr="00F36B66">
        <w:trPr>
          <w:trHeight w:val="580"/>
          <w:jc w:val="center"/>
        </w:trPr>
        <w:tc>
          <w:tcPr>
            <w:tcW w:w="3145" w:type="dxa"/>
            <w:shd w:val="clear" w:color="auto" w:fill="auto"/>
            <w:noWrap/>
            <w:hideMark/>
          </w:tcPr>
          <w:p w14:paraId="4FC69E77"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P.927 Servicio Jurisdiccional</w:t>
            </w:r>
          </w:p>
        </w:tc>
        <w:tc>
          <w:tcPr>
            <w:tcW w:w="1953" w:type="dxa"/>
            <w:shd w:val="clear" w:color="auto" w:fill="auto"/>
            <w:noWrap/>
            <w:hideMark/>
          </w:tcPr>
          <w:p w14:paraId="11BA2375"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8 608 078,00 </w:t>
            </w:r>
          </w:p>
        </w:tc>
        <w:tc>
          <w:tcPr>
            <w:tcW w:w="4395" w:type="dxa"/>
            <w:shd w:val="clear" w:color="auto" w:fill="auto"/>
            <w:hideMark/>
          </w:tcPr>
          <w:p w14:paraId="2CEF0C62" w14:textId="77777777" w:rsidR="005218C2" w:rsidRPr="002A7673" w:rsidRDefault="005218C2" w:rsidP="0048334E">
            <w:pPr>
              <w:spacing w:after="0" w:line="240" w:lineRule="auto"/>
              <w:rPr>
                <w:rFonts w:ascii="Times New Roman" w:eastAsia="Times New Roman" w:hAnsi="Times New Roman" w:cs="Times New Roman"/>
                <w:color w:val="000000"/>
                <w:sz w:val="28"/>
                <w:szCs w:val="28"/>
                <w:lang w:eastAsia="es-CR"/>
              </w:rPr>
            </w:pPr>
            <w:r w:rsidRPr="002A7673">
              <w:rPr>
                <w:rFonts w:ascii="Times New Roman" w:eastAsia="Times New Roman" w:hAnsi="Times New Roman" w:cs="Times New Roman"/>
                <w:color w:val="000000"/>
                <w:sz w:val="28"/>
                <w:szCs w:val="28"/>
                <w:lang w:eastAsia="es-CR"/>
              </w:rPr>
              <w:t xml:space="preserve">Según lo propuesto en escenario 3 de la </w:t>
            </w:r>
            <w:r w:rsidRPr="002A7673">
              <w:rPr>
                <w:rFonts w:ascii="Times New Roman" w:hAnsi="Times New Roman" w:cs="Times New Roman"/>
                <w:i/>
                <w:iCs/>
                <w:sz w:val="28"/>
                <w:szCs w:val="28"/>
                <w:lang w:eastAsia="es-CR"/>
              </w:rPr>
              <w:t>Dirección de Gestión Humana</w:t>
            </w:r>
            <w:r w:rsidRPr="002A7673">
              <w:rPr>
                <w:rFonts w:ascii="Times New Roman" w:eastAsia="Times New Roman" w:hAnsi="Times New Roman" w:cs="Times New Roman"/>
                <w:color w:val="000000"/>
                <w:sz w:val="28"/>
                <w:szCs w:val="28"/>
                <w:lang w:eastAsia="es-CR"/>
              </w:rPr>
              <w:t>.</w:t>
            </w:r>
          </w:p>
        </w:tc>
      </w:tr>
      <w:tr w:rsidR="005218C2" w:rsidRPr="002A7673" w14:paraId="3207D4A9" w14:textId="77777777" w:rsidTr="00F36B66">
        <w:trPr>
          <w:trHeight w:val="508"/>
          <w:jc w:val="center"/>
        </w:trPr>
        <w:tc>
          <w:tcPr>
            <w:tcW w:w="3145" w:type="dxa"/>
            <w:shd w:val="clear" w:color="auto" w:fill="auto"/>
            <w:noWrap/>
            <w:hideMark/>
          </w:tcPr>
          <w:p w14:paraId="3E57DBE2"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lastRenderedPageBreak/>
              <w:t>P.928 O.I.J.</w:t>
            </w:r>
          </w:p>
        </w:tc>
        <w:tc>
          <w:tcPr>
            <w:tcW w:w="1953" w:type="dxa"/>
            <w:shd w:val="clear" w:color="auto" w:fill="auto"/>
            <w:noWrap/>
            <w:hideMark/>
          </w:tcPr>
          <w:p w14:paraId="4B9B473D"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3 001 344,00 </w:t>
            </w:r>
          </w:p>
        </w:tc>
        <w:tc>
          <w:tcPr>
            <w:tcW w:w="4395" w:type="dxa"/>
            <w:shd w:val="clear" w:color="auto" w:fill="auto"/>
            <w:hideMark/>
          </w:tcPr>
          <w:p w14:paraId="1F08DCB5" w14:textId="77777777" w:rsidR="005218C2" w:rsidRPr="002A7673" w:rsidRDefault="005218C2" w:rsidP="0048334E">
            <w:pPr>
              <w:spacing w:after="0" w:line="240" w:lineRule="auto"/>
              <w:rPr>
                <w:rFonts w:ascii="Times New Roman" w:eastAsia="Times New Roman" w:hAnsi="Times New Roman" w:cs="Times New Roman"/>
                <w:color w:val="000000"/>
                <w:sz w:val="28"/>
                <w:szCs w:val="28"/>
                <w:lang w:eastAsia="es-CR"/>
              </w:rPr>
            </w:pPr>
            <w:r w:rsidRPr="002A7673">
              <w:rPr>
                <w:rFonts w:ascii="Times New Roman" w:eastAsia="Times New Roman" w:hAnsi="Times New Roman" w:cs="Times New Roman"/>
                <w:color w:val="000000"/>
                <w:sz w:val="28"/>
                <w:szCs w:val="28"/>
                <w:lang w:eastAsia="es-CR"/>
              </w:rPr>
              <w:t>Se completa el monto solicitado inicialmente.</w:t>
            </w:r>
          </w:p>
        </w:tc>
      </w:tr>
      <w:tr w:rsidR="005218C2" w:rsidRPr="002A7673" w14:paraId="0B2BA646" w14:textId="77777777" w:rsidTr="00F36B66">
        <w:trPr>
          <w:trHeight w:val="580"/>
          <w:jc w:val="center"/>
        </w:trPr>
        <w:tc>
          <w:tcPr>
            <w:tcW w:w="3145" w:type="dxa"/>
            <w:shd w:val="clear" w:color="auto" w:fill="auto"/>
            <w:noWrap/>
            <w:hideMark/>
          </w:tcPr>
          <w:p w14:paraId="7176271E"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P. 930 Ministerio Público </w:t>
            </w:r>
          </w:p>
        </w:tc>
        <w:tc>
          <w:tcPr>
            <w:tcW w:w="1953" w:type="dxa"/>
            <w:shd w:val="clear" w:color="auto" w:fill="auto"/>
            <w:noWrap/>
            <w:hideMark/>
          </w:tcPr>
          <w:p w14:paraId="5CC78DED"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4 569 353,50 </w:t>
            </w:r>
          </w:p>
        </w:tc>
        <w:tc>
          <w:tcPr>
            <w:tcW w:w="4395" w:type="dxa"/>
            <w:shd w:val="clear" w:color="auto" w:fill="auto"/>
            <w:hideMark/>
          </w:tcPr>
          <w:p w14:paraId="6E9CA9D1" w14:textId="77777777" w:rsidR="005218C2" w:rsidRPr="002A7673" w:rsidRDefault="005218C2" w:rsidP="0048334E">
            <w:pPr>
              <w:spacing w:after="0" w:line="240" w:lineRule="auto"/>
              <w:rPr>
                <w:rFonts w:ascii="Times New Roman" w:eastAsia="Times New Roman" w:hAnsi="Times New Roman" w:cs="Times New Roman"/>
                <w:color w:val="000000"/>
                <w:sz w:val="28"/>
                <w:szCs w:val="28"/>
                <w:lang w:eastAsia="es-CR"/>
              </w:rPr>
            </w:pPr>
            <w:r w:rsidRPr="002A7673">
              <w:rPr>
                <w:rFonts w:ascii="Times New Roman" w:eastAsia="Times New Roman" w:hAnsi="Times New Roman" w:cs="Times New Roman"/>
                <w:color w:val="000000"/>
                <w:sz w:val="28"/>
                <w:szCs w:val="28"/>
                <w:lang w:eastAsia="es-CR"/>
              </w:rPr>
              <w:t>Se asigna este monto considerando los distintos escenarios.</w:t>
            </w:r>
          </w:p>
        </w:tc>
      </w:tr>
      <w:tr w:rsidR="005218C2" w:rsidRPr="002A7673" w14:paraId="158E6E06" w14:textId="77777777" w:rsidTr="00F36B66">
        <w:trPr>
          <w:trHeight w:val="590"/>
          <w:jc w:val="center"/>
        </w:trPr>
        <w:tc>
          <w:tcPr>
            <w:tcW w:w="3145" w:type="dxa"/>
            <w:shd w:val="clear" w:color="auto" w:fill="auto"/>
            <w:noWrap/>
            <w:hideMark/>
          </w:tcPr>
          <w:p w14:paraId="24967BE9"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P. 929 Defensa Pública</w:t>
            </w:r>
          </w:p>
        </w:tc>
        <w:tc>
          <w:tcPr>
            <w:tcW w:w="1953" w:type="dxa"/>
            <w:shd w:val="clear" w:color="auto" w:fill="auto"/>
            <w:noWrap/>
            <w:hideMark/>
          </w:tcPr>
          <w:p w14:paraId="3C1C6120"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4 569 353,50 </w:t>
            </w:r>
          </w:p>
        </w:tc>
        <w:tc>
          <w:tcPr>
            <w:tcW w:w="4395" w:type="dxa"/>
            <w:shd w:val="clear" w:color="auto" w:fill="auto"/>
            <w:hideMark/>
          </w:tcPr>
          <w:p w14:paraId="27C6ED68" w14:textId="77777777" w:rsidR="005218C2" w:rsidRPr="002A7673" w:rsidRDefault="005218C2" w:rsidP="0048334E">
            <w:pPr>
              <w:spacing w:after="0" w:line="240" w:lineRule="auto"/>
              <w:rPr>
                <w:rFonts w:ascii="Times New Roman" w:eastAsia="Times New Roman" w:hAnsi="Times New Roman" w:cs="Times New Roman"/>
                <w:color w:val="000000"/>
                <w:sz w:val="28"/>
                <w:szCs w:val="28"/>
                <w:lang w:eastAsia="es-CR"/>
              </w:rPr>
            </w:pPr>
            <w:r w:rsidRPr="002A7673">
              <w:rPr>
                <w:rFonts w:ascii="Times New Roman" w:eastAsia="Times New Roman" w:hAnsi="Times New Roman" w:cs="Times New Roman"/>
                <w:color w:val="000000"/>
                <w:sz w:val="28"/>
                <w:szCs w:val="28"/>
                <w:lang w:eastAsia="es-CR"/>
              </w:rPr>
              <w:t>Se asigna este monto considerando los distintos escenarios.</w:t>
            </w:r>
          </w:p>
        </w:tc>
      </w:tr>
      <w:tr w:rsidR="005218C2" w:rsidRPr="002A7673" w14:paraId="2CFF2984" w14:textId="77777777" w:rsidTr="00F36B66">
        <w:trPr>
          <w:trHeight w:val="300"/>
          <w:jc w:val="center"/>
        </w:trPr>
        <w:tc>
          <w:tcPr>
            <w:tcW w:w="3145" w:type="dxa"/>
            <w:shd w:val="clear" w:color="auto" w:fill="auto"/>
            <w:noWrap/>
          </w:tcPr>
          <w:p w14:paraId="141F9B59" w14:textId="77777777" w:rsidR="005218C2" w:rsidRPr="002A7673" w:rsidRDefault="005218C2" w:rsidP="0048334E">
            <w:pPr>
              <w:spacing w:after="0" w:line="240" w:lineRule="auto"/>
              <w:rPr>
                <w:rFonts w:ascii="Times New Roman" w:eastAsia="Times New Roman" w:hAnsi="Times New Roman" w:cs="Times New Roman"/>
                <w:b/>
                <w:bCs/>
                <w:color w:val="0D0D0D"/>
                <w:sz w:val="28"/>
                <w:szCs w:val="28"/>
                <w:lang w:eastAsia="es-CR"/>
              </w:rPr>
            </w:pPr>
            <w:r w:rsidRPr="002A7673">
              <w:rPr>
                <w:rFonts w:ascii="Times New Roman" w:eastAsia="Times New Roman" w:hAnsi="Times New Roman" w:cs="Times New Roman"/>
                <w:color w:val="0D0D0D"/>
                <w:sz w:val="28"/>
                <w:szCs w:val="28"/>
                <w:lang w:eastAsia="es-CR"/>
              </w:rPr>
              <w:t>P.950 Servicio de Atención y Protección</w:t>
            </w:r>
          </w:p>
        </w:tc>
        <w:tc>
          <w:tcPr>
            <w:tcW w:w="1953" w:type="dxa"/>
            <w:shd w:val="clear" w:color="auto" w:fill="auto"/>
            <w:noWrap/>
          </w:tcPr>
          <w:p w14:paraId="1B975D88" w14:textId="77777777" w:rsidR="005218C2" w:rsidRPr="002A7673" w:rsidRDefault="005218C2" w:rsidP="0048334E">
            <w:pPr>
              <w:spacing w:after="0" w:line="240" w:lineRule="auto"/>
              <w:jc w:val="right"/>
              <w:rPr>
                <w:rFonts w:ascii="Times New Roman" w:eastAsia="Times New Roman" w:hAnsi="Times New Roman" w:cs="Times New Roman"/>
                <w:b/>
                <w:bCs/>
                <w:color w:val="000000"/>
                <w:sz w:val="28"/>
                <w:szCs w:val="28"/>
                <w:lang w:eastAsia="es-CR"/>
              </w:rPr>
            </w:pPr>
            <w:r w:rsidRPr="002A7673">
              <w:rPr>
                <w:rFonts w:ascii="Times New Roman" w:eastAsia="Times New Roman" w:hAnsi="Times New Roman" w:cs="Times New Roman"/>
                <w:color w:val="0D0D0D"/>
                <w:sz w:val="28"/>
                <w:szCs w:val="28"/>
                <w:lang w:eastAsia="es-CR"/>
              </w:rPr>
              <w:t xml:space="preserve">       531 959,00 </w:t>
            </w:r>
          </w:p>
        </w:tc>
        <w:tc>
          <w:tcPr>
            <w:tcW w:w="4395" w:type="dxa"/>
            <w:shd w:val="clear" w:color="auto" w:fill="auto"/>
            <w:noWrap/>
          </w:tcPr>
          <w:p w14:paraId="18EBE6BA" w14:textId="77777777" w:rsidR="005218C2" w:rsidRPr="002A7673" w:rsidRDefault="005218C2" w:rsidP="0048334E">
            <w:pPr>
              <w:spacing w:after="0" w:line="240" w:lineRule="auto"/>
              <w:rPr>
                <w:rFonts w:ascii="Times New Roman" w:eastAsia="Times New Roman" w:hAnsi="Times New Roman" w:cs="Times New Roman"/>
                <w:color w:val="000000"/>
                <w:sz w:val="28"/>
                <w:szCs w:val="28"/>
                <w:lang w:eastAsia="es-CR"/>
              </w:rPr>
            </w:pPr>
            <w:r w:rsidRPr="002A7673">
              <w:rPr>
                <w:rFonts w:ascii="Times New Roman" w:eastAsia="Times New Roman" w:hAnsi="Times New Roman" w:cs="Times New Roman"/>
                <w:color w:val="000000"/>
                <w:sz w:val="28"/>
                <w:szCs w:val="28"/>
                <w:lang w:eastAsia="es-CR"/>
              </w:rPr>
              <w:t xml:space="preserve">Según lo propuesto en escenario 3 de la </w:t>
            </w:r>
            <w:r w:rsidRPr="002A7673">
              <w:rPr>
                <w:rFonts w:ascii="Times New Roman" w:hAnsi="Times New Roman" w:cs="Times New Roman"/>
                <w:i/>
                <w:iCs/>
                <w:sz w:val="28"/>
                <w:szCs w:val="28"/>
                <w:lang w:eastAsia="es-CR"/>
              </w:rPr>
              <w:t>Dirección de Gestión Humana</w:t>
            </w:r>
            <w:r w:rsidRPr="002A7673">
              <w:rPr>
                <w:rFonts w:ascii="Times New Roman" w:eastAsia="Times New Roman" w:hAnsi="Times New Roman" w:cs="Times New Roman"/>
                <w:color w:val="000000"/>
                <w:sz w:val="28"/>
                <w:szCs w:val="28"/>
                <w:lang w:eastAsia="es-CR"/>
              </w:rPr>
              <w:t>.</w:t>
            </w:r>
          </w:p>
        </w:tc>
      </w:tr>
      <w:tr w:rsidR="005218C2" w:rsidRPr="002A7673" w14:paraId="37692E31" w14:textId="77777777" w:rsidTr="00F36B66">
        <w:trPr>
          <w:trHeight w:val="300"/>
          <w:jc w:val="center"/>
        </w:trPr>
        <w:tc>
          <w:tcPr>
            <w:tcW w:w="3145" w:type="dxa"/>
            <w:shd w:val="clear" w:color="auto" w:fill="auto"/>
            <w:noWrap/>
            <w:hideMark/>
          </w:tcPr>
          <w:p w14:paraId="53E86C6B" w14:textId="77777777" w:rsidR="005218C2" w:rsidRPr="002A7673" w:rsidRDefault="005218C2" w:rsidP="0048334E">
            <w:pPr>
              <w:spacing w:after="0" w:line="240" w:lineRule="auto"/>
              <w:rPr>
                <w:rFonts w:ascii="Times New Roman" w:eastAsia="Times New Roman" w:hAnsi="Times New Roman" w:cs="Times New Roman"/>
                <w:b/>
                <w:bCs/>
                <w:color w:val="0D0D0D"/>
                <w:sz w:val="28"/>
                <w:szCs w:val="28"/>
                <w:lang w:eastAsia="es-CR"/>
              </w:rPr>
            </w:pPr>
            <w:r w:rsidRPr="002A7673">
              <w:rPr>
                <w:rFonts w:ascii="Times New Roman" w:eastAsia="Times New Roman" w:hAnsi="Times New Roman" w:cs="Times New Roman"/>
                <w:b/>
                <w:bCs/>
                <w:color w:val="0D0D0D"/>
                <w:sz w:val="28"/>
                <w:szCs w:val="28"/>
                <w:lang w:eastAsia="es-CR"/>
              </w:rPr>
              <w:t xml:space="preserve">Monto Total </w:t>
            </w:r>
          </w:p>
        </w:tc>
        <w:tc>
          <w:tcPr>
            <w:tcW w:w="1953" w:type="dxa"/>
            <w:shd w:val="clear" w:color="auto" w:fill="auto"/>
            <w:noWrap/>
            <w:vAlign w:val="bottom"/>
            <w:hideMark/>
          </w:tcPr>
          <w:p w14:paraId="169418F2" w14:textId="77777777" w:rsidR="005218C2" w:rsidRPr="002A7673" w:rsidRDefault="005218C2" w:rsidP="0048334E">
            <w:pPr>
              <w:spacing w:after="0" w:line="240" w:lineRule="auto"/>
              <w:jc w:val="right"/>
              <w:rPr>
                <w:rFonts w:ascii="Times New Roman" w:eastAsia="Times New Roman" w:hAnsi="Times New Roman" w:cs="Times New Roman"/>
                <w:b/>
                <w:bCs/>
                <w:color w:val="000000"/>
                <w:sz w:val="28"/>
                <w:szCs w:val="28"/>
                <w:lang w:eastAsia="es-CR"/>
              </w:rPr>
            </w:pPr>
            <w:r w:rsidRPr="002A7673">
              <w:rPr>
                <w:rFonts w:ascii="Times New Roman" w:eastAsia="Times New Roman" w:hAnsi="Times New Roman" w:cs="Times New Roman"/>
                <w:b/>
                <w:bCs/>
                <w:color w:val="000000"/>
                <w:sz w:val="28"/>
                <w:szCs w:val="28"/>
                <w:lang w:eastAsia="es-CR"/>
              </w:rPr>
              <w:t xml:space="preserve">  23 408 096,00 </w:t>
            </w:r>
          </w:p>
        </w:tc>
        <w:tc>
          <w:tcPr>
            <w:tcW w:w="4395" w:type="dxa"/>
            <w:shd w:val="clear" w:color="auto" w:fill="auto"/>
            <w:noWrap/>
            <w:vAlign w:val="bottom"/>
            <w:hideMark/>
          </w:tcPr>
          <w:p w14:paraId="4A8DA7BF" w14:textId="77777777" w:rsidR="005218C2" w:rsidRPr="002A7673" w:rsidRDefault="005218C2" w:rsidP="0048334E">
            <w:pPr>
              <w:spacing w:after="0" w:line="240" w:lineRule="auto"/>
              <w:rPr>
                <w:rFonts w:ascii="Times New Roman" w:eastAsia="Times New Roman" w:hAnsi="Times New Roman" w:cs="Times New Roman"/>
                <w:color w:val="000000"/>
                <w:sz w:val="28"/>
                <w:szCs w:val="28"/>
                <w:lang w:eastAsia="es-CR"/>
              </w:rPr>
            </w:pPr>
            <w:r w:rsidRPr="002A7673">
              <w:rPr>
                <w:rFonts w:ascii="Times New Roman" w:eastAsia="Times New Roman" w:hAnsi="Times New Roman" w:cs="Times New Roman"/>
                <w:color w:val="000000"/>
                <w:sz w:val="28"/>
                <w:szCs w:val="28"/>
                <w:lang w:eastAsia="es-CR"/>
              </w:rPr>
              <w:t> </w:t>
            </w:r>
          </w:p>
        </w:tc>
      </w:tr>
    </w:tbl>
    <w:p w14:paraId="591DE58A" w14:textId="77777777" w:rsidR="005218C2" w:rsidRPr="002A7673" w:rsidRDefault="005218C2" w:rsidP="005218C2">
      <w:pPr>
        <w:spacing w:after="0" w:line="480" w:lineRule="auto"/>
        <w:ind w:firstLine="709"/>
        <w:jc w:val="both"/>
        <w:rPr>
          <w:rFonts w:ascii="Times New Roman" w:eastAsia="Times New Roman" w:hAnsi="Times New Roman" w:cs="Times New Roman"/>
          <w:b/>
          <w:bCs/>
          <w:sz w:val="28"/>
          <w:szCs w:val="28"/>
          <w:u w:color="000000"/>
          <w:shd w:val="clear" w:color="auto" w:fill="FFFFFF"/>
          <w:lang w:val="es-ES" w:eastAsia="es-ES"/>
        </w:rPr>
      </w:pPr>
    </w:p>
    <w:p w14:paraId="6AFBD3DE" w14:textId="77777777" w:rsidR="005218C2" w:rsidRPr="002A7673" w:rsidRDefault="005218C2" w:rsidP="005218C2">
      <w:pPr>
        <w:spacing w:after="0" w:line="480" w:lineRule="auto"/>
        <w:ind w:firstLine="709"/>
        <w:jc w:val="both"/>
        <w:rPr>
          <w:rFonts w:ascii="Times New Roman" w:eastAsia="Times New Roman" w:hAnsi="Times New Roman" w:cs="Times New Roman"/>
          <w:b/>
          <w:bCs/>
          <w:color w:val="000000"/>
          <w:kern w:val="36"/>
          <w:sz w:val="28"/>
          <w:szCs w:val="28"/>
          <w:u w:val="single" w:color="000000"/>
          <w:shd w:val="clear" w:color="auto" w:fill="FFFFFF"/>
          <w:lang w:val="es-ES" w:eastAsia="es-ES"/>
        </w:rPr>
      </w:pPr>
      <w:r w:rsidRPr="002A7673">
        <w:rPr>
          <w:rFonts w:ascii="Times New Roman" w:eastAsia="Times New Roman" w:hAnsi="Times New Roman" w:cs="Times New Roman"/>
          <w:b/>
          <w:bCs/>
          <w:sz w:val="28"/>
          <w:szCs w:val="28"/>
          <w:u w:color="000000"/>
          <w:shd w:val="clear" w:color="auto" w:fill="FFFFFF"/>
          <w:lang w:val="es-ES" w:eastAsia="es-ES"/>
        </w:rPr>
        <w:t>Se acordó</w:t>
      </w:r>
      <w:r w:rsidRPr="002A7673">
        <w:rPr>
          <w:rFonts w:ascii="Times New Roman" w:eastAsia="Times New Roman" w:hAnsi="Times New Roman" w:cs="Times New Roman"/>
          <w:sz w:val="28"/>
          <w:szCs w:val="28"/>
          <w:u w:color="000000"/>
          <w:shd w:val="clear" w:color="auto" w:fill="FFFFFF"/>
          <w:lang w:val="es-ES" w:eastAsia="es-ES"/>
        </w:rPr>
        <w:t xml:space="preserve">: </w:t>
      </w:r>
      <w:r w:rsidRPr="002A7673">
        <w:rPr>
          <w:rFonts w:ascii="Times New Roman" w:eastAsia="Times New Roman" w:hAnsi="Times New Roman" w:cs="Times New Roman"/>
          <w:b/>
          <w:bCs/>
          <w:sz w:val="28"/>
          <w:szCs w:val="28"/>
          <w:u w:color="000000"/>
          <w:shd w:val="clear" w:color="auto" w:fill="FFFFFF"/>
          <w:lang w:val="es-ES" w:eastAsia="es-ES"/>
        </w:rPr>
        <w:t>1)</w:t>
      </w:r>
      <w:r w:rsidRPr="002A7673">
        <w:rPr>
          <w:rFonts w:ascii="Times New Roman" w:eastAsia="Times New Roman" w:hAnsi="Times New Roman" w:cs="Times New Roman"/>
          <w:sz w:val="28"/>
          <w:szCs w:val="28"/>
          <w:u w:color="000000"/>
          <w:shd w:val="clear" w:color="auto" w:fill="FFFFFF"/>
          <w:lang w:val="es-ES" w:eastAsia="es-ES"/>
        </w:rPr>
        <w:t xml:space="preserve"> Aprobar la siguiente distribución del monto total de ₡23.408.096,24 (veintitrés millones cuatrocientos ocho mil noventa y seis colones con veinticuatro céntimos), por concepto de Becas, según programa presupuestario para el 2022:</w:t>
      </w:r>
    </w:p>
    <w:tbl>
      <w:tblPr>
        <w:tblW w:w="6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26"/>
        <w:gridCol w:w="2232"/>
      </w:tblGrid>
      <w:tr w:rsidR="005218C2" w:rsidRPr="002A7673" w14:paraId="56DCB920" w14:textId="77777777" w:rsidTr="00F36B66">
        <w:trPr>
          <w:trHeight w:val="300"/>
          <w:jc w:val="center"/>
        </w:trPr>
        <w:tc>
          <w:tcPr>
            <w:tcW w:w="4426" w:type="dxa"/>
            <w:shd w:val="clear" w:color="auto" w:fill="auto"/>
            <w:noWrap/>
            <w:vAlign w:val="bottom"/>
            <w:hideMark/>
          </w:tcPr>
          <w:p w14:paraId="59FBEBB3" w14:textId="77777777" w:rsidR="005218C2" w:rsidRPr="002A7673" w:rsidRDefault="005218C2" w:rsidP="0048334E">
            <w:pPr>
              <w:spacing w:after="0" w:line="240" w:lineRule="auto"/>
              <w:jc w:val="center"/>
              <w:rPr>
                <w:rFonts w:ascii="Times New Roman" w:eastAsia="Times New Roman" w:hAnsi="Times New Roman" w:cs="Times New Roman"/>
                <w:b/>
                <w:bCs/>
                <w:color w:val="000000"/>
                <w:sz w:val="28"/>
                <w:szCs w:val="28"/>
                <w:lang w:eastAsia="es-CR"/>
              </w:rPr>
            </w:pPr>
            <w:r w:rsidRPr="002A7673">
              <w:rPr>
                <w:rFonts w:ascii="Times New Roman" w:eastAsia="Times New Roman" w:hAnsi="Times New Roman" w:cs="Times New Roman"/>
                <w:b/>
                <w:bCs/>
                <w:color w:val="000000"/>
                <w:sz w:val="28"/>
                <w:szCs w:val="28"/>
                <w:lang w:eastAsia="es-CR"/>
              </w:rPr>
              <w:t>PROGRAMA</w:t>
            </w:r>
          </w:p>
        </w:tc>
        <w:tc>
          <w:tcPr>
            <w:tcW w:w="2232" w:type="dxa"/>
            <w:shd w:val="clear" w:color="auto" w:fill="auto"/>
            <w:noWrap/>
            <w:vAlign w:val="bottom"/>
            <w:hideMark/>
          </w:tcPr>
          <w:p w14:paraId="308E1C34" w14:textId="77777777" w:rsidR="005218C2" w:rsidRPr="002A7673" w:rsidRDefault="005218C2" w:rsidP="0048334E">
            <w:pPr>
              <w:spacing w:after="0" w:line="240" w:lineRule="auto"/>
              <w:jc w:val="center"/>
              <w:rPr>
                <w:rFonts w:ascii="Times New Roman" w:eastAsia="Times New Roman" w:hAnsi="Times New Roman" w:cs="Times New Roman"/>
                <w:b/>
                <w:bCs/>
                <w:color w:val="000000"/>
                <w:sz w:val="28"/>
                <w:szCs w:val="28"/>
                <w:lang w:eastAsia="es-CR"/>
              </w:rPr>
            </w:pPr>
            <w:r w:rsidRPr="002A7673">
              <w:rPr>
                <w:rFonts w:ascii="Times New Roman" w:eastAsia="Times New Roman" w:hAnsi="Times New Roman" w:cs="Times New Roman"/>
                <w:b/>
                <w:bCs/>
                <w:color w:val="000000"/>
                <w:sz w:val="28"/>
                <w:szCs w:val="28"/>
                <w:lang w:eastAsia="es-CR"/>
              </w:rPr>
              <w:t>MONTO</w:t>
            </w:r>
          </w:p>
        </w:tc>
      </w:tr>
      <w:tr w:rsidR="005218C2" w:rsidRPr="002A7673" w14:paraId="4AC9B788" w14:textId="77777777" w:rsidTr="00F36B66">
        <w:trPr>
          <w:trHeight w:val="580"/>
          <w:jc w:val="center"/>
        </w:trPr>
        <w:tc>
          <w:tcPr>
            <w:tcW w:w="4426" w:type="dxa"/>
            <w:shd w:val="clear" w:color="auto" w:fill="auto"/>
            <w:noWrap/>
            <w:hideMark/>
          </w:tcPr>
          <w:p w14:paraId="6CB6F057"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P.926 Dirección y Administración</w:t>
            </w:r>
          </w:p>
        </w:tc>
        <w:tc>
          <w:tcPr>
            <w:tcW w:w="2232" w:type="dxa"/>
            <w:shd w:val="clear" w:color="auto" w:fill="auto"/>
            <w:noWrap/>
            <w:hideMark/>
          </w:tcPr>
          <w:p w14:paraId="412F3324"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2 128 008,00 </w:t>
            </w:r>
          </w:p>
        </w:tc>
      </w:tr>
      <w:tr w:rsidR="005218C2" w:rsidRPr="002A7673" w14:paraId="1A328A43" w14:textId="77777777" w:rsidTr="00F36B66">
        <w:trPr>
          <w:trHeight w:val="580"/>
          <w:jc w:val="center"/>
        </w:trPr>
        <w:tc>
          <w:tcPr>
            <w:tcW w:w="4426" w:type="dxa"/>
            <w:shd w:val="clear" w:color="auto" w:fill="auto"/>
            <w:noWrap/>
            <w:hideMark/>
          </w:tcPr>
          <w:p w14:paraId="3792B2E0"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P.927 Servicio Jurisdiccional</w:t>
            </w:r>
          </w:p>
        </w:tc>
        <w:tc>
          <w:tcPr>
            <w:tcW w:w="2232" w:type="dxa"/>
            <w:shd w:val="clear" w:color="auto" w:fill="auto"/>
            <w:noWrap/>
            <w:hideMark/>
          </w:tcPr>
          <w:p w14:paraId="11E50662"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8 608 078,00 </w:t>
            </w:r>
          </w:p>
        </w:tc>
      </w:tr>
      <w:tr w:rsidR="005218C2" w:rsidRPr="002A7673" w14:paraId="31DD2E8A" w14:textId="77777777" w:rsidTr="00F36B66">
        <w:trPr>
          <w:trHeight w:val="508"/>
          <w:jc w:val="center"/>
        </w:trPr>
        <w:tc>
          <w:tcPr>
            <w:tcW w:w="4426" w:type="dxa"/>
            <w:shd w:val="clear" w:color="auto" w:fill="auto"/>
            <w:noWrap/>
            <w:hideMark/>
          </w:tcPr>
          <w:p w14:paraId="1FEEE9B5"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P.928 O.I.J.</w:t>
            </w:r>
          </w:p>
        </w:tc>
        <w:tc>
          <w:tcPr>
            <w:tcW w:w="2232" w:type="dxa"/>
            <w:shd w:val="clear" w:color="auto" w:fill="auto"/>
            <w:noWrap/>
            <w:hideMark/>
          </w:tcPr>
          <w:p w14:paraId="2B889587"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3 001 344,00 </w:t>
            </w:r>
          </w:p>
        </w:tc>
      </w:tr>
      <w:tr w:rsidR="005218C2" w:rsidRPr="002A7673" w14:paraId="5FA72524" w14:textId="77777777" w:rsidTr="00F36B66">
        <w:trPr>
          <w:trHeight w:val="580"/>
          <w:jc w:val="center"/>
        </w:trPr>
        <w:tc>
          <w:tcPr>
            <w:tcW w:w="4426" w:type="dxa"/>
            <w:shd w:val="clear" w:color="auto" w:fill="auto"/>
            <w:noWrap/>
            <w:hideMark/>
          </w:tcPr>
          <w:p w14:paraId="0D4F3D73"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P. 930 Ministerio Público </w:t>
            </w:r>
          </w:p>
        </w:tc>
        <w:tc>
          <w:tcPr>
            <w:tcW w:w="2232" w:type="dxa"/>
            <w:shd w:val="clear" w:color="auto" w:fill="auto"/>
            <w:noWrap/>
            <w:hideMark/>
          </w:tcPr>
          <w:p w14:paraId="33F52C09"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4 569 353,50 </w:t>
            </w:r>
          </w:p>
        </w:tc>
      </w:tr>
      <w:tr w:rsidR="005218C2" w:rsidRPr="002A7673" w14:paraId="3EAD5C2E" w14:textId="77777777" w:rsidTr="00F36B66">
        <w:trPr>
          <w:trHeight w:val="590"/>
          <w:jc w:val="center"/>
        </w:trPr>
        <w:tc>
          <w:tcPr>
            <w:tcW w:w="4426" w:type="dxa"/>
            <w:shd w:val="clear" w:color="auto" w:fill="auto"/>
            <w:noWrap/>
            <w:hideMark/>
          </w:tcPr>
          <w:p w14:paraId="2A48C80C" w14:textId="77777777" w:rsidR="005218C2" w:rsidRPr="002A7673" w:rsidRDefault="005218C2" w:rsidP="0048334E">
            <w:pPr>
              <w:spacing w:after="0" w:line="240" w:lineRule="auto"/>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P. 929 Defensa Pública</w:t>
            </w:r>
          </w:p>
        </w:tc>
        <w:tc>
          <w:tcPr>
            <w:tcW w:w="2232" w:type="dxa"/>
            <w:shd w:val="clear" w:color="auto" w:fill="auto"/>
            <w:noWrap/>
            <w:hideMark/>
          </w:tcPr>
          <w:p w14:paraId="452F3266" w14:textId="77777777" w:rsidR="005218C2" w:rsidRPr="002A7673" w:rsidRDefault="005218C2" w:rsidP="0048334E">
            <w:pPr>
              <w:spacing w:after="0" w:line="240" w:lineRule="auto"/>
              <w:jc w:val="right"/>
              <w:rPr>
                <w:rFonts w:ascii="Times New Roman" w:eastAsia="Times New Roman" w:hAnsi="Times New Roman" w:cs="Times New Roman"/>
                <w:color w:val="0D0D0D"/>
                <w:sz w:val="28"/>
                <w:szCs w:val="28"/>
                <w:lang w:eastAsia="es-CR"/>
              </w:rPr>
            </w:pPr>
            <w:r w:rsidRPr="002A7673">
              <w:rPr>
                <w:rFonts w:ascii="Times New Roman" w:eastAsia="Times New Roman" w:hAnsi="Times New Roman" w:cs="Times New Roman"/>
                <w:color w:val="0D0D0D"/>
                <w:sz w:val="28"/>
                <w:szCs w:val="28"/>
                <w:lang w:eastAsia="es-CR"/>
              </w:rPr>
              <w:t xml:space="preserve">    4 569 353,50 </w:t>
            </w:r>
          </w:p>
        </w:tc>
      </w:tr>
      <w:tr w:rsidR="005218C2" w:rsidRPr="002A7673" w14:paraId="31318D70" w14:textId="77777777" w:rsidTr="00F36B66">
        <w:trPr>
          <w:trHeight w:val="300"/>
          <w:jc w:val="center"/>
        </w:trPr>
        <w:tc>
          <w:tcPr>
            <w:tcW w:w="4426" w:type="dxa"/>
            <w:shd w:val="clear" w:color="auto" w:fill="auto"/>
            <w:noWrap/>
          </w:tcPr>
          <w:p w14:paraId="1BB6247C" w14:textId="77777777" w:rsidR="005218C2" w:rsidRPr="002A7673" w:rsidRDefault="005218C2" w:rsidP="0048334E">
            <w:pPr>
              <w:spacing w:after="0" w:line="240" w:lineRule="auto"/>
              <w:rPr>
                <w:rFonts w:ascii="Times New Roman" w:eastAsia="Times New Roman" w:hAnsi="Times New Roman" w:cs="Times New Roman"/>
                <w:b/>
                <w:bCs/>
                <w:color w:val="0D0D0D"/>
                <w:sz w:val="28"/>
                <w:szCs w:val="28"/>
                <w:lang w:eastAsia="es-CR"/>
              </w:rPr>
            </w:pPr>
            <w:r w:rsidRPr="002A7673">
              <w:rPr>
                <w:rFonts w:ascii="Times New Roman" w:eastAsia="Times New Roman" w:hAnsi="Times New Roman" w:cs="Times New Roman"/>
                <w:color w:val="0D0D0D"/>
                <w:sz w:val="28"/>
                <w:szCs w:val="28"/>
                <w:lang w:eastAsia="es-CR"/>
              </w:rPr>
              <w:t>P.950 Servicio de Atención y Protección</w:t>
            </w:r>
          </w:p>
        </w:tc>
        <w:tc>
          <w:tcPr>
            <w:tcW w:w="2232" w:type="dxa"/>
            <w:shd w:val="clear" w:color="auto" w:fill="auto"/>
            <w:noWrap/>
          </w:tcPr>
          <w:p w14:paraId="35A25F5F" w14:textId="77777777" w:rsidR="005218C2" w:rsidRPr="002A7673" w:rsidRDefault="005218C2" w:rsidP="0048334E">
            <w:pPr>
              <w:spacing w:after="0" w:line="240" w:lineRule="auto"/>
              <w:jc w:val="right"/>
              <w:rPr>
                <w:rFonts w:ascii="Times New Roman" w:eastAsia="Times New Roman" w:hAnsi="Times New Roman" w:cs="Times New Roman"/>
                <w:b/>
                <w:bCs/>
                <w:color w:val="000000"/>
                <w:sz w:val="28"/>
                <w:szCs w:val="28"/>
                <w:lang w:eastAsia="es-CR"/>
              </w:rPr>
            </w:pPr>
            <w:r w:rsidRPr="002A7673">
              <w:rPr>
                <w:rFonts w:ascii="Times New Roman" w:eastAsia="Times New Roman" w:hAnsi="Times New Roman" w:cs="Times New Roman"/>
                <w:color w:val="0D0D0D"/>
                <w:sz w:val="28"/>
                <w:szCs w:val="28"/>
                <w:lang w:eastAsia="es-CR"/>
              </w:rPr>
              <w:t xml:space="preserve">       531 959,00 </w:t>
            </w:r>
          </w:p>
        </w:tc>
      </w:tr>
      <w:tr w:rsidR="005218C2" w:rsidRPr="002A7673" w14:paraId="1CBBBA1F" w14:textId="77777777" w:rsidTr="00F36B66">
        <w:trPr>
          <w:trHeight w:val="300"/>
          <w:jc w:val="center"/>
        </w:trPr>
        <w:tc>
          <w:tcPr>
            <w:tcW w:w="4426" w:type="dxa"/>
            <w:shd w:val="clear" w:color="auto" w:fill="auto"/>
            <w:noWrap/>
            <w:hideMark/>
          </w:tcPr>
          <w:p w14:paraId="550BD7EE" w14:textId="77777777" w:rsidR="005218C2" w:rsidRPr="002A7673" w:rsidRDefault="005218C2" w:rsidP="0048334E">
            <w:pPr>
              <w:spacing w:after="0" w:line="240" w:lineRule="auto"/>
              <w:rPr>
                <w:rFonts w:ascii="Times New Roman" w:eastAsia="Times New Roman" w:hAnsi="Times New Roman" w:cs="Times New Roman"/>
                <w:b/>
                <w:bCs/>
                <w:color w:val="0D0D0D"/>
                <w:sz w:val="28"/>
                <w:szCs w:val="28"/>
                <w:lang w:eastAsia="es-CR"/>
              </w:rPr>
            </w:pPr>
            <w:r w:rsidRPr="002A7673">
              <w:rPr>
                <w:rFonts w:ascii="Times New Roman" w:eastAsia="Times New Roman" w:hAnsi="Times New Roman" w:cs="Times New Roman"/>
                <w:b/>
                <w:bCs/>
                <w:color w:val="0D0D0D"/>
                <w:sz w:val="28"/>
                <w:szCs w:val="28"/>
                <w:lang w:eastAsia="es-CR"/>
              </w:rPr>
              <w:t xml:space="preserve">Monto Total </w:t>
            </w:r>
          </w:p>
        </w:tc>
        <w:tc>
          <w:tcPr>
            <w:tcW w:w="2232" w:type="dxa"/>
            <w:shd w:val="clear" w:color="auto" w:fill="auto"/>
            <w:noWrap/>
            <w:vAlign w:val="bottom"/>
            <w:hideMark/>
          </w:tcPr>
          <w:p w14:paraId="4267A1EC" w14:textId="77777777" w:rsidR="005218C2" w:rsidRPr="002A7673" w:rsidRDefault="005218C2" w:rsidP="0048334E">
            <w:pPr>
              <w:spacing w:after="0" w:line="240" w:lineRule="auto"/>
              <w:jc w:val="right"/>
              <w:rPr>
                <w:rFonts w:ascii="Times New Roman" w:eastAsia="Times New Roman" w:hAnsi="Times New Roman" w:cs="Times New Roman"/>
                <w:b/>
                <w:bCs/>
                <w:color w:val="000000"/>
                <w:sz w:val="28"/>
                <w:szCs w:val="28"/>
                <w:lang w:eastAsia="es-CR"/>
              </w:rPr>
            </w:pPr>
            <w:r w:rsidRPr="002A7673">
              <w:rPr>
                <w:rFonts w:ascii="Times New Roman" w:eastAsia="Times New Roman" w:hAnsi="Times New Roman" w:cs="Times New Roman"/>
                <w:b/>
                <w:bCs/>
                <w:color w:val="000000"/>
                <w:sz w:val="28"/>
                <w:szCs w:val="28"/>
                <w:lang w:eastAsia="es-CR"/>
              </w:rPr>
              <w:t xml:space="preserve">  23 408 096,00 </w:t>
            </w:r>
          </w:p>
        </w:tc>
      </w:tr>
    </w:tbl>
    <w:p w14:paraId="68DFF380" w14:textId="77777777" w:rsidR="005218C2" w:rsidRPr="002A7673" w:rsidRDefault="005218C2" w:rsidP="005218C2">
      <w:pPr>
        <w:spacing w:after="0" w:line="240" w:lineRule="auto"/>
        <w:rPr>
          <w:rFonts w:ascii="Times New Roman" w:hAnsi="Times New Roman" w:cs="Times New Roman"/>
        </w:rPr>
      </w:pPr>
    </w:p>
    <w:p w14:paraId="728D7733" w14:textId="77777777" w:rsidR="005218C2" w:rsidRPr="002A7673" w:rsidRDefault="005218C2" w:rsidP="005218C2">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bCs/>
          <w:sz w:val="28"/>
          <w:szCs w:val="28"/>
        </w:rPr>
        <w:t>2)</w:t>
      </w:r>
      <w:r w:rsidRPr="002A7673">
        <w:rPr>
          <w:rFonts w:ascii="Times New Roman" w:hAnsi="Times New Roman" w:cs="Times New Roman"/>
          <w:sz w:val="28"/>
          <w:szCs w:val="28"/>
        </w:rPr>
        <w:t xml:space="preserve"> En relación con la estimación del costo de los especialistas en contenido para el año 2022 por un total de ₡576 921 314,64 (quinientos setenta y seis millones </w:t>
      </w:r>
      <w:r w:rsidRPr="002A7673">
        <w:rPr>
          <w:rFonts w:ascii="Times New Roman" w:hAnsi="Times New Roman" w:cs="Times New Roman"/>
          <w:sz w:val="28"/>
          <w:szCs w:val="28"/>
        </w:rPr>
        <w:lastRenderedPageBreak/>
        <w:t xml:space="preserve">novecientos veintiún mil trescientos catorce colones con sesenta y cuatro céntimos), se toma nota de la estimación realizada por la Dirección de Gestión Humana, monto que se deberá incorporar como parte del presupuesto de remuneraciones para el 2022. </w:t>
      </w:r>
      <w:r w:rsidRPr="002A7673">
        <w:rPr>
          <w:rFonts w:ascii="Times New Roman" w:hAnsi="Times New Roman" w:cs="Times New Roman"/>
          <w:b/>
          <w:bCs/>
          <w:sz w:val="28"/>
          <w:szCs w:val="28"/>
        </w:rPr>
        <w:t>Se declara acuerdo firme.</w:t>
      </w:r>
    </w:p>
    <w:p w14:paraId="3822C97A" w14:textId="77777777" w:rsidR="005218C2" w:rsidRPr="002A7673" w:rsidRDefault="005218C2" w:rsidP="005218C2">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IX</w:t>
      </w:r>
    </w:p>
    <w:p w14:paraId="681B00EC" w14:textId="77777777" w:rsidR="005218C2" w:rsidRPr="002A7673" w:rsidRDefault="005218C2" w:rsidP="005218C2">
      <w:pPr>
        <w:autoSpaceDE w:val="0"/>
        <w:autoSpaceDN w:val="0"/>
        <w:adjustRightInd w:val="0"/>
        <w:spacing w:after="0" w:line="480" w:lineRule="auto"/>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4399-2021</w:t>
      </w:r>
    </w:p>
    <w:p w14:paraId="6EFF4462"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hAnsi="Times New Roman" w:cs="Times New Roman"/>
          <w:sz w:val="28"/>
          <w:szCs w:val="28"/>
        </w:rPr>
        <w:t>En reunión de trabajo del pasado 16 de abril 2021</w:t>
      </w:r>
      <w:r w:rsidRPr="002A7673">
        <w:rPr>
          <w:rFonts w:ascii="Times New Roman" w:eastAsia="Times New Roman" w:hAnsi="Times New Roman" w:cs="Times New Roman"/>
          <w:sz w:val="28"/>
          <w:szCs w:val="28"/>
          <w:lang w:eastAsia="es-ES"/>
        </w:rPr>
        <w:t>, la</w:t>
      </w:r>
      <w:r w:rsidRPr="002A7673">
        <w:rPr>
          <w:rFonts w:ascii="Times New Roman" w:eastAsia="Times New Roman" w:hAnsi="Times New Roman" w:cs="Times New Roman"/>
          <w:sz w:val="28"/>
          <w:szCs w:val="28"/>
          <w:lang w:val="es-ES" w:eastAsia="es-ES"/>
        </w:rPr>
        <w:t xml:space="preserve"> licenciada Nacira Valverde Bermúdez, Directora de la Dirección de Planificación, señaló que el 14 de abril el Ministerio de Hacienda, mediante la circular DGPN-CIR-0014-2021</w:t>
      </w:r>
      <w:r w:rsidRPr="002A7673">
        <w:rPr>
          <w:rFonts w:ascii="Times New Roman" w:eastAsia="Times New Roman" w:hAnsi="Times New Roman" w:cs="Times New Roman"/>
          <w:i/>
          <w:iCs/>
          <w:sz w:val="28"/>
          <w:szCs w:val="28"/>
          <w:lang w:val="es-ES" w:eastAsia="es-ES"/>
        </w:rPr>
        <w:t>“Comunicación de tipo de cambio y contribuciones sociales para el proceso de formulación 2022”</w:t>
      </w:r>
      <w:r w:rsidRPr="002A7673">
        <w:rPr>
          <w:rFonts w:ascii="Times New Roman" w:eastAsia="Times New Roman" w:hAnsi="Times New Roman" w:cs="Times New Roman"/>
          <w:sz w:val="28"/>
          <w:szCs w:val="28"/>
          <w:lang w:val="es-ES" w:eastAsia="es-ES"/>
        </w:rPr>
        <w:t xml:space="preserve">, comunica varios temas como complemento a los </w:t>
      </w:r>
      <w:r w:rsidRPr="002A7673">
        <w:rPr>
          <w:rFonts w:ascii="Times New Roman" w:eastAsia="Times New Roman" w:hAnsi="Times New Roman" w:cs="Times New Roman"/>
          <w:i/>
          <w:iCs/>
          <w:sz w:val="28"/>
          <w:szCs w:val="28"/>
          <w:lang w:val="es-ES" w:eastAsia="es-ES"/>
        </w:rPr>
        <w:t>“Lineamientos Técnicos sobre el Presupuesto de la República”</w:t>
      </w:r>
      <w:r w:rsidRPr="002A7673">
        <w:rPr>
          <w:rFonts w:ascii="Times New Roman" w:eastAsia="Times New Roman" w:hAnsi="Times New Roman" w:cs="Times New Roman"/>
          <w:sz w:val="28"/>
          <w:szCs w:val="28"/>
          <w:lang w:val="es-ES" w:eastAsia="es-ES"/>
        </w:rPr>
        <w:t>, los cuales se detallan a continuación.</w:t>
      </w:r>
    </w:p>
    <w:p w14:paraId="51EF5DF5" w14:textId="77777777" w:rsidR="005218C2" w:rsidRPr="002A7673" w:rsidRDefault="005218C2" w:rsidP="00FF3FAC">
      <w:pPr>
        <w:numPr>
          <w:ilvl w:val="0"/>
          <w:numId w:val="54"/>
        </w:numPr>
        <w:shd w:val="clear" w:color="auto" w:fill="FFFFFD"/>
        <w:autoSpaceDN w:val="0"/>
        <w:spacing w:after="0" w:line="480" w:lineRule="auto"/>
        <w:ind w:left="0" w:firstLine="709"/>
        <w:contextualSpacing/>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 xml:space="preserve">Tipo de Cambio </w:t>
      </w:r>
    </w:p>
    <w:p w14:paraId="66F471AB"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Se establece que el tipo de cambio del dólar para el presupuesto del 2022 es ¢633,51.  Textualmente detallan lo siguiente: </w:t>
      </w:r>
    </w:p>
    <w:p w14:paraId="4AB99C04" w14:textId="77777777" w:rsidR="005218C2" w:rsidRPr="002A7673" w:rsidRDefault="005218C2" w:rsidP="005218C2">
      <w:pPr>
        <w:autoSpaceDE w:val="0"/>
        <w:autoSpaceDN w:val="0"/>
        <w:adjustRightInd w:val="0"/>
        <w:spacing w:after="0" w:line="240" w:lineRule="auto"/>
        <w:rPr>
          <w:rFonts w:ascii="Times New Roman" w:hAnsi="Times New Roman" w:cs="Times New Roman"/>
          <w:color w:val="000000"/>
          <w:sz w:val="24"/>
          <w:szCs w:val="24"/>
        </w:rPr>
      </w:pPr>
    </w:p>
    <w:p w14:paraId="4DA318B3" w14:textId="77777777" w:rsidR="005218C2" w:rsidRPr="002A7673" w:rsidRDefault="005218C2" w:rsidP="005218C2">
      <w:pPr>
        <w:shd w:val="clear" w:color="auto" w:fill="FFFFFD"/>
        <w:autoSpaceDN w:val="0"/>
        <w:spacing w:after="0" w:line="240" w:lineRule="auto"/>
        <w:ind w:left="851" w:right="851" w:firstLine="709"/>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 xml:space="preserve">“Es importante considerar que la actual política cambiaria se rige por un esquema de tipo de cambio de flotación administrada, mediante el cual el tipo de cambio es determinado por el mercado a través de la oferta y demanda de divisas; sin embargo, a pesar de que el Banco Central de Costa Rica (BCCR) puede intervenir para evitar fluctuaciones respecto a lo que se espera sobre el comportamiento de esta variable en el mediano y largo plazo, </w:t>
      </w:r>
      <w:r w:rsidRPr="002A7673">
        <w:rPr>
          <w:rFonts w:ascii="Times New Roman" w:eastAsia="Times New Roman" w:hAnsi="Times New Roman" w:cs="Times New Roman"/>
          <w:i/>
          <w:iCs/>
          <w:sz w:val="26"/>
          <w:szCs w:val="26"/>
          <w:lang w:val="es-ES" w:eastAsia="es-ES"/>
        </w:rPr>
        <w:lastRenderedPageBreak/>
        <w:t>se pueden presentar desvíos respecto al dato que se utilizará para la formulación de los presupuestos”.</w:t>
      </w:r>
    </w:p>
    <w:p w14:paraId="04F75D4D" w14:textId="77777777" w:rsidR="005218C2" w:rsidRPr="002A7673" w:rsidRDefault="005218C2" w:rsidP="005218C2">
      <w:pPr>
        <w:shd w:val="clear" w:color="auto" w:fill="FFFFFD"/>
        <w:autoSpaceDN w:val="0"/>
        <w:spacing w:after="0" w:line="480" w:lineRule="auto"/>
        <w:ind w:left="851" w:right="851" w:firstLine="709"/>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w:t>
      </w:r>
    </w:p>
    <w:p w14:paraId="20C31762" w14:textId="77777777" w:rsidR="005218C2" w:rsidRPr="002A7673" w:rsidRDefault="005218C2" w:rsidP="005218C2">
      <w:pPr>
        <w:shd w:val="clear" w:color="auto" w:fill="FFFFFD"/>
        <w:autoSpaceDN w:val="0"/>
        <w:spacing w:after="0" w:line="480" w:lineRule="auto"/>
        <w:jc w:val="both"/>
        <w:rPr>
          <w:rFonts w:ascii="Times New Roman" w:eastAsia="Times New Roman" w:hAnsi="Times New Roman" w:cs="Times New Roman"/>
          <w:sz w:val="28"/>
          <w:szCs w:val="28"/>
          <w:lang w:val="es-ES" w:eastAsia="es-ES"/>
        </w:rPr>
      </w:pPr>
    </w:p>
    <w:p w14:paraId="7764DE38"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En este sentido el Departamento Financiero Contable mediante oficio N°183-FC-2021 del 07 de abril, remitió la actualización de la estimación del tipo de cambio del dólar para la formulación presupuestaria del año 2022, con las siguientes proyecciones: </w:t>
      </w:r>
    </w:p>
    <w:p w14:paraId="73ADFF74" w14:textId="77777777" w:rsidR="005218C2" w:rsidRPr="002A7673" w:rsidRDefault="005218C2" w:rsidP="005218C2">
      <w:pPr>
        <w:shd w:val="clear" w:color="auto" w:fill="FFFFFD"/>
        <w:autoSpaceDN w:val="0"/>
        <w:spacing w:after="0" w:line="480" w:lineRule="auto"/>
        <w:jc w:val="center"/>
        <w:rPr>
          <w:rFonts w:ascii="Times New Roman" w:eastAsia="Times New Roman" w:hAnsi="Times New Roman" w:cs="Times New Roman"/>
          <w:sz w:val="28"/>
          <w:szCs w:val="28"/>
          <w:lang w:val="es-ES" w:eastAsia="es-ES"/>
        </w:rPr>
      </w:pPr>
      <w:r w:rsidRPr="002A7673">
        <w:rPr>
          <w:rFonts w:ascii="Times New Roman" w:hAnsi="Times New Roman" w:cs="Times New Roman"/>
          <w:noProof/>
        </w:rPr>
        <w:drawing>
          <wp:inline distT="0" distB="0" distL="0" distR="0" wp14:anchorId="678CABB6" wp14:editId="1AA45A62">
            <wp:extent cx="5612130" cy="3199765"/>
            <wp:effectExtent l="0" t="0" r="7620" b="635"/>
            <wp:docPr id="57" name="Imagen 57"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94">
                      <a:extLst>
                        <a:ext uri="{28A0092B-C50C-407E-A947-70E740481C1C}">
                          <a14:useLocalDpi xmlns:a14="http://schemas.microsoft.com/office/drawing/2010/main" val="0"/>
                        </a:ext>
                      </a:extLst>
                    </a:blip>
                    <a:stretch>
                      <a:fillRect/>
                    </a:stretch>
                  </pic:blipFill>
                  <pic:spPr>
                    <a:xfrm>
                      <a:off x="0" y="0"/>
                      <a:ext cx="5612130" cy="3199765"/>
                    </a:xfrm>
                    <a:prstGeom prst="rect">
                      <a:avLst/>
                    </a:prstGeom>
                  </pic:spPr>
                </pic:pic>
              </a:graphicData>
            </a:graphic>
          </wp:inline>
        </w:drawing>
      </w:r>
    </w:p>
    <w:p w14:paraId="752E01BE" w14:textId="77777777" w:rsidR="005218C2" w:rsidRPr="002A7673" w:rsidRDefault="005218C2" w:rsidP="005218C2">
      <w:pPr>
        <w:autoSpaceDE w:val="0"/>
        <w:autoSpaceDN w:val="0"/>
        <w:adjustRightInd w:val="0"/>
        <w:spacing w:after="0" w:line="240" w:lineRule="auto"/>
        <w:rPr>
          <w:rFonts w:ascii="Times New Roman" w:hAnsi="Times New Roman" w:cs="Times New Roman"/>
          <w:color w:val="000000"/>
          <w:sz w:val="24"/>
          <w:szCs w:val="24"/>
        </w:rPr>
      </w:pPr>
    </w:p>
    <w:p w14:paraId="0105D8ED" w14:textId="77777777" w:rsidR="005218C2" w:rsidRPr="002A7673" w:rsidRDefault="005218C2" w:rsidP="005218C2">
      <w:pPr>
        <w:autoSpaceDE w:val="0"/>
        <w:autoSpaceDN w:val="0"/>
        <w:adjustRightInd w:val="0"/>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w:t>
      </w:r>
    </w:p>
    <w:p w14:paraId="585FBC29"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Señalan en el oficio, que al proyectar el tipo de cambio se deben considerar varias condiciones: </w:t>
      </w:r>
    </w:p>
    <w:p w14:paraId="6BC25659" w14:textId="77777777" w:rsidR="005218C2" w:rsidRPr="002A7673" w:rsidRDefault="005218C2" w:rsidP="005218C2">
      <w:pPr>
        <w:shd w:val="clear" w:color="auto" w:fill="FFFFFD"/>
        <w:autoSpaceDN w:val="0"/>
        <w:spacing w:after="0" w:line="240" w:lineRule="auto"/>
        <w:ind w:left="851" w:right="851" w:firstLine="709"/>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lastRenderedPageBreak/>
        <w:t>“a. La estimación de variables económicas, como lo es el tipo de cambio, siempre resulta ser un ejercicio de alta incertidumbre dado los diferentes factores, cuantitativos, cualitativos, sociales, políticos y de mercado, que los afectan.</w:t>
      </w:r>
    </w:p>
    <w:p w14:paraId="19777764" w14:textId="77777777" w:rsidR="005218C2" w:rsidRPr="002A7673" w:rsidRDefault="005218C2" w:rsidP="005218C2">
      <w:pPr>
        <w:shd w:val="clear" w:color="auto" w:fill="FFFFFD"/>
        <w:autoSpaceDN w:val="0"/>
        <w:spacing w:after="0" w:line="240" w:lineRule="auto"/>
        <w:ind w:left="851" w:right="851" w:firstLine="709"/>
        <w:jc w:val="both"/>
        <w:rPr>
          <w:rFonts w:ascii="Times New Roman" w:eastAsia="Times New Roman" w:hAnsi="Times New Roman" w:cs="Times New Roman"/>
          <w:i/>
          <w:iCs/>
          <w:sz w:val="26"/>
          <w:szCs w:val="26"/>
          <w:lang w:val="es-ES" w:eastAsia="es-ES"/>
        </w:rPr>
      </w:pPr>
    </w:p>
    <w:p w14:paraId="172BEFE7" w14:textId="77777777" w:rsidR="005218C2" w:rsidRPr="002A7673" w:rsidRDefault="005218C2" w:rsidP="005218C2">
      <w:pPr>
        <w:shd w:val="clear" w:color="auto" w:fill="FFFFFD"/>
        <w:autoSpaceDN w:val="0"/>
        <w:spacing w:after="0" w:line="240" w:lineRule="auto"/>
        <w:ind w:left="851" w:right="851" w:firstLine="709"/>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b. Conforme al modelo utilizado y remitido por el Poder Judicial, es importante señalar que se ajusta a la metodología de la Paridad del Tipo de Cambio.”</w:t>
      </w:r>
      <w:r w:rsidRPr="002A7673">
        <w:rPr>
          <w:rFonts w:ascii="Times New Roman" w:eastAsia="Times New Roman" w:hAnsi="Times New Roman" w:cs="Times New Roman"/>
          <w:sz w:val="26"/>
          <w:szCs w:val="26"/>
          <w:lang w:val="es-ES" w:eastAsia="es-ES"/>
        </w:rPr>
        <w:t>.</w:t>
      </w:r>
      <w:r w:rsidRPr="002A7673">
        <w:rPr>
          <w:rFonts w:ascii="Times New Roman" w:eastAsia="Times New Roman" w:hAnsi="Times New Roman" w:cs="Times New Roman"/>
          <w:i/>
          <w:iCs/>
          <w:sz w:val="26"/>
          <w:szCs w:val="26"/>
          <w:lang w:val="es-ES" w:eastAsia="es-ES"/>
        </w:rPr>
        <w:t xml:space="preserve"> </w:t>
      </w:r>
    </w:p>
    <w:p w14:paraId="0B9F29B8" w14:textId="77777777" w:rsidR="005218C2" w:rsidRPr="002A7673" w:rsidRDefault="005218C2" w:rsidP="005218C2">
      <w:pPr>
        <w:shd w:val="clear" w:color="auto" w:fill="FFFFFD"/>
        <w:autoSpaceDN w:val="0"/>
        <w:spacing w:after="0" w:line="480" w:lineRule="auto"/>
        <w:ind w:left="851" w:right="851" w:firstLine="709"/>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w:t>
      </w:r>
    </w:p>
    <w:p w14:paraId="74101F2E"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Las estimaciones se realizaron con información de los datos macroeconómicos al mes de abril del 2021, los cuales se indica que pueden variar de manera significativa de un periodo a otro, sobre todo considerando una mayor sensibilidad en las variables macroeconómicas debido a la pandemia del Covid-19. </w:t>
      </w:r>
    </w:p>
    <w:p w14:paraId="29890F6A"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Es importante indicar que actualmente el tipo de cambio del dólar que se encuentra en nuestro sistema institucional y con el cual se realizaron las estimaciones correspondientes es de ¢650,69, monto establecido por el Departamento Financiero Contable y comunicado mediante el oficio N°658-FC-2020, presentando una diferencia de ¢17,18 con respecto al determinado por la Dirección General de Presupuesto Nacional. </w:t>
      </w:r>
    </w:p>
    <w:p w14:paraId="0A2117F9"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 xml:space="preserve">Según consulta realizada al Departamento Financiero Contable, este ajuste provocaría una disminución de ¢252,656,233.57 en la formulación presupuestaria del 2022, en virtud de los contratos formulados en dólares. </w:t>
      </w:r>
    </w:p>
    <w:p w14:paraId="32A1635B" w14:textId="77777777" w:rsidR="005218C2" w:rsidRPr="002A7673" w:rsidRDefault="005218C2" w:rsidP="005218C2">
      <w:pPr>
        <w:shd w:val="clear" w:color="auto" w:fill="FFFFFD"/>
        <w:autoSpaceDN w:val="0"/>
        <w:spacing w:after="0" w:line="480" w:lineRule="auto"/>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lastRenderedPageBreak/>
        <w:t xml:space="preserve"> </w:t>
      </w:r>
      <w:r w:rsidRPr="002A7673">
        <w:rPr>
          <w:rFonts w:ascii="Times New Roman" w:eastAsia="Times New Roman" w:hAnsi="Times New Roman" w:cs="Times New Roman"/>
          <w:sz w:val="28"/>
          <w:szCs w:val="28"/>
          <w:lang w:val="es-ES" w:eastAsia="es-ES"/>
        </w:rPr>
        <w:object w:dxaOrig="1508" w:dyaOrig="984" w14:anchorId="6B316FA6">
          <v:shape id="_x0000_i1043" type="#_x0000_t75" style="width:76pt;height:49pt" o:ole="">
            <v:imagedata r:id="rId95" o:title=""/>
          </v:shape>
          <o:OLEObject Type="Embed" ProgID="Package" ShapeID="_x0000_i1043" DrawAspect="Icon" ObjectID="_1684066986" r:id="rId96"/>
        </w:object>
      </w:r>
    </w:p>
    <w:p w14:paraId="746D60DD"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bCs/>
          <w:sz w:val="28"/>
          <w:szCs w:val="28"/>
          <w:lang w:val="es-ES" w:eastAsia="es-ES"/>
        </w:rPr>
      </w:pPr>
      <w:r w:rsidRPr="002A7673">
        <w:rPr>
          <w:rFonts w:ascii="Times New Roman" w:eastAsia="Times New Roman" w:hAnsi="Times New Roman" w:cs="Times New Roman"/>
          <w:bCs/>
          <w:sz w:val="28"/>
          <w:szCs w:val="28"/>
          <w:lang w:val="es-ES" w:eastAsia="es-ES"/>
        </w:rPr>
        <w:t>En síntesis, se sugiere ajustarse al tipo de cambio indicado por el Ministerio de Hacienda de ¢633,51 por dólar para el anteproyecto de presupuesto del 2022.</w:t>
      </w:r>
    </w:p>
    <w:p w14:paraId="2329F114" w14:textId="77777777" w:rsidR="005218C2" w:rsidRPr="002A7673" w:rsidRDefault="005218C2" w:rsidP="00FF3FAC">
      <w:pPr>
        <w:numPr>
          <w:ilvl w:val="0"/>
          <w:numId w:val="54"/>
        </w:numPr>
        <w:shd w:val="clear" w:color="auto" w:fill="FFFFFD"/>
        <w:autoSpaceDN w:val="0"/>
        <w:spacing w:after="0" w:line="480" w:lineRule="auto"/>
        <w:ind w:left="0" w:firstLine="709"/>
        <w:contextualSpacing/>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Contribuciones Sociales</w:t>
      </w:r>
    </w:p>
    <w:p w14:paraId="03E131CA" w14:textId="66BEB10B" w:rsidR="0008570A" w:rsidRPr="002A7673" w:rsidRDefault="005218C2" w:rsidP="00313301">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Según la revisión realizada con respecto al 2021 se presentan las modificaciones en los porcentajes destinados a la aplicación de la Ley de Protección al Trabajador, 0.05.02 Aporte patronal al régimen obligatorio de pensiones complementarias modificándose de 1</w:t>
      </w:r>
      <w:r w:rsidRPr="002A7673">
        <w:rPr>
          <w:rFonts w:ascii="Times New Roman" w:eastAsia="Times New Roman" w:hAnsi="Times New Roman" w:cs="Times New Roman"/>
          <w:b/>
          <w:bCs/>
          <w:sz w:val="28"/>
          <w:szCs w:val="28"/>
          <w:lang w:val="es-ES" w:eastAsia="es-ES"/>
        </w:rPr>
        <w:t>,5% al 3,0%</w:t>
      </w:r>
      <w:r w:rsidRPr="002A7673">
        <w:rPr>
          <w:rFonts w:ascii="Times New Roman" w:eastAsia="Times New Roman" w:hAnsi="Times New Roman" w:cs="Times New Roman"/>
          <w:sz w:val="28"/>
          <w:szCs w:val="28"/>
          <w:lang w:val="es-ES" w:eastAsia="es-ES"/>
        </w:rPr>
        <w:t xml:space="preserve"> y el 0.05.03 Aporte patronal al fondo de capitalización laboral modificándose </w:t>
      </w:r>
      <w:r w:rsidRPr="002A7673">
        <w:rPr>
          <w:rFonts w:ascii="Times New Roman" w:eastAsia="Times New Roman" w:hAnsi="Times New Roman" w:cs="Times New Roman"/>
          <w:b/>
          <w:bCs/>
          <w:sz w:val="28"/>
          <w:szCs w:val="28"/>
          <w:lang w:val="es-ES" w:eastAsia="es-ES"/>
        </w:rPr>
        <w:t>del 3,0% al 1,5%</w:t>
      </w:r>
      <w:r w:rsidRPr="002A7673">
        <w:rPr>
          <w:rFonts w:ascii="Times New Roman" w:eastAsia="Times New Roman" w:hAnsi="Times New Roman" w:cs="Times New Roman"/>
          <w:sz w:val="28"/>
          <w:szCs w:val="28"/>
          <w:lang w:val="es-ES" w:eastAsia="es-ES"/>
        </w:rPr>
        <w:t xml:space="preserve">. Estos cambios fueron comunicados por la Dirección General de Presupuesto Nacional el 16 de octubre, mediante el oficio N°DGPN-0691-2020 </w:t>
      </w:r>
      <w:r w:rsidRPr="002A7673">
        <w:rPr>
          <w:rFonts w:ascii="Times New Roman" w:eastAsia="Times New Roman" w:hAnsi="Times New Roman" w:cs="Times New Roman"/>
          <w:i/>
          <w:iCs/>
          <w:sz w:val="28"/>
          <w:szCs w:val="28"/>
          <w:lang w:val="es-ES" w:eastAsia="es-ES"/>
        </w:rPr>
        <w:t>“Modificación Presupuestaria para Atención de la Ley 9906 Ley para Resguardar el Derecho de los Trabajadores a retirar los Recursos de la Pensión Complementaria”</w:t>
      </w:r>
      <w:r w:rsidRPr="002A7673">
        <w:rPr>
          <w:rFonts w:ascii="Times New Roman" w:eastAsia="Times New Roman" w:hAnsi="Times New Roman" w:cs="Times New Roman"/>
          <w:sz w:val="28"/>
          <w:szCs w:val="28"/>
          <w:lang w:val="es-ES" w:eastAsia="es-ES"/>
        </w:rPr>
        <w:t>.</w:t>
      </w:r>
    </w:p>
    <w:p w14:paraId="27B69B97" w14:textId="77777777" w:rsidR="005218C2" w:rsidRPr="002A7673" w:rsidRDefault="005218C2" w:rsidP="005218C2">
      <w:pPr>
        <w:shd w:val="clear" w:color="auto" w:fill="FFFFFD"/>
        <w:autoSpaceDN w:val="0"/>
        <w:spacing w:after="0" w:line="480" w:lineRule="auto"/>
        <w:jc w:val="both"/>
        <w:rPr>
          <w:rFonts w:ascii="Times New Roman" w:eastAsia="Times New Roman" w:hAnsi="Times New Roman" w:cs="Times New Roman"/>
          <w:sz w:val="28"/>
          <w:szCs w:val="28"/>
          <w:lang w:val="es-ES" w:eastAsia="es-ES"/>
        </w:rPr>
      </w:pPr>
      <w:r w:rsidRPr="002A7673">
        <w:rPr>
          <w:rFonts w:ascii="Times New Roman" w:hAnsi="Times New Roman" w:cs="Times New Roman"/>
          <w:noProof/>
        </w:rPr>
        <w:lastRenderedPageBreak/>
        <w:drawing>
          <wp:inline distT="0" distB="0" distL="0" distR="0" wp14:anchorId="2E2C1F58" wp14:editId="6DBB4038">
            <wp:extent cx="5607050" cy="3778250"/>
            <wp:effectExtent l="0" t="0" r="0" b="0"/>
            <wp:docPr id="1263269056" name="Imagen 1263269056"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056"/>
                    <pic:cNvPicPr/>
                  </pic:nvPicPr>
                  <pic:blipFill>
                    <a:blip r:embed="rId97">
                      <a:extLst>
                        <a:ext uri="{28A0092B-C50C-407E-A947-70E740481C1C}">
                          <a14:useLocalDpi xmlns:a14="http://schemas.microsoft.com/office/drawing/2010/main" val="0"/>
                        </a:ext>
                      </a:extLst>
                    </a:blip>
                    <a:stretch>
                      <a:fillRect/>
                    </a:stretch>
                  </pic:blipFill>
                  <pic:spPr>
                    <a:xfrm>
                      <a:off x="0" y="0"/>
                      <a:ext cx="5607050" cy="3778250"/>
                    </a:xfrm>
                    <a:prstGeom prst="rect">
                      <a:avLst/>
                    </a:prstGeom>
                  </pic:spPr>
                </pic:pic>
              </a:graphicData>
            </a:graphic>
          </wp:inline>
        </w:drawing>
      </w:r>
      <w:r w:rsidRPr="002A7673">
        <w:rPr>
          <w:rFonts w:ascii="Times New Roman" w:hAnsi="Times New Roman" w:cs="Times New Roman"/>
          <w:noProof/>
        </w:rPr>
        <w:drawing>
          <wp:inline distT="0" distB="0" distL="0" distR="0" wp14:anchorId="439B8899" wp14:editId="40D430EB">
            <wp:extent cx="5607050" cy="2736850"/>
            <wp:effectExtent l="0" t="0" r="0" b="6350"/>
            <wp:docPr id="1263269057" name="Imagen 1263269057"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057"/>
                    <pic:cNvPicPr/>
                  </pic:nvPicPr>
                  <pic:blipFill>
                    <a:blip r:embed="rId98">
                      <a:extLst>
                        <a:ext uri="{28A0092B-C50C-407E-A947-70E740481C1C}">
                          <a14:useLocalDpi xmlns:a14="http://schemas.microsoft.com/office/drawing/2010/main" val="0"/>
                        </a:ext>
                      </a:extLst>
                    </a:blip>
                    <a:stretch>
                      <a:fillRect/>
                    </a:stretch>
                  </pic:blipFill>
                  <pic:spPr>
                    <a:xfrm>
                      <a:off x="0" y="0"/>
                      <a:ext cx="5607050" cy="2736850"/>
                    </a:xfrm>
                    <a:prstGeom prst="rect">
                      <a:avLst/>
                    </a:prstGeom>
                  </pic:spPr>
                </pic:pic>
              </a:graphicData>
            </a:graphic>
          </wp:inline>
        </w:drawing>
      </w:r>
      <w:r w:rsidRPr="002A7673">
        <w:rPr>
          <w:rFonts w:ascii="Times New Roman" w:hAnsi="Times New Roman" w:cs="Times New Roman"/>
          <w:noProof/>
        </w:rPr>
        <w:lastRenderedPageBreak/>
        <w:drawing>
          <wp:inline distT="0" distB="0" distL="0" distR="0" wp14:anchorId="27659152" wp14:editId="7E84CA7B">
            <wp:extent cx="5607050" cy="1028700"/>
            <wp:effectExtent l="0" t="0" r="0" b="0"/>
            <wp:docPr id="1263269058" name="Imagen 126326905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058"/>
                    <pic:cNvPicPr/>
                  </pic:nvPicPr>
                  <pic:blipFill>
                    <a:blip r:embed="rId99">
                      <a:extLst>
                        <a:ext uri="{28A0092B-C50C-407E-A947-70E740481C1C}">
                          <a14:useLocalDpi xmlns:a14="http://schemas.microsoft.com/office/drawing/2010/main" val="0"/>
                        </a:ext>
                      </a:extLst>
                    </a:blip>
                    <a:stretch>
                      <a:fillRect/>
                    </a:stretch>
                  </pic:blipFill>
                  <pic:spPr>
                    <a:xfrm>
                      <a:off x="0" y="0"/>
                      <a:ext cx="5607050" cy="1028700"/>
                    </a:xfrm>
                    <a:prstGeom prst="rect">
                      <a:avLst/>
                    </a:prstGeom>
                  </pic:spPr>
                </pic:pic>
              </a:graphicData>
            </a:graphic>
          </wp:inline>
        </w:drawing>
      </w:r>
    </w:p>
    <w:p w14:paraId="237BC7C0" w14:textId="77777777" w:rsidR="005218C2" w:rsidRPr="002A7673" w:rsidRDefault="005218C2" w:rsidP="00FF3FAC">
      <w:pPr>
        <w:numPr>
          <w:ilvl w:val="0"/>
          <w:numId w:val="54"/>
        </w:numPr>
        <w:shd w:val="clear" w:color="auto" w:fill="FFFFFD"/>
        <w:autoSpaceDN w:val="0"/>
        <w:spacing w:after="0" w:line="480" w:lineRule="auto"/>
        <w:ind w:left="0" w:firstLine="709"/>
        <w:contextualSpacing/>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Programaciones Presupuestarias</w:t>
      </w:r>
    </w:p>
    <w:p w14:paraId="5EAAC6B2"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En cuanto al punto de programaciones presupuestarias en la circular se indica lo siguiente:</w:t>
      </w:r>
    </w:p>
    <w:p w14:paraId="58959279" w14:textId="77777777" w:rsidR="005218C2" w:rsidRPr="002A7673" w:rsidRDefault="005218C2" w:rsidP="005218C2">
      <w:pPr>
        <w:shd w:val="clear" w:color="auto" w:fill="FFFFFD"/>
        <w:autoSpaceDN w:val="0"/>
        <w:spacing w:after="0" w:line="240" w:lineRule="auto"/>
        <w:ind w:left="851" w:right="851" w:firstLine="709"/>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“Es importante recalcar para el caso de los órganos del Gobierno de la República, en la programación presupuestaria deben incluir los productos finales, por lo tanto, no deberán ser incluidos los insumos que conlleven a la consecución de productos intermedios tales como: informes, estudios, reuniones, resoluciones, dictámenes, convenios, promoción, coordinación, capacitación de personal interno, revisión de marco legal, elaboración de planes, campañas de divulgación, reestructuraciones, elaboración o actualización de páginas WEB, entre otras de igual naturaleza.”.</w:t>
      </w:r>
    </w:p>
    <w:p w14:paraId="7D2116CD" w14:textId="77777777" w:rsidR="005218C2" w:rsidRPr="002A7673" w:rsidRDefault="005218C2" w:rsidP="005218C2">
      <w:pPr>
        <w:shd w:val="clear" w:color="auto" w:fill="FFFFFD"/>
        <w:autoSpaceDN w:val="0"/>
        <w:spacing w:after="0" w:line="480" w:lineRule="auto"/>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w:t>
      </w:r>
    </w:p>
    <w:p w14:paraId="7974B76C"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En consulta realizada a la Unidad de Análisis Presupuestario de Poderes de la Dirección General de Presupuesto Nacional, mediante correo electrónico del 14 de abril, el Lic. Marco González </w:t>
      </w:r>
      <w:proofErr w:type="spellStart"/>
      <w:r w:rsidRPr="002A7673">
        <w:rPr>
          <w:rFonts w:ascii="Times New Roman" w:eastAsia="Times New Roman" w:hAnsi="Times New Roman" w:cs="Times New Roman"/>
          <w:sz w:val="28"/>
          <w:szCs w:val="28"/>
          <w:lang w:val="es-ES" w:eastAsia="es-ES"/>
        </w:rPr>
        <w:t>Valerín</w:t>
      </w:r>
      <w:proofErr w:type="spellEnd"/>
      <w:r w:rsidRPr="002A7673">
        <w:rPr>
          <w:rFonts w:ascii="Times New Roman" w:eastAsia="Times New Roman" w:hAnsi="Times New Roman" w:cs="Times New Roman"/>
          <w:sz w:val="28"/>
          <w:szCs w:val="28"/>
          <w:lang w:val="es-ES" w:eastAsia="es-ES"/>
        </w:rPr>
        <w:t xml:space="preserve"> señala que la diferenciación en materia de programación presupuestaria asociada a “productos”, no afecta al Poder Judicial. Específicamente para el caso de los órganos del Gobierno de la República, señala que en la programación presupuestaria se deben incluir solamente los productos finales, no los insumos que conlleven a la consecución de productos intermedios.</w:t>
      </w:r>
    </w:p>
    <w:p w14:paraId="0DAD9B4E"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lastRenderedPageBreak/>
        <w:t>Se adjuntan los oficios N°183-FC-2021 del Departamento Financiero Contable, N°DGPN-CIR-0014-2021 y DGPN-0691-2020 de la Dirección General de Presupuesto Nacional.</w:t>
      </w:r>
    </w:p>
    <w:p w14:paraId="561830B8" w14:textId="1ABD5BB7" w:rsidR="005218C2" w:rsidRPr="002A7673" w:rsidRDefault="005218C2" w:rsidP="00396EC7">
      <w:pPr>
        <w:shd w:val="clear" w:color="auto" w:fill="FFFFFD"/>
        <w:autoSpaceDN w:val="0"/>
        <w:spacing w:after="0" w:line="480" w:lineRule="auto"/>
        <w:ind w:left="720"/>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4"/>
          <w:szCs w:val="24"/>
          <w:lang w:val="es-ES" w:eastAsia="es-ES"/>
        </w:rPr>
        <w:object w:dxaOrig="1508" w:dyaOrig="983" w14:anchorId="6295238C">
          <v:shape id="_x0000_i1044" type="#_x0000_t75" style="width:76pt;height:49pt" o:ole="">
            <v:imagedata r:id="rId100" o:title=""/>
          </v:shape>
          <o:OLEObject Type="Embed" ProgID="AcroExch.Document.DC" ShapeID="_x0000_i1044" DrawAspect="Icon" ObjectID="_1684066987" r:id="rId101"/>
        </w:object>
      </w:r>
      <w:r w:rsidR="00313301" w:rsidRPr="002A7673">
        <w:rPr>
          <w:rFonts w:ascii="Times New Roman" w:eastAsia="Times New Roman" w:hAnsi="Times New Roman" w:cs="Times New Roman"/>
          <w:sz w:val="24"/>
          <w:szCs w:val="24"/>
          <w:lang w:val="es-ES" w:eastAsia="es-ES"/>
        </w:rPr>
        <w:object w:dxaOrig="1508" w:dyaOrig="983" w14:anchorId="4D9A8E35">
          <v:shape id="_x0000_i1045" type="#_x0000_t75" style="width:76pt;height:49pt" o:ole="">
            <v:imagedata r:id="rId102" o:title=""/>
          </v:shape>
          <o:OLEObject Type="Embed" ProgID="AcroExch.Document.DC" ShapeID="_x0000_i1045" DrawAspect="Icon" ObjectID="_1684066988" r:id="rId103"/>
        </w:object>
      </w:r>
      <w:r w:rsidR="00396EC7" w:rsidRPr="002A7673">
        <w:rPr>
          <w:rFonts w:ascii="Times New Roman" w:eastAsia="Times New Roman" w:hAnsi="Times New Roman" w:cs="Times New Roman"/>
          <w:sz w:val="24"/>
          <w:szCs w:val="24"/>
          <w:lang w:val="es-ES" w:eastAsia="es-ES"/>
        </w:rPr>
        <w:object w:dxaOrig="1508" w:dyaOrig="983" w14:anchorId="647475A4">
          <v:shape id="_x0000_i1046" type="#_x0000_t75" style="width:76pt;height:49pt" o:ole="">
            <v:imagedata r:id="rId104" o:title=""/>
          </v:shape>
          <o:OLEObject Type="Embed" ProgID="AcroExch.Document.DC" ShapeID="_x0000_i1046" DrawAspect="Icon" ObjectID="_1684066989" r:id="rId105"/>
        </w:object>
      </w:r>
    </w:p>
    <w:p w14:paraId="7911E3CC" w14:textId="77777777" w:rsidR="005218C2" w:rsidRPr="002A7673" w:rsidRDefault="005218C2" w:rsidP="00FF3FAC">
      <w:pPr>
        <w:numPr>
          <w:ilvl w:val="0"/>
          <w:numId w:val="52"/>
        </w:numPr>
        <w:spacing w:after="0" w:line="360" w:lineRule="auto"/>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   -</w:t>
      </w:r>
    </w:p>
    <w:p w14:paraId="3E5D0AF6" w14:textId="77777777" w:rsidR="005218C2" w:rsidRPr="002A7673" w:rsidRDefault="005218C2" w:rsidP="005218C2">
      <w:pPr>
        <w:spacing w:after="0" w:line="360" w:lineRule="auto"/>
        <w:jc w:val="both"/>
        <w:rPr>
          <w:rFonts w:ascii="Times New Roman" w:hAnsi="Times New Roman" w:cs="Times New Roman"/>
          <w:sz w:val="28"/>
          <w:szCs w:val="28"/>
        </w:rPr>
      </w:pPr>
      <w:r w:rsidRPr="002A7673">
        <w:rPr>
          <w:rFonts w:ascii="Times New Roman" w:hAnsi="Times New Roman" w:cs="Times New Roman"/>
          <w:sz w:val="28"/>
          <w:szCs w:val="28"/>
        </w:rPr>
        <w:t xml:space="preserve">La Licda. Ana Romero, Directora Ejecutiva, expone su preocupación en torno a la propuesta de valor del tipo de cambio que propone el Ministerio de Hacienda. </w:t>
      </w:r>
    </w:p>
    <w:p w14:paraId="127A50F8" w14:textId="77777777" w:rsidR="005218C2" w:rsidRPr="002A7673" w:rsidRDefault="005218C2" w:rsidP="00FF3FAC">
      <w:pPr>
        <w:numPr>
          <w:ilvl w:val="0"/>
          <w:numId w:val="52"/>
        </w:numPr>
        <w:spacing w:after="0" w:line="360" w:lineRule="auto"/>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    -</w:t>
      </w:r>
    </w:p>
    <w:p w14:paraId="7980E626" w14:textId="77777777" w:rsidR="005218C2" w:rsidRPr="002A7673" w:rsidRDefault="005218C2" w:rsidP="005218C2">
      <w:pPr>
        <w:spacing w:after="0" w:line="480" w:lineRule="auto"/>
        <w:ind w:firstLine="708"/>
        <w:jc w:val="both"/>
        <w:rPr>
          <w:rFonts w:ascii="Times New Roman" w:eastAsia="Times New Roman" w:hAnsi="Times New Roman" w:cs="Times New Roman"/>
          <w:sz w:val="28"/>
          <w:szCs w:val="28"/>
          <w:lang w:val="es-ES" w:eastAsia="es-ES"/>
        </w:rPr>
      </w:pPr>
      <w:r w:rsidRPr="002A7673">
        <w:rPr>
          <w:rFonts w:ascii="Times New Roman" w:hAnsi="Times New Roman" w:cs="Times New Roman"/>
          <w:sz w:val="28"/>
          <w:szCs w:val="28"/>
        </w:rPr>
        <w:t>En reunión de trabajo del pasado 23 de abril, la licenciada Nacira Valverde Bermúdez,</w:t>
      </w:r>
      <w:r w:rsidRPr="002A7673">
        <w:rPr>
          <w:rFonts w:ascii="Times New Roman" w:hAnsi="Times New Roman" w:cs="Times New Roman"/>
          <w:color w:val="000000"/>
          <w:sz w:val="28"/>
          <w:szCs w:val="28"/>
          <w:shd w:val="clear" w:color="auto" w:fill="FFFFFF"/>
        </w:rPr>
        <w:t xml:space="preserve"> </w:t>
      </w:r>
      <w:r w:rsidRPr="002A7673">
        <w:rPr>
          <w:rFonts w:ascii="Times New Roman" w:hAnsi="Times New Roman" w:cs="Times New Roman"/>
          <w:sz w:val="28"/>
          <w:szCs w:val="28"/>
        </w:rPr>
        <w:t xml:space="preserve">Directora de Planificación señaló que en el punto 14 de la reunión de trabajo del pasado 16 de abril, se expuso que </w:t>
      </w:r>
      <w:r w:rsidRPr="002A7673">
        <w:rPr>
          <w:rFonts w:ascii="Times New Roman" w:eastAsia="Times New Roman" w:hAnsi="Times New Roman" w:cs="Times New Roman"/>
          <w:sz w:val="28"/>
          <w:szCs w:val="28"/>
          <w:lang w:val="es-ES" w:eastAsia="es-ES"/>
        </w:rPr>
        <w:t xml:space="preserve">el Ministerio de Hacienda, mediante la circular DGPN-CIR-0014-2021 remitió oficio </w:t>
      </w:r>
      <w:proofErr w:type="spellStart"/>
      <w:proofErr w:type="gramStart"/>
      <w:r w:rsidRPr="002A7673">
        <w:rPr>
          <w:rFonts w:ascii="Times New Roman" w:eastAsia="Times New Roman" w:hAnsi="Times New Roman" w:cs="Times New Roman"/>
          <w:sz w:val="28"/>
          <w:szCs w:val="28"/>
          <w:lang w:val="es-ES" w:eastAsia="es-ES"/>
        </w:rPr>
        <w:t>sobre:</w:t>
      </w:r>
      <w:r w:rsidRPr="002A7673">
        <w:rPr>
          <w:rFonts w:ascii="Times New Roman" w:eastAsia="Times New Roman" w:hAnsi="Times New Roman" w:cs="Times New Roman"/>
          <w:i/>
          <w:iCs/>
          <w:sz w:val="28"/>
          <w:szCs w:val="28"/>
          <w:lang w:val="es-ES" w:eastAsia="es-ES"/>
        </w:rPr>
        <w:t>“</w:t>
      </w:r>
      <w:proofErr w:type="gramEnd"/>
      <w:r w:rsidRPr="002A7673">
        <w:rPr>
          <w:rFonts w:ascii="Times New Roman" w:eastAsia="Times New Roman" w:hAnsi="Times New Roman" w:cs="Times New Roman"/>
          <w:i/>
          <w:iCs/>
          <w:sz w:val="28"/>
          <w:szCs w:val="28"/>
          <w:lang w:val="es-ES" w:eastAsia="es-ES"/>
        </w:rPr>
        <w:t>Comunicación</w:t>
      </w:r>
      <w:proofErr w:type="spellEnd"/>
      <w:r w:rsidRPr="002A7673">
        <w:rPr>
          <w:rFonts w:ascii="Times New Roman" w:eastAsia="Times New Roman" w:hAnsi="Times New Roman" w:cs="Times New Roman"/>
          <w:i/>
          <w:iCs/>
          <w:sz w:val="28"/>
          <w:szCs w:val="28"/>
          <w:lang w:val="es-ES" w:eastAsia="es-ES"/>
        </w:rPr>
        <w:t xml:space="preserve"> de tipo de cambio y contribuciones sociales para el proceso de formulación 2022</w:t>
      </w:r>
      <w:r w:rsidRPr="002A7673">
        <w:rPr>
          <w:rFonts w:ascii="Times New Roman" w:eastAsia="Times New Roman" w:hAnsi="Times New Roman" w:cs="Times New Roman"/>
          <w:sz w:val="28"/>
          <w:szCs w:val="28"/>
          <w:lang w:val="es-ES" w:eastAsia="es-ES"/>
        </w:rPr>
        <w:t>.</w:t>
      </w:r>
    </w:p>
    <w:p w14:paraId="610A3883" w14:textId="77777777" w:rsidR="005218C2" w:rsidRPr="002A7673" w:rsidRDefault="005218C2" w:rsidP="005218C2">
      <w:pPr>
        <w:spacing w:after="0" w:line="480" w:lineRule="auto"/>
        <w:ind w:firstLine="708"/>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highlight w:val="lightGray"/>
          <w:lang w:val="es-ES" w:eastAsia="es-ES"/>
        </w:rPr>
        <w:t>En esta circular, concretamente, se establece que el tipo de cambio del dólar para el presupuesto del 2022 es ¢633,51</w:t>
      </w:r>
      <w:r w:rsidRPr="002A7673">
        <w:rPr>
          <w:rFonts w:ascii="Times New Roman" w:eastAsia="Times New Roman" w:hAnsi="Times New Roman" w:cs="Times New Roman"/>
          <w:sz w:val="28"/>
          <w:szCs w:val="28"/>
          <w:lang w:val="es-ES" w:eastAsia="es-ES"/>
        </w:rPr>
        <w:t xml:space="preserve">.  Textualmente detallan lo siguiente: </w:t>
      </w:r>
    </w:p>
    <w:p w14:paraId="6026EB67" w14:textId="77777777" w:rsidR="005218C2" w:rsidRPr="002A7673" w:rsidRDefault="005218C2" w:rsidP="005218C2">
      <w:pPr>
        <w:autoSpaceDE w:val="0"/>
        <w:autoSpaceDN w:val="0"/>
        <w:adjustRightInd w:val="0"/>
        <w:spacing w:after="0" w:line="240" w:lineRule="auto"/>
        <w:rPr>
          <w:rFonts w:ascii="Times New Roman" w:hAnsi="Times New Roman" w:cs="Times New Roman"/>
          <w:color w:val="000000"/>
          <w:sz w:val="24"/>
          <w:szCs w:val="24"/>
        </w:rPr>
      </w:pPr>
    </w:p>
    <w:p w14:paraId="5021CB3F" w14:textId="77777777" w:rsidR="005218C2" w:rsidRPr="002A7673" w:rsidRDefault="005218C2" w:rsidP="005218C2">
      <w:pPr>
        <w:shd w:val="clear" w:color="auto" w:fill="FFFFFD"/>
        <w:autoSpaceDN w:val="0"/>
        <w:spacing w:after="0" w:line="240" w:lineRule="auto"/>
        <w:ind w:left="851" w:right="851" w:firstLine="709"/>
        <w:jc w:val="both"/>
        <w:rPr>
          <w:rFonts w:ascii="Times New Roman" w:eastAsia="Times New Roman" w:hAnsi="Times New Roman" w:cs="Times New Roman"/>
          <w:i/>
          <w:iCs/>
          <w:sz w:val="28"/>
          <w:szCs w:val="28"/>
          <w:lang w:val="es-ES" w:eastAsia="es-ES"/>
        </w:rPr>
      </w:pPr>
      <w:r w:rsidRPr="002A7673">
        <w:rPr>
          <w:rFonts w:ascii="Times New Roman" w:eastAsia="Times New Roman" w:hAnsi="Times New Roman" w:cs="Times New Roman"/>
          <w:i/>
          <w:iCs/>
          <w:sz w:val="28"/>
          <w:szCs w:val="28"/>
          <w:lang w:val="es-ES" w:eastAsia="es-ES"/>
        </w:rPr>
        <w:t xml:space="preserve">“Es importante considerar que la actual política cambiaria se rige por un esquema de tipo de cambio de flotación administrada, mediante el cual el tipo de cambio es determinado por el mercado a través de la oferta y demanda de divisas; sin embargo, a pesar de que el Banco Central de Costa Rica (BCCR) puede intervenir para evitar fluctuaciones respecto a lo que se espera sobre el comportamiento de </w:t>
      </w:r>
      <w:r w:rsidRPr="002A7673">
        <w:rPr>
          <w:rFonts w:ascii="Times New Roman" w:eastAsia="Times New Roman" w:hAnsi="Times New Roman" w:cs="Times New Roman"/>
          <w:i/>
          <w:iCs/>
          <w:sz w:val="28"/>
          <w:szCs w:val="28"/>
          <w:lang w:val="es-ES" w:eastAsia="es-ES"/>
        </w:rPr>
        <w:lastRenderedPageBreak/>
        <w:t>esta variable en el mediano y largo plazo, se pueden presentar desvíos respecto al dato que se utilizará para la formulación de los presupuestos”.</w:t>
      </w:r>
    </w:p>
    <w:p w14:paraId="3B7F2141" w14:textId="77777777" w:rsidR="005218C2" w:rsidRPr="002A7673" w:rsidRDefault="005218C2" w:rsidP="005218C2">
      <w:pPr>
        <w:shd w:val="clear" w:color="auto" w:fill="FFFFFD"/>
        <w:autoSpaceDN w:val="0"/>
        <w:spacing w:after="0" w:line="480" w:lineRule="auto"/>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w:t>
      </w:r>
    </w:p>
    <w:p w14:paraId="172B8DA3"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Es importante indicar que actualmente el tipo de cambio del dólar que se encuentra en nuestro sistema institucional y con el cual se realizaron las estimaciones correspondientes es de ¢650,69, monto establecido por el Departamento Financiero Contable y comunicado mediante el oficio N°658-FC-2020, presentando una diferencia de ¢17,18 con respecto al determinado por la Dirección General de Presupuesto Nacional. </w:t>
      </w:r>
    </w:p>
    <w:p w14:paraId="7CE56394"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 xml:space="preserve">Según consulta realizada al Departamento Financiero Contable, este ajuste provocaría una disminución de ¢252,656,233.57 en la formulación presupuestaria del 2022, en virtud de los contratos formulados en dólares. </w:t>
      </w:r>
    </w:p>
    <w:p w14:paraId="072A1BE8"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 </w:t>
      </w:r>
      <w:r w:rsidRPr="002A7673">
        <w:rPr>
          <w:rFonts w:ascii="Times New Roman" w:eastAsia="Times New Roman" w:hAnsi="Times New Roman" w:cs="Times New Roman"/>
          <w:sz w:val="28"/>
          <w:szCs w:val="28"/>
          <w:lang w:val="es-ES" w:eastAsia="es-ES"/>
        </w:rPr>
        <w:object w:dxaOrig="1508" w:dyaOrig="984" w14:anchorId="7D88E5BA">
          <v:shape id="_x0000_i1047" type="#_x0000_t75" style="width:78pt;height:52pt" o:ole="">
            <v:imagedata r:id="rId95" o:title=""/>
          </v:shape>
          <o:OLEObject Type="Embed" ProgID="Package" ShapeID="_x0000_i1047" DrawAspect="Icon" ObjectID="_1684066990" r:id="rId106"/>
        </w:object>
      </w:r>
    </w:p>
    <w:p w14:paraId="757D3F90"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Finalmente, se indicó que el Departamento Financiero Contable mediante oficio N°183-FC-2021 del 07 de abril, remitió la actualización de la estimación del tipo de cambio del dólar para la formulación presupuestaria del año 2022, estableciéndose un valor de </w:t>
      </w:r>
      <w:r w:rsidRPr="002A7673">
        <w:rPr>
          <w:rFonts w:ascii="Times New Roman" w:eastAsia="Times New Roman" w:hAnsi="Times New Roman" w:cs="Times New Roman"/>
          <w:b/>
          <w:bCs/>
          <w:sz w:val="28"/>
          <w:szCs w:val="28"/>
          <w:lang w:val="es-ES" w:eastAsia="es-ES"/>
        </w:rPr>
        <w:t>¢</w:t>
      </w:r>
      <w:r w:rsidRPr="002A7673">
        <w:rPr>
          <w:rFonts w:ascii="Times New Roman" w:eastAsia="Times New Roman" w:hAnsi="Times New Roman" w:cs="Times New Roman"/>
          <w:sz w:val="28"/>
          <w:szCs w:val="28"/>
          <w:lang w:val="es-ES" w:eastAsia="es-ES"/>
        </w:rPr>
        <w:t xml:space="preserve">657,12 por dólar, valor muy por encima del establecido por el Ministerio de Hacienda. </w:t>
      </w:r>
    </w:p>
    <w:p w14:paraId="60FC5E90"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lastRenderedPageBreak/>
        <w:t>Al respecto, el Consejo Superior dispuso, entre otros, lo siguiente:</w:t>
      </w:r>
    </w:p>
    <w:p w14:paraId="4CC49FD7" w14:textId="77777777" w:rsidR="005218C2" w:rsidRPr="002A7673" w:rsidRDefault="005218C2" w:rsidP="005218C2">
      <w:pPr>
        <w:shd w:val="clear" w:color="auto" w:fill="FFFFFD"/>
        <w:autoSpaceDN w:val="0"/>
        <w:spacing w:after="0" w:line="480" w:lineRule="auto"/>
        <w:jc w:val="both"/>
        <w:rPr>
          <w:rFonts w:ascii="Times New Roman" w:eastAsia="Times New Roman" w:hAnsi="Times New Roman" w:cs="Times New Roman"/>
          <w:sz w:val="28"/>
          <w:szCs w:val="28"/>
          <w:lang w:val="es-ES" w:eastAsia="es-ES"/>
        </w:rPr>
      </w:pPr>
    </w:p>
    <w:p w14:paraId="2E34D9AB" w14:textId="77777777" w:rsidR="005218C2" w:rsidRPr="002A7673" w:rsidRDefault="005218C2" w:rsidP="005218C2">
      <w:pPr>
        <w:spacing w:after="0" w:line="240" w:lineRule="auto"/>
        <w:ind w:left="851" w:right="851" w:firstLine="709"/>
        <w:jc w:val="both"/>
        <w:rPr>
          <w:rFonts w:ascii="Times New Roman" w:hAnsi="Times New Roman" w:cs="Times New Roman"/>
          <w:i/>
          <w:iCs/>
          <w:sz w:val="26"/>
          <w:szCs w:val="26"/>
        </w:rPr>
      </w:pPr>
      <w:r w:rsidRPr="002A7673">
        <w:rPr>
          <w:rFonts w:ascii="Times New Roman" w:hAnsi="Times New Roman" w:cs="Times New Roman"/>
          <w:b/>
          <w:bCs/>
          <w:i/>
          <w:iCs/>
          <w:sz w:val="26"/>
          <w:szCs w:val="26"/>
        </w:rPr>
        <w:t>Se acordó:</w:t>
      </w:r>
      <w:r w:rsidRPr="002A7673">
        <w:rPr>
          <w:rFonts w:ascii="Times New Roman" w:hAnsi="Times New Roman" w:cs="Times New Roman"/>
          <w:i/>
          <w:iCs/>
          <w:sz w:val="26"/>
          <w:szCs w:val="26"/>
        </w:rPr>
        <w:t xml:space="preserve"> 1) La Dirección Ejecutiva revisará la estimación del tipo de cambio para el 2022 realizada por el Departamento Financiero Contable.  </w:t>
      </w:r>
    </w:p>
    <w:p w14:paraId="3C8F3170" w14:textId="77777777" w:rsidR="005218C2" w:rsidRPr="002A7673" w:rsidRDefault="005218C2" w:rsidP="00FF3FAC">
      <w:pPr>
        <w:numPr>
          <w:ilvl w:val="0"/>
          <w:numId w:val="55"/>
        </w:numPr>
        <w:shd w:val="clear" w:color="auto" w:fill="FFFFFD"/>
        <w:autoSpaceDN w:val="0"/>
        <w:spacing w:after="0" w:line="480" w:lineRule="auto"/>
        <w:jc w:val="center"/>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0   -</w:t>
      </w:r>
    </w:p>
    <w:p w14:paraId="5C6877FE"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hAnsi="Times New Roman" w:cs="Times New Roman"/>
          <w:sz w:val="28"/>
          <w:szCs w:val="28"/>
        </w:rPr>
        <w:t xml:space="preserve">Se informa que mediante correo electrónico del pasado 19 de abril, el Departamento Financiero Contable remite nuevamente oficio </w:t>
      </w:r>
      <w:r w:rsidRPr="002A7673">
        <w:rPr>
          <w:rFonts w:ascii="Times New Roman" w:eastAsia="Times New Roman" w:hAnsi="Times New Roman" w:cs="Times New Roman"/>
          <w:sz w:val="28"/>
          <w:szCs w:val="28"/>
          <w:lang w:val="es-ES" w:eastAsia="es-ES"/>
        </w:rPr>
        <w:t xml:space="preserve">183-FC-2021 (en sustitución del original), en cual se expone el resultado de la revisión al tipo de cambio, siendo que se establece un valor de </w:t>
      </w:r>
      <w:r w:rsidRPr="002A7673">
        <w:rPr>
          <w:rFonts w:ascii="Times New Roman" w:eastAsia="Times New Roman" w:hAnsi="Times New Roman" w:cs="Times New Roman"/>
          <w:b/>
          <w:bCs/>
          <w:sz w:val="28"/>
          <w:szCs w:val="28"/>
          <w:lang w:val="es-ES" w:eastAsia="es-ES"/>
        </w:rPr>
        <w:t>¢643,73 por dólar</w:t>
      </w:r>
      <w:r w:rsidRPr="002A7673">
        <w:rPr>
          <w:rFonts w:ascii="Times New Roman" w:eastAsia="Times New Roman" w:hAnsi="Times New Roman" w:cs="Times New Roman"/>
          <w:sz w:val="28"/>
          <w:szCs w:val="28"/>
          <w:lang w:val="es-ES" w:eastAsia="es-ES"/>
        </w:rPr>
        <w:t xml:space="preserve"> y se indica que en este caso se realiza el cálculo utilizando la información que cubre todo el año 2022. </w:t>
      </w:r>
    </w:p>
    <w:p w14:paraId="2ED0311A" w14:textId="67F99B81" w:rsidR="005218C2" w:rsidRPr="002A7673" w:rsidRDefault="005218C2" w:rsidP="005218C2">
      <w:pPr>
        <w:shd w:val="clear" w:color="auto" w:fill="FFFFFD"/>
        <w:autoSpaceDN w:val="0"/>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Como se puede apreciar, este valor también está muy por encima de la estimación sugerida por el Ministerio de Hacienda en la circular DGPN-CIR-0014-2021.</w:t>
      </w:r>
    </w:p>
    <w:p w14:paraId="03F88685" w14:textId="77777777" w:rsidR="005218C2" w:rsidRPr="002A7673" w:rsidRDefault="005218C2" w:rsidP="005218C2">
      <w:pPr>
        <w:shd w:val="clear" w:color="auto" w:fill="FFFFFD"/>
        <w:autoSpaceDN w:val="0"/>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Se adjuntan los oficios N°183-FC-2021 del Departamento Financiero Contable, N°DGPN-CIR-0014-2021 y DGPN-0691-2020 de la Dirección General de Presupuesto Nacional.</w:t>
      </w:r>
    </w:p>
    <w:p w14:paraId="25D7E16A" w14:textId="6986806C" w:rsidR="005218C2" w:rsidRPr="002A7673" w:rsidRDefault="005218C2" w:rsidP="005218C2">
      <w:pPr>
        <w:shd w:val="clear" w:color="auto" w:fill="FFFFFD"/>
        <w:autoSpaceDN w:val="0"/>
        <w:spacing w:after="0" w:line="480" w:lineRule="auto"/>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object w:dxaOrig="1508" w:dyaOrig="984" w14:anchorId="07E218A5">
          <v:shape id="_x0000_i1048" type="#_x0000_t75" style="width:78pt;height:52pt" o:ole="">
            <v:imagedata r:id="rId107" o:title=""/>
          </v:shape>
          <o:OLEObject Type="Embed" ProgID="AcroExch.Document.DC" ShapeID="_x0000_i1048" DrawAspect="Icon" ObjectID="_1684066991" r:id="rId108"/>
        </w:object>
      </w:r>
      <w:r w:rsidR="00D445AD" w:rsidRPr="002A7673">
        <w:rPr>
          <w:rFonts w:ascii="Times New Roman" w:hAnsi="Times New Roman" w:cs="Times New Roman"/>
        </w:rPr>
        <w:object w:dxaOrig="1376" w:dyaOrig="893" w14:anchorId="2F347EA3">
          <v:shape id="_x0000_i1049" type="#_x0000_t75" style="width:66.5pt;height:46.5pt" o:ole="">
            <v:imagedata r:id="rId102" o:title=""/>
          </v:shape>
          <o:OLEObject Type="Embed" ProgID="AcroExch.Document.DC" ShapeID="_x0000_i1049" DrawAspect="Icon" ObjectID="_1684066992" r:id="rId109"/>
        </w:object>
      </w:r>
      <w:r w:rsidR="00D445AD" w:rsidRPr="002A7673">
        <w:rPr>
          <w:rFonts w:ascii="Times New Roman" w:hAnsi="Times New Roman" w:cs="Times New Roman"/>
        </w:rPr>
        <w:object w:dxaOrig="1376" w:dyaOrig="893" w14:anchorId="08D998AC">
          <v:shape id="_x0000_i1050" type="#_x0000_t75" style="width:70pt;height:47pt" o:ole="">
            <v:imagedata r:id="rId104" o:title=""/>
          </v:shape>
          <o:OLEObject Type="Embed" ProgID="AcroExch.Document.DC" ShapeID="_x0000_i1050" DrawAspect="Icon" ObjectID="_1684066993" r:id="rId110"/>
        </w:object>
      </w:r>
    </w:p>
    <w:p w14:paraId="2421CB9C" w14:textId="1AC2CFDF" w:rsidR="005218C2" w:rsidRPr="002A7673" w:rsidRDefault="005218C2" w:rsidP="002E697C">
      <w:pPr>
        <w:shd w:val="clear" w:color="auto" w:fill="FFFFFD"/>
        <w:autoSpaceDN w:val="0"/>
        <w:spacing w:after="0" w:line="480" w:lineRule="auto"/>
        <w:ind w:firstLine="709"/>
        <w:jc w:val="both"/>
        <w:rPr>
          <w:rFonts w:ascii="Times New Roman" w:eastAsiaTheme="majorEastAsia" w:hAnsi="Times New Roman" w:cs="Times New Roman"/>
          <w:bCs/>
          <w:sz w:val="28"/>
          <w:szCs w:val="28"/>
        </w:rPr>
      </w:pPr>
      <w:r w:rsidRPr="002A7673">
        <w:rPr>
          <w:rFonts w:ascii="Times New Roman" w:eastAsiaTheme="majorEastAsia" w:hAnsi="Times New Roman" w:cs="Times New Roman"/>
          <w:b/>
          <w:sz w:val="28"/>
          <w:szCs w:val="28"/>
        </w:rPr>
        <w:t>Se acordó</w:t>
      </w:r>
      <w:r w:rsidRPr="002A7673">
        <w:rPr>
          <w:rFonts w:ascii="Times New Roman" w:eastAsiaTheme="majorEastAsia" w:hAnsi="Times New Roman" w:cs="Times New Roman"/>
          <w:bCs/>
          <w:sz w:val="28"/>
          <w:szCs w:val="28"/>
        </w:rPr>
        <w:t xml:space="preserve">: </w:t>
      </w:r>
      <w:r w:rsidRPr="002A7673">
        <w:rPr>
          <w:rFonts w:ascii="Times New Roman" w:eastAsiaTheme="majorEastAsia" w:hAnsi="Times New Roman" w:cs="Times New Roman"/>
          <w:b/>
          <w:sz w:val="28"/>
          <w:szCs w:val="28"/>
        </w:rPr>
        <w:t>1)</w:t>
      </w:r>
      <w:r w:rsidRPr="002A7673">
        <w:rPr>
          <w:rFonts w:ascii="Times New Roman" w:eastAsiaTheme="majorEastAsia" w:hAnsi="Times New Roman" w:cs="Times New Roman"/>
          <w:bCs/>
          <w:sz w:val="28"/>
          <w:szCs w:val="28"/>
        </w:rPr>
        <w:t xml:space="preserve"> Aprobar el tipo de cambio de ¢633,51 (seiscientos treinta y tres colones con cincuenta y un céntimos) sugerido por el Ministerio de Hacienda en la </w:t>
      </w:r>
      <w:r w:rsidRPr="002A7673">
        <w:rPr>
          <w:rFonts w:ascii="Times New Roman" w:eastAsiaTheme="majorEastAsia" w:hAnsi="Times New Roman" w:cs="Times New Roman"/>
          <w:bCs/>
          <w:sz w:val="28"/>
          <w:szCs w:val="28"/>
        </w:rPr>
        <w:lastRenderedPageBreak/>
        <w:t xml:space="preserve">circular DGPN-CIR-0014-2021 para la formulación presupuestaria del 2022. </w:t>
      </w:r>
      <w:r w:rsidRPr="002A7673">
        <w:rPr>
          <w:rFonts w:ascii="Times New Roman" w:eastAsiaTheme="majorEastAsia" w:hAnsi="Times New Roman" w:cs="Times New Roman"/>
          <w:b/>
          <w:sz w:val="28"/>
          <w:szCs w:val="28"/>
        </w:rPr>
        <w:t>2)</w:t>
      </w:r>
      <w:r w:rsidRPr="002A7673">
        <w:rPr>
          <w:rFonts w:ascii="Times New Roman" w:eastAsiaTheme="majorEastAsia" w:hAnsi="Times New Roman" w:cs="Times New Roman"/>
          <w:bCs/>
          <w:sz w:val="28"/>
          <w:szCs w:val="28"/>
        </w:rPr>
        <w:t xml:space="preserve"> Tomar nota de lo relativo a los porcentajes de contribuciones sociales. </w:t>
      </w:r>
      <w:r w:rsidRPr="002A7673">
        <w:rPr>
          <w:rFonts w:ascii="Times New Roman" w:eastAsiaTheme="majorEastAsia" w:hAnsi="Times New Roman" w:cs="Times New Roman"/>
          <w:b/>
          <w:sz w:val="28"/>
          <w:szCs w:val="28"/>
        </w:rPr>
        <w:t>3)</w:t>
      </w:r>
      <w:r w:rsidRPr="002A7673">
        <w:rPr>
          <w:rFonts w:ascii="Times New Roman" w:eastAsiaTheme="majorEastAsia" w:hAnsi="Times New Roman" w:cs="Times New Roman"/>
          <w:bCs/>
          <w:sz w:val="28"/>
          <w:szCs w:val="28"/>
        </w:rPr>
        <w:t xml:space="preserve"> Tomar nota de las consideraciones indicadas por el Ministerio de Hacienda en torno a las programaciones presupuestarias de las instituciones. </w:t>
      </w:r>
      <w:r w:rsidRPr="002A7673">
        <w:rPr>
          <w:rFonts w:ascii="Times New Roman" w:eastAsiaTheme="majorEastAsia" w:hAnsi="Times New Roman" w:cs="Times New Roman"/>
          <w:b/>
          <w:sz w:val="28"/>
          <w:szCs w:val="28"/>
        </w:rPr>
        <w:t>Se declara acuerdo firme.</w:t>
      </w:r>
    </w:p>
    <w:p w14:paraId="27750F43" w14:textId="77777777" w:rsidR="007D1FEF" w:rsidRPr="002A7673" w:rsidRDefault="007D1FEF" w:rsidP="007D1FEF">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X</w:t>
      </w:r>
    </w:p>
    <w:p w14:paraId="75122536" w14:textId="77777777" w:rsidR="007D1FEF" w:rsidRPr="002A7673" w:rsidRDefault="007D1FEF" w:rsidP="007D1FEF">
      <w:pPr>
        <w:autoSpaceDE w:val="0"/>
        <w:autoSpaceDN w:val="0"/>
        <w:adjustRightInd w:val="0"/>
        <w:spacing w:after="0" w:line="480" w:lineRule="auto"/>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4401-2021</w:t>
      </w:r>
    </w:p>
    <w:p w14:paraId="542A90D6" w14:textId="77777777" w:rsidR="007D1FEF" w:rsidRPr="002A7673" w:rsidRDefault="007D1FEF" w:rsidP="007D1FEF">
      <w:pPr>
        <w:spacing w:after="0" w:line="480" w:lineRule="auto"/>
        <w:ind w:firstLine="709"/>
        <w:jc w:val="both"/>
        <w:rPr>
          <w:rFonts w:ascii="Times New Roman" w:hAnsi="Times New Roman" w:cs="Times New Roman"/>
          <w:sz w:val="28"/>
          <w:szCs w:val="28"/>
        </w:rPr>
      </w:pPr>
      <w:bookmarkStart w:id="24" w:name="_Hlk68871219"/>
      <w:r w:rsidRPr="002A7673">
        <w:rPr>
          <w:rFonts w:ascii="Times New Roman" w:hAnsi="Times New Roman" w:cs="Times New Roman"/>
          <w:sz w:val="28"/>
          <w:szCs w:val="28"/>
        </w:rPr>
        <w:t xml:space="preserve">En reunión de trabajo del pasado 16 de abril, la Licenciada Nacira Valverde Bermúdez informó que mediante oficio N°. 150-ODCV-2021, la licenciada Ana Deisy Quirós Barrantes, Fiscala Adjunta-Oficina de Defensa Civil de las Víctimas remitió el detalle de los recursos necesarios para la adquisición de bienes y servicios para el pago de requerimientos económicos urgentes a víctimas, así como recursos para el mejoramiento de la oficina, correspondiente al período 2022; de conformidad con el artículo 35 de la Ley Orgánica del Ministerio Público, por la suma de ¢198.973.372. </w:t>
      </w:r>
    </w:p>
    <w:bookmarkEnd w:id="24"/>
    <w:p w14:paraId="00034447" w14:textId="77777777" w:rsidR="007D1FEF" w:rsidRPr="002A7673" w:rsidRDefault="007D1FEF" w:rsidP="007D1FEF">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Mediante Oficio 332-UAMP-2021 del pasado 24 de febrero los licenciados David Brown Sharpe  y Ana Deisy Quirós Barrantes, Administrador del Ministerio Público y Fiscala adjunta de la Oficina de Defensa Civil de las Víctimas, en su orden, comunicaron a la Unidad de Ingresos Fiscales y Programación Plurianual de la Tesorería Nacional  del Ministerio de Hacienda, el traslado de los recursos del sistema </w:t>
      </w:r>
      <w:r w:rsidRPr="002A7673">
        <w:rPr>
          <w:rFonts w:ascii="Times New Roman" w:hAnsi="Times New Roman" w:cs="Times New Roman"/>
          <w:sz w:val="28"/>
          <w:szCs w:val="28"/>
        </w:rPr>
        <w:lastRenderedPageBreak/>
        <w:t>de depósitos Judiciales de la ODCV por la suma de ¢198.973.372, con el fin de que sean incorporados dichos recursos al presupuesto 2022.</w:t>
      </w:r>
    </w:p>
    <w:p w14:paraId="185F05CD" w14:textId="77777777" w:rsidR="007D1FEF" w:rsidRPr="002A7673" w:rsidRDefault="007D1FEF" w:rsidP="007D1FEF">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Por otra parte, el pasado 05 de marzo del 2021, se recibió de Tesorería Nacional correo de la autorización pagadas de los recursos recibidos de la ODCV, por parte del Ministerio de Hacienda. Se adjunta correo </w:t>
      </w:r>
    </w:p>
    <w:p w14:paraId="106E512F" w14:textId="77777777" w:rsidR="007D1FEF" w:rsidRPr="002A7673" w:rsidRDefault="007D1FEF" w:rsidP="007D1FEF">
      <w:pPr>
        <w:spacing w:after="0" w:line="480" w:lineRule="auto"/>
        <w:ind w:firstLine="709"/>
        <w:rPr>
          <w:rFonts w:ascii="Times New Roman" w:hAnsi="Times New Roman" w:cs="Times New Roman"/>
          <w:sz w:val="28"/>
          <w:szCs w:val="28"/>
        </w:rPr>
      </w:pPr>
    </w:p>
    <w:p w14:paraId="2804D549" w14:textId="1551A093" w:rsidR="007D1FEF" w:rsidRPr="002A7673" w:rsidRDefault="007D1FEF" w:rsidP="00CE52AB">
      <w:pPr>
        <w:spacing w:after="0" w:line="480" w:lineRule="auto"/>
        <w:ind w:firstLine="709"/>
        <w:jc w:val="center"/>
        <w:rPr>
          <w:rFonts w:ascii="Times New Roman" w:hAnsi="Times New Roman" w:cs="Times New Roman"/>
          <w:sz w:val="28"/>
          <w:szCs w:val="28"/>
        </w:rPr>
      </w:pPr>
      <w:r w:rsidRPr="002A7673">
        <w:rPr>
          <w:rFonts w:ascii="Times New Roman" w:hAnsi="Times New Roman" w:cs="Times New Roman"/>
          <w:sz w:val="28"/>
          <w:szCs w:val="28"/>
        </w:rPr>
        <w:object w:dxaOrig="1779" w:dyaOrig="1158" w14:anchorId="71E077F1">
          <v:shape id="_x0000_i1051" type="#_x0000_t75" style="width:89pt;height:57.5pt" o:ole="">
            <v:imagedata r:id="rId111" o:title=""/>
          </v:shape>
          <o:OLEObject Type="Embed" ProgID="AcroExch.Document.DC" ShapeID="_x0000_i1051" DrawAspect="Icon" ObjectID="_1684066994" r:id="rId112"/>
        </w:object>
      </w:r>
    </w:p>
    <w:p w14:paraId="5C772BF5" w14:textId="77777777" w:rsidR="007D1FEF" w:rsidRPr="002A7673" w:rsidRDefault="007D1FEF" w:rsidP="007D1FEF">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Mediante oficio N°. 150-ODCV-2021, la licenciada Ana Deisy Quirós Barrantes, Fiscala Adjunta-Oficina de Defensa Civil de las Víctimas remitió el detalle de los recursos necesarios para la adquisición de bienes y servicios para el pago de económicos urgentes a víctimas, así como recursos para el mejoramiento de la ODCV, correspondiente al período 2022; de conformidad con el Artículo 35 de la Ley Orgánica del Ministerio Público, por la suma de ¢198.973.372. </w:t>
      </w:r>
    </w:p>
    <w:p w14:paraId="62DE390F" w14:textId="6F3EA43C" w:rsidR="007D1FEF" w:rsidRPr="002A7673" w:rsidRDefault="00CE52AB" w:rsidP="007D1FEF">
      <w:pPr>
        <w:spacing w:after="0" w:line="480" w:lineRule="auto"/>
        <w:ind w:firstLine="709"/>
        <w:jc w:val="center"/>
        <w:rPr>
          <w:rFonts w:ascii="Times New Roman" w:hAnsi="Times New Roman" w:cs="Times New Roman"/>
          <w:sz w:val="28"/>
          <w:szCs w:val="28"/>
        </w:rPr>
      </w:pPr>
      <w:r w:rsidRPr="002A7673">
        <w:rPr>
          <w:rFonts w:ascii="Times New Roman" w:hAnsi="Times New Roman" w:cs="Times New Roman"/>
          <w:sz w:val="28"/>
          <w:szCs w:val="28"/>
        </w:rPr>
        <w:object w:dxaOrig="1779" w:dyaOrig="1158" w14:anchorId="4B6658AE">
          <v:shape id="_x0000_i1201" type="#_x0000_t75" style="width:88pt;height:58.5pt" o:ole="">
            <v:imagedata r:id="rId113" o:title=""/>
          </v:shape>
          <o:OLEObject Type="Embed" ProgID="AcroExch.Document.DC" ShapeID="_x0000_i1201" DrawAspect="Icon" ObjectID="_1684066995" r:id="rId114"/>
        </w:object>
      </w:r>
    </w:p>
    <w:p w14:paraId="023FD33D" w14:textId="77777777" w:rsidR="007D1FEF" w:rsidRPr="002A7673" w:rsidRDefault="007D1FEF" w:rsidP="007D1FEF">
      <w:pPr>
        <w:spacing w:after="0" w:line="480" w:lineRule="auto"/>
        <w:jc w:val="both"/>
        <w:rPr>
          <w:rFonts w:ascii="Times New Roman" w:hAnsi="Times New Roman" w:cs="Times New Roman"/>
          <w:sz w:val="28"/>
          <w:szCs w:val="28"/>
        </w:rPr>
      </w:pPr>
      <w:proofErr w:type="gramStart"/>
      <w:r w:rsidRPr="002A7673">
        <w:rPr>
          <w:rFonts w:ascii="Times New Roman" w:hAnsi="Times New Roman" w:cs="Times New Roman"/>
          <w:sz w:val="28"/>
          <w:szCs w:val="28"/>
        </w:rPr>
        <w:t>Finalmente  es</w:t>
      </w:r>
      <w:proofErr w:type="gramEnd"/>
      <w:r w:rsidRPr="002A7673">
        <w:rPr>
          <w:rFonts w:ascii="Times New Roman" w:hAnsi="Times New Roman" w:cs="Times New Roman"/>
          <w:sz w:val="28"/>
          <w:szCs w:val="28"/>
        </w:rPr>
        <w:t xml:space="preserve"> importante indicar que, conforme a la revisión efectuada por el personal del Subproceso de Formulación Presupuestaria y Portafolio de Proyectos </w:t>
      </w:r>
      <w:r w:rsidRPr="002A7673">
        <w:rPr>
          <w:rFonts w:ascii="Times New Roman" w:hAnsi="Times New Roman" w:cs="Times New Roman"/>
          <w:sz w:val="28"/>
          <w:szCs w:val="28"/>
        </w:rPr>
        <w:lastRenderedPageBreak/>
        <w:t>Institucionales  al detalle de los Artículos, Subpartidas y Costos remitido por la ODCV, no se identificaron inconsistencias, por lo que no fue necesario proceder con modificaciones a la información remitida.</w:t>
      </w:r>
    </w:p>
    <w:bookmarkStart w:id="25" w:name="_MON_1679485680"/>
    <w:bookmarkEnd w:id="25"/>
    <w:p w14:paraId="65977604" w14:textId="77777777" w:rsidR="007D1FEF" w:rsidRPr="002A7673" w:rsidRDefault="007D1FEF" w:rsidP="007D1FEF">
      <w:pPr>
        <w:spacing w:after="0" w:line="360" w:lineRule="auto"/>
        <w:jc w:val="center"/>
        <w:rPr>
          <w:rFonts w:ascii="Times New Roman" w:hAnsi="Times New Roman" w:cs="Times New Roman"/>
          <w:sz w:val="28"/>
          <w:szCs w:val="28"/>
        </w:rPr>
      </w:pPr>
      <w:r w:rsidRPr="002A7673">
        <w:rPr>
          <w:rFonts w:ascii="Times New Roman" w:hAnsi="Times New Roman" w:cs="Times New Roman"/>
          <w:sz w:val="28"/>
          <w:szCs w:val="28"/>
        </w:rPr>
        <w:object w:dxaOrig="1779" w:dyaOrig="1158" w14:anchorId="3064D611">
          <v:shape id="_x0000_i1053" type="#_x0000_t75" style="width:89pt;height:58.5pt" o:ole="">
            <v:imagedata r:id="rId115" o:title=""/>
          </v:shape>
          <o:OLEObject Type="Embed" ProgID="Excel.Sheet.12" ShapeID="_x0000_i1053" DrawAspect="Icon" ObjectID="_1684066996" r:id="rId116"/>
        </w:object>
      </w:r>
    </w:p>
    <w:p w14:paraId="7E9773C2" w14:textId="77777777" w:rsidR="007D1FEF" w:rsidRPr="002A7673" w:rsidRDefault="007D1FEF" w:rsidP="007D1FEF">
      <w:pPr>
        <w:spacing w:after="0" w:line="360" w:lineRule="auto"/>
        <w:jc w:val="center"/>
        <w:rPr>
          <w:rFonts w:ascii="Times New Roman" w:hAnsi="Times New Roman" w:cs="Times New Roman"/>
          <w:sz w:val="28"/>
          <w:szCs w:val="28"/>
        </w:rPr>
      </w:pPr>
    </w:p>
    <w:p w14:paraId="1340D76F" w14:textId="77777777" w:rsidR="007D1FEF" w:rsidRPr="002A7673" w:rsidRDefault="007D1FEF" w:rsidP="007D1FEF">
      <w:pPr>
        <w:spacing w:after="0"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 xml:space="preserve">El monto solicitado en el presupuesto de la Defensa Civil de la Víctima es de ¢198.973.372, donde se destaca la inversión de ¢152.598.549 en la Partida de Bienes Duraderos, de los cuales ¢125.000.000, ya se incluyeron en el Área de Construcciones, para realizar el reacondicionamiento eléctrico  del edificio, la instalación de cámaras de seguridad,  así como ¢27.201.360, para la compra de 15 equipos escáner multifuncionales  para las sedes de la ODCV a nivel nacional y ¢397.189, para la compra de una biblioteca de melamina. </w:t>
      </w:r>
    </w:p>
    <w:p w14:paraId="39957DD7" w14:textId="77777777" w:rsidR="007D1FEF" w:rsidRPr="002A7673" w:rsidRDefault="007D1FEF" w:rsidP="007D1FEF">
      <w:pPr>
        <w:spacing w:after="0" w:line="360" w:lineRule="auto"/>
        <w:rPr>
          <w:rFonts w:ascii="Times New Roman" w:hAnsi="Times New Roman" w:cs="Times New Roman"/>
          <w:sz w:val="28"/>
          <w:szCs w:val="28"/>
        </w:rPr>
      </w:pPr>
    </w:p>
    <w:p w14:paraId="370963A5" w14:textId="77777777" w:rsidR="007D1FEF" w:rsidRPr="002A7673" w:rsidRDefault="007D1FEF" w:rsidP="007D1FEF">
      <w:pPr>
        <w:spacing w:after="0" w:line="240" w:lineRule="auto"/>
        <w:jc w:val="center"/>
        <w:rPr>
          <w:rFonts w:ascii="Times New Roman" w:hAnsi="Times New Roman" w:cs="Times New Roman"/>
          <w:sz w:val="28"/>
          <w:szCs w:val="28"/>
        </w:rPr>
      </w:pPr>
      <w:r w:rsidRPr="002A7673">
        <w:rPr>
          <w:rFonts w:ascii="Times New Roman" w:hAnsi="Times New Roman" w:cs="Times New Roman"/>
          <w:sz w:val="28"/>
          <w:szCs w:val="28"/>
        </w:rPr>
        <w:t>-0-</w:t>
      </w:r>
    </w:p>
    <w:p w14:paraId="7E406FCE" w14:textId="77777777" w:rsidR="007D1FEF" w:rsidRPr="002A7673" w:rsidRDefault="007D1FEF" w:rsidP="007D1FEF">
      <w:pPr>
        <w:spacing w:after="0" w:line="360" w:lineRule="auto"/>
        <w:rPr>
          <w:rFonts w:ascii="Times New Roman" w:hAnsi="Times New Roman" w:cs="Times New Roman"/>
          <w:sz w:val="28"/>
          <w:szCs w:val="28"/>
        </w:rPr>
      </w:pPr>
    </w:p>
    <w:p w14:paraId="090E1AE4" w14:textId="77777777" w:rsidR="007D1FEF" w:rsidRPr="002A7673" w:rsidRDefault="007D1FEF" w:rsidP="007D1FEF">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Por su parte, se aclara </w:t>
      </w:r>
      <w:proofErr w:type="gramStart"/>
      <w:r w:rsidRPr="002A7673">
        <w:rPr>
          <w:rFonts w:ascii="Times New Roman" w:hAnsi="Times New Roman" w:cs="Times New Roman"/>
          <w:sz w:val="28"/>
          <w:szCs w:val="28"/>
        </w:rPr>
        <w:t>que</w:t>
      </w:r>
      <w:proofErr w:type="gramEnd"/>
      <w:r w:rsidRPr="002A7673">
        <w:rPr>
          <w:rFonts w:ascii="Times New Roman" w:hAnsi="Times New Roman" w:cs="Times New Roman"/>
          <w:sz w:val="28"/>
          <w:szCs w:val="28"/>
        </w:rPr>
        <w:t xml:space="preserve"> por concepto de honorarios por servicios de la Oficina de Defensa Civil de la Víctima, en el oficio DM-0238-2021 el Ministerio de Hacienda indicó un monto estimado de ¢234,5 millones, que fue lo aprobado para el 2021.  No obstante, conforme el oficio N°150-ODCV-2021, con el detalle de los recursos </w:t>
      </w:r>
      <w:r w:rsidRPr="002A7673">
        <w:rPr>
          <w:rFonts w:ascii="Times New Roman" w:hAnsi="Times New Roman" w:cs="Times New Roman"/>
          <w:sz w:val="28"/>
          <w:szCs w:val="28"/>
        </w:rPr>
        <w:lastRenderedPageBreak/>
        <w:t xml:space="preserve">necesarios para la adquisición de bienes y servicios para el pago de requerimientos económicos urgentes a víctimas, así como recursos para el mejoramiento de la oficina, correspondiente al período 2022, presentado por la suma de ¢198.973.372, cifra que la Oficina de Defensa Civil de la Víctima trasladó a la Tesorería Nacional y que mediante correo electrónico del 08 de marzo pasado la señora </w:t>
      </w:r>
      <w:proofErr w:type="spellStart"/>
      <w:r w:rsidRPr="002A7673">
        <w:rPr>
          <w:rFonts w:ascii="Times New Roman" w:hAnsi="Times New Roman" w:cs="Times New Roman"/>
          <w:sz w:val="28"/>
          <w:szCs w:val="28"/>
        </w:rPr>
        <w:t>Meribeth</w:t>
      </w:r>
      <w:proofErr w:type="spellEnd"/>
      <w:r w:rsidRPr="002A7673">
        <w:rPr>
          <w:rFonts w:ascii="Times New Roman" w:hAnsi="Times New Roman" w:cs="Times New Roman"/>
          <w:sz w:val="28"/>
          <w:szCs w:val="28"/>
        </w:rPr>
        <w:t xml:space="preserve"> Arguedas Muñoz de la Unidad de Control de Ingresos de la Tesorería Nacional los acreditó como recibidos, es decir, un monto inferior al señalado en el oficio DM-0340-DGPN-2021 del Ministerio de Hacienda. </w:t>
      </w:r>
    </w:p>
    <w:p w14:paraId="7D2A436A" w14:textId="77777777" w:rsidR="007D1FEF" w:rsidRPr="002A7673" w:rsidRDefault="007D1FEF" w:rsidP="007D1FEF">
      <w:pPr>
        <w:widowControl w:val="0"/>
        <w:autoSpaceDE w:val="0"/>
        <w:autoSpaceDN w:val="0"/>
        <w:adjustRightInd w:val="0"/>
        <w:spacing w:after="0" w:line="480" w:lineRule="auto"/>
        <w:ind w:firstLine="709"/>
        <w:jc w:val="both"/>
        <w:rPr>
          <w:rFonts w:ascii="Times New Roman" w:eastAsia="Times New Roman" w:hAnsi="Times New Roman" w:cs="Times New Roman"/>
          <w:sz w:val="28"/>
          <w:szCs w:val="28"/>
          <w:lang w:eastAsia="es-CR"/>
        </w:rPr>
      </w:pPr>
      <w:r w:rsidRPr="002A7673">
        <w:rPr>
          <w:rFonts w:ascii="Times New Roman" w:hAnsi="Times New Roman" w:cs="Times New Roman"/>
          <w:sz w:val="28"/>
          <w:szCs w:val="28"/>
          <w:lang w:val="x-none"/>
        </w:rPr>
        <w:t>Manifiesta la licenciada Nacira Valverde Bermúdez: "Agregar que</w:t>
      </w:r>
      <w:r w:rsidRPr="002A7673">
        <w:rPr>
          <w:rFonts w:ascii="Times New Roman" w:hAnsi="Times New Roman" w:cs="Times New Roman"/>
          <w:sz w:val="28"/>
          <w:szCs w:val="28"/>
          <w:lang w:eastAsia="es-CR"/>
        </w:rPr>
        <w:t xml:space="preserve"> nosotros adicionalmente le pusimos que seg</w:t>
      </w:r>
      <w:r w:rsidRPr="002A7673">
        <w:rPr>
          <w:rFonts w:ascii="Times New Roman" w:eastAsia="Times New Roman" w:hAnsi="Times New Roman" w:cs="Times New Roman"/>
          <w:sz w:val="28"/>
          <w:szCs w:val="28"/>
          <w:lang w:eastAsia="es-CR"/>
        </w:rPr>
        <w:t>ún el oficio 238 del 2021, del Ministerio de Hacienda, en el que señala que los montos producto de estos ingresos, deberán ser considerados en el monto total del presupuesto ordinario del Poder Judicial, esto es porque son los recursos adicionales de Atención a Víctimas, entonces, siempre dejar consignado que lo ponemos en el ordinario porque producto de la ley fiscal y las instrucciones del Ministerio de Hacienda así lo indican."</w:t>
      </w:r>
    </w:p>
    <w:p w14:paraId="59692840" w14:textId="77777777" w:rsidR="007D1FEF" w:rsidRPr="002A7673" w:rsidRDefault="007D1FEF" w:rsidP="007D1FEF">
      <w:pPr>
        <w:widowControl w:val="0"/>
        <w:autoSpaceDE w:val="0"/>
        <w:autoSpaceDN w:val="0"/>
        <w:adjustRightInd w:val="0"/>
        <w:spacing w:after="0" w:line="480" w:lineRule="auto"/>
        <w:ind w:firstLine="709"/>
        <w:jc w:val="both"/>
        <w:rPr>
          <w:rFonts w:ascii="Times New Roman" w:eastAsia="Times New Roman" w:hAnsi="Times New Roman" w:cs="Times New Roman"/>
          <w:sz w:val="28"/>
          <w:szCs w:val="28"/>
          <w:lang w:eastAsia="es-CR"/>
        </w:rPr>
      </w:pPr>
      <w:r w:rsidRPr="002A7673">
        <w:rPr>
          <w:rFonts w:ascii="Times New Roman" w:eastAsia="Times New Roman" w:hAnsi="Times New Roman" w:cs="Times New Roman"/>
          <w:sz w:val="28"/>
          <w:szCs w:val="28"/>
          <w:lang w:eastAsia="es-CR"/>
        </w:rPr>
        <w:t>Agrega el Presidente, Magistrado Cruz: "Es decir que, ese ingreso se considera como parte del presupuesto ordinario, como dinero dado por los recursos del Estado Generales, pero aquí no nos da la especificidad."</w:t>
      </w:r>
    </w:p>
    <w:p w14:paraId="323A0B13" w14:textId="77777777" w:rsidR="007D1FEF" w:rsidRPr="002A7673" w:rsidRDefault="007D1FEF" w:rsidP="007D1FEF">
      <w:pPr>
        <w:widowControl w:val="0"/>
        <w:autoSpaceDE w:val="0"/>
        <w:autoSpaceDN w:val="0"/>
        <w:adjustRightInd w:val="0"/>
        <w:spacing w:after="0" w:line="480" w:lineRule="auto"/>
        <w:ind w:firstLine="709"/>
        <w:jc w:val="both"/>
        <w:rPr>
          <w:rFonts w:ascii="Times New Roman" w:eastAsia="Times New Roman" w:hAnsi="Times New Roman" w:cs="Times New Roman"/>
          <w:sz w:val="28"/>
          <w:szCs w:val="28"/>
          <w:lang w:eastAsia="es-CR"/>
        </w:rPr>
      </w:pPr>
      <w:r w:rsidRPr="002A7673">
        <w:rPr>
          <w:rFonts w:ascii="Times New Roman" w:eastAsia="Times New Roman" w:hAnsi="Times New Roman" w:cs="Times New Roman"/>
          <w:sz w:val="28"/>
          <w:szCs w:val="28"/>
          <w:lang w:eastAsia="es-CR"/>
        </w:rPr>
        <w:t>Indica la</w:t>
      </w:r>
      <w:r w:rsidRPr="002A7673">
        <w:rPr>
          <w:rFonts w:ascii="Times New Roman" w:hAnsi="Times New Roman" w:cs="Times New Roman"/>
          <w:sz w:val="28"/>
          <w:szCs w:val="28"/>
          <w:lang w:val="x-none"/>
        </w:rPr>
        <w:t xml:space="preserve"> </w:t>
      </w:r>
      <w:proofErr w:type="spellStart"/>
      <w:r w:rsidRPr="002A7673">
        <w:rPr>
          <w:rFonts w:ascii="Times New Roman" w:hAnsi="Times New Roman" w:cs="Times New Roman"/>
          <w:sz w:val="28"/>
          <w:szCs w:val="28"/>
        </w:rPr>
        <w:t>li</w:t>
      </w:r>
      <w:r w:rsidRPr="002A7673">
        <w:rPr>
          <w:rFonts w:ascii="Times New Roman" w:hAnsi="Times New Roman" w:cs="Times New Roman"/>
          <w:sz w:val="28"/>
          <w:szCs w:val="28"/>
          <w:lang w:val="x-none"/>
        </w:rPr>
        <w:t>cenciada</w:t>
      </w:r>
      <w:proofErr w:type="spellEnd"/>
      <w:r w:rsidRPr="002A7673">
        <w:rPr>
          <w:rFonts w:ascii="Times New Roman" w:hAnsi="Times New Roman" w:cs="Times New Roman"/>
          <w:sz w:val="28"/>
          <w:szCs w:val="28"/>
          <w:lang w:val="x-none"/>
        </w:rPr>
        <w:t xml:space="preserve"> Nacira Valverde Bermúdez</w:t>
      </w:r>
      <w:r w:rsidRPr="002A7673">
        <w:rPr>
          <w:rFonts w:ascii="Times New Roman" w:eastAsia="Times New Roman" w:hAnsi="Times New Roman" w:cs="Times New Roman"/>
          <w:sz w:val="28"/>
          <w:szCs w:val="28"/>
          <w:lang w:eastAsia="es-CR"/>
        </w:rPr>
        <w:t xml:space="preserve">: "No, aquí no nos vale la </w:t>
      </w:r>
      <w:r w:rsidRPr="002A7673">
        <w:rPr>
          <w:rFonts w:ascii="Times New Roman" w:eastAsia="Times New Roman" w:hAnsi="Times New Roman" w:cs="Times New Roman"/>
          <w:sz w:val="28"/>
          <w:szCs w:val="28"/>
          <w:lang w:eastAsia="es-CR"/>
        </w:rPr>
        <w:lastRenderedPageBreak/>
        <w:t xml:space="preserve">especificidad. Entonces, eso se lo agregamos nosotros en la propuesta de acuerdo, para que quedara respaldado que era también producto de la solicitud del Ministerio de Hacienda, no es una decisión nuestra. </w:t>
      </w:r>
      <w:r w:rsidRPr="002A7673">
        <w:rPr>
          <w:rFonts w:ascii="Times New Roman" w:hAnsi="Times New Roman" w:cs="Times New Roman"/>
          <w:sz w:val="28"/>
          <w:szCs w:val="28"/>
          <w:lang w:eastAsia="es-CR"/>
        </w:rPr>
        <w:t xml:space="preserve">Y </w:t>
      </w:r>
      <w:proofErr w:type="gramStart"/>
      <w:r w:rsidRPr="002A7673">
        <w:rPr>
          <w:rFonts w:ascii="Times New Roman" w:hAnsi="Times New Roman" w:cs="Times New Roman"/>
          <w:sz w:val="28"/>
          <w:szCs w:val="28"/>
          <w:lang w:eastAsia="es-CR"/>
        </w:rPr>
        <w:t>en relaci</w:t>
      </w:r>
      <w:r w:rsidRPr="002A7673">
        <w:rPr>
          <w:rFonts w:ascii="Times New Roman" w:eastAsia="Times New Roman" w:hAnsi="Times New Roman" w:cs="Times New Roman"/>
          <w:sz w:val="28"/>
          <w:szCs w:val="28"/>
          <w:lang w:eastAsia="es-CR"/>
        </w:rPr>
        <w:t>ón al</w:t>
      </w:r>
      <w:proofErr w:type="gramEnd"/>
      <w:r w:rsidRPr="002A7673">
        <w:rPr>
          <w:rFonts w:ascii="Times New Roman" w:eastAsia="Times New Roman" w:hAnsi="Times New Roman" w:cs="Times New Roman"/>
          <w:sz w:val="28"/>
          <w:szCs w:val="28"/>
          <w:lang w:eastAsia="es-CR"/>
        </w:rPr>
        <w:t xml:space="preserve"> monto que estamos indicando aquí, de los ¢198.973.372, es el monto que nos remite la certificación que realiza los compañeros de Defensa Civil. El monto que está consignado en el oficio del Ministerio de Hacienda es el monto estimado que ellos incluyen de la solicitud que se realiza del año anterior, de ahí la diferencia."</w:t>
      </w:r>
    </w:p>
    <w:p w14:paraId="77C799FC" w14:textId="77777777" w:rsidR="007D1FEF" w:rsidRPr="002A7673" w:rsidRDefault="007D1FEF" w:rsidP="007D1FEF">
      <w:pPr>
        <w:spacing w:after="0" w:line="240" w:lineRule="auto"/>
        <w:jc w:val="center"/>
        <w:rPr>
          <w:rFonts w:ascii="Times New Roman" w:hAnsi="Times New Roman" w:cs="Times New Roman"/>
          <w:sz w:val="28"/>
          <w:szCs w:val="28"/>
        </w:rPr>
      </w:pPr>
      <w:r w:rsidRPr="002A7673">
        <w:rPr>
          <w:rFonts w:ascii="Times New Roman" w:hAnsi="Times New Roman" w:cs="Times New Roman"/>
          <w:sz w:val="28"/>
          <w:szCs w:val="28"/>
        </w:rPr>
        <w:t>-0-</w:t>
      </w:r>
    </w:p>
    <w:p w14:paraId="3F6B60B1" w14:textId="77777777" w:rsidR="007D1FEF" w:rsidRPr="002A7673" w:rsidRDefault="007D1FEF" w:rsidP="007D1FEF">
      <w:pPr>
        <w:spacing w:after="0" w:line="240" w:lineRule="auto"/>
        <w:ind w:firstLine="708"/>
        <w:rPr>
          <w:rFonts w:ascii="Times New Roman" w:hAnsi="Times New Roman" w:cs="Times New Roman"/>
          <w:b/>
          <w:sz w:val="28"/>
          <w:szCs w:val="28"/>
        </w:rPr>
      </w:pPr>
    </w:p>
    <w:p w14:paraId="547043A8" w14:textId="739AFE92" w:rsidR="007D1FEF" w:rsidRPr="002A7673" w:rsidRDefault="007D1FEF" w:rsidP="007D1FEF">
      <w:pPr>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sz w:val="28"/>
          <w:szCs w:val="28"/>
        </w:rPr>
        <w:t>Se acordó</w:t>
      </w:r>
      <w:r w:rsidRPr="002A7673">
        <w:rPr>
          <w:rFonts w:ascii="Times New Roman" w:hAnsi="Times New Roman" w:cs="Times New Roman"/>
          <w:b/>
          <w:bCs/>
          <w:sz w:val="28"/>
          <w:szCs w:val="28"/>
        </w:rPr>
        <w:t>:</w:t>
      </w:r>
      <w:r w:rsidRPr="002A7673">
        <w:rPr>
          <w:rFonts w:ascii="Times New Roman" w:hAnsi="Times New Roman" w:cs="Times New Roman"/>
          <w:sz w:val="28"/>
          <w:szCs w:val="28"/>
        </w:rPr>
        <w:t xml:space="preserve"> Tomar nota del presupuesto formulado para el 2022 a partir de los ingresos provenientes por concepto de honorarios  de la Oficina de Defensa Civil de las Víctimas y aprobar su incorporación al Anteproyecto de Presupuesto 2022 del Ministerio Público por la suma de ¢198.973.372 (ciento noventa y ocho millones novecientos setenta y tres mil trescientos setenta y dos colones exactos); lo anterior de conformidad con el artículo 35 de la Ley Orgánica del Ministerio Público y el </w:t>
      </w:r>
      <w:r w:rsidRPr="002A7673">
        <w:rPr>
          <w:rFonts w:ascii="Times New Roman" w:hAnsi="Times New Roman" w:cs="Times New Roman"/>
          <w:color w:val="000000"/>
          <w:sz w:val="28"/>
          <w:szCs w:val="28"/>
        </w:rPr>
        <w:t>oficio DM-0238-2021 el Ministerio de Hacienda</w:t>
      </w:r>
      <w:r w:rsidRPr="002A7673">
        <w:rPr>
          <w:rFonts w:ascii="Times New Roman" w:hAnsi="Times New Roman" w:cs="Times New Roman"/>
          <w:sz w:val="28"/>
          <w:szCs w:val="28"/>
        </w:rPr>
        <w:t xml:space="preserve">, en el que señala que los montos producto de estos ingresos deberá ser considerado en el monto total del presupuesto ordinario del Poder Judicial. </w:t>
      </w:r>
      <w:r w:rsidRPr="002A7673">
        <w:rPr>
          <w:rFonts w:ascii="Times New Roman" w:hAnsi="Times New Roman" w:cs="Times New Roman"/>
          <w:b/>
          <w:bCs/>
          <w:sz w:val="28"/>
          <w:szCs w:val="28"/>
        </w:rPr>
        <w:t>Se declara acuerdo firme.</w:t>
      </w:r>
    </w:p>
    <w:p w14:paraId="001B1F3B" w14:textId="77777777" w:rsidR="000254F0" w:rsidRPr="002A7673" w:rsidRDefault="000254F0" w:rsidP="000254F0">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XI</w:t>
      </w:r>
    </w:p>
    <w:p w14:paraId="1B8EB2EB" w14:textId="77777777" w:rsidR="000254F0" w:rsidRPr="002A7673" w:rsidRDefault="000254F0" w:rsidP="000254F0">
      <w:pPr>
        <w:autoSpaceDE w:val="0"/>
        <w:autoSpaceDN w:val="0"/>
        <w:adjustRightInd w:val="0"/>
        <w:spacing w:after="0" w:line="480" w:lineRule="auto"/>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4404-2021</w:t>
      </w:r>
    </w:p>
    <w:p w14:paraId="4C72A854" w14:textId="77777777" w:rsidR="000254F0" w:rsidRPr="002A7673" w:rsidRDefault="000254F0" w:rsidP="000254F0">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 xml:space="preserve">En reunión de trabajo del pasado 23 de abril, </w:t>
      </w:r>
      <w:bookmarkStart w:id="26" w:name="_MON_1651473557"/>
      <w:bookmarkStart w:id="27" w:name="_Toc34639067"/>
      <w:bookmarkStart w:id="28" w:name="_Toc34727187"/>
      <w:bookmarkStart w:id="29" w:name="_Toc34830114"/>
      <w:bookmarkStart w:id="30" w:name="_Toc34903257"/>
      <w:bookmarkStart w:id="31" w:name="_Toc34912949"/>
      <w:bookmarkStart w:id="32" w:name="_Toc34914042"/>
      <w:bookmarkStart w:id="33" w:name="_Toc34639068"/>
      <w:bookmarkStart w:id="34" w:name="_Toc34727188"/>
      <w:bookmarkStart w:id="35" w:name="_Toc34830115"/>
      <w:bookmarkStart w:id="36" w:name="_Toc34903258"/>
      <w:bookmarkStart w:id="37" w:name="_Toc34912950"/>
      <w:bookmarkStart w:id="38" w:name="_Toc34914043"/>
      <w:bookmarkStart w:id="39" w:name="_Toc36214341"/>
      <w:bookmarkStart w:id="40" w:name="_Toc37668860"/>
      <w:bookmarkStart w:id="41" w:name="_Toc37670345"/>
      <w:bookmarkStart w:id="42" w:name="_Toc37670447"/>
      <w:bookmarkStart w:id="43" w:name="_Toc64355585"/>
      <w:bookmarkStart w:id="44" w:name="_Toc64355659"/>
      <w:bookmarkStart w:id="45" w:name="_Toc64355733"/>
      <w:bookmarkStart w:id="46" w:name="_Toc64356109"/>
      <w:bookmarkStart w:id="47" w:name="_Toc65768225"/>
      <w:bookmarkStart w:id="48" w:name="_Toc67301315"/>
      <w:bookmarkStart w:id="49" w:name="_Toc67304717"/>
      <w:bookmarkStart w:id="50" w:name="_Toc67398009"/>
      <w:bookmarkStart w:id="51" w:name="_Toc68688514"/>
      <w:bookmarkStart w:id="52" w:name="_Toc34639069"/>
      <w:bookmarkStart w:id="53" w:name="_Toc34727189"/>
      <w:bookmarkStart w:id="54" w:name="_Toc34830116"/>
      <w:bookmarkStart w:id="55" w:name="_Toc34903259"/>
      <w:bookmarkStart w:id="56" w:name="_Toc34912951"/>
      <w:bookmarkStart w:id="57" w:name="_Toc34914044"/>
      <w:bookmarkStart w:id="58" w:name="_Toc34639070"/>
      <w:bookmarkStart w:id="59" w:name="_Toc34727190"/>
      <w:bookmarkStart w:id="60" w:name="_Toc34830117"/>
      <w:bookmarkStart w:id="61" w:name="_Toc34903260"/>
      <w:bookmarkStart w:id="62" w:name="_Toc34912952"/>
      <w:bookmarkStart w:id="63" w:name="_Toc34914045"/>
      <w:bookmarkStart w:id="64" w:name="_Toc36214342"/>
      <w:bookmarkStart w:id="65" w:name="_Toc34639071"/>
      <w:bookmarkStart w:id="66" w:name="_Toc34727191"/>
      <w:bookmarkStart w:id="67" w:name="_Toc34830118"/>
      <w:bookmarkStart w:id="68" w:name="_Toc34903261"/>
      <w:bookmarkStart w:id="69" w:name="_Toc34912953"/>
      <w:bookmarkStart w:id="70" w:name="_Toc34914046"/>
      <w:bookmarkStart w:id="71" w:name="_Toc36214343"/>
      <w:bookmarkStart w:id="72" w:name="_Toc34639072"/>
      <w:bookmarkStart w:id="73" w:name="_Toc36214344"/>
      <w:bookmarkStart w:id="74" w:name="_Toc34639073"/>
      <w:bookmarkStart w:id="75" w:name="_Toc34727193"/>
      <w:bookmarkStart w:id="76" w:name="_Toc34830120"/>
      <w:bookmarkStart w:id="77" w:name="_Toc34903263"/>
      <w:bookmarkStart w:id="78" w:name="_Toc34912955"/>
      <w:bookmarkStart w:id="79" w:name="_Toc34914048"/>
      <w:bookmarkStart w:id="80" w:name="_Toc36214345"/>
      <w:bookmarkStart w:id="81" w:name="_Toc34639074"/>
      <w:bookmarkStart w:id="82" w:name="_Toc34727194"/>
      <w:bookmarkStart w:id="83" w:name="_Toc34830121"/>
      <w:bookmarkStart w:id="84" w:name="_Toc34903264"/>
      <w:bookmarkStart w:id="85" w:name="_Toc34912956"/>
      <w:bookmarkStart w:id="86" w:name="_Toc34914049"/>
      <w:bookmarkStart w:id="87" w:name="_Toc36214346"/>
      <w:bookmarkStart w:id="88" w:name="_Toc34639075"/>
      <w:bookmarkStart w:id="89" w:name="_Toc34727195"/>
      <w:bookmarkStart w:id="90" w:name="_Toc34830122"/>
      <w:bookmarkStart w:id="91" w:name="_Toc34903265"/>
      <w:bookmarkStart w:id="92" w:name="_Toc34912957"/>
      <w:bookmarkStart w:id="93" w:name="_Toc34914050"/>
      <w:bookmarkStart w:id="94" w:name="_Toc36214347"/>
      <w:bookmarkStart w:id="95" w:name="_Toc34639076"/>
      <w:bookmarkStart w:id="96" w:name="_Toc34727196"/>
      <w:bookmarkStart w:id="97" w:name="_Toc34830123"/>
      <w:bookmarkStart w:id="98" w:name="_Toc34903266"/>
      <w:bookmarkStart w:id="99" w:name="_Toc34912958"/>
      <w:bookmarkStart w:id="100" w:name="_Toc34914051"/>
      <w:bookmarkStart w:id="101" w:name="_Toc36214349"/>
      <w:bookmarkStart w:id="102" w:name="_Toc34639078"/>
      <w:bookmarkStart w:id="103" w:name="_Toc34727198"/>
      <w:bookmarkStart w:id="104" w:name="_Toc34830125"/>
      <w:bookmarkStart w:id="105" w:name="_Toc34903268"/>
      <w:bookmarkStart w:id="106" w:name="_Toc34912960"/>
      <w:bookmarkStart w:id="107" w:name="_Toc34914053"/>
      <w:bookmarkStart w:id="108" w:name="_Toc36214351"/>
      <w:bookmarkStart w:id="109" w:name="_Toc37668863"/>
      <w:bookmarkStart w:id="110" w:name="_Toc37670348"/>
      <w:bookmarkStart w:id="111" w:name="_Toc37670450"/>
      <w:bookmarkStart w:id="112" w:name="_Toc64355588"/>
      <w:bookmarkStart w:id="113" w:name="_Toc64355662"/>
      <w:bookmarkStart w:id="114" w:name="_Toc64355736"/>
      <w:bookmarkStart w:id="115" w:name="_Toc64356112"/>
      <w:bookmarkStart w:id="116" w:name="_Toc65768228"/>
      <w:bookmarkStart w:id="117" w:name="_Toc67301318"/>
      <w:bookmarkStart w:id="118" w:name="_Toc67304720"/>
      <w:bookmarkStart w:id="119" w:name="_Toc67398012"/>
      <w:bookmarkStart w:id="120" w:name="_Toc68688517"/>
      <w:bookmarkStart w:id="121" w:name="_Hlk69304284"/>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rsidRPr="002A7673">
        <w:rPr>
          <w:rFonts w:ascii="Times New Roman" w:hAnsi="Times New Roman" w:cs="Times New Roman"/>
          <w:sz w:val="28"/>
          <w:szCs w:val="28"/>
        </w:rPr>
        <w:t>la licenciada Nacira Valverde Bermúdez,</w:t>
      </w:r>
      <w:r w:rsidRPr="002A7673">
        <w:rPr>
          <w:rFonts w:ascii="Times New Roman" w:hAnsi="Times New Roman" w:cs="Times New Roman"/>
          <w:color w:val="000000"/>
          <w:sz w:val="28"/>
          <w:szCs w:val="28"/>
          <w:shd w:val="clear" w:color="auto" w:fill="FFFFFF"/>
        </w:rPr>
        <w:t xml:space="preserve"> </w:t>
      </w:r>
      <w:r w:rsidRPr="002A7673">
        <w:rPr>
          <w:rFonts w:ascii="Times New Roman" w:hAnsi="Times New Roman" w:cs="Times New Roman"/>
          <w:sz w:val="28"/>
          <w:szCs w:val="28"/>
        </w:rPr>
        <w:t>Directora de Planificación presentó el Informe 436-PLA-RH-MI-2021, estudio relacionado con la actualización del presupuesto 2022-2023 para la implementación de la Ley 9481</w:t>
      </w:r>
      <w:r w:rsidRPr="002A7673">
        <w:rPr>
          <w:rFonts w:ascii="Times New Roman" w:hAnsi="Times New Roman" w:cs="Times New Roman"/>
          <w:i/>
          <w:iCs/>
          <w:sz w:val="28"/>
          <w:szCs w:val="28"/>
        </w:rPr>
        <w:t>: “Creación de la Jurisdicción Especializada en Delincuencia Organizada en Costa Rica”.</w:t>
      </w:r>
      <w:r w:rsidRPr="002A7673">
        <w:rPr>
          <w:rFonts w:ascii="Times New Roman" w:hAnsi="Times New Roman" w:cs="Times New Roman"/>
          <w:sz w:val="28"/>
          <w:szCs w:val="28"/>
        </w:rPr>
        <w:t xml:space="preserve"> </w:t>
      </w:r>
    </w:p>
    <w:p w14:paraId="65B078E1" w14:textId="77777777" w:rsidR="000254F0" w:rsidRPr="002A7673" w:rsidRDefault="000254F0" w:rsidP="000254F0">
      <w:pPr>
        <w:spacing w:after="0" w:line="240" w:lineRule="auto"/>
        <w:ind w:left="851" w:right="851" w:firstLine="709"/>
        <w:rPr>
          <w:rFonts w:ascii="Times New Roman" w:hAnsi="Times New Roman" w:cs="Times New Roman"/>
          <w:snapToGrid w:val="0"/>
          <w:sz w:val="26"/>
          <w:szCs w:val="26"/>
        </w:rPr>
      </w:pPr>
      <w:r w:rsidRPr="002A7673">
        <w:rPr>
          <w:rFonts w:ascii="Times New Roman" w:hAnsi="Times New Roman" w:cs="Times New Roman"/>
          <w:snapToGrid w:val="0"/>
          <w:sz w:val="26"/>
          <w:szCs w:val="26"/>
        </w:rPr>
        <w:t>“(…)</w:t>
      </w:r>
    </w:p>
    <w:p w14:paraId="3E1A2BD3" w14:textId="77777777" w:rsidR="000254F0" w:rsidRPr="002A7673" w:rsidRDefault="000254F0" w:rsidP="000254F0">
      <w:pPr>
        <w:spacing w:after="0" w:line="240" w:lineRule="auto"/>
        <w:ind w:left="851" w:right="851" w:firstLine="709"/>
        <w:rPr>
          <w:rFonts w:ascii="Times New Roman" w:hAnsi="Times New Roman" w:cs="Times New Roman"/>
          <w:snapToGrid w:val="0"/>
          <w:sz w:val="26"/>
          <w:szCs w:val="26"/>
        </w:rPr>
      </w:pPr>
    </w:p>
    <w:p w14:paraId="0D102090" w14:textId="77777777" w:rsidR="000254F0" w:rsidRPr="002A7673" w:rsidRDefault="000254F0" w:rsidP="000254F0">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Mediante acuerdo tomado por el Consejo Superior del Poder Judicial en sesión 11-2021, concretamente en el artículo IX, celebrada el 09 de febrero de 2021, en la cual se conocieron los oficios 277-DE-2021 y 126-PLA-MI-2021 de la Dirección Ejecutiva y la Dirección de Planificación, respectivamente, relacionados con la estructura necesaria para la implementación de la Ley 9481: </w:t>
      </w:r>
      <w:r w:rsidRPr="002A7673">
        <w:rPr>
          <w:rFonts w:ascii="Times New Roman" w:hAnsi="Times New Roman" w:cs="Times New Roman"/>
          <w:i/>
          <w:iCs/>
          <w:sz w:val="26"/>
          <w:szCs w:val="26"/>
        </w:rPr>
        <w:t>“Creación de la Jurisdicción Especializada en Delincuencia Organizada en Costa Rica”</w:t>
      </w:r>
      <w:r w:rsidRPr="002A7673">
        <w:rPr>
          <w:rFonts w:ascii="Times New Roman" w:hAnsi="Times New Roman" w:cs="Times New Roman"/>
          <w:sz w:val="26"/>
          <w:szCs w:val="26"/>
        </w:rPr>
        <w:t>, en el inciso 2 de los acuerdos se dispuso:</w:t>
      </w:r>
    </w:p>
    <w:p w14:paraId="3EBDDECC" w14:textId="77777777" w:rsidR="000254F0" w:rsidRPr="002A7673" w:rsidRDefault="000254F0" w:rsidP="000254F0">
      <w:pPr>
        <w:spacing w:after="0" w:line="240" w:lineRule="auto"/>
        <w:ind w:left="851" w:right="851" w:firstLine="709"/>
        <w:jc w:val="both"/>
        <w:rPr>
          <w:rFonts w:ascii="Times New Roman" w:hAnsi="Times New Roman" w:cs="Times New Roman"/>
          <w:sz w:val="26"/>
          <w:szCs w:val="26"/>
        </w:rPr>
      </w:pPr>
    </w:p>
    <w:p w14:paraId="1E89B899" w14:textId="7D48ED74" w:rsidR="007C4216" w:rsidRPr="002A7673" w:rsidRDefault="000254F0" w:rsidP="000254F0">
      <w:pPr>
        <w:autoSpaceDE w:val="0"/>
        <w:autoSpaceDN w:val="0"/>
        <w:adjustRightInd w:val="0"/>
        <w:spacing w:line="480" w:lineRule="auto"/>
        <w:ind w:firstLine="302"/>
        <w:jc w:val="both"/>
        <w:rPr>
          <w:rFonts w:ascii="Times New Roman" w:hAnsi="Times New Roman" w:cs="Times New Roman"/>
          <w:i/>
          <w:iCs/>
          <w:sz w:val="26"/>
          <w:szCs w:val="26"/>
        </w:rPr>
      </w:pPr>
      <w:r w:rsidRPr="002A7673">
        <w:rPr>
          <w:rFonts w:ascii="Times New Roman" w:hAnsi="Times New Roman" w:cs="Times New Roman"/>
          <w:i/>
          <w:iCs/>
          <w:sz w:val="26"/>
          <w:szCs w:val="26"/>
        </w:rPr>
        <w:t>“2.) Solicitar a la Dirección de Planificación una actualización del presupuesto requerido para la implementación de</w:t>
      </w:r>
    </w:p>
    <w:p w14:paraId="34AD460F" w14:textId="77777777" w:rsidR="00E147EB" w:rsidRPr="002A7673" w:rsidRDefault="00E147EB" w:rsidP="00E147EB">
      <w:pPr>
        <w:spacing w:after="0" w:line="240" w:lineRule="auto"/>
        <w:ind w:left="851" w:right="851" w:firstLine="709"/>
        <w:jc w:val="both"/>
        <w:rPr>
          <w:rFonts w:ascii="Times New Roman" w:hAnsi="Times New Roman" w:cs="Times New Roman"/>
          <w:i/>
          <w:iCs/>
          <w:sz w:val="26"/>
          <w:szCs w:val="26"/>
        </w:rPr>
      </w:pPr>
      <w:bookmarkStart w:id="122" w:name="_Hlk70935561"/>
      <w:r w:rsidRPr="002A7673">
        <w:rPr>
          <w:rFonts w:ascii="Times New Roman" w:hAnsi="Times New Roman" w:cs="Times New Roman"/>
          <w:i/>
          <w:iCs/>
          <w:sz w:val="26"/>
          <w:szCs w:val="26"/>
        </w:rPr>
        <w:t>la citada Ley, con el fin de reducir sus costos, para lo cual deberá coordinar con las instancias y direcciones correspondientes.”.</w:t>
      </w:r>
    </w:p>
    <w:p w14:paraId="76657F7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2ED9010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El 22 de marzo del 2021, por medio del oficio 009-UAOIP/OPO-2021, el máster Walter Espinoza </w:t>
      </w:r>
      <w:proofErr w:type="spellStart"/>
      <w:r w:rsidRPr="002A7673">
        <w:rPr>
          <w:rFonts w:ascii="Times New Roman" w:hAnsi="Times New Roman" w:cs="Times New Roman"/>
          <w:sz w:val="26"/>
          <w:szCs w:val="26"/>
        </w:rPr>
        <w:t>Espinoza</w:t>
      </w:r>
      <w:proofErr w:type="spellEnd"/>
      <w:r w:rsidRPr="002A7673">
        <w:rPr>
          <w:rFonts w:ascii="Times New Roman" w:hAnsi="Times New Roman" w:cs="Times New Roman"/>
          <w:sz w:val="26"/>
          <w:szCs w:val="26"/>
        </w:rPr>
        <w:t>, Director General del Organismo de Investigación Judicial, expuso ante el Consejo Superior del Poder Judicial la preocupación de dicho Organismo ante un error de omisión en la Ley 9481: “Creación de la Jurisdicción Especializada en Delincuencia Organizada en Costa Rica.”, situación que podría tener efectos en inversión presupuestaria o en labores que no correspondería asumir necesariamente al Poder Judicial o al Organismo de Investigación Judicial.</w:t>
      </w:r>
    </w:p>
    <w:p w14:paraId="5608637F"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1ADDDAB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lastRenderedPageBreak/>
        <w:t xml:space="preserve">Concretamente, en dicho oficio se hace referencia al artículo 101 bis de la citada Ley, en el que se indica textualmente: </w:t>
      </w:r>
      <w:r w:rsidRPr="002A7673">
        <w:rPr>
          <w:rFonts w:ascii="Times New Roman" w:hAnsi="Times New Roman" w:cs="Times New Roman"/>
          <w:i/>
          <w:iCs/>
          <w:sz w:val="26"/>
          <w:szCs w:val="26"/>
        </w:rPr>
        <w:t>“…Quienes se desempeñen en esta jurisdicción tendrán protección especial, solamente cuando surjan factores de riesgo por el ejercicio de sus funciones que así lo hagan necesario, según los estudios técnicos respectivos…”</w:t>
      </w:r>
      <w:r w:rsidRPr="002A7673">
        <w:rPr>
          <w:rFonts w:ascii="Times New Roman" w:hAnsi="Times New Roman" w:cs="Times New Roman"/>
          <w:sz w:val="26"/>
          <w:szCs w:val="26"/>
        </w:rPr>
        <w:t>.</w:t>
      </w:r>
    </w:p>
    <w:p w14:paraId="4C1BDD8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640DFEA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Se indica por parte del máster Espinoza </w:t>
      </w:r>
      <w:proofErr w:type="spellStart"/>
      <w:r w:rsidRPr="002A7673">
        <w:rPr>
          <w:rFonts w:ascii="Times New Roman" w:hAnsi="Times New Roman" w:cs="Times New Roman"/>
          <w:sz w:val="26"/>
          <w:szCs w:val="26"/>
        </w:rPr>
        <w:t>Espinoza</w:t>
      </w:r>
      <w:proofErr w:type="spellEnd"/>
      <w:r w:rsidRPr="002A7673">
        <w:rPr>
          <w:rFonts w:ascii="Times New Roman" w:hAnsi="Times New Roman" w:cs="Times New Roman"/>
          <w:sz w:val="26"/>
          <w:szCs w:val="26"/>
        </w:rPr>
        <w:t xml:space="preserve"> que, existe una omisión del Legislador debido a que no hay claridad en la Ley de Jurisdicción Especializada en Delincuencia Organizada sobre cual institución, ente o cuerpo policial es al que le compete brindar los servicios de protección para los servidores judiciales, razón por la cual esa labor puede ser asumida por cualquier cuerpo policial del país y no necesariamente por el Poder Judicial.</w:t>
      </w:r>
    </w:p>
    <w:p w14:paraId="07EEFD26"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6726249"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atención a lo expuesto, el Consejo Superior del Poder Judicial mediante sesión 25-2021 del 25 de marzo del 2021, artículo LXIX, acordó solicitar a la Dirección Jurídica referirse al oficio 009-UAOIP/OPO-2021 en relación con la interpretación de la norma de la Ley 9481, “Creación de la Jurisdicción Especializada en Delincuencia Organizada en Costa Rica.”.</w:t>
      </w:r>
    </w:p>
    <w:p w14:paraId="1D316F4D"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0C879C4A"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Es criterio de la Dirección de Planificación que previo a indicar el recurso definitivo del presupuesto para la Jurisdicción Especializada en Delincuencia Organizada se debería esperar la respuesta de la Dirección Jurídica, no obstante, no se cuenta a la fecha con el criterio solicitado.</w:t>
      </w:r>
    </w:p>
    <w:p w14:paraId="4983890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562C38E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98F65E1"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 Actualización de costos y necesidades por programa presupuestario por impacto de Ley 9481: “Creación de la Jurisdicción Especializada en Delincuencia Organizada en Costa Rica”:</w:t>
      </w:r>
    </w:p>
    <w:p w14:paraId="0D446DE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15386EC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30FE0BC1"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En atención a lo dispuesto por el Consejo Superior, la Dirección de Planificación mediante correos electrónicos del 17 de febrero de 2021 solicitó a las administraciones y personal encargado de cada uno de los ámbitos, a saber, Dirección Ejecutiva, Organismo de Investigación Judicial, Ministerio Público, Defensa Pública, Oficina de Atención y Protección a la Víctima del Delito, Escuela Judicial, Gestión Humana y Dirección de Tecnología de Información, la revisión y actualización de los requerimientos y costos aprobados inicialmente por el Consejo Superior en sesión 45-2020, artículo XXI y posteriormente por Corte Plena en sesión 31-2020, artículo II, donde se aprobó el informe 658-PLA-RH-MI-2020 de la Dirección de Planificación, </w:t>
      </w:r>
      <w:r w:rsidRPr="002A7673">
        <w:rPr>
          <w:rFonts w:ascii="Times New Roman" w:hAnsi="Times New Roman" w:cs="Times New Roman"/>
          <w:sz w:val="26"/>
          <w:szCs w:val="26"/>
          <w:lang w:val="es-ES"/>
        </w:rPr>
        <w:lastRenderedPageBreak/>
        <w:t>en relación con la última actualización del presupuesto ordinario 2021, lo anterior, tomando en consideración lo manifestado por el Consejo Superior en cuanto a reducción de costos y contemplando las nuevas conformaciones de trabajo y teletrabajo en ocasión de la pandemia por COVID-19, así como los rediseños que ha implementado la institución para el optimizar el uso de los recursos.</w:t>
      </w:r>
    </w:p>
    <w:p w14:paraId="1D15A79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62CAC90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 acuerdo con la información remitida por las administraciones de los distintos ámbitos involucrados, se detallarán los ajustes o cambios realizados en cada uno de los programas presupuestarios en comparación con el último presupuesto aprobado para el 2021.</w:t>
      </w:r>
    </w:p>
    <w:p w14:paraId="188E2F51"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Es importante indicar que, según lo dispuesto por el Consejo Superior en la sesión 21-2021 del 12 de marzo de 2021, artículo XI, la presente actualización de costos se debe proyectar como un presupuesto paralelo o complementario al ordinario de la institución, no obstante, según se expone en el oficio S-CJEDO-07-2021 de la Subcomisión de Delincuencia Organizada, la previsión íntegra de los recursos que se expondrán </w:t>
      </w:r>
      <w:r w:rsidRPr="002A7673">
        <w:rPr>
          <w:rFonts w:ascii="Times New Roman" w:hAnsi="Times New Roman" w:cs="Times New Roman"/>
          <w:sz w:val="26"/>
          <w:szCs w:val="26"/>
          <w:highlight w:val="lightGray"/>
          <w:u w:val="single"/>
        </w:rPr>
        <w:t>debe ser incluida como parte del presupuesto ordinario institucional</w:t>
      </w:r>
      <w:r w:rsidRPr="002A7673">
        <w:rPr>
          <w:rFonts w:ascii="Times New Roman" w:hAnsi="Times New Roman" w:cs="Times New Roman"/>
          <w:sz w:val="26"/>
          <w:szCs w:val="26"/>
        </w:rPr>
        <w:t>, debido a la urgencia que se tiene como país de implementar la tan esencial y esperada Jurisdicción Especializada de Delincuencia Organizada ante la gran cantidad de afectaciones que como consecuencia del fenómeno criminal impactan en la seguridad pública.</w:t>
      </w:r>
    </w:p>
    <w:p w14:paraId="21B9E4E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38E7D40"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Sumado a lo anterior, la Dirección de Planificación se adhiere a la urgencia de la implementación de los recursos presupuestarios que le permitan al Poder Judicial atender los delitos relacionados a delincuencia organizada tal como se indica  en el oficio de la Subcomisión de Delincuencia Organizada (S-CJEDO-07-2021) y, se hace la observación que se han realizado diferentes estudios técnicos que se han pospuesto desde la creación de la ley y para lo cual esta Dirección ha tenido que realizar distintos escenarios y actualizaciones durante cada uno de los periodos presupuestarios.</w:t>
      </w:r>
    </w:p>
    <w:p w14:paraId="3C68079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DF747A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En línea con lo anterior y teniendo como base la reforma a la </w:t>
      </w:r>
      <w:proofErr w:type="gramStart"/>
      <w:r w:rsidRPr="002A7673">
        <w:rPr>
          <w:rFonts w:ascii="Times New Roman" w:hAnsi="Times New Roman" w:cs="Times New Roman"/>
          <w:sz w:val="26"/>
          <w:szCs w:val="26"/>
        </w:rPr>
        <w:t>entrada en vigencia</w:t>
      </w:r>
      <w:proofErr w:type="gramEnd"/>
      <w:r w:rsidRPr="002A7673">
        <w:rPr>
          <w:rFonts w:ascii="Times New Roman" w:hAnsi="Times New Roman" w:cs="Times New Roman"/>
          <w:sz w:val="26"/>
          <w:szCs w:val="26"/>
        </w:rPr>
        <w:t xml:space="preserve"> de la Ley N.º 9481, donde se dispuso que </w:t>
      </w:r>
      <w:r w:rsidRPr="002A7673">
        <w:rPr>
          <w:rFonts w:ascii="Times New Roman" w:hAnsi="Times New Roman" w:cs="Times New Roman"/>
          <w:i/>
          <w:iCs/>
          <w:sz w:val="26"/>
          <w:szCs w:val="26"/>
        </w:rPr>
        <w:t>“…Entrará en vigencia dieciocho meses después de que se haya otorgado el presupuesto necesario para su implementación, conforme a los estudios técnicos del Poder Judicial…”,</w:t>
      </w:r>
      <w:r w:rsidRPr="002A7673">
        <w:rPr>
          <w:rFonts w:ascii="Times New Roman" w:hAnsi="Times New Roman" w:cs="Times New Roman"/>
          <w:sz w:val="26"/>
          <w:szCs w:val="26"/>
        </w:rPr>
        <w:t xml:space="preserve"> se contempla para su implementación dos fases o etapas correspondientes al periodo comprendido entre enero del 2022 y junio del 2023 (18 meses), para iniciar la nueva Jurisdicción en julio del 2023.</w:t>
      </w:r>
    </w:p>
    <w:p w14:paraId="1285974F"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2A0A7510"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1.1 Programa 926 (Dirección, Administración y otros Órganos de Apoyo):</w:t>
      </w:r>
    </w:p>
    <w:p w14:paraId="6E39A59A"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3492E70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rPr>
        <w:t xml:space="preserve">A continuación, se detallan los costos, necesidades y variaciones de las </w:t>
      </w:r>
      <w:r w:rsidRPr="002A7673">
        <w:rPr>
          <w:rFonts w:ascii="Times New Roman" w:hAnsi="Times New Roman" w:cs="Times New Roman"/>
          <w:sz w:val="26"/>
          <w:szCs w:val="26"/>
          <w:lang w:val="es-ES"/>
        </w:rPr>
        <w:t>oficinas involucradas en la implementación de la Ley 9481 que pertenecen al Programa 926:</w:t>
      </w:r>
    </w:p>
    <w:p w14:paraId="02B5C88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12DB3D89"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1.1.1 Escuela Judicial:</w:t>
      </w:r>
    </w:p>
    <w:p w14:paraId="7FD47DB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15E8019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El 3 de marzo del 2021 se recibió un correo electrónico de la Escuela Judicial con el detalle de la proyección de necesidades para la ejecución de un Programa de Especialización en Delincuencia Organizada, el cual según indicación de doña Rebeca Guardia Morales, Directora </w:t>
      </w:r>
      <w:proofErr w:type="spellStart"/>
      <w:r w:rsidRPr="002A7673">
        <w:rPr>
          <w:rFonts w:ascii="Times New Roman" w:hAnsi="Times New Roman" w:cs="Times New Roman"/>
          <w:sz w:val="26"/>
          <w:szCs w:val="26"/>
          <w:lang w:val="es-ES"/>
        </w:rPr>
        <w:t>a.i.</w:t>
      </w:r>
      <w:proofErr w:type="spellEnd"/>
      <w:r w:rsidRPr="002A7673">
        <w:rPr>
          <w:rFonts w:ascii="Times New Roman" w:hAnsi="Times New Roman" w:cs="Times New Roman"/>
          <w:sz w:val="26"/>
          <w:szCs w:val="26"/>
          <w:lang w:val="es-ES"/>
        </w:rPr>
        <w:t xml:space="preserve"> de la Escuela Judicial, es una propuesta que está siendo valorada por la Subcomisión de Delincuencia Organizada.</w:t>
      </w:r>
    </w:p>
    <w:p w14:paraId="0091E08A"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775FCA13"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Esta propuesta de la Escuela Judicial refiere que, los recursos que se están solicitando se destinarían estrictamente al proceso de ejecución mientras que el diseño del Programa se realizaría con recursos ordinarios de la Escuela Judicial. La capacitación estaría destinada únicamente para el personal de la Judicatura, concretamente para </w:t>
      </w:r>
      <w:proofErr w:type="gramStart"/>
      <w:r w:rsidRPr="002A7673">
        <w:rPr>
          <w:rFonts w:ascii="Times New Roman" w:hAnsi="Times New Roman" w:cs="Times New Roman"/>
          <w:sz w:val="26"/>
          <w:szCs w:val="26"/>
          <w:lang w:val="es-ES"/>
        </w:rPr>
        <w:t>las Juezas y Jueces</w:t>
      </w:r>
      <w:proofErr w:type="gramEnd"/>
      <w:r w:rsidRPr="002A7673">
        <w:rPr>
          <w:rFonts w:ascii="Times New Roman" w:hAnsi="Times New Roman" w:cs="Times New Roman"/>
          <w:sz w:val="26"/>
          <w:szCs w:val="26"/>
          <w:lang w:val="es-ES"/>
        </w:rPr>
        <w:t xml:space="preserve"> del Juzgado Penal, Tribunal Penal y Tribunal Penal de Apelaciones, todos especializados en delincuencia organizada, además de 7 Profesionales en Derecho 3B (personas letradas) y se estaría desarrollando de manera bimodal (presencial y virtual), con asistencia a la clase presencial una vez a la semana durante 4 meses (16 semanas).</w:t>
      </w:r>
    </w:p>
    <w:p w14:paraId="30D820B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6E6C859D"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En tal sentido, para realizar la capacitación se requiere contar con recursos económicos destinados a gastos de viaje y transporte (viáticos que incluyen hospedaje, dos tiempos de alimentación y transporte); gastos de tiquetes de alimentación</w:t>
      </w:r>
      <w:r w:rsidRPr="002A7673">
        <w:rPr>
          <w:rFonts w:ascii="Times New Roman" w:hAnsi="Times New Roman" w:cs="Times New Roman"/>
          <w:sz w:val="26"/>
          <w:szCs w:val="26"/>
          <w:vertAlign w:val="superscript"/>
        </w:rPr>
        <w:footnoteReference w:id="2"/>
      </w:r>
      <w:r w:rsidRPr="002A7673">
        <w:rPr>
          <w:rFonts w:ascii="Times New Roman" w:hAnsi="Times New Roman" w:cs="Times New Roman"/>
          <w:sz w:val="26"/>
          <w:szCs w:val="26"/>
          <w:lang w:val="es-ES"/>
        </w:rPr>
        <w:t xml:space="preserve"> (almuerzo) y los recursos de sustitución de personal, tanto para sustituir al personal juzgador que se capacitará, como también, para sustituir al personal facilitador. En este último punto, la Escuela Judicial indicó que, se requiere realizar una modificación del personal facilitador según se muestra en la siguiente tabla:</w:t>
      </w:r>
    </w:p>
    <w:p w14:paraId="544ED683" w14:textId="77777777" w:rsidR="00E147EB" w:rsidRPr="002A7673" w:rsidRDefault="00E147EB" w:rsidP="00E147EB">
      <w:pPr>
        <w:spacing w:after="0" w:line="240" w:lineRule="auto"/>
        <w:jc w:val="both"/>
        <w:rPr>
          <w:rFonts w:ascii="Times New Roman" w:hAnsi="Times New Roman" w:cs="Times New Roman"/>
          <w:sz w:val="24"/>
          <w:szCs w:val="24"/>
          <w:lang w:val="es-ES"/>
        </w:rPr>
      </w:pPr>
    </w:p>
    <w:p w14:paraId="6F8850CE" w14:textId="77777777" w:rsidR="00E147EB" w:rsidRPr="002A7673" w:rsidRDefault="00E147EB" w:rsidP="00E147EB">
      <w:pPr>
        <w:spacing w:after="0" w:line="240" w:lineRule="auto"/>
        <w:jc w:val="center"/>
        <w:rPr>
          <w:rFonts w:ascii="Times New Roman" w:hAnsi="Times New Roman" w:cs="Times New Roman"/>
        </w:rPr>
      </w:pPr>
      <w:r w:rsidRPr="002A7673">
        <w:rPr>
          <w:rFonts w:ascii="Times New Roman" w:hAnsi="Times New Roman" w:cs="Times New Roman"/>
        </w:rPr>
        <w:lastRenderedPageBreak/>
        <w:t xml:space="preserve">Tabla </w:t>
      </w:r>
      <w:r w:rsidRPr="002A7673">
        <w:rPr>
          <w:rFonts w:ascii="Times New Roman" w:hAnsi="Times New Roman" w:cs="Times New Roman"/>
        </w:rPr>
        <w:fldChar w:fldCharType="begin"/>
      </w:r>
      <w:r w:rsidRPr="002A7673">
        <w:rPr>
          <w:rFonts w:ascii="Times New Roman" w:hAnsi="Times New Roman" w:cs="Times New Roman"/>
        </w:rPr>
        <w:instrText xml:space="preserve"> SEQ Tabla \* ARABIC </w:instrText>
      </w:r>
      <w:r w:rsidRPr="002A7673">
        <w:rPr>
          <w:rFonts w:ascii="Times New Roman" w:hAnsi="Times New Roman" w:cs="Times New Roman"/>
        </w:rPr>
        <w:fldChar w:fldCharType="separate"/>
      </w:r>
      <w:r w:rsidRPr="002A7673">
        <w:rPr>
          <w:rFonts w:ascii="Times New Roman" w:hAnsi="Times New Roman" w:cs="Times New Roman"/>
          <w:noProof/>
        </w:rPr>
        <w:t>1</w:t>
      </w:r>
      <w:r w:rsidRPr="002A7673">
        <w:rPr>
          <w:rFonts w:ascii="Times New Roman" w:hAnsi="Times New Roman" w:cs="Times New Roman"/>
        </w:rPr>
        <w:fldChar w:fldCharType="end"/>
      </w:r>
      <w:r w:rsidRPr="002A7673">
        <w:rPr>
          <w:rFonts w:ascii="Times New Roman" w:hAnsi="Times New Roman" w:cs="Times New Roman"/>
        </w:rPr>
        <w:t>: Datos de la Escuela Judicial en relación con el personal requerido</w:t>
      </w:r>
    </w:p>
    <w:p w14:paraId="5B90DA48" w14:textId="77777777" w:rsidR="00E147EB" w:rsidRPr="002A7673" w:rsidRDefault="00E147EB" w:rsidP="00E147EB">
      <w:pPr>
        <w:spacing w:after="0" w:line="240" w:lineRule="auto"/>
        <w:jc w:val="center"/>
        <w:rPr>
          <w:rFonts w:ascii="Times New Roman" w:hAnsi="Times New Roman" w:cs="Times New Roman"/>
          <w:sz w:val="24"/>
          <w:szCs w:val="24"/>
          <w:lang w:val="es-ES"/>
        </w:rPr>
      </w:pPr>
    </w:p>
    <w:tbl>
      <w:tblPr>
        <w:tblW w:w="7933" w:type="dxa"/>
        <w:jc w:val="center"/>
        <w:tblCellMar>
          <w:left w:w="70" w:type="dxa"/>
          <w:right w:w="70" w:type="dxa"/>
        </w:tblCellMar>
        <w:tblLook w:val="04A0" w:firstRow="1" w:lastRow="0" w:firstColumn="1" w:lastColumn="0" w:noHBand="0" w:noVBand="1"/>
      </w:tblPr>
      <w:tblGrid>
        <w:gridCol w:w="1980"/>
        <w:gridCol w:w="1134"/>
        <w:gridCol w:w="3827"/>
        <w:gridCol w:w="992"/>
      </w:tblGrid>
      <w:tr w:rsidR="00E147EB" w:rsidRPr="002A7673" w14:paraId="4B7EC2C9" w14:textId="77777777" w:rsidTr="0048334E">
        <w:trPr>
          <w:trHeight w:val="600"/>
          <w:jc w:val="center"/>
        </w:trPr>
        <w:tc>
          <w:tcPr>
            <w:tcW w:w="198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5F12E847"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Escuela Judicial</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7365C9C0"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Cantidad de Plazas</w:t>
            </w:r>
          </w:p>
        </w:tc>
        <w:tc>
          <w:tcPr>
            <w:tcW w:w="3827" w:type="dxa"/>
            <w:tcBorders>
              <w:top w:val="single" w:sz="4" w:space="0" w:color="auto"/>
              <w:left w:val="nil"/>
              <w:bottom w:val="single" w:sz="4" w:space="0" w:color="auto"/>
              <w:right w:val="single" w:sz="4" w:space="0" w:color="auto"/>
            </w:tcBorders>
            <w:shd w:val="clear" w:color="000000" w:fill="D6DCE4"/>
            <w:vAlign w:val="center"/>
            <w:hideMark/>
          </w:tcPr>
          <w:p w14:paraId="22F9C26A"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Tipo de plaza</w:t>
            </w:r>
          </w:p>
        </w:tc>
        <w:tc>
          <w:tcPr>
            <w:tcW w:w="992" w:type="dxa"/>
            <w:tcBorders>
              <w:top w:val="single" w:sz="4" w:space="0" w:color="auto"/>
              <w:left w:val="nil"/>
              <w:bottom w:val="single" w:sz="4" w:space="0" w:color="auto"/>
              <w:right w:val="single" w:sz="4" w:space="0" w:color="auto"/>
            </w:tcBorders>
            <w:shd w:val="clear" w:color="000000" w:fill="D6DCE4"/>
            <w:vAlign w:val="center"/>
            <w:hideMark/>
          </w:tcPr>
          <w:p w14:paraId="62A41321"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Período</w:t>
            </w:r>
          </w:p>
        </w:tc>
      </w:tr>
      <w:tr w:rsidR="00E147EB" w:rsidRPr="002A7673" w14:paraId="6A2BBE36" w14:textId="77777777" w:rsidTr="0048334E">
        <w:trPr>
          <w:trHeight w:val="390"/>
          <w:jc w:val="center"/>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14:paraId="59038524" w14:textId="77777777" w:rsidR="00E147EB" w:rsidRPr="002A7673" w:rsidRDefault="00E147EB"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t>Aprobado 2021</w:t>
            </w:r>
          </w:p>
        </w:tc>
        <w:tc>
          <w:tcPr>
            <w:tcW w:w="1134" w:type="dxa"/>
            <w:tcBorders>
              <w:top w:val="nil"/>
              <w:left w:val="nil"/>
              <w:bottom w:val="single" w:sz="4" w:space="0" w:color="auto"/>
              <w:right w:val="single" w:sz="4" w:space="0" w:color="auto"/>
            </w:tcBorders>
            <w:shd w:val="clear" w:color="auto" w:fill="auto"/>
            <w:vAlign w:val="center"/>
            <w:hideMark/>
          </w:tcPr>
          <w:p w14:paraId="77179409" w14:textId="77777777" w:rsidR="00E147EB" w:rsidRPr="002A7673" w:rsidRDefault="00E147EB"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5E9714EE"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Juezas o Jueces 5</w:t>
            </w:r>
          </w:p>
        </w:tc>
        <w:tc>
          <w:tcPr>
            <w:tcW w:w="992" w:type="dxa"/>
            <w:tcBorders>
              <w:top w:val="nil"/>
              <w:left w:val="nil"/>
              <w:bottom w:val="single" w:sz="4" w:space="0" w:color="auto"/>
              <w:right w:val="single" w:sz="4" w:space="0" w:color="auto"/>
            </w:tcBorders>
            <w:shd w:val="clear" w:color="auto" w:fill="auto"/>
            <w:vAlign w:val="center"/>
            <w:hideMark/>
          </w:tcPr>
          <w:p w14:paraId="650ACB72"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3 meses</w:t>
            </w:r>
          </w:p>
        </w:tc>
      </w:tr>
      <w:tr w:rsidR="00E147EB" w:rsidRPr="002A7673" w14:paraId="6A0A8E32" w14:textId="77777777" w:rsidTr="0048334E">
        <w:trPr>
          <w:trHeight w:val="630"/>
          <w:jc w:val="center"/>
        </w:trPr>
        <w:tc>
          <w:tcPr>
            <w:tcW w:w="1980" w:type="dxa"/>
            <w:vMerge/>
            <w:tcBorders>
              <w:top w:val="nil"/>
              <w:left w:val="single" w:sz="4" w:space="0" w:color="auto"/>
              <w:bottom w:val="single" w:sz="4" w:space="0" w:color="auto"/>
              <w:right w:val="single" w:sz="4" w:space="0" w:color="auto"/>
            </w:tcBorders>
            <w:vAlign w:val="center"/>
            <w:hideMark/>
          </w:tcPr>
          <w:p w14:paraId="2B2D09BE" w14:textId="77777777" w:rsidR="00E147EB" w:rsidRPr="002A7673" w:rsidRDefault="00E147EB" w:rsidP="0048334E">
            <w:pPr>
              <w:spacing w:after="0" w:line="240" w:lineRule="auto"/>
              <w:rPr>
                <w:rFonts w:ascii="Times New Roman" w:hAnsi="Times New Roman" w:cs="Times New Roman"/>
                <w:color w:val="000000"/>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79DB759E" w14:textId="77777777" w:rsidR="00E147EB" w:rsidRPr="002A7673" w:rsidRDefault="00E147EB"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733C260E"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Gestor de Capacitación 2 (Profesional en Métodos de Enseñanza)</w:t>
            </w:r>
          </w:p>
        </w:tc>
        <w:tc>
          <w:tcPr>
            <w:tcW w:w="992" w:type="dxa"/>
            <w:tcBorders>
              <w:top w:val="nil"/>
              <w:left w:val="nil"/>
              <w:bottom w:val="single" w:sz="4" w:space="0" w:color="auto"/>
              <w:right w:val="single" w:sz="4" w:space="0" w:color="auto"/>
            </w:tcBorders>
            <w:shd w:val="clear" w:color="auto" w:fill="auto"/>
            <w:vAlign w:val="center"/>
            <w:hideMark/>
          </w:tcPr>
          <w:p w14:paraId="658CEA6F"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3 meses</w:t>
            </w:r>
          </w:p>
        </w:tc>
      </w:tr>
      <w:tr w:rsidR="00E147EB" w:rsidRPr="002A7673" w14:paraId="2DC7479C" w14:textId="77777777" w:rsidTr="0048334E">
        <w:trPr>
          <w:trHeight w:val="390"/>
          <w:jc w:val="center"/>
        </w:trPr>
        <w:tc>
          <w:tcPr>
            <w:tcW w:w="1980" w:type="dxa"/>
            <w:vMerge/>
            <w:tcBorders>
              <w:top w:val="nil"/>
              <w:left w:val="single" w:sz="4" w:space="0" w:color="auto"/>
              <w:bottom w:val="single" w:sz="4" w:space="0" w:color="auto"/>
              <w:right w:val="single" w:sz="4" w:space="0" w:color="auto"/>
            </w:tcBorders>
            <w:vAlign w:val="center"/>
            <w:hideMark/>
          </w:tcPr>
          <w:p w14:paraId="31FE0741" w14:textId="77777777" w:rsidR="00E147EB" w:rsidRPr="002A7673" w:rsidRDefault="00E147EB" w:rsidP="0048334E">
            <w:pPr>
              <w:spacing w:after="0" w:line="240" w:lineRule="auto"/>
              <w:rPr>
                <w:rFonts w:ascii="Times New Roman" w:hAnsi="Times New Roman" w:cs="Times New Roman"/>
                <w:color w:val="000000"/>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79692273" w14:textId="77777777" w:rsidR="00E147EB" w:rsidRPr="002A7673" w:rsidRDefault="00E147EB"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515B8DD0"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Técnico Administrativo 3</w:t>
            </w:r>
          </w:p>
        </w:tc>
        <w:tc>
          <w:tcPr>
            <w:tcW w:w="992" w:type="dxa"/>
            <w:tcBorders>
              <w:top w:val="nil"/>
              <w:left w:val="nil"/>
              <w:bottom w:val="single" w:sz="4" w:space="0" w:color="auto"/>
              <w:right w:val="single" w:sz="4" w:space="0" w:color="auto"/>
            </w:tcBorders>
            <w:shd w:val="clear" w:color="auto" w:fill="auto"/>
            <w:vAlign w:val="center"/>
            <w:hideMark/>
          </w:tcPr>
          <w:p w14:paraId="405C3E1A"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3 meses</w:t>
            </w:r>
          </w:p>
        </w:tc>
      </w:tr>
      <w:tr w:rsidR="00E147EB" w:rsidRPr="002A7673" w14:paraId="7AB8CFAF" w14:textId="77777777" w:rsidTr="0048334E">
        <w:trPr>
          <w:trHeight w:val="465"/>
          <w:jc w:val="center"/>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14:paraId="5112EF2E" w14:textId="77777777" w:rsidR="00E147EB" w:rsidRPr="002A7673" w:rsidRDefault="00E147EB"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Actualización: Plazas solicitadas para 2022</w:t>
            </w:r>
          </w:p>
        </w:tc>
        <w:tc>
          <w:tcPr>
            <w:tcW w:w="1134" w:type="dxa"/>
            <w:tcBorders>
              <w:top w:val="nil"/>
              <w:left w:val="nil"/>
              <w:bottom w:val="single" w:sz="4" w:space="0" w:color="auto"/>
              <w:right w:val="single" w:sz="4" w:space="0" w:color="auto"/>
            </w:tcBorders>
            <w:shd w:val="clear" w:color="auto" w:fill="auto"/>
            <w:vAlign w:val="center"/>
            <w:hideMark/>
          </w:tcPr>
          <w:p w14:paraId="5E6EAACD"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2</w:t>
            </w:r>
          </w:p>
        </w:tc>
        <w:tc>
          <w:tcPr>
            <w:tcW w:w="3827" w:type="dxa"/>
            <w:tcBorders>
              <w:top w:val="nil"/>
              <w:left w:val="nil"/>
              <w:bottom w:val="single" w:sz="4" w:space="0" w:color="auto"/>
              <w:right w:val="single" w:sz="4" w:space="0" w:color="auto"/>
            </w:tcBorders>
            <w:shd w:val="clear" w:color="auto" w:fill="auto"/>
            <w:vAlign w:val="center"/>
            <w:hideMark/>
          </w:tcPr>
          <w:p w14:paraId="569B5450"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Juezas o Jueces 4</w:t>
            </w:r>
          </w:p>
        </w:tc>
        <w:tc>
          <w:tcPr>
            <w:tcW w:w="992" w:type="dxa"/>
            <w:tcBorders>
              <w:top w:val="nil"/>
              <w:left w:val="nil"/>
              <w:bottom w:val="single" w:sz="4" w:space="0" w:color="auto"/>
              <w:right w:val="single" w:sz="4" w:space="0" w:color="auto"/>
            </w:tcBorders>
            <w:shd w:val="clear" w:color="auto" w:fill="auto"/>
            <w:vAlign w:val="center"/>
            <w:hideMark/>
          </w:tcPr>
          <w:p w14:paraId="1FFE52BD"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6 meses</w:t>
            </w:r>
          </w:p>
        </w:tc>
      </w:tr>
      <w:tr w:rsidR="00E147EB" w:rsidRPr="002A7673" w14:paraId="5BB2C7F8" w14:textId="77777777" w:rsidTr="0048334E">
        <w:trPr>
          <w:trHeight w:val="435"/>
          <w:jc w:val="center"/>
        </w:trPr>
        <w:tc>
          <w:tcPr>
            <w:tcW w:w="1980" w:type="dxa"/>
            <w:vMerge/>
            <w:tcBorders>
              <w:top w:val="nil"/>
              <w:left w:val="single" w:sz="4" w:space="0" w:color="auto"/>
              <w:bottom w:val="single" w:sz="4" w:space="0" w:color="auto"/>
              <w:right w:val="single" w:sz="4" w:space="0" w:color="auto"/>
            </w:tcBorders>
            <w:vAlign w:val="center"/>
            <w:hideMark/>
          </w:tcPr>
          <w:p w14:paraId="1F04612A" w14:textId="77777777" w:rsidR="00E147EB" w:rsidRPr="002A7673" w:rsidRDefault="00E147EB" w:rsidP="0048334E">
            <w:pPr>
              <w:spacing w:after="0" w:line="240" w:lineRule="auto"/>
              <w:rPr>
                <w:rFonts w:ascii="Times New Roman" w:hAnsi="Times New Roman" w:cs="Times New Roman"/>
                <w:b/>
                <w:bCs/>
                <w:color w:val="000000"/>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6105404"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3B73C311"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Asistente Administrativo 3</w:t>
            </w:r>
          </w:p>
        </w:tc>
        <w:tc>
          <w:tcPr>
            <w:tcW w:w="992" w:type="dxa"/>
            <w:tcBorders>
              <w:top w:val="nil"/>
              <w:left w:val="nil"/>
              <w:bottom w:val="single" w:sz="4" w:space="0" w:color="auto"/>
              <w:right w:val="single" w:sz="4" w:space="0" w:color="auto"/>
            </w:tcBorders>
            <w:shd w:val="clear" w:color="auto" w:fill="auto"/>
            <w:vAlign w:val="center"/>
            <w:hideMark/>
          </w:tcPr>
          <w:p w14:paraId="630F440E"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3 meses</w:t>
            </w:r>
          </w:p>
        </w:tc>
      </w:tr>
    </w:tbl>
    <w:p w14:paraId="74AE4ABC" w14:textId="77777777" w:rsidR="00E147EB" w:rsidRPr="002A7673" w:rsidRDefault="00E147EB" w:rsidP="00E147EB">
      <w:pPr>
        <w:spacing w:after="0" w:line="240" w:lineRule="auto"/>
        <w:ind w:left="709"/>
        <w:jc w:val="both"/>
        <w:rPr>
          <w:rFonts w:ascii="Times New Roman" w:hAnsi="Times New Roman" w:cs="Times New Roman"/>
          <w:sz w:val="24"/>
          <w:szCs w:val="24"/>
          <w:lang w:val="es-ES"/>
        </w:rPr>
      </w:pPr>
      <w:r w:rsidRPr="002A7673">
        <w:rPr>
          <w:rFonts w:ascii="Times New Roman" w:hAnsi="Times New Roman" w:cs="Times New Roman"/>
        </w:rPr>
        <w:t>Fuente: Elaborado por la Dirección de Planificación.</w:t>
      </w:r>
    </w:p>
    <w:p w14:paraId="5D75FFBD" w14:textId="77777777" w:rsidR="00E147EB" w:rsidRPr="002A7673" w:rsidRDefault="00E147EB" w:rsidP="00E147EB">
      <w:pPr>
        <w:spacing w:after="0" w:line="240" w:lineRule="auto"/>
        <w:jc w:val="both"/>
        <w:rPr>
          <w:rFonts w:ascii="Times New Roman" w:hAnsi="Times New Roman" w:cs="Times New Roman"/>
          <w:sz w:val="24"/>
          <w:szCs w:val="24"/>
          <w:lang w:val="es-ES"/>
        </w:rPr>
      </w:pPr>
    </w:p>
    <w:p w14:paraId="12E0CFCD"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La Escuela Judicial refirió la necesidad de contar con el presupuesto para el 2022 de tal manera que se pueda llevar a cabo la capacitación del personal antes de que </w:t>
      </w:r>
      <w:proofErr w:type="gramStart"/>
      <w:r w:rsidRPr="002A7673">
        <w:rPr>
          <w:rFonts w:ascii="Times New Roman" w:hAnsi="Times New Roman" w:cs="Times New Roman"/>
          <w:sz w:val="26"/>
          <w:szCs w:val="26"/>
          <w:lang w:val="es-ES"/>
        </w:rPr>
        <w:t>entre en vigencia</w:t>
      </w:r>
      <w:proofErr w:type="gramEnd"/>
      <w:r w:rsidRPr="002A7673">
        <w:rPr>
          <w:rFonts w:ascii="Times New Roman" w:hAnsi="Times New Roman" w:cs="Times New Roman"/>
          <w:sz w:val="26"/>
          <w:szCs w:val="26"/>
          <w:lang w:val="es-ES"/>
        </w:rPr>
        <w:t xml:space="preserve"> la Ley. A continuación, el detalle correspondiente a la variación del presupuesto:</w:t>
      </w:r>
    </w:p>
    <w:p w14:paraId="5590B2A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2B229FF0" w14:textId="77777777" w:rsidR="00E147EB" w:rsidRPr="002A7673" w:rsidRDefault="00E147EB" w:rsidP="00E147EB">
      <w:pPr>
        <w:spacing w:after="0" w:line="240" w:lineRule="auto"/>
        <w:jc w:val="center"/>
        <w:rPr>
          <w:rFonts w:ascii="Times New Roman" w:hAnsi="Times New Roman" w:cs="Times New Roman"/>
        </w:rPr>
      </w:pPr>
      <w:r w:rsidRPr="002A7673">
        <w:rPr>
          <w:rFonts w:ascii="Times New Roman" w:hAnsi="Times New Roman" w:cs="Times New Roman"/>
        </w:rPr>
        <w:t xml:space="preserve">Tabla </w:t>
      </w:r>
      <w:r w:rsidRPr="002A7673">
        <w:rPr>
          <w:rFonts w:ascii="Times New Roman" w:hAnsi="Times New Roman" w:cs="Times New Roman"/>
        </w:rPr>
        <w:fldChar w:fldCharType="begin"/>
      </w:r>
      <w:r w:rsidRPr="002A7673">
        <w:rPr>
          <w:rFonts w:ascii="Times New Roman" w:hAnsi="Times New Roman" w:cs="Times New Roman"/>
        </w:rPr>
        <w:instrText xml:space="preserve"> SEQ Tabla \* ARABIC </w:instrText>
      </w:r>
      <w:r w:rsidRPr="002A7673">
        <w:rPr>
          <w:rFonts w:ascii="Times New Roman" w:hAnsi="Times New Roman" w:cs="Times New Roman"/>
        </w:rPr>
        <w:fldChar w:fldCharType="separate"/>
      </w:r>
      <w:r w:rsidRPr="002A7673">
        <w:rPr>
          <w:rFonts w:ascii="Times New Roman" w:hAnsi="Times New Roman" w:cs="Times New Roman"/>
          <w:noProof/>
        </w:rPr>
        <w:t>2</w:t>
      </w:r>
      <w:r w:rsidRPr="002A7673">
        <w:rPr>
          <w:rFonts w:ascii="Times New Roman" w:hAnsi="Times New Roman" w:cs="Times New Roman"/>
        </w:rPr>
        <w:fldChar w:fldCharType="end"/>
      </w:r>
      <w:r w:rsidRPr="002A7673">
        <w:rPr>
          <w:rFonts w:ascii="Times New Roman" w:hAnsi="Times New Roman" w:cs="Times New Roman"/>
        </w:rPr>
        <w:t>: Detalle de costos de la Escuela Judicial</w:t>
      </w:r>
    </w:p>
    <w:p w14:paraId="6A5E89E9" w14:textId="77777777" w:rsidR="00E147EB" w:rsidRPr="002A7673" w:rsidRDefault="00E147EB" w:rsidP="00E147EB">
      <w:pPr>
        <w:spacing w:after="0" w:line="240" w:lineRule="auto"/>
        <w:jc w:val="center"/>
        <w:rPr>
          <w:rFonts w:ascii="Times New Roman" w:hAnsi="Times New Roman" w:cs="Times New Roman"/>
          <w:sz w:val="24"/>
          <w:szCs w:val="24"/>
          <w:lang w:val="es-ES"/>
        </w:rPr>
      </w:pPr>
    </w:p>
    <w:tbl>
      <w:tblPr>
        <w:tblW w:w="7650" w:type="dxa"/>
        <w:jc w:val="center"/>
        <w:tblCellMar>
          <w:left w:w="70" w:type="dxa"/>
          <w:right w:w="70" w:type="dxa"/>
        </w:tblCellMar>
        <w:tblLook w:val="04A0" w:firstRow="1" w:lastRow="0" w:firstColumn="1" w:lastColumn="0" w:noHBand="0" w:noVBand="1"/>
      </w:tblPr>
      <w:tblGrid>
        <w:gridCol w:w="3681"/>
        <w:gridCol w:w="1984"/>
        <w:gridCol w:w="1985"/>
      </w:tblGrid>
      <w:tr w:rsidR="00E147EB" w:rsidRPr="002A7673" w14:paraId="32A86699" w14:textId="77777777" w:rsidTr="0048334E">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000000" w:fill="DDEBF7"/>
            <w:vAlign w:val="center"/>
          </w:tcPr>
          <w:p w14:paraId="47DD93AC"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Requerimiento</w:t>
            </w:r>
          </w:p>
        </w:tc>
        <w:tc>
          <w:tcPr>
            <w:tcW w:w="1984" w:type="dxa"/>
            <w:tcBorders>
              <w:top w:val="single" w:sz="4" w:space="0" w:color="auto"/>
              <w:left w:val="nil"/>
              <w:bottom w:val="single" w:sz="4" w:space="0" w:color="auto"/>
              <w:right w:val="single" w:sz="4" w:space="0" w:color="auto"/>
            </w:tcBorders>
            <w:shd w:val="clear" w:color="000000" w:fill="DDEBF7"/>
            <w:vAlign w:val="center"/>
          </w:tcPr>
          <w:p w14:paraId="1A771A22"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Presupuesto 2021</w:t>
            </w:r>
          </w:p>
        </w:tc>
        <w:tc>
          <w:tcPr>
            <w:tcW w:w="1985" w:type="dxa"/>
            <w:tcBorders>
              <w:top w:val="single" w:sz="4" w:space="0" w:color="auto"/>
              <w:left w:val="single" w:sz="4" w:space="0" w:color="auto"/>
              <w:bottom w:val="single" w:sz="4" w:space="0" w:color="auto"/>
              <w:right w:val="single" w:sz="4" w:space="0" w:color="auto"/>
            </w:tcBorders>
            <w:shd w:val="clear" w:color="000000" w:fill="DDEBF7"/>
            <w:vAlign w:val="center"/>
          </w:tcPr>
          <w:p w14:paraId="66324C5D"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Actualización para 2022</w:t>
            </w:r>
          </w:p>
        </w:tc>
      </w:tr>
      <w:tr w:rsidR="00E147EB" w:rsidRPr="002A7673" w14:paraId="16DDA1BD" w14:textId="77777777" w:rsidTr="0048334E">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174DB1F" w14:textId="77777777" w:rsidR="00E147EB" w:rsidRPr="002A7673" w:rsidRDefault="00E147EB"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Sustituciones (Programa 926 y 927)</w:t>
            </w:r>
          </w:p>
        </w:tc>
        <w:tc>
          <w:tcPr>
            <w:tcW w:w="1984" w:type="dxa"/>
            <w:tcBorders>
              <w:top w:val="single" w:sz="4" w:space="0" w:color="auto"/>
              <w:left w:val="nil"/>
              <w:bottom w:val="single" w:sz="4" w:space="0" w:color="auto"/>
              <w:right w:val="single" w:sz="4" w:space="0" w:color="auto"/>
            </w:tcBorders>
            <w:shd w:val="clear" w:color="000000" w:fill="DDEBF7"/>
          </w:tcPr>
          <w:p w14:paraId="7B06D813"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136.773.270</w:t>
            </w:r>
          </w:p>
        </w:tc>
        <w:tc>
          <w:tcPr>
            <w:tcW w:w="1985"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09C4A5D"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xml:space="preserve">137.819.089 </w:t>
            </w:r>
          </w:p>
        </w:tc>
      </w:tr>
      <w:tr w:rsidR="00E147EB" w:rsidRPr="002A7673" w14:paraId="546BBF9D" w14:textId="77777777" w:rsidTr="0048334E">
        <w:trPr>
          <w:trHeight w:val="315"/>
          <w:jc w:val="center"/>
        </w:trPr>
        <w:tc>
          <w:tcPr>
            <w:tcW w:w="3681" w:type="dxa"/>
            <w:tcBorders>
              <w:top w:val="nil"/>
              <w:left w:val="single" w:sz="4" w:space="0" w:color="auto"/>
              <w:bottom w:val="single" w:sz="4" w:space="0" w:color="auto"/>
              <w:right w:val="single" w:sz="4" w:space="0" w:color="auto"/>
            </w:tcBorders>
            <w:shd w:val="clear" w:color="000000" w:fill="DDEBF7"/>
            <w:vAlign w:val="center"/>
            <w:hideMark/>
          </w:tcPr>
          <w:p w14:paraId="4F927BDE" w14:textId="77777777" w:rsidR="00E147EB" w:rsidRPr="002A7673" w:rsidRDefault="00E147EB"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Viáticos </w:t>
            </w:r>
          </w:p>
        </w:tc>
        <w:tc>
          <w:tcPr>
            <w:tcW w:w="1984" w:type="dxa"/>
            <w:tcBorders>
              <w:top w:val="single" w:sz="4" w:space="0" w:color="auto"/>
              <w:left w:val="nil"/>
              <w:bottom w:val="single" w:sz="4" w:space="0" w:color="auto"/>
              <w:right w:val="single" w:sz="4" w:space="0" w:color="auto"/>
            </w:tcBorders>
            <w:shd w:val="clear" w:color="000000" w:fill="DDEBF7"/>
          </w:tcPr>
          <w:p w14:paraId="41A6D3EE"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9.450.000</w:t>
            </w:r>
          </w:p>
        </w:tc>
        <w:tc>
          <w:tcPr>
            <w:tcW w:w="1985" w:type="dxa"/>
            <w:tcBorders>
              <w:top w:val="nil"/>
              <w:left w:val="single" w:sz="4" w:space="0" w:color="auto"/>
              <w:bottom w:val="single" w:sz="4" w:space="0" w:color="auto"/>
              <w:right w:val="single" w:sz="4" w:space="0" w:color="auto"/>
            </w:tcBorders>
            <w:shd w:val="clear" w:color="000000" w:fill="DDEBF7"/>
            <w:vAlign w:val="center"/>
            <w:hideMark/>
          </w:tcPr>
          <w:p w14:paraId="381D3AF6"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xml:space="preserve">9.405.760 </w:t>
            </w:r>
          </w:p>
        </w:tc>
      </w:tr>
      <w:tr w:rsidR="00E147EB" w:rsidRPr="002A7673" w14:paraId="52FC36BC" w14:textId="77777777" w:rsidTr="0048334E">
        <w:trPr>
          <w:trHeight w:val="315"/>
          <w:jc w:val="center"/>
        </w:trPr>
        <w:tc>
          <w:tcPr>
            <w:tcW w:w="3681" w:type="dxa"/>
            <w:tcBorders>
              <w:top w:val="nil"/>
              <w:left w:val="single" w:sz="4" w:space="0" w:color="auto"/>
              <w:bottom w:val="single" w:sz="4" w:space="0" w:color="auto"/>
              <w:right w:val="single" w:sz="4" w:space="0" w:color="auto"/>
            </w:tcBorders>
            <w:shd w:val="clear" w:color="000000" w:fill="DDEBF7"/>
            <w:vAlign w:val="center"/>
            <w:hideMark/>
          </w:tcPr>
          <w:p w14:paraId="44A2D87B" w14:textId="77777777" w:rsidR="00E147EB" w:rsidRPr="002A7673" w:rsidRDefault="00E147EB"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Tiquetes de almuerzo</w:t>
            </w:r>
          </w:p>
        </w:tc>
        <w:tc>
          <w:tcPr>
            <w:tcW w:w="1984" w:type="dxa"/>
            <w:tcBorders>
              <w:top w:val="single" w:sz="4" w:space="0" w:color="auto"/>
              <w:left w:val="nil"/>
              <w:bottom w:val="single" w:sz="4" w:space="0" w:color="auto"/>
              <w:right w:val="single" w:sz="4" w:space="0" w:color="auto"/>
            </w:tcBorders>
            <w:shd w:val="clear" w:color="000000" w:fill="DDEBF7"/>
          </w:tcPr>
          <w:p w14:paraId="3657B67C"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w:t>
            </w:r>
          </w:p>
        </w:tc>
        <w:tc>
          <w:tcPr>
            <w:tcW w:w="1985" w:type="dxa"/>
            <w:tcBorders>
              <w:top w:val="nil"/>
              <w:left w:val="single" w:sz="4" w:space="0" w:color="auto"/>
              <w:bottom w:val="single" w:sz="4" w:space="0" w:color="auto"/>
              <w:right w:val="single" w:sz="4" w:space="0" w:color="auto"/>
            </w:tcBorders>
            <w:shd w:val="clear" w:color="000000" w:fill="DDEBF7"/>
            <w:vAlign w:val="center"/>
            <w:hideMark/>
          </w:tcPr>
          <w:p w14:paraId="5E0077AE"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xml:space="preserve">644.000 </w:t>
            </w:r>
          </w:p>
        </w:tc>
      </w:tr>
      <w:tr w:rsidR="00E147EB" w:rsidRPr="002A7673" w14:paraId="279320A3" w14:textId="77777777" w:rsidTr="0048334E">
        <w:trPr>
          <w:trHeight w:val="315"/>
          <w:jc w:val="center"/>
        </w:trPr>
        <w:tc>
          <w:tcPr>
            <w:tcW w:w="3681" w:type="dxa"/>
            <w:tcBorders>
              <w:top w:val="nil"/>
              <w:left w:val="single" w:sz="4" w:space="0" w:color="auto"/>
              <w:bottom w:val="single" w:sz="4" w:space="0" w:color="auto"/>
              <w:right w:val="single" w:sz="4" w:space="0" w:color="auto"/>
            </w:tcBorders>
            <w:shd w:val="clear" w:color="000000" w:fill="C9C9C9"/>
            <w:vAlign w:val="center"/>
            <w:hideMark/>
          </w:tcPr>
          <w:p w14:paraId="30CCB30C" w14:textId="77777777" w:rsidR="00E147EB" w:rsidRPr="002A7673" w:rsidRDefault="00E147EB" w:rsidP="0048334E">
            <w:pPr>
              <w:spacing w:after="0" w:line="240" w:lineRule="auto"/>
              <w:rPr>
                <w:rFonts w:ascii="Times New Roman" w:hAnsi="Times New Roman" w:cs="Times New Roman"/>
                <w:b/>
                <w:bCs/>
                <w:lang w:eastAsia="es-CR"/>
              </w:rPr>
            </w:pPr>
            <w:r w:rsidRPr="002A7673">
              <w:rPr>
                <w:rFonts w:ascii="Times New Roman" w:hAnsi="Times New Roman" w:cs="Times New Roman"/>
                <w:b/>
                <w:bCs/>
                <w:lang w:eastAsia="es-CR"/>
              </w:rPr>
              <w:t>Total</w:t>
            </w:r>
          </w:p>
        </w:tc>
        <w:tc>
          <w:tcPr>
            <w:tcW w:w="1984" w:type="dxa"/>
            <w:tcBorders>
              <w:top w:val="single" w:sz="4" w:space="0" w:color="auto"/>
              <w:left w:val="nil"/>
              <w:bottom w:val="single" w:sz="4" w:space="0" w:color="auto"/>
              <w:right w:val="single" w:sz="4" w:space="0" w:color="auto"/>
            </w:tcBorders>
            <w:shd w:val="clear" w:color="000000" w:fill="C9C9C9"/>
          </w:tcPr>
          <w:p w14:paraId="37FDAAA7"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 146.223.270</w:t>
            </w:r>
          </w:p>
        </w:tc>
        <w:tc>
          <w:tcPr>
            <w:tcW w:w="1985" w:type="dxa"/>
            <w:tcBorders>
              <w:top w:val="nil"/>
              <w:left w:val="single" w:sz="4" w:space="0" w:color="auto"/>
              <w:bottom w:val="single" w:sz="4" w:space="0" w:color="auto"/>
              <w:right w:val="single" w:sz="4" w:space="0" w:color="auto"/>
            </w:tcBorders>
            <w:shd w:val="clear" w:color="000000" w:fill="C9C9C9"/>
            <w:vAlign w:val="center"/>
            <w:hideMark/>
          </w:tcPr>
          <w:p w14:paraId="19889399"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lang w:eastAsia="es-CR"/>
              </w:rPr>
              <w:t xml:space="preserve">₡ </w:t>
            </w:r>
            <w:r w:rsidRPr="002A7673">
              <w:rPr>
                <w:rFonts w:ascii="Times New Roman" w:hAnsi="Times New Roman" w:cs="Times New Roman"/>
                <w:b/>
                <w:bCs/>
                <w:lang w:eastAsia="es-CR"/>
              </w:rPr>
              <w:t>147.868.849</w:t>
            </w:r>
          </w:p>
        </w:tc>
      </w:tr>
    </w:tbl>
    <w:p w14:paraId="5257CEB4" w14:textId="77777777" w:rsidR="00E147EB" w:rsidRPr="002A7673" w:rsidRDefault="00E147EB" w:rsidP="00E147EB">
      <w:pPr>
        <w:spacing w:after="0" w:line="240" w:lineRule="auto"/>
        <w:ind w:left="851"/>
        <w:jc w:val="both"/>
        <w:rPr>
          <w:rFonts w:ascii="Times New Roman" w:hAnsi="Times New Roman" w:cs="Times New Roman"/>
          <w:sz w:val="24"/>
          <w:szCs w:val="24"/>
          <w:lang w:val="es-ES"/>
        </w:rPr>
      </w:pPr>
      <w:r w:rsidRPr="002A7673">
        <w:rPr>
          <w:rFonts w:ascii="Times New Roman" w:hAnsi="Times New Roman" w:cs="Times New Roman"/>
        </w:rPr>
        <w:t>Fuente: Elaborado por la Dirección de Planificación.</w:t>
      </w:r>
    </w:p>
    <w:p w14:paraId="0DA19FCB" w14:textId="77777777" w:rsidR="00E147EB" w:rsidRPr="002A7673" w:rsidRDefault="00E147EB" w:rsidP="00E147EB">
      <w:pPr>
        <w:spacing w:after="0" w:line="240" w:lineRule="auto"/>
        <w:jc w:val="both"/>
        <w:rPr>
          <w:rFonts w:ascii="Times New Roman" w:hAnsi="Times New Roman" w:cs="Times New Roman"/>
          <w:sz w:val="24"/>
          <w:szCs w:val="24"/>
          <w:lang w:val="es-ES"/>
        </w:rPr>
      </w:pPr>
    </w:p>
    <w:p w14:paraId="0C7BDE6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Adicionalmente, como parte de la especialización en delincuencia organizada, se informa que durante el 2020 el Poder Judicial impartió la capacitación del Proyecto Corte/FIU Fortalecimiento de la Respuesta Judicial ante la Delincuencia Organizada de Costa Rica, bajo la modalidad virtual durante nueve sesiones de trabajo.</w:t>
      </w:r>
    </w:p>
    <w:p w14:paraId="070FDCFA"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069D283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El curso denominado </w:t>
      </w:r>
      <w:r w:rsidRPr="002A7673">
        <w:rPr>
          <w:rFonts w:ascii="Times New Roman" w:hAnsi="Times New Roman" w:cs="Times New Roman"/>
          <w:i/>
          <w:iCs/>
          <w:sz w:val="26"/>
          <w:szCs w:val="26"/>
          <w:lang w:val="es-ES"/>
        </w:rPr>
        <w:t>"Ciberdelincuencia en el mundo globalizado"</w:t>
      </w:r>
      <w:r w:rsidRPr="002A7673">
        <w:rPr>
          <w:rFonts w:ascii="Times New Roman" w:hAnsi="Times New Roman" w:cs="Times New Roman"/>
          <w:sz w:val="26"/>
          <w:szCs w:val="26"/>
          <w:lang w:val="es-ES"/>
        </w:rPr>
        <w:t xml:space="preserve"> contó con la participación de personas juzgadoras, personal de la Defensa Pública, del Ministerio Público y de la Policía Judicial. Esta es una de las actividades que se realiza con la cooperación de la Embajada de los Estados Unidos y la participación de la Universidad Internacional de la Florida, como </w:t>
      </w:r>
      <w:r w:rsidRPr="002A7673">
        <w:rPr>
          <w:rFonts w:ascii="Times New Roman" w:hAnsi="Times New Roman" w:cs="Times New Roman"/>
          <w:sz w:val="26"/>
          <w:szCs w:val="26"/>
          <w:lang w:val="es-ES"/>
        </w:rPr>
        <w:lastRenderedPageBreak/>
        <w:t xml:space="preserve">parte de las acciones para la futura implementación de la Ley 9481 </w:t>
      </w:r>
      <w:r w:rsidRPr="002A7673">
        <w:rPr>
          <w:rFonts w:ascii="Times New Roman" w:hAnsi="Times New Roman" w:cs="Times New Roman"/>
          <w:i/>
          <w:iCs/>
          <w:sz w:val="26"/>
          <w:szCs w:val="26"/>
          <w:lang w:val="es-ES"/>
        </w:rPr>
        <w:t>“Creación de la Jurisdicción Especializada en Delincuencia Organizada en Costa Rica”</w:t>
      </w:r>
      <w:r w:rsidRPr="002A7673">
        <w:rPr>
          <w:rFonts w:ascii="Times New Roman" w:hAnsi="Times New Roman" w:cs="Times New Roman"/>
          <w:sz w:val="26"/>
          <w:szCs w:val="26"/>
          <w:lang w:val="es-ES"/>
        </w:rPr>
        <w:t xml:space="preserve"> y Ley 9769 </w:t>
      </w:r>
      <w:r w:rsidRPr="002A7673">
        <w:rPr>
          <w:rFonts w:ascii="Times New Roman" w:hAnsi="Times New Roman" w:cs="Times New Roman"/>
          <w:i/>
          <w:iCs/>
          <w:sz w:val="26"/>
          <w:szCs w:val="26"/>
          <w:lang w:val="es-ES"/>
        </w:rPr>
        <w:t>“Fortalecimiento de la Jurisdicción Especializada en Delincuencia Organizada”</w:t>
      </w:r>
      <w:r w:rsidRPr="002A7673">
        <w:rPr>
          <w:rFonts w:ascii="Times New Roman" w:hAnsi="Times New Roman" w:cs="Times New Roman"/>
          <w:sz w:val="26"/>
          <w:szCs w:val="26"/>
          <w:lang w:val="es-ES"/>
        </w:rPr>
        <w:t>.</w:t>
      </w:r>
    </w:p>
    <w:p w14:paraId="561C345F"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1312066B"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1.1.2. Dirección de Gestión Humana:</w:t>
      </w:r>
    </w:p>
    <w:p w14:paraId="358CEB8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7A3527E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Por parte de la Unidad de Presupuesto y Estudios Especiales de la Dirección de Gestión Humana se indicó mediante correo electrónico que, las plazas correspondientes a la Dirección de Gestión Humana deben mantenerse tal cual fueron aprobadas para el 2021, a saber, 4 plazas de Profesional 2 y 1 de Técnico Administrativo 2, las cuales se requieren a partir del 2022 para llevar a cabo todas las labores relacionadas con el proceso de selección y reclutamiento de las nuevas plazas.</w:t>
      </w:r>
    </w:p>
    <w:p w14:paraId="6449E000"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01235AA9"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Al consultar sobre la actualización del componente por incentivo salarial o sobresueldo proyectado para la Jurisdicción Especializada en Delincuencia Organizada (según se establece en la Ley 9481), actualización que se había recomendado en informes anteriores por parte de la Dirección de Planificación, se indicó que, no se ha podido recabar toda la información que permita brindar un monto apropiado, por lo cual, requieren un plazo mayor para obtener todos los datos y contemplar el tema del impacto de la Ley 9635, así como también, el aumento por costo de vida aplicado en el 2020.</w:t>
      </w:r>
    </w:p>
    <w:p w14:paraId="4459C62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4312DDC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Por lo anterior, se mantiene el monto por sobresueldo establecido previamente para la Jurisdicción, con la aclaración de que la Dirección de Gestión Humana se encuentra trabajando en la actualización de dicho monto.</w:t>
      </w:r>
    </w:p>
    <w:p w14:paraId="45D39913"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61A4500F"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1.1.3. Dirección de Planificación:</w:t>
      </w:r>
    </w:p>
    <w:p w14:paraId="77A02756"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561210E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En cuanto a la única plaza de Profesional 2 propuesta para la Dirección de Planificación, se debe mantener según fue aprobada para el 2021, por lo cual, los costos por remuneración de recurso humano y de equipo y mobiliario deben estar disponibles a partir del 2022 con la finalidad de dar el seguimiento y soporte técnico correspondiente antes, durante y después de la implementación de la Ley. </w:t>
      </w:r>
    </w:p>
    <w:p w14:paraId="0E1FD8D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76CDB4C5"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1.1.4. Dirección de Tecnología de Información (DTI):</w:t>
      </w:r>
    </w:p>
    <w:p w14:paraId="4C9CEA8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3ADDBB0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lastRenderedPageBreak/>
        <w:t>Mediante conversaciones telefónicas y correos electrónicos con personal de la Dirección de Tecnología de Información, específicamente de la Unidad de Implantaciones, Subproceso de Sistemas Jurisdiccionales (Desarrollo de Sistemas y Mejoras) y de la Sección de Telemática, se indicó que, en cuanto a los costos para compra de “Equipo de comunicación” se deben adicionar ₡22.355.000 debido a la incorporación de un local de arrendamiento no contemplado anteriormente por parte del OIJ (más adelante se ampliará sobre este particular), además, en cuanto al requerimiento de personal y costos por “Enlaces de comunicación” se presentaron algunas variaciones según se indica a continuación:</w:t>
      </w:r>
    </w:p>
    <w:p w14:paraId="675C8C53"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6480405D"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Debido a que en la actualidad la Dirección de Tecnología de Información se encuentra con la implementación del Proyecto de Desarrollo del nuevo Sistema de Gestión no es posible asumir mejoras en los sistemas actuales y siendo que, en su oportunidad se habían solicitado 3 plazas de Profesional 2 para el desarrollo de mejoras y nuevos módulos en los sistemas informáticos, es que se prescinde de las mismas. En virtud de lo expuesto únicamente se requieren las siguientes plazas para el proceso de ejecución de implantación y sostenibilidad durante el 2023:</w:t>
      </w:r>
    </w:p>
    <w:p w14:paraId="2732256D" w14:textId="77777777" w:rsidR="00E147EB" w:rsidRPr="002A7673" w:rsidRDefault="00E147EB" w:rsidP="00E147EB">
      <w:pPr>
        <w:spacing w:after="0" w:line="240" w:lineRule="auto"/>
        <w:jc w:val="both"/>
        <w:rPr>
          <w:rFonts w:ascii="Times New Roman" w:hAnsi="Times New Roman" w:cs="Times New Roman"/>
          <w:sz w:val="24"/>
          <w:szCs w:val="24"/>
          <w:lang w:val="es-ES"/>
        </w:rPr>
      </w:pPr>
    </w:p>
    <w:p w14:paraId="49D280D1" w14:textId="77777777" w:rsidR="00E147EB" w:rsidRPr="002A7673" w:rsidRDefault="00E147EB" w:rsidP="00E147EB">
      <w:pPr>
        <w:spacing w:after="0" w:line="240" w:lineRule="auto"/>
        <w:jc w:val="center"/>
        <w:rPr>
          <w:rFonts w:ascii="Times New Roman" w:hAnsi="Times New Roman" w:cs="Times New Roman"/>
        </w:rPr>
      </w:pPr>
      <w:r w:rsidRPr="002A7673">
        <w:rPr>
          <w:rFonts w:ascii="Times New Roman" w:hAnsi="Times New Roman" w:cs="Times New Roman"/>
        </w:rPr>
        <w:t xml:space="preserve">Tabla </w:t>
      </w:r>
      <w:r w:rsidRPr="002A7673">
        <w:rPr>
          <w:rFonts w:ascii="Times New Roman" w:hAnsi="Times New Roman" w:cs="Times New Roman"/>
        </w:rPr>
        <w:fldChar w:fldCharType="begin"/>
      </w:r>
      <w:r w:rsidRPr="002A7673">
        <w:rPr>
          <w:rFonts w:ascii="Times New Roman" w:hAnsi="Times New Roman" w:cs="Times New Roman"/>
        </w:rPr>
        <w:instrText xml:space="preserve"> SEQ Tabla \* ARABIC </w:instrText>
      </w:r>
      <w:r w:rsidRPr="002A7673">
        <w:rPr>
          <w:rFonts w:ascii="Times New Roman" w:hAnsi="Times New Roman" w:cs="Times New Roman"/>
        </w:rPr>
        <w:fldChar w:fldCharType="separate"/>
      </w:r>
      <w:r w:rsidRPr="002A7673">
        <w:rPr>
          <w:rFonts w:ascii="Times New Roman" w:hAnsi="Times New Roman" w:cs="Times New Roman"/>
          <w:noProof/>
        </w:rPr>
        <w:t>3</w:t>
      </w:r>
      <w:r w:rsidRPr="002A7673">
        <w:rPr>
          <w:rFonts w:ascii="Times New Roman" w:hAnsi="Times New Roman" w:cs="Times New Roman"/>
        </w:rPr>
        <w:fldChar w:fldCharType="end"/>
      </w:r>
      <w:r w:rsidRPr="002A7673">
        <w:rPr>
          <w:rFonts w:ascii="Times New Roman" w:hAnsi="Times New Roman" w:cs="Times New Roman"/>
        </w:rPr>
        <w:t>: Detalle de plazas requeridas por la Dirección de Tecnología</w:t>
      </w:r>
    </w:p>
    <w:p w14:paraId="2BA4B0F0" w14:textId="77777777" w:rsidR="00E147EB" w:rsidRPr="002A7673" w:rsidRDefault="00E147EB" w:rsidP="00E147EB">
      <w:pPr>
        <w:spacing w:after="0" w:line="240" w:lineRule="auto"/>
        <w:jc w:val="center"/>
        <w:rPr>
          <w:rFonts w:ascii="Times New Roman" w:hAnsi="Times New Roman" w:cs="Times New Roman"/>
          <w:sz w:val="24"/>
          <w:szCs w:val="24"/>
          <w:lang w:val="es-ES"/>
        </w:rPr>
      </w:pPr>
    </w:p>
    <w:tbl>
      <w:tblPr>
        <w:tblW w:w="7928" w:type="dxa"/>
        <w:jc w:val="center"/>
        <w:tblCellMar>
          <w:left w:w="0" w:type="dxa"/>
          <w:right w:w="0" w:type="dxa"/>
        </w:tblCellMar>
        <w:tblLook w:val="04A0" w:firstRow="1" w:lastRow="0" w:firstColumn="1" w:lastColumn="0" w:noHBand="0" w:noVBand="1"/>
      </w:tblPr>
      <w:tblGrid>
        <w:gridCol w:w="2114"/>
        <w:gridCol w:w="1134"/>
        <w:gridCol w:w="3402"/>
        <w:gridCol w:w="1278"/>
      </w:tblGrid>
      <w:tr w:rsidR="00E147EB" w:rsidRPr="002A7673" w14:paraId="39BAF201" w14:textId="77777777" w:rsidTr="0048334E">
        <w:trPr>
          <w:trHeight w:val="477"/>
          <w:jc w:val="center"/>
        </w:trPr>
        <w:tc>
          <w:tcPr>
            <w:tcW w:w="2114" w:type="dxa"/>
            <w:tcBorders>
              <w:top w:val="single" w:sz="8" w:space="0" w:color="auto"/>
              <w:left w:val="single" w:sz="8" w:space="0" w:color="auto"/>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6824A6F3"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rPr>
              <w:t>Oficina</w:t>
            </w:r>
          </w:p>
        </w:tc>
        <w:tc>
          <w:tcPr>
            <w:tcW w:w="1134" w:type="dxa"/>
            <w:tcBorders>
              <w:top w:val="single" w:sz="8" w:space="0" w:color="auto"/>
              <w:left w:val="nil"/>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6125A838"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Cantidad de plazas</w:t>
            </w:r>
          </w:p>
        </w:tc>
        <w:tc>
          <w:tcPr>
            <w:tcW w:w="3402" w:type="dxa"/>
            <w:tcBorders>
              <w:top w:val="single" w:sz="8" w:space="0" w:color="auto"/>
              <w:left w:val="nil"/>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7CB3546A" w14:textId="77777777" w:rsidR="00E147EB" w:rsidRPr="002A7673" w:rsidRDefault="00E147EB" w:rsidP="0048334E">
            <w:pPr>
              <w:spacing w:after="0" w:line="240" w:lineRule="auto"/>
              <w:jc w:val="center"/>
              <w:rPr>
                <w:rFonts w:ascii="Times New Roman" w:hAnsi="Times New Roman" w:cs="Times New Roman"/>
                <w:b/>
                <w:bCs/>
              </w:rPr>
            </w:pPr>
            <w:r w:rsidRPr="002A7673">
              <w:rPr>
                <w:rFonts w:ascii="Times New Roman" w:hAnsi="Times New Roman" w:cs="Times New Roman"/>
                <w:b/>
                <w:bCs/>
                <w:color w:val="000000"/>
              </w:rPr>
              <w:t>Tipo de plaza</w:t>
            </w:r>
          </w:p>
        </w:tc>
        <w:tc>
          <w:tcPr>
            <w:tcW w:w="1278" w:type="dxa"/>
            <w:tcBorders>
              <w:top w:val="single" w:sz="8" w:space="0" w:color="auto"/>
              <w:left w:val="nil"/>
              <w:bottom w:val="single" w:sz="8" w:space="0" w:color="auto"/>
              <w:right w:val="single" w:sz="8" w:space="0" w:color="auto"/>
            </w:tcBorders>
            <w:shd w:val="clear" w:color="auto" w:fill="D5DCE4" w:themeFill="text2" w:themeFillTint="33"/>
            <w:vAlign w:val="center"/>
          </w:tcPr>
          <w:p w14:paraId="06BA722E" w14:textId="77777777" w:rsidR="00E147EB" w:rsidRPr="002A7673" w:rsidRDefault="00E147EB" w:rsidP="0048334E">
            <w:pPr>
              <w:spacing w:after="0" w:line="240" w:lineRule="auto"/>
              <w:jc w:val="center"/>
              <w:rPr>
                <w:rFonts w:ascii="Times New Roman" w:hAnsi="Times New Roman" w:cs="Times New Roman"/>
                <w:b/>
                <w:bCs/>
                <w:color w:val="000000"/>
              </w:rPr>
            </w:pPr>
            <w:r w:rsidRPr="002A7673">
              <w:rPr>
                <w:rFonts w:ascii="Times New Roman" w:hAnsi="Times New Roman" w:cs="Times New Roman"/>
                <w:b/>
                <w:bCs/>
              </w:rPr>
              <w:t>Plazo</w:t>
            </w:r>
          </w:p>
        </w:tc>
      </w:tr>
      <w:tr w:rsidR="00E147EB" w:rsidRPr="002A7673" w14:paraId="3B6FC7A7" w14:textId="77777777" w:rsidTr="0048334E">
        <w:trPr>
          <w:trHeight w:val="290"/>
          <w:jc w:val="center"/>
        </w:trPr>
        <w:tc>
          <w:tcPr>
            <w:tcW w:w="2114"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3E2D90B" w14:textId="77777777" w:rsidR="00E147EB" w:rsidRPr="002A7673" w:rsidRDefault="00E147EB" w:rsidP="0048334E">
            <w:pPr>
              <w:spacing w:after="0" w:line="240" w:lineRule="auto"/>
              <w:jc w:val="center"/>
              <w:rPr>
                <w:rFonts w:ascii="Times New Roman" w:hAnsi="Times New Roman" w:cs="Times New Roman"/>
                <w:b/>
                <w:bCs/>
                <w:color w:val="000000"/>
              </w:rPr>
            </w:pPr>
            <w:r w:rsidRPr="002A7673">
              <w:rPr>
                <w:rFonts w:ascii="Times New Roman" w:hAnsi="Times New Roman" w:cs="Times New Roman"/>
                <w:b/>
                <w:bCs/>
                <w:color w:val="000000"/>
              </w:rPr>
              <w:t>Dirección de Tecnología de Información</w:t>
            </w: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0AD5C2E" w14:textId="77777777" w:rsidR="00E147EB" w:rsidRPr="002A7673" w:rsidRDefault="00E147EB" w:rsidP="0048334E">
            <w:pPr>
              <w:spacing w:after="0" w:line="240" w:lineRule="auto"/>
              <w:jc w:val="center"/>
              <w:rPr>
                <w:rFonts w:ascii="Times New Roman" w:hAnsi="Times New Roman" w:cs="Times New Roman"/>
                <w:b/>
                <w:bCs/>
                <w:color w:val="000000"/>
              </w:rPr>
            </w:pPr>
            <w:r w:rsidRPr="002A7673">
              <w:rPr>
                <w:rFonts w:ascii="Times New Roman" w:hAnsi="Times New Roman" w:cs="Times New Roman"/>
                <w:b/>
                <w:bCs/>
                <w:color w:val="000000"/>
              </w:rPr>
              <w:t>3</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5B61ABD" w14:textId="77777777" w:rsidR="00E147EB" w:rsidRPr="002A7673" w:rsidRDefault="00E147EB" w:rsidP="0048334E">
            <w:pPr>
              <w:spacing w:after="0" w:line="240" w:lineRule="auto"/>
              <w:jc w:val="both"/>
              <w:rPr>
                <w:rFonts w:ascii="Times New Roman" w:hAnsi="Times New Roman" w:cs="Times New Roman"/>
              </w:rPr>
            </w:pPr>
            <w:r w:rsidRPr="002A7673">
              <w:rPr>
                <w:rFonts w:ascii="Times New Roman" w:hAnsi="Times New Roman" w:cs="Times New Roman"/>
              </w:rPr>
              <w:t>Técnicas o Técnicos Especializados 5 (Implantación)</w:t>
            </w:r>
          </w:p>
        </w:tc>
        <w:tc>
          <w:tcPr>
            <w:tcW w:w="1278" w:type="dxa"/>
            <w:tcBorders>
              <w:top w:val="nil"/>
              <w:left w:val="nil"/>
              <w:bottom w:val="single" w:sz="8" w:space="0" w:color="auto"/>
              <w:right w:val="single" w:sz="8" w:space="0" w:color="auto"/>
            </w:tcBorders>
            <w:vAlign w:val="center"/>
          </w:tcPr>
          <w:p w14:paraId="462CB02F" w14:textId="77777777" w:rsidR="00E147EB" w:rsidRPr="002A7673" w:rsidRDefault="00E147EB" w:rsidP="0048334E">
            <w:pPr>
              <w:spacing w:after="0" w:line="240" w:lineRule="auto"/>
              <w:jc w:val="center"/>
              <w:rPr>
                <w:rFonts w:ascii="Times New Roman" w:hAnsi="Times New Roman" w:cs="Times New Roman"/>
              </w:rPr>
            </w:pPr>
            <w:r w:rsidRPr="002A7673">
              <w:rPr>
                <w:rFonts w:ascii="Times New Roman" w:hAnsi="Times New Roman" w:cs="Times New Roman"/>
              </w:rPr>
              <w:t>4 meses</w:t>
            </w:r>
          </w:p>
        </w:tc>
      </w:tr>
      <w:tr w:rsidR="00E147EB" w:rsidRPr="002A7673" w14:paraId="1697A733" w14:textId="77777777" w:rsidTr="0048334E">
        <w:trPr>
          <w:trHeight w:val="290"/>
          <w:jc w:val="center"/>
        </w:trPr>
        <w:tc>
          <w:tcPr>
            <w:tcW w:w="2114" w:type="dxa"/>
            <w:vMerge/>
            <w:tcBorders>
              <w:top w:val="nil"/>
              <w:left w:val="single" w:sz="8" w:space="0" w:color="auto"/>
              <w:bottom w:val="single" w:sz="8" w:space="0" w:color="auto"/>
              <w:right w:val="single" w:sz="8" w:space="0" w:color="auto"/>
            </w:tcBorders>
            <w:vAlign w:val="center"/>
            <w:hideMark/>
          </w:tcPr>
          <w:p w14:paraId="4A4B1D92" w14:textId="77777777" w:rsidR="00E147EB" w:rsidRPr="002A7673" w:rsidRDefault="00E147EB" w:rsidP="0048334E">
            <w:pPr>
              <w:spacing w:after="0" w:line="240" w:lineRule="auto"/>
              <w:rPr>
                <w:rFonts w:ascii="Times New Roman" w:hAnsi="Times New Roman" w:cs="Times New Roman"/>
                <w:b/>
                <w:bCs/>
                <w:color w:val="000000"/>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EBA43F4" w14:textId="77777777" w:rsidR="00E147EB" w:rsidRPr="002A7673" w:rsidRDefault="00E147EB" w:rsidP="0048334E">
            <w:pPr>
              <w:spacing w:after="0" w:line="240" w:lineRule="auto"/>
              <w:jc w:val="center"/>
              <w:rPr>
                <w:rFonts w:ascii="Times New Roman" w:hAnsi="Times New Roman" w:cs="Times New Roman"/>
                <w:b/>
                <w:bCs/>
                <w:color w:val="000000"/>
              </w:rPr>
            </w:pPr>
            <w:r w:rsidRPr="002A7673">
              <w:rPr>
                <w:rFonts w:ascii="Times New Roman" w:hAnsi="Times New Roman" w:cs="Times New Roman"/>
                <w:b/>
                <w:bCs/>
                <w:color w:val="000000"/>
              </w:rPr>
              <w:t>1</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CDC049" w14:textId="77777777" w:rsidR="00E147EB" w:rsidRPr="002A7673" w:rsidRDefault="00E147EB" w:rsidP="0048334E">
            <w:pPr>
              <w:spacing w:after="0" w:line="240" w:lineRule="auto"/>
              <w:jc w:val="both"/>
              <w:rPr>
                <w:rFonts w:ascii="Times New Roman" w:hAnsi="Times New Roman" w:cs="Times New Roman"/>
              </w:rPr>
            </w:pPr>
            <w:r w:rsidRPr="002A7673">
              <w:rPr>
                <w:rFonts w:ascii="Times New Roman" w:hAnsi="Times New Roman" w:cs="Times New Roman"/>
              </w:rPr>
              <w:t>Técnica o Técnico en formatos jurídicos</w:t>
            </w:r>
          </w:p>
        </w:tc>
        <w:tc>
          <w:tcPr>
            <w:tcW w:w="1278" w:type="dxa"/>
            <w:tcBorders>
              <w:top w:val="nil"/>
              <w:left w:val="nil"/>
              <w:bottom w:val="single" w:sz="8" w:space="0" w:color="auto"/>
              <w:right w:val="single" w:sz="8" w:space="0" w:color="auto"/>
            </w:tcBorders>
            <w:vAlign w:val="center"/>
          </w:tcPr>
          <w:p w14:paraId="12565F6E" w14:textId="77777777" w:rsidR="00E147EB" w:rsidRPr="002A7673" w:rsidRDefault="00E147EB" w:rsidP="0048334E">
            <w:pPr>
              <w:spacing w:after="0" w:line="240" w:lineRule="auto"/>
              <w:jc w:val="center"/>
              <w:rPr>
                <w:rFonts w:ascii="Times New Roman" w:hAnsi="Times New Roman" w:cs="Times New Roman"/>
              </w:rPr>
            </w:pPr>
            <w:r w:rsidRPr="002A7673">
              <w:rPr>
                <w:rFonts w:ascii="Times New Roman" w:hAnsi="Times New Roman" w:cs="Times New Roman"/>
              </w:rPr>
              <w:t>4 meses</w:t>
            </w:r>
          </w:p>
        </w:tc>
      </w:tr>
      <w:tr w:rsidR="00E147EB" w:rsidRPr="002A7673" w14:paraId="7B0B32B9" w14:textId="77777777" w:rsidTr="0048334E">
        <w:trPr>
          <w:trHeight w:val="290"/>
          <w:jc w:val="center"/>
        </w:trPr>
        <w:tc>
          <w:tcPr>
            <w:tcW w:w="2114" w:type="dxa"/>
            <w:vMerge/>
            <w:tcBorders>
              <w:top w:val="nil"/>
              <w:left w:val="single" w:sz="8" w:space="0" w:color="auto"/>
              <w:bottom w:val="single" w:sz="8" w:space="0" w:color="auto"/>
              <w:right w:val="single" w:sz="8" w:space="0" w:color="auto"/>
            </w:tcBorders>
            <w:vAlign w:val="center"/>
            <w:hideMark/>
          </w:tcPr>
          <w:p w14:paraId="52F617C2" w14:textId="77777777" w:rsidR="00E147EB" w:rsidRPr="002A7673" w:rsidRDefault="00E147EB" w:rsidP="0048334E">
            <w:pPr>
              <w:spacing w:after="0" w:line="240" w:lineRule="auto"/>
              <w:rPr>
                <w:rFonts w:ascii="Times New Roman" w:hAnsi="Times New Roman" w:cs="Times New Roman"/>
                <w:b/>
                <w:bCs/>
                <w:color w:val="000000"/>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5FA4B36" w14:textId="77777777" w:rsidR="00E147EB" w:rsidRPr="002A7673" w:rsidRDefault="00E147EB" w:rsidP="0048334E">
            <w:pPr>
              <w:spacing w:after="0" w:line="240" w:lineRule="auto"/>
              <w:jc w:val="center"/>
              <w:rPr>
                <w:rFonts w:ascii="Times New Roman" w:hAnsi="Times New Roman" w:cs="Times New Roman"/>
                <w:b/>
                <w:bCs/>
                <w:color w:val="000000"/>
              </w:rPr>
            </w:pPr>
            <w:r w:rsidRPr="002A7673">
              <w:rPr>
                <w:rFonts w:ascii="Times New Roman" w:hAnsi="Times New Roman" w:cs="Times New Roman"/>
                <w:b/>
                <w:bCs/>
                <w:color w:val="000000"/>
              </w:rPr>
              <w:t>2</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E243960" w14:textId="77777777" w:rsidR="00E147EB" w:rsidRPr="002A7673" w:rsidRDefault="00E147EB" w:rsidP="0048334E">
            <w:pPr>
              <w:spacing w:after="0" w:line="240" w:lineRule="auto"/>
              <w:jc w:val="both"/>
              <w:rPr>
                <w:rFonts w:ascii="Times New Roman" w:hAnsi="Times New Roman" w:cs="Times New Roman"/>
              </w:rPr>
            </w:pPr>
            <w:r w:rsidRPr="002A7673">
              <w:rPr>
                <w:rFonts w:ascii="Times New Roman" w:hAnsi="Times New Roman" w:cs="Times New Roman"/>
              </w:rPr>
              <w:t>Técnicas o Técnicos Especializado 5</w:t>
            </w:r>
          </w:p>
        </w:tc>
        <w:tc>
          <w:tcPr>
            <w:tcW w:w="1278" w:type="dxa"/>
            <w:tcBorders>
              <w:top w:val="nil"/>
              <w:left w:val="nil"/>
              <w:bottom w:val="single" w:sz="8" w:space="0" w:color="auto"/>
              <w:right w:val="single" w:sz="8" w:space="0" w:color="auto"/>
            </w:tcBorders>
            <w:vAlign w:val="center"/>
          </w:tcPr>
          <w:p w14:paraId="3EB9DAC9" w14:textId="77777777" w:rsidR="00E147EB" w:rsidRPr="002A7673" w:rsidRDefault="00E147EB" w:rsidP="0048334E">
            <w:pPr>
              <w:spacing w:after="0" w:line="240" w:lineRule="auto"/>
              <w:jc w:val="center"/>
              <w:rPr>
                <w:rFonts w:ascii="Times New Roman" w:hAnsi="Times New Roman" w:cs="Times New Roman"/>
              </w:rPr>
            </w:pPr>
            <w:r w:rsidRPr="002A7673">
              <w:rPr>
                <w:rFonts w:ascii="Times New Roman" w:hAnsi="Times New Roman" w:cs="Times New Roman"/>
              </w:rPr>
              <w:t>12 meses</w:t>
            </w:r>
          </w:p>
        </w:tc>
      </w:tr>
      <w:tr w:rsidR="00E147EB" w:rsidRPr="002A7673" w14:paraId="1B385E19" w14:textId="77777777" w:rsidTr="0048334E">
        <w:trPr>
          <w:trHeight w:val="330"/>
          <w:jc w:val="center"/>
        </w:trPr>
        <w:tc>
          <w:tcPr>
            <w:tcW w:w="2114" w:type="dxa"/>
            <w:vMerge/>
            <w:tcBorders>
              <w:top w:val="nil"/>
              <w:left w:val="single" w:sz="8" w:space="0" w:color="auto"/>
              <w:bottom w:val="single" w:sz="8" w:space="0" w:color="auto"/>
              <w:right w:val="single" w:sz="8" w:space="0" w:color="auto"/>
            </w:tcBorders>
            <w:vAlign w:val="center"/>
            <w:hideMark/>
          </w:tcPr>
          <w:p w14:paraId="77A5DE03" w14:textId="77777777" w:rsidR="00E147EB" w:rsidRPr="002A7673" w:rsidRDefault="00E147EB" w:rsidP="0048334E">
            <w:pPr>
              <w:spacing w:after="0" w:line="240" w:lineRule="auto"/>
              <w:rPr>
                <w:rFonts w:ascii="Times New Roman" w:hAnsi="Times New Roman" w:cs="Times New Roman"/>
                <w:b/>
                <w:bCs/>
                <w:color w:val="000000"/>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1430E34" w14:textId="77777777" w:rsidR="00E147EB" w:rsidRPr="002A7673" w:rsidRDefault="00E147EB" w:rsidP="0048334E">
            <w:pPr>
              <w:spacing w:after="0" w:line="240" w:lineRule="auto"/>
              <w:jc w:val="center"/>
              <w:rPr>
                <w:rFonts w:ascii="Times New Roman" w:hAnsi="Times New Roman" w:cs="Times New Roman"/>
                <w:b/>
                <w:bCs/>
                <w:color w:val="000000"/>
              </w:rPr>
            </w:pPr>
            <w:r w:rsidRPr="002A7673">
              <w:rPr>
                <w:rFonts w:ascii="Times New Roman" w:hAnsi="Times New Roman" w:cs="Times New Roman"/>
                <w:b/>
                <w:bCs/>
                <w:color w:val="000000"/>
              </w:rPr>
              <w:t>1</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484B721" w14:textId="77777777" w:rsidR="00E147EB" w:rsidRPr="002A7673" w:rsidRDefault="00E147EB" w:rsidP="0048334E">
            <w:pPr>
              <w:spacing w:after="0" w:line="240" w:lineRule="auto"/>
              <w:jc w:val="both"/>
              <w:rPr>
                <w:rFonts w:ascii="Times New Roman" w:hAnsi="Times New Roman" w:cs="Times New Roman"/>
              </w:rPr>
            </w:pPr>
            <w:r w:rsidRPr="002A7673">
              <w:rPr>
                <w:rFonts w:ascii="Times New Roman" w:hAnsi="Times New Roman" w:cs="Times New Roman"/>
              </w:rPr>
              <w:t>Técnica o Técnico Especializados 5 (Telemática)</w:t>
            </w:r>
          </w:p>
        </w:tc>
        <w:tc>
          <w:tcPr>
            <w:tcW w:w="1278" w:type="dxa"/>
            <w:tcBorders>
              <w:top w:val="nil"/>
              <w:left w:val="nil"/>
              <w:bottom w:val="single" w:sz="8" w:space="0" w:color="auto"/>
              <w:right w:val="single" w:sz="8" w:space="0" w:color="auto"/>
            </w:tcBorders>
            <w:vAlign w:val="center"/>
          </w:tcPr>
          <w:p w14:paraId="22726FD1" w14:textId="77777777" w:rsidR="00E147EB" w:rsidRPr="002A7673" w:rsidRDefault="00E147EB" w:rsidP="0048334E">
            <w:pPr>
              <w:spacing w:after="0" w:line="240" w:lineRule="auto"/>
              <w:jc w:val="center"/>
              <w:rPr>
                <w:rFonts w:ascii="Times New Roman" w:hAnsi="Times New Roman" w:cs="Times New Roman"/>
              </w:rPr>
            </w:pPr>
            <w:r w:rsidRPr="002A7673">
              <w:rPr>
                <w:rFonts w:ascii="Times New Roman" w:hAnsi="Times New Roman" w:cs="Times New Roman"/>
              </w:rPr>
              <w:t>9 meses</w:t>
            </w:r>
          </w:p>
        </w:tc>
      </w:tr>
      <w:tr w:rsidR="00E147EB" w:rsidRPr="002A7673" w14:paraId="2CCF6441" w14:textId="77777777" w:rsidTr="0048334E">
        <w:trPr>
          <w:trHeight w:val="290"/>
          <w:jc w:val="center"/>
        </w:trPr>
        <w:tc>
          <w:tcPr>
            <w:tcW w:w="2114" w:type="dxa"/>
            <w:tcBorders>
              <w:top w:val="nil"/>
              <w:left w:val="single" w:sz="8" w:space="0" w:color="auto"/>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5C7EAF42" w14:textId="77777777" w:rsidR="00E147EB" w:rsidRPr="002A7673" w:rsidRDefault="00E147EB" w:rsidP="0048334E">
            <w:pPr>
              <w:spacing w:after="0" w:line="240" w:lineRule="auto"/>
              <w:jc w:val="both"/>
              <w:rPr>
                <w:rFonts w:ascii="Times New Roman" w:hAnsi="Times New Roman" w:cs="Times New Roman"/>
                <w:b/>
                <w:bCs/>
              </w:rPr>
            </w:pPr>
            <w:r w:rsidRPr="002A7673">
              <w:rPr>
                <w:rFonts w:ascii="Times New Roman" w:hAnsi="Times New Roman" w:cs="Times New Roman"/>
                <w:b/>
                <w:bCs/>
                <w:color w:val="000000"/>
              </w:rPr>
              <w:t>Total</w:t>
            </w:r>
          </w:p>
        </w:tc>
        <w:tc>
          <w:tcPr>
            <w:tcW w:w="1134" w:type="dxa"/>
            <w:tcBorders>
              <w:top w:val="nil"/>
              <w:left w:val="nil"/>
              <w:bottom w:val="single" w:sz="8" w:space="0" w:color="auto"/>
              <w:right w:val="single" w:sz="8" w:space="0" w:color="auto"/>
            </w:tcBorders>
            <w:shd w:val="clear" w:color="auto" w:fill="D5DCE4" w:themeFill="text2" w:themeFillTint="33"/>
            <w:noWrap/>
            <w:tcMar>
              <w:top w:w="0" w:type="dxa"/>
              <w:left w:w="70" w:type="dxa"/>
              <w:bottom w:w="0" w:type="dxa"/>
              <w:right w:w="70" w:type="dxa"/>
            </w:tcMar>
            <w:vAlign w:val="bottom"/>
            <w:hideMark/>
          </w:tcPr>
          <w:p w14:paraId="03167070" w14:textId="77777777" w:rsidR="00E147EB" w:rsidRPr="002A7673" w:rsidRDefault="00E147EB" w:rsidP="0048334E">
            <w:pPr>
              <w:spacing w:after="0" w:line="240" w:lineRule="auto"/>
              <w:jc w:val="center"/>
              <w:rPr>
                <w:rFonts w:ascii="Times New Roman" w:hAnsi="Times New Roman" w:cs="Times New Roman"/>
                <w:b/>
                <w:bCs/>
              </w:rPr>
            </w:pPr>
            <w:r w:rsidRPr="002A7673">
              <w:rPr>
                <w:rFonts w:ascii="Times New Roman" w:hAnsi="Times New Roman" w:cs="Times New Roman"/>
                <w:b/>
                <w:bCs/>
              </w:rPr>
              <w:t>7</w:t>
            </w:r>
          </w:p>
        </w:tc>
        <w:tc>
          <w:tcPr>
            <w:tcW w:w="3402" w:type="dxa"/>
            <w:noWrap/>
            <w:tcMar>
              <w:top w:w="0" w:type="dxa"/>
              <w:left w:w="70" w:type="dxa"/>
              <w:bottom w:w="0" w:type="dxa"/>
              <w:right w:w="70" w:type="dxa"/>
            </w:tcMar>
            <w:vAlign w:val="bottom"/>
            <w:hideMark/>
          </w:tcPr>
          <w:p w14:paraId="0EE43D07" w14:textId="77777777" w:rsidR="00E147EB" w:rsidRPr="002A7673" w:rsidRDefault="00E147EB" w:rsidP="0048334E">
            <w:pPr>
              <w:spacing w:after="0" w:line="240" w:lineRule="auto"/>
              <w:rPr>
                <w:rFonts w:ascii="Times New Roman" w:hAnsi="Times New Roman" w:cs="Times New Roman"/>
                <w:b/>
                <w:bCs/>
              </w:rPr>
            </w:pPr>
          </w:p>
        </w:tc>
        <w:tc>
          <w:tcPr>
            <w:tcW w:w="1278" w:type="dxa"/>
          </w:tcPr>
          <w:p w14:paraId="6505DBD5" w14:textId="77777777" w:rsidR="00E147EB" w:rsidRPr="002A7673" w:rsidRDefault="00E147EB" w:rsidP="0048334E">
            <w:pPr>
              <w:spacing w:after="0" w:line="240" w:lineRule="auto"/>
              <w:rPr>
                <w:rFonts w:ascii="Times New Roman" w:hAnsi="Times New Roman" w:cs="Times New Roman"/>
                <w:b/>
                <w:bCs/>
              </w:rPr>
            </w:pPr>
          </w:p>
        </w:tc>
      </w:tr>
    </w:tbl>
    <w:p w14:paraId="2B45DE57" w14:textId="77777777" w:rsidR="00E147EB" w:rsidRPr="002A7673" w:rsidRDefault="00E147EB" w:rsidP="00E147EB">
      <w:pPr>
        <w:spacing w:after="0" w:line="240" w:lineRule="auto"/>
        <w:ind w:left="567"/>
        <w:jc w:val="both"/>
        <w:rPr>
          <w:rFonts w:ascii="Times New Roman" w:hAnsi="Times New Roman" w:cs="Times New Roman"/>
          <w:sz w:val="24"/>
          <w:szCs w:val="24"/>
          <w:lang w:val="es-ES"/>
        </w:rPr>
      </w:pPr>
      <w:r w:rsidRPr="002A7673">
        <w:rPr>
          <w:rFonts w:ascii="Times New Roman" w:hAnsi="Times New Roman" w:cs="Times New Roman"/>
        </w:rPr>
        <w:t>Fuente: Elaborado por la Dirección de Planificación.</w:t>
      </w:r>
    </w:p>
    <w:p w14:paraId="326F8972" w14:textId="77777777" w:rsidR="00E147EB" w:rsidRPr="002A7673" w:rsidRDefault="00E147EB" w:rsidP="00E147EB">
      <w:pPr>
        <w:spacing w:after="0" w:line="240" w:lineRule="auto"/>
        <w:jc w:val="both"/>
        <w:rPr>
          <w:rFonts w:ascii="Times New Roman" w:hAnsi="Times New Roman" w:cs="Times New Roman"/>
          <w:sz w:val="24"/>
          <w:szCs w:val="24"/>
          <w:lang w:val="es-ES"/>
        </w:rPr>
      </w:pPr>
    </w:p>
    <w:p w14:paraId="7BF8AC1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lang w:val="es-ES"/>
        </w:rPr>
        <w:t>Con motivo de que los locales de alquiler para instalar al personal del Ámbito Auxiliar de Justicia no están completamente definidos, pero según lo manifestado por cada uno de sus representantes en cuanto a que el proceso de contratación de los alquileres será gestionado a partir del 2022 y se requiere el uso de los locales a partir del mes de julio del 2023, se actualiza la estimación del servicio de enlaces de comunicación</w:t>
      </w:r>
      <w:r w:rsidRPr="002A7673">
        <w:rPr>
          <w:rFonts w:ascii="Times New Roman" w:hAnsi="Times New Roman" w:cs="Times New Roman"/>
          <w:color w:val="000000"/>
          <w:sz w:val="26"/>
          <w:szCs w:val="26"/>
          <w:lang w:eastAsia="es-CR"/>
        </w:rPr>
        <w:t>.</w:t>
      </w:r>
    </w:p>
    <w:p w14:paraId="0DEEA163"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16B1FAE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rPr>
        <w:lastRenderedPageBreak/>
        <w:t>Cabe destacar que ese monto se relaciona con los enlaces del alquiler de edificio o local para de la Defensa Pública, Ministerio Público, Oficina de Atención y Protección a la Víctima del Delito, Unidad de Protección, Unidad de Protección a Víctimas y Organismo de Investigación Judicial:</w:t>
      </w:r>
    </w:p>
    <w:p w14:paraId="44F342A4" w14:textId="77777777" w:rsidR="00E147EB" w:rsidRPr="002A7673" w:rsidRDefault="00E147EB" w:rsidP="00E147EB">
      <w:pPr>
        <w:spacing w:after="0" w:line="240" w:lineRule="auto"/>
        <w:jc w:val="both"/>
        <w:rPr>
          <w:rFonts w:ascii="Times New Roman" w:hAnsi="Times New Roman" w:cs="Times New Roman"/>
          <w:sz w:val="24"/>
          <w:szCs w:val="24"/>
          <w:lang w:val="es-ES"/>
        </w:rPr>
      </w:pPr>
    </w:p>
    <w:p w14:paraId="4350556F" w14:textId="77777777" w:rsidR="00E147EB" w:rsidRPr="002A7673" w:rsidRDefault="00E147EB" w:rsidP="00E147EB">
      <w:pPr>
        <w:widowControl w:val="0"/>
        <w:autoSpaceDE w:val="0"/>
        <w:autoSpaceDN w:val="0"/>
        <w:adjustRightInd w:val="0"/>
        <w:spacing w:after="0" w:line="240" w:lineRule="auto"/>
        <w:jc w:val="center"/>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Tabla </w:t>
      </w:r>
      <w:r w:rsidRPr="002A7673">
        <w:rPr>
          <w:rFonts w:ascii="Times New Roman" w:eastAsia="Times New Roman" w:hAnsi="Times New Roman" w:cs="Times New Roman"/>
          <w:sz w:val="26"/>
          <w:szCs w:val="26"/>
          <w:lang w:val="es-ES" w:eastAsia="es-ES"/>
        </w:rPr>
        <w:fldChar w:fldCharType="begin"/>
      </w:r>
      <w:r w:rsidRPr="002A7673">
        <w:rPr>
          <w:rFonts w:ascii="Times New Roman" w:eastAsia="Times New Roman" w:hAnsi="Times New Roman" w:cs="Times New Roman"/>
          <w:sz w:val="26"/>
          <w:szCs w:val="26"/>
          <w:lang w:val="es-ES" w:eastAsia="es-ES"/>
        </w:rPr>
        <w:instrText xml:space="preserve"> SEQ Tabla \* ARABIC </w:instrText>
      </w:r>
      <w:r w:rsidRPr="002A7673">
        <w:rPr>
          <w:rFonts w:ascii="Times New Roman" w:eastAsia="Times New Roman" w:hAnsi="Times New Roman" w:cs="Times New Roman"/>
          <w:sz w:val="26"/>
          <w:szCs w:val="26"/>
          <w:lang w:val="es-ES" w:eastAsia="es-ES"/>
        </w:rPr>
        <w:fldChar w:fldCharType="separate"/>
      </w:r>
      <w:r w:rsidRPr="002A7673">
        <w:rPr>
          <w:rFonts w:ascii="Times New Roman" w:eastAsia="Times New Roman" w:hAnsi="Times New Roman" w:cs="Times New Roman"/>
          <w:noProof/>
          <w:sz w:val="26"/>
          <w:szCs w:val="26"/>
          <w:lang w:val="es-ES" w:eastAsia="es-ES"/>
        </w:rPr>
        <w:t>4</w:t>
      </w:r>
      <w:r w:rsidRPr="002A7673">
        <w:rPr>
          <w:rFonts w:ascii="Times New Roman" w:eastAsia="Times New Roman" w:hAnsi="Times New Roman" w:cs="Times New Roman"/>
          <w:sz w:val="26"/>
          <w:szCs w:val="26"/>
          <w:lang w:val="es-ES" w:eastAsia="es-ES"/>
        </w:rPr>
        <w:fldChar w:fldCharType="end"/>
      </w:r>
      <w:r w:rsidRPr="002A7673">
        <w:rPr>
          <w:rFonts w:ascii="Times New Roman" w:eastAsia="Times New Roman" w:hAnsi="Times New Roman" w:cs="Times New Roman"/>
          <w:sz w:val="26"/>
          <w:szCs w:val="26"/>
          <w:lang w:val="es-ES" w:eastAsia="es-ES"/>
        </w:rPr>
        <w:t>: Detalle de “Enlace de comunicación”</w:t>
      </w:r>
    </w:p>
    <w:p w14:paraId="7BEA6494" w14:textId="77777777" w:rsidR="00E147EB" w:rsidRPr="002A7673" w:rsidRDefault="00E147EB" w:rsidP="00E147EB">
      <w:pPr>
        <w:spacing w:after="0" w:line="240" w:lineRule="auto"/>
        <w:rPr>
          <w:rFonts w:ascii="Times New Roman" w:hAnsi="Times New Roman" w:cs="Times New Roman"/>
          <w:lang w:val="es-ES"/>
        </w:rPr>
      </w:pPr>
    </w:p>
    <w:tbl>
      <w:tblPr>
        <w:tblW w:w="5245" w:type="dxa"/>
        <w:jc w:val="center"/>
        <w:tblCellMar>
          <w:left w:w="70" w:type="dxa"/>
          <w:right w:w="70" w:type="dxa"/>
        </w:tblCellMar>
        <w:tblLook w:val="04A0" w:firstRow="1" w:lastRow="0" w:firstColumn="1" w:lastColumn="0" w:noHBand="0" w:noVBand="1"/>
      </w:tblPr>
      <w:tblGrid>
        <w:gridCol w:w="2682"/>
        <w:gridCol w:w="2563"/>
      </w:tblGrid>
      <w:tr w:rsidR="00E147EB" w:rsidRPr="002A7673" w14:paraId="62ADC15D" w14:textId="77777777" w:rsidTr="0048334E">
        <w:trPr>
          <w:trHeight w:val="555"/>
          <w:jc w:val="center"/>
        </w:trPr>
        <w:tc>
          <w:tcPr>
            <w:tcW w:w="2682" w:type="dxa"/>
            <w:tcBorders>
              <w:top w:val="single" w:sz="8" w:space="0" w:color="auto"/>
              <w:left w:val="single" w:sz="8" w:space="0" w:color="auto"/>
              <w:bottom w:val="nil"/>
              <w:right w:val="single" w:sz="8" w:space="0" w:color="auto"/>
            </w:tcBorders>
            <w:shd w:val="clear" w:color="000000" w:fill="203764"/>
            <w:vAlign w:val="center"/>
            <w:hideMark/>
          </w:tcPr>
          <w:p w14:paraId="6A217920" w14:textId="77777777" w:rsidR="00E147EB" w:rsidRPr="002A7673" w:rsidRDefault="00E147EB" w:rsidP="0048334E">
            <w:pPr>
              <w:spacing w:after="0" w:line="24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color w:val="FFFFFF"/>
                <w:sz w:val="24"/>
                <w:szCs w:val="24"/>
                <w:lang w:eastAsia="es-CR"/>
              </w:rPr>
              <w:t>Oficina</w:t>
            </w:r>
          </w:p>
        </w:tc>
        <w:tc>
          <w:tcPr>
            <w:tcW w:w="2563" w:type="dxa"/>
            <w:tcBorders>
              <w:top w:val="nil"/>
              <w:left w:val="nil"/>
              <w:bottom w:val="nil"/>
              <w:right w:val="single" w:sz="8" w:space="0" w:color="auto"/>
            </w:tcBorders>
            <w:shd w:val="clear" w:color="000000" w:fill="203764"/>
            <w:vAlign w:val="center"/>
            <w:hideMark/>
          </w:tcPr>
          <w:p w14:paraId="2130A81A" w14:textId="77777777" w:rsidR="00E147EB" w:rsidRPr="002A7673" w:rsidRDefault="00E147EB" w:rsidP="0048334E">
            <w:pPr>
              <w:spacing w:after="0" w:line="24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color w:val="FFFFFF"/>
                <w:sz w:val="24"/>
                <w:szCs w:val="24"/>
                <w:lang w:eastAsia="es-CR"/>
              </w:rPr>
              <w:t>Total</w:t>
            </w:r>
          </w:p>
        </w:tc>
      </w:tr>
      <w:tr w:rsidR="00E147EB" w:rsidRPr="002A7673" w14:paraId="2FE16802" w14:textId="77777777" w:rsidTr="0048334E">
        <w:trPr>
          <w:trHeight w:val="555"/>
          <w:jc w:val="center"/>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EDFF769"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Defensa Pública</w:t>
            </w:r>
          </w:p>
        </w:tc>
        <w:tc>
          <w:tcPr>
            <w:tcW w:w="2563" w:type="dxa"/>
            <w:tcBorders>
              <w:top w:val="single" w:sz="8" w:space="0" w:color="auto"/>
              <w:left w:val="nil"/>
              <w:bottom w:val="single" w:sz="8" w:space="0" w:color="auto"/>
              <w:right w:val="single" w:sz="8" w:space="0" w:color="auto"/>
            </w:tcBorders>
            <w:shd w:val="clear" w:color="auto" w:fill="auto"/>
            <w:noWrap/>
            <w:vAlign w:val="center"/>
            <w:hideMark/>
          </w:tcPr>
          <w:p w14:paraId="31233CD4"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4.151.321</w:t>
            </w:r>
          </w:p>
        </w:tc>
      </w:tr>
      <w:tr w:rsidR="00E147EB" w:rsidRPr="002A7673" w14:paraId="3A3C823F" w14:textId="77777777" w:rsidTr="0048334E">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755FEA24"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Ministerio Público</w:t>
            </w:r>
          </w:p>
        </w:tc>
        <w:tc>
          <w:tcPr>
            <w:tcW w:w="2563" w:type="dxa"/>
            <w:tcBorders>
              <w:top w:val="nil"/>
              <w:left w:val="nil"/>
              <w:bottom w:val="single" w:sz="8" w:space="0" w:color="auto"/>
              <w:right w:val="single" w:sz="8" w:space="0" w:color="auto"/>
            </w:tcBorders>
            <w:shd w:val="clear" w:color="auto" w:fill="auto"/>
            <w:noWrap/>
            <w:vAlign w:val="center"/>
            <w:hideMark/>
          </w:tcPr>
          <w:p w14:paraId="7BA669F9"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23.153.337</w:t>
            </w:r>
          </w:p>
        </w:tc>
      </w:tr>
      <w:tr w:rsidR="00E147EB" w:rsidRPr="002A7673" w14:paraId="33ED9BDB" w14:textId="77777777" w:rsidTr="0048334E">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3E5D906A"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OAPVD</w:t>
            </w:r>
          </w:p>
        </w:tc>
        <w:tc>
          <w:tcPr>
            <w:tcW w:w="2563" w:type="dxa"/>
            <w:tcBorders>
              <w:top w:val="nil"/>
              <w:left w:val="nil"/>
              <w:bottom w:val="single" w:sz="8" w:space="0" w:color="auto"/>
              <w:right w:val="single" w:sz="8" w:space="0" w:color="auto"/>
            </w:tcBorders>
            <w:shd w:val="clear" w:color="auto" w:fill="auto"/>
            <w:noWrap/>
            <w:vAlign w:val="center"/>
            <w:hideMark/>
          </w:tcPr>
          <w:p w14:paraId="267A1112"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4.151.321</w:t>
            </w:r>
          </w:p>
        </w:tc>
      </w:tr>
      <w:tr w:rsidR="00E147EB" w:rsidRPr="002A7673" w14:paraId="5625329B" w14:textId="77777777" w:rsidTr="0048334E">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3D8102DD"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UPRO</w:t>
            </w:r>
          </w:p>
        </w:tc>
        <w:tc>
          <w:tcPr>
            <w:tcW w:w="2563" w:type="dxa"/>
            <w:tcBorders>
              <w:top w:val="nil"/>
              <w:left w:val="nil"/>
              <w:bottom w:val="single" w:sz="8" w:space="0" w:color="auto"/>
              <w:right w:val="single" w:sz="8" w:space="0" w:color="auto"/>
            </w:tcBorders>
            <w:shd w:val="clear" w:color="auto" w:fill="auto"/>
            <w:noWrap/>
            <w:vAlign w:val="center"/>
            <w:hideMark/>
          </w:tcPr>
          <w:p w14:paraId="1957BE1E"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4.151.321</w:t>
            </w:r>
          </w:p>
        </w:tc>
      </w:tr>
      <w:tr w:rsidR="00E147EB" w:rsidRPr="002A7673" w14:paraId="121E35DE" w14:textId="77777777" w:rsidTr="0048334E">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6C133681"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UPROV</w:t>
            </w:r>
          </w:p>
        </w:tc>
        <w:tc>
          <w:tcPr>
            <w:tcW w:w="2563" w:type="dxa"/>
            <w:tcBorders>
              <w:top w:val="nil"/>
              <w:left w:val="nil"/>
              <w:bottom w:val="single" w:sz="8" w:space="0" w:color="auto"/>
              <w:right w:val="single" w:sz="8" w:space="0" w:color="auto"/>
            </w:tcBorders>
            <w:shd w:val="clear" w:color="auto" w:fill="auto"/>
            <w:noWrap/>
            <w:vAlign w:val="center"/>
            <w:hideMark/>
          </w:tcPr>
          <w:p w14:paraId="381ED6AB"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4.151.321</w:t>
            </w:r>
          </w:p>
        </w:tc>
      </w:tr>
      <w:tr w:rsidR="00E147EB" w:rsidRPr="002A7673" w14:paraId="17E5BDBB" w14:textId="77777777" w:rsidTr="0048334E">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tcPr>
          <w:p w14:paraId="2C052DA9"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OIJ</w:t>
            </w:r>
          </w:p>
        </w:tc>
        <w:tc>
          <w:tcPr>
            <w:tcW w:w="2563" w:type="dxa"/>
            <w:tcBorders>
              <w:top w:val="nil"/>
              <w:left w:val="nil"/>
              <w:bottom w:val="single" w:sz="8" w:space="0" w:color="auto"/>
              <w:right w:val="single" w:sz="8" w:space="0" w:color="auto"/>
            </w:tcBorders>
            <w:shd w:val="clear" w:color="auto" w:fill="auto"/>
            <w:noWrap/>
            <w:vAlign w:val="center"/>
          </w:tcPr>
          <w:p w14:paraId="5DB58615"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37.007.866</w:t>
            </w:r>
          </w:p>
        </w:tc>
      </w:tr>
      <w:tr w:rsidR="00E147EB" w:rsidRPr="002A7673" w14:paraId="22C75AF2" w14:textId="77777777" w:rsidTr="0048334E">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63AC6A33"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Total</w:t>
            </w:r>
          </w:p>
        </w:tc>
        <w:tc>
          <w:tcPr>
            <w:tcW w:w="2563" w:type="dxa"/>
            <w:tcBorders>
              <w:top w:val="nil"/>
              <w:left w:val="nil"/>
              <w:bottom w:val="single" w:sz="8" w:space="0" w:color="auto"/>
              <w:right w:val="single" w:sz="8" w:space="0" w:color="auto"/>
            </w:tcBorders>
            <w:shd w:val="clear" w:color="auto" w:fill="auto"/>
            <w:noWrap/>
            <w:vAlign w:val="center"/>
            <w:hideMark/>
          </w:tcPr>
          <w:p w14:paraId="68731A5D"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76.766.486</w:t>
            </w:r>
          </w:p>
        </w:tc>
      </w:tr>
    </w:tbl>
    <w:p w14:paraId="54F8C4BD" w14:textId="77777777" w:rsidR="00E147EB" w:rsidRPr="002A7673" w:rsidRDefault="00E147EB" w:rsidP="00E147EB">
      <w:pPr>
        <w:spacing w:after="0" w:line="240" w:lineRule="auto"/>
        <w:ind w:left="1985" w:right="1983"/>
        <w:rPr>
          <w:rFonts w:ascii="Times New Roman" w:hAnsi="Times New Roman" w:cs="Times New Roman"/>
        </w:rPr>
      </w:pPr>
      <w:r w:rsidRPr="002A7673">
        <w:rPr>
          <w:rFonts w:ascii="Times New Roman" w:hAnsi="Times New Roman" w:cs="Times New Roman"/>
        </w:rPr>
        <w:t>Fuente: Información suministrada mediante correo electrónico de la Sección de Telemática de la Dirección de Tecnología de Información.</w:t>
      </w:r>
    </w:p>
    <w:p w14:paraId="66A063CB" w14:textId="77777777" w:rsidR="00E147EB" w:rsidRPr="002A7673" w:rsidRDefault="00E147EB" w:rsidP="00E147EB">
      <w:pPr>
        <w:spacing w:after="0" w:line="240" w:lineRule="auto"/>
        <w:ind w:firstLine="360"/>
        <w:jc w:val="both"/>
        <w:rPr>
          <w:rFonts w:ascii="Times New Roman" w:hAnsi="Times New Roman" w:cs="Times New Roman"/>
          <w:sz w:val="24"/>
          <w:szCs w:val="24"/>
        </w:rPr>
      </w:pPr>
    </w:p>
    <w:p w14:paraId="32215A7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rPr>
        <w:t>En síntesis, los costos por “Enlaces de comunicación”</w:t>
      </w:r>
      <w:r w:rsidRPr="002A7673">
        <w:rPr>
          <w:rFonts w:ascii="Times New Roman" w:hAnsi="Times New Roman" w:cs="Times New Roman"/>
          <w:sz w:val="26"/>
          <w:szCs w:val="26"/>
          <w:lang w:val="es-ES"/>
        </w:rPr>
        <w:t xml:space="preserve"> fueron presupuestados para 7 meses del 2023 en los locales que se estiman serán alquilados para un total de ₡</w:t>
      </w:r>
      <w:r w:rsidRPr="002A7673">
        <w:rPr>
          <w:rFonts w:ascii="Times New Roman" w:hAnsi="Times New Roman" w:cs="Times New Roman"/>
          <w:color w:val="000000"/>
          <w:sz w:val="26"/>
          <w:szCs w:val="26"/>
          <w:lang w:eastAsia="es-CR"/>
        </w:rPr>
        <w:t>76.766.486</w:t>
      </w:r>
      <w:r w:rsidRPr="002A7673">
        <w:rPr>
          <w:rFonts w:ascii="Times New Roman" w:hAnsi="Times New Roman" w:cs="Times New Roman"/>
          <w:sz w:val="26"/>
          <w:szCs w:val="26"/>
          <w:lang w:val="es-ES"/>
        </w:rPr>
        <w:t xml:space="preserve">, no obstante, a partir del 2024, sería un costo anual aproximado de ₡124.335.404. </w:t>
      </w:r>
    </w:p>
    <w:p w14:paraId="44990490"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3D50E706"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1.1.5. Dirección Ejecutiva:</w:t>
      </w:r>
    </w:p>
    <w:p w14:paraId="63BB9B6F"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2F46CB6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Mediante oficio 673-DE-2021 del 26 de febrero de 2021, la Dirección Ejecutiva informó a la Dirección de Planificación sobre la actualización de costos y requerimientos necesarios para iniciar la implementación de la nueva Jurisdicción, principalmente, en relación con el proceso de remodelaciones, aspectos de seguridad y otros, que forman parte de la totalidad de costos que pertenecen al Programa 926 (Dirección, Administración y otros Órganos de </w:t>
      </w:r>
      <w:r w:rsidRPr="002A7673">
        <w:rPr>
          <w:rFonts w:ascii="Times New Roman" w:hAnsi="Times New Roman" w:cs="Times New Roman"/>
          <w:sz w:val="26"/>
          <w:szCs w:val="26"/>
          <w:lang w:val="es-ES"/>
        </w:rPr>
        <w:lastRenderedPageBreak/>
        <w:t>Apoyo) y, según se verá más adelante, a la totalidad de los costos del Programa 927 (Servicio Jurisdiccional).</w:t>
      </w:r>
    </w:p>
    <w:p w14:paraId="49F57B8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6991508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De acuerdo con el oficio citado, se cuenta con un cronograma en el cual se estiman los plazos para definir los requerimientos y especificaciones para la remodelación del tercer piso del edificio de los Tribunales de Justicia de San José, así como la elaboración de planos y trámites del concurso para la contratación de la remodelación. De igual manera, se estima el plazo para el traslado de los despachos ubicados en el tercer piso de los Tribunales hacia el Edificio Anexo E</w:t>
      </w:r>
      <w:r w:rsidRPr="002A7673">
        <w:rPr>
          <w:rFonts w:ascii="Times New Roman" w:hAnsi="Times New Roman" w:cs="Times New Roman"/>
          <w:sz w:val="26"/>
          <w:szCs w:val="26"/>
          <w:vertAlign w:val="superscript"/>
        </w:rPr>
        <w:footnoteReference w:id="3"/>
      </w:r>
      <w:r w:rsidRPr="002A7673">
        <w:rPr>
          <w:rFonts w:ascii="Times New Roman" w:hAnsi="Times New Roman" w:cs="Times New Roman"/>
          <w:sz w:val="26"/>
          <w:szCs w:val="26"/>
          <w:lang w:val="es-ES"/>
        </w:rPr>
        <w:t xml:space="preserve"> y el inicio o ejecución de las obras de remodelación por parte del contratista adjudicado, con lo cual se proyecta finalizar entre febrero y marzo del 2023.</w:t>
      </w:r>
    </w:p>
    <w:p w14:paraId="06CAF40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3300981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Se destacan algunos ajustes en los materiales requeridos con sus valores de mercado y en los rubros de transportes, administración de la obra y otros, según actualización realizada por parte del Departamento de Servicios Generales. Debido a que el Edificio Anexo E será entregado con mobiliario nuevo se prescindió de una parte del mobiliario de oficina presupuestado anteriormente y se actualizaron los costos ante variación de los precios del nuevo contrato.</w:t>
      </w:r>
    </w:p>
    <w:p w14:paraId="38D7AB9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44DF3FCF"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Para llevar a cabo todas las labores de implementación referidas con anterioridad, es necesario contar con el equipo de trabajo encargado de atender las necesidades de infraestructura, según se detalla en la siguiente tabla:</w:t>
      </w:r>
    </w:p>
    <w:p w14:paraId="439FD49F" w14:textId="77777777" w:rsidR="00E147EB" w:rsidRPr="002A7673" w:rsidRDefault="00E147EB" w:rsidP="00E147EB">
      <w:pPr>
        <w:spacing w:after="0" w:line="240" w:lineRule="auto"/>
        <w:jc w:val="both"/>
        <w:rPr>
          <w:rFonts w:ascii="Times New Roman" w:hAnsi="Times New Roman" w:cs="Times New Roman"/>
          <w:sz w:val="24"/>
          <w:szCs w:val="24"/>
          <w:lang w:val="es-ES"/>
        </w:rPr>
      </w:pPr>
    </w:p>
    <w:p w14:paraId="65ACAB3B" w14:textId="77777777" w:rsidR="00E147EB" w:rsidRPr="002A7673" w:rsidRDefault="00E147EB" w:rsidP="00E147EB">
      <w:pPr>
        <w:spacing w:after="0" w:line="240" w:lineRule="auto"/>
        <w:jc w:val="center"/>
        <w:rPr>
          <w:rFonts w:ascii="Times New Roman" w:hAnsi="Times New Roman" w:cs="Times New Roman"/>
          <w:sz w:val="26"/>
          <w:szCs w:val="26"/>
        </w:rPr>
      </w:pPr>
      <w:r w:rsidRPr="002A7673">
        <w:rPr>
          <w:rFonts w:ascii="Times New Roman" w:hAnsi="Times New Roman" w:cs="Times New Roman"/>
          <w:sz w:val="26"/>
          <w:szCs w:val="26"/>
        </w:rPr>
        <w:t xml:space="preserve">Tabla </w:t>
      </w:r>
      <w:r w:rsidRPr="002A7673">
        <w:rPr>
          <w:rFonts w:ascii="Times New Roman" w:hAnsi="Times New Roman" w:cs="Times New Roman"/>
          <w:sz w:val="26"/>
          <w:szCs w:val="26"/>
        </w:rPr>
        <w:fldChar w:fldCharType="begin"/>
      </w:r>
      <w:r w:rsidRPr="002A7673">
        <w:rPr>
          <w:rFonts w:ascii="Times New Roman" w:hAnsi="Times New Roman" w:cs="Times New Roman"/>
          <w:sz w:val="26"/>
          <w:szCs w:val="26"/>
        </w:rPr>
        <w:instrText xml:space="preserve"> SEQ Tabla \* ARABIC </w:instrText>
      </w:r>
      <w:r w:rsidRPr="002A7673">
        <w:rPr>
          <w:rFonts w:ascii="Times New Roman" w:hAnsi="Times New Roman" w:cs="Times New Roman"/>
          <w:sz w:val="26"/>
          <w:szCs w:val="26"/>
        </w:rPr>
        <w:fldChar w:fldCharType="separate"/>
      </w:r>
      <w:r w:rsidRPr="002A7673">
        <w:rPr>
          <w:rFonts w:ascii="Times New Roman" w:hAnsi="Times New Roman" w:cs="Times New Roman"/>
          <w:noProof/>
          <w:sz w:val="26"/>
          <w:szCs w:val="26"/>
        </w:rPr>
        <w:t>5</w:t>
      </w:r>
      <w:r w:rsidRPr="002A7673">
        <w:rPr>
          <w:rFonts w:ascii="Times New Roman" w:hAnsi="Times New Roman" w:cs="Times New Roman"/>
          <w:sz w:val="26"/>
          <w:szCs w:val="26"/>
        </w:rPr>
        <w:fldChar w:fldCharType="end"/>
      </w:r>
      <w:r w:rsidRPr="002A7673">
        <w:rPr>
          <w:rFonts w:ascii="Times New Roman" w:hAnsi="Times New Roman" w:cs="Times New Roman"/>
          <w:sz w:val="26"/>
          <w:szCs w:val="26"/>
        </w:rPr>
        <w:t>: Detalle de plazas requeridas por la Dirección Ejecutiva</w:t>
      </w:r>
    </w:p>
    <w:p w14:paraId="2C31DD9D" w14:textId="77777777" w:rsidR="00E147EB" w:rsidRPr="002A7673" w:rsidRDefault="00E147EB" w:rsidP="00E147EB">
      <w:pPr>
        <w:spacing w:after="0" w:line="240" w:lineRule="auto"/>
        <w:jc w:val="center"/>
        <w:rPr>
          <w:rFonts w:ascii="Times New Roman" w:hAnsi="Times New Roman" w:cs="Times New Roman"/>
          <w:sz w:val="24"/>
          <w:szCs w:val="24"/>
          <w:lang w:val="es-ES"/>
        </w:rPr>
      </w:pPr>
    </w:p>
    <w:tbl>
      <w:tblPr>
        <w:tblW w:w="8955" w:type="dxa"/>
        <w:jc w:val="center"/>
        <w:tblCellMar>
          <w:left w:w="70" w:type="dxa"/>
          <w:right w:w="70" w:type="dxa"/>
        </w:tblCellMar>
        <w:tblLook w:val="04A0" w:firstRow="1" w:lastRow="0" w:firstColumn="1" w:lastColumn="0" w:noHBand="0" w:noVBand="1"/>
      </w:tblPr>
      <w:tblGrid>
        <w:gridCol w:w="1271"/>
        <w:gridCol w:w="1134"/>
        <w:gridCol w:w="3579"/>
        <w:gridCol w:w="1276"/>
        <w:gridCol w:w="1695"/>
      </w:tblGrid>
      <w:tr w:rsidR="00E147EB" w:rsidRPr="002A7673" w14:paraId="06B4DA94" w14:textId="77777777" w:rsidTr="0048334E">
        <w:trPr>
          <w:trHeight w:val="600"/>
          <w:jc w:val="center"/>
        </w:trPr>
        <w:tc>
          <w:tcPr>
            <w:tcW w:w="1271"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100F8816"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Oficina</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3EE46260"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Cantidad de Plazas</w:t>
            </w:r>
          </w:p>
        </w:tc>
        <w:tc>
          <w:tcPr>
            <w:tcW w:w="3579" w:type="dxa"/>
            <w:tcBorders>
              <w:top w:val="single" w:sz="4" w:space="0" w:color="auto"/>
              <w:left w:val="nil"/>
              <w:bottom w:val="single" w:sz="4" w:space="0" w:color="auto"/>
              <w:right w:val="single" w:sz="4" w:space="0" w:color="auto"/>
            </w:tcBorders>
            <w:shd w:val="clear" w:color="000000" w:fill="D6DCE4"/>
            <w:vAlign w:val="center"/>
            <w:hideMark/>
          </w:tcPr>
          <w:p w14:paraId="5A9EC10F"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Tipo de plaza</w:t>
            </w:r>
          </w:p>
        </w:tc>
        <w:tc>
          <w:tcPr>
            <w:tcW w:w="1276" w:type="dxa"/>
            <w:tcBorders>
              <w:top w:val="nil"/>
              <w:left w:val="nil"/>
              <w:bottom w:val="single" w:sz="4" w:space="0" w:color="auto"/>
              <w:right w:val="single" w:sz="4" w:space="0" w:color="auto"/>
            </w:tcBorders>
            <w:shd w:val="clear" w:color="000000" w:fill="D6DCE4"/>
            <w:vAlign w:val="center"/>
            <w:hideMark/>
          </w:tcPr>
          <w:p w14:paraId="17614188"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Período 2022</w:t>
            </w:r>
          </w:p>
        </w:tc>
        <w:tc>
          <w:tcPr>
            <w:tcW w:w="1695" w:type="dxa"/>
            <w:tcBorders>
              <w:top w:val="nil"/>
              <w:left w:val="nil"/>
              <w:bottom w:val="single" w:sz="4" w:space="0" w:color="auto"/>
              <w:right w:val="single" w:sz="4" w:space="0" w:color="auto"/>
            </w:tcBorders>
            <w:shd w:val="clear" w:color="000000" w:fill="D6DCE4"/>
            <w:vAlign w:val="center"/>
            <w:hideMark/>
          </w:tcPr>
          <w:p w14:paraId="091BB329" w14:textId="77777777" w:rsidR="00E147EB" w:rsidRPr="002A7673" w:rsidRDefault="00E147EB"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Período       2023</w:t>
            </w:r>
          </w:p>
        </w:tc>
      </w:tr>
      <w:tr w:rsidR="00E147EB" w:rsidRPr="002A7673" w14:paraId="442515A4" w14:textId="77777777" w:rsidTr="0048334E">
        <w:trPr>
          <w:trHeight w:val="465"/>
          <w:jc w:val="center"/>
        </w:trPr>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63321975" w14:textId="77777777" w:rsidR="00E147EB" w:rsidRPr="002A7673" w:rsidRDefault="00E147EB"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Dirección Ejecutiva</w:t>
            </w:r>
          </w:p>
        </w:tc>
        <w:tc>
          <w:tcPr>
            <w:tcW w:w="1134" w:type="dxa"/>
            <w:tcBorders>
              <w:top w:val="nil"/>
              <w:left w:val="nil"/>
              <w:bottom w:val="single" w:sz="4" w:space="0" w:color="auto"/>
              <w:right w:val="single" w:sz="4" w:space="0" w:color="auto"/>
            </w:tcBorders>
            <w:shd w:val="clear" w:color="auto" w:fill="auto"/>
            <w:vAlign w:val="center"/>
            <w:hideMark/>
          </w:tcPr>
          <w:p w14:paraId="14079877" w14:textId="77777777" w:rsidR="00E147EB" w:rsidRPr="002A7673" w:rsidRDefault="00E147EB"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270C37C"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Arquitecto</w:t>
            </w:r>
          </w:p>
        </w:tc>
        <w:tc>
          <w:tcPr>
            <w:tcW w:w="1276" w:type="dxa"/>
            <w:tcBorders>
              <w:top w:val="nil"/>
              <w:left w:val="nil"/>
              <w:bottom w:val="single" w:sz="4" w:space="0" w:color="auto"/>
              <w:right w:val="single" w:sz="4" w:space="0" w:color="auto"/>
            </w:tcBorders>
            <w:shd w:val="clear" w:color="auto" w:fill="auto"/>
            <w:vAlign w:val="center"/>
            <w:hideMark/>
          </w:tcPr>
          <w:p w14:paraId="3B080CA4"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3ED9C9F2"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3 meses</w:t>
            </w:r>
          </w:p>
        </w:tc>
      </w:tr>
      <w:tr w:rsidR="00E147EB" w:rsidRPr="002A7673" w14:paraId="36C5E224" w14:textId="77777777" w:rsidTr="0048334E">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5DBC0E6A" w14:textId="77777777" w:rsidR="00E147EB" w:rsidRPr="002A7673" w:rsidRDefault="00E147EB" w:rsidP="0048334E">
            <w:pPr>
              <w:spacing w:after="0" w:line="240" w:lineRule="auto"/>
              <w:rPr>
                <w:rFonts w:ascii="Times New Roman" w:hAnsi="Times New Roman" w:cs="Times New Roman"/>
                <w:b/>
                <w:bCs/>
                <w:color w:val="000000"/>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1281F08C" w14:textId="77777777" w:rsidR="00E147EB" w:rsidRPr="002A7673" w:rsidRDefault="00E147EB"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1DF5DDE3"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Ingeniero Electromecánico</w:t>
            </w:r>
          </w:p>
        </w:tc>
        <w:tc>
          <w:tcPr>
            <w:tcW w:w="1276" w:type="dxa"/>
            <w:tcBorders>
              <w:top w:val="nil"/>
              <w:left w:val="nil"/>
              <w:bottom w:val="single" w:sz="4" w:space="0" w:color="auto"/>
              <w:right w:val="single" w:sz="4" w:space="0" w:color="auto"/>
            </w:tcBorders>
            <w:shd w:val="clear" w:color="auto" w:fill="auto"/>
            <w:vAlign w:val="center"/>
            <w:hideMark/>
          </w:tcPr>
          <w:p w14:paraId="7C4E1BB0"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5B89210D"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3 meses</w:t>
            </w:r>
          </w:p>
        </w:tc>
      </w:tr>
      <w:tr w:rsidR="00E147EB" w:rsidRPr="002A7673" w14:paraId="634EE9F8" w14:textId="77777777" w:rsidTr="0048334E">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60814090" w14:textId="77777777" w:rsidR="00E147EB" w:rsidRPr="002A7673" w:rsidRDefault="00E147EB" w:rsidP="0048334E">
            <w:pPr>
              <w:spacing w:after="0" w:line="240" w:lineRule="auto"/>
              <w:rPr>
                <w:rFonts w:ascii="Times New Roman" w:hAnsi="Times New Roman" w:cs="Times New Roman"/>
                <w:b/>
                <w:bCs/>
                <w:color w:val="000000"/>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5996CB13" w14:textId="77777777" w:rsidR="00E147EB" w:rsidRPr="002A7673" w:rsidRDefault="00E147EB"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8F96DEC"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Profesional 2 (Proveeduría)</w:t>
            </w:r>
          </w:p>
        </w:tc>
        <w:tc>
          <w:tcPr>
            <w:tcW w:w="1276" w:type="dxa"/>
            <w:tcBorders>
              <w:top w:val="nil"/>
              <w:left w:val="nil"/>
              <w:bottom w:val="single" w:sz="4" w:space="0" w:color="auto"/>
              <w:right w:val="single" w:sz="4" w:space="0" w:color="auto"/>
            </w:tcBorders>
            <w:shd w:val="clear" w:color="auto" w:fill="auto"/>
            <w:vAlign w:val="center"/>
            <w:hideMark/>
          </w:tcPr>
          <w:p w14:paraId="63FABE4A"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256308A2"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No se requiere</w:t>
            </w:r>
          </w:p>
        </w:tc>
      </w:tr>
      <w:tr w:rsidR="00E147EB" w:rsidRPr="002A7673" w14:paraId="62E0C5FC" w14:textId="77777777" w:rsidTr="0048334E">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6572B4FF" w14:textId="77777777" w:rsidR="00E147EB" w:rsidRPr="002A7673" w:rsidRDefault="00E147EB" w:rsidP="0048334E">
            <w:pPr>
              <w:spacing w:after="0" w:line="240" w:lineRule="auto"/>
              <w:rPr>
                <w:rFonts w:ascii="Times New Roman" w:hAnsi="Times New Roman" w:cs="Times New Roman"/>
                <w:b/>
                <w:bCs/>
                <w:color w:val="000000"/>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7C9675AC" w14:textId="77777777" w:rsidR="00E147EB" w:rsidRPr="002A7673" w:rsidRDefault="00E147EB"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332D3BED"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Asesor Jurídico 1</w:t>
            </w:r>
          </w:p>
        </w:tc>
        <w:tc>
          <w:tcPr>
            <w:tcW w:w="1276" w:type="dxa"/>
            <w:tcBorders>
              <w:top w:val="nil"/>
              <w:left w:val="nil"/>
              <w:bottom w:val="single" w:sz="4" w:space="0" w:color="auto"/>
              <w:right w:val="single" w:sz="4" w:space="0" w:color="auto"/>
            </w:tcBorders>
            <w:shd w:val="clear" w:color="auto" w:fill="auto"/>
            <w:vAlign w:val="center"/>
            <w:hideMark/>
          </w:tcPr>
          <w:p w14:paraId="6960B110"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3D7594F8"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No se requiere</w:t>
            </w:r>
          </w:p>
        </w:tc>
      </w:tr>
      <w:tr w:rsidR="00E147EB" w:rsidRPr="002A7673" w14:paraId="49483A92" w14:textId="77777777" w:rsidTr="0048334E">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641830DB" w14:textId="77777777" w:rsidR="00E147EB" w:rsidRPr="002A7673" w:rsidRDefault="00E147EB" w:rsidP="0048334E">
            <w:pPr>
              <w:spacing w:after="0" w:line="240" w:lineRule="auto"/>
              <w:rPr>
                <w:rFonts w:ascii="Times New Roman" w:hAnsi="Times New Roman" w:cs="Times New Roman"/>
                <w:b/>
                <w:bCs/>
                <w:color w:val="000000"/>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F17395F" w14:textId="77777777" w:rsidR="00E147EB" w:rsidRPr="002A7673" w:rsidRDefault="00E147EB"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900B600"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Profesional 1 (Salud Ocupacional)</w:t>
            </w:r>
          </w:p>
        </w:tc>
        <w:tc>
          <w:tcPr>
            <w:tcW w:w="1276" w:type="dxa"/>
            <w:tcBorders>
              <w:top w:val="nil"/>
              <w:left w:val="nil"/>
              <w:bottom w:val="single" w:sz="4" w:space="0" w:color="auto"/>
              <w:right w:val="single" w:sz="4" w:space="0" w:color="auto"/>
            </w:tcBorders>
            <w:shd w:val="clear" w:color="auto" w:fill="auto"/>
            <w:vAlign w:val="center"/>
            <w:hideMark/>
          </w:tcPr>
          <w:p w14:paraId="7B52D239"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3357C5B3"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3 meses</w:t>
            </w:r>
          </w:p>
        </w:tc>
      </w:tr>
      <w:tr w:rsidR="00E147EB" w:rsidRPr="002A7673" w14:paraId="6E36BC54" w14:textId="77777777" w:rsidTr="0048334E">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72FBC502" w14:textId="77777777" w:rsidR="00E147EB" w:rsidRPr="002A7673" w:rsidRDefault="00E147EB" w:rsidP="0048334E">
            <w:pPr>
              <w:spacing w:after="0" w:line="240" w:lineRule="auto"/>
              <w:rPr>
                <w:rFonts w:ascii="Times New Roman" w:hAnsi="Times New Roman" w:cs="Times New Roman"/>
                <w:b/>
                <w:bCs/>
                <w:color w:val="000000"/>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FC1D2FD" w14:textId="77777777" w:rsidR="00E147EB" w:rsidRPr="002A7673" w:rsidRDefault="00E147EB"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9C81818"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Profesional Telemática</w:t>
            </w:r>
          </w:p>
        </w:tc>
        <w:tc>
          <w:tcPr>
            <w:tcW w:w="1276" w:type="dxa"/>
            <w:tcBorders>
              <w:top w:val="nil"/>
              <w:left w:val="nil"/>
              <w:bottom w:val="single" w:sz="4" w:space="0" w:color="auto"/>
              <w:right w:val="single" w:sz="4" w:space="0" w:color="auto"/>
            </w:tcBorders>
            <w:shd w:val="clear" w:color="auto" w:fill="auto"/>
            <w:vAlign w:val="center"/>
            <w:hideMark/>
          </w:tcPr>
          <w:p w14:paraId="5C50FE93"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2A432D89" w14:textId="77777777" w:rsidR="00E147EB" w:rsidRPr="002A7673" w:rsidRDefault="00E147EB"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3 meses</w:t>
            </w:r>
          </w:p>
        </w:tc>
      </w:tr>
    </w:tbl>
    <w:p w14:paraId="44E3E15F" w14:textId="77777777" w:rsidR="00E147EB" w:rsidRPr="002A7673" w:rsidRDefault="00E147EB" w:rsidP="00E147EB">
      <w:pPr>
        <w:spacing w:after="0" w:line="240" w:lineRule="auto"/>
        <w:ind w:left="142"/>
        <w:jc w:val="both"/>
        <w:rPr>
          <w:rFonts w:ascii="Times New Roman" w:hAnsi="Times New Roman" w:cs="Times New Roman"/>
        </w:rPr>
      </w:pPr>
      <w:r w:rsidRPr="002A7673">
        <w:rPr>
          <w:rFonts w:ascii="Times New Roman" w:hAnsi="Times New Roman" w:cs="Times New Roman"/>
        </w:rPr>
        <w:t>Fuente: Elaborado por la Dirección de Planificación.</w:t>
      </w:r>
    </w:p>
    <w:p w14:paraId="7549C0EA" w14:textId="77777777" w:rsidR="00E147EB" w:rsidRPr="002A7673" w:rsidRDefault="00E147EB" w:rsidP="00E147EB">
      <w:pPr>
        <w:spacing w:after="0" w:line="240" w:lineRule="auto"/>
        <w:ind w:left="142"/>
        <w:jc w:val="both"/>
        <w:rPr>
          <w:rFonts w:ascii="Times New Roman" w:hAnsi="Times New Roman" w:cs="Times New Roman"/>
          <w:lang w:val="es-ES"/>
        </w:rPr>
      </w:pPr>
      <w:r w:rsidRPr="002A7673">
        <w:rPr>
          <w:rFonts w:ascii="Times New Roman" w:hAnsi="Times New Roman" w:cs="Times New Roman"/>
          <w:lang w:val="es-ES"/>
        </w:rPr>
        <w:t>Nota: los montos por costo de recurso humano requerido serán cargados a las oficinas presupuestarias que corresponda en cada caso.</w:t>
      </w:r>
    </w:p>
    <w:p w14:paraId="297AD52F" w14:textId="77777777" w:rsidR="00E147EB" w:rsidRPr="002A7673" w:rsidRDefault="00E147EB" w:rsidP="00E147EB">
      <w:pPr>
        <w:spacing w:after="0" w:line="240" w:lineRule="auto"/>
        <w:jc w:val="both"/>
        <w:rPr>
          <w:rFonts w:ascii="Times New Roman" w:hAnsi="Times New Roman" w:cs="Times New Roman"/>
          <w:sz w:val="24"/>
          <w:szCs w:val="24"/>
          <w:lang w:val="es-ES"/>
        </w:rPr>
      </w:pPr>
    </w:p>
    <w:p w14:paraId="68512F6F"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Adicional al personal referido, a partir de julio del 2023 se suman las plazas de Auxiliares de Seguridad para las salas de juicio, Tribunales, locales de alquiler y casetilla de seguridad; además del Supervisor de Seguridad, Técnicos Especializados 2 y Auxiliar de Servicios Generales 2.</w:t>
      </w:r>
    </w:p>
    <w:p w14:paraId="0D959A7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3F541C67"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1.2. Programa 927 (Servicio Jurisdiccional):</w:t>
      </w:r>
    </w:p>
    <w:p w14:paraId="18D26C5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5B932609"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Tal como se refirió previamente, la Dirección Ejecutiva detalla en el oficio 673-DE-2021 la variación de los costos y requerimientos que conlleva el proceso de implementación de la Ley 9481.</w:t>
      </w:r>
    </w:p>
    <w:p w14:paraId="37271EB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72D1CDC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lang w:val="es-ES"/>
        </w:rPr>
        <w:t xml:space="preserve">En el caso concreto del Programa 927, se presenta como principal variante de interés el traslado de los costos que </w:t>
      </w:r>
      <w:r w:rsidRPr="002A7673">
        <w:rPr>
          <w:rFonts w:ascii="Times New Roman" w:hAnsi="Times New Roman" w:cs="Times New Roman"/>
          <w:sz w:val="26"/>
          <w:szCs w:val="26"/>
        </w:rPr>
        <w:t xml:space="preserve">anteriormente correspondían al </w:t>
      </w:r>
      <w:r w:rsidRPr="002A7673">
        <w:rPr>
          <w:rFonts w:ascii="Times New Roman" w:hAnsi="Times New Roman" w:cs="Times New Roman"/>
          <w:sz w:val="26"/>
          <w:szCs w:val="26"/>
          <w:lang w:val="es-ES"/>
        </w:rPr>
        <w:t>Programa 926 por concepto de</w:t>
      </w:r>
      <w:r w:rsidRPr="002A7673">
        <w:rPr>
          <w:rFonts w:ascii="Times New Roman" w:hAnsi="Times New Roman" w:cs="Times New Roman"/>
          <w:sz w:val="26"/>
          <w:szCs w:val="26"/>
        </w:rPr>
        <w:t xml:space="preserve"> cerramiento de los balcones del Edificio de los Tribunales de Justicia de San José (instalación de parasoles)</w:t>
      </w:r>
      <w:r w:rsidRPr="002A7673">
        <w:rPr>
          <w:rFonts w:ascii="Times New Roman" w:hAnsi="Times New Roman" w:cs="Times New Roman"/>
          <w:sz w:val="26"/>
          <w:szCs w:val="26"/>
          <w:lang w:val="es-ES"/>
        </w:rPr>
        <w:t xml:space="preserve">, concretamente en la subpartida </w:t>
      </w:r>
      <w:r w:rsidRPr="002A7673">
        <w:rPr>
          <w:rFonts w:ascii="Times New Roman" w:hAnsi="Times New Roman" w:cs="Times New Roman"/>
          <w:sz w:val="26"/>
          <w:szCs w:val="26"/>
        </w:rPr>
        <w:t xml:space="preserve">denominada “Adiciones y Mejoras a Edificios” (Subpartida 5.02.01), </w:t>
      </w:r>
      <w:r w:rsidRPr="002A7673">
        <w:rPr>
          <w:rFonts w:ascii="Times New Roman" w:hAnsi="Times New Roman" w:cs="Times New Roman"/>
          <w:sz w:val="26"/>
          <w:szCs w:val="26"/>
          <w:lang w:val="es-ES"/>
        </w:rPr>
        <w:t>lo anterior,</w:t>
      </w:r>
      <w:r w:rsidRPr="002A7673">
        <w:rPr>
          <w:rFonts w:ascii="Times New Roman" w:hAnsi="Times New Roman" w:cs="Times New Roman"/>
          <w:sz w:val="26"/>
          <w:szCs w:val="26"/>
        </w:rPr>
        <w:t xml:space="preserve"> según indicación y recomendación del Departamento de Financiero Contable.</w:t>
      </w:r>
    </w:p>
    <w:p w14:paraId="75CF7AAB" w14:textId="77777777" w:rsidR="00E147EB" w:rsidRPr="002A7673" w:rsidRDefault="00E147EB" w:rsidP="00E147EB">
      <w:pPr>
        <w:spacing w:after="0" w:line="240" w:lineRule="auto"/>
        <w:ind w:left="851" w:right="851" w:firstLine="709"/>
        <w:jc w:val="both"/>
        <w:rPr>
          <w:rFonts w:ascii="Times New Roman" w:hAnsi="Times New Roman" w:cs="Times New Roman"/>
          <w:b/>
          <w:bCs/>
          <w:sz w:val="26"/>
          <w:szCs w:val="26"/>
          <w:u w:val="single"/>
        </w:rPr>
      </w:pPr>
    </w:p>
    <w:p w14:paraId="33A1E13E"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 xml:space="preserve">1.3. Programa 928 (Organismo de Investigación Judicial):     </w:t>
      </w:r>
    </w:p>
    <w:p w14:paraId="644AC96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241CA7D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Mediante correos electrónicos enviados por parte de la Licda. Carolina Castillo Obando, Administradora </w:t>
      </w:r>
      <w:proofErr w:type="spellStart"/>
      <w:r w:rsidRPr="002A7673">
        <w:rPr>
          <w:rFonts w:ascii="Times New Roman" w:hAnsi="Times New Roman" w:cs="Times New Roman"/>
          <w:sz w:val="26"/>
          <w:szCs w:val="26"/>
          <w:lang w:val="es-ES"/>
        </w:rPr>
        <w:t>a.i.</w:t>
      </w:r>
      <w:proofErr w:type="spellEnd"/>
      <w:r w:rsidRPr="002A7673">
        <w:rPr>
          <w:rFonts w:ascii="Times New Roman" w:hAnsi="Times New Roman" w:cs="Times New Roman"/>
          <w:sz w:val="26"/>
          <w:szCs w:val="26"/>
          <w:lang w:val="es-ES"/>
        </w:rPr>
        <w:t xml:space="preserve"> del Organismo de Investigación Judicial (OIJ), se dio a conocer la actualización de costos en cuanto a los requerimientos ya establecidos, así como también, requerimientos y variaciones adicionales no contemplados con anterioridad, los que a criterio de la Administración del OIJ son indispensables para poder ejecutar todas las labores operativas propias del Ámbito Auxiliar de Justicia.</w:t>
      </w:r>
    </w:p>
    <w:p w14:paraId="7A5FCAE1"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47F7098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Es importante recordar que la información suministrada por parte del OIJ contempla los requerimientos y costos de la </w:t>
      </w:r>
      <w:r w:rsidRPr="002A7673">
        <w:rPr>
          <w:rFonts w:ascii="Times New Roman" w:hAnsi="Times New Roman" w:cs="Times New Roman"/>
          <w:sz w:val="26"/>
          <w:szCs w:val="26"/>
        </w:rPr>
        <w:t>Unidad de Protección a Funcionarios Judiciales (UPRO) y la Unidad de Protección a Víctimas y Testigos (UPROV), los cuales no presentan variantes significativas en cuanto a gastos variables se refiere, a diferencia de los costos requeridos por parte del OIJ según se verá seguidamente.</w:t>
      </w:r>
    </w:p>
    <w:p w14:paraId="6B35808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7E91420A"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Dentro de las principales variantes referidas por parte de la Administración del OIJ se encuentra el traslado de los costos por concepto de “Alquiler de edificios, locales y terrenos” que habían sido considerados para la </w:t>
      </w:r>
      <w:r w:rsidRPr="002A7673">
        <w:rPr>
          <w:rFonts w:ascii="Times New Roman" w:hAnsi="Times New Roman" w:cs="Times New Roman"/>
          <w:sz w:val="26"/>
          <w:szCs w:val="26"/>
        </w:rPr>
        <w:t xml:space="preserve">UPRO y UPROV al presupuesto del OIJ, quienes según lo manifestado se encargarían de diligenciar todos los detalles que conllevan los procesos de licitaciones, contrataciones y otros, con la finalidad de arrendar un único local que permita alojar y concentrar a todo el equipo de trabajo en una misma área. </w:t>
      </w:r>
      <w:r w:rsidRPr="002A7673">
        <w:rPr>
          <w:rFonts w:ascii="Times New Roman" w:hAnsi="Times New Roman" w:cs="Times New Roman"/>
          <w:sz w:val="26"/>
          <w:szCs w:val="26"/>
          <w:lang w:val="es-ES"/>
        </w:rPr>
        <w:t xml:space="preserve">Es importante indicar que, el monto presupuestado para el 2021 por este concepto, no contemplaba al OIJ, sin embargo, de acuerdo con los nuevos cálculos realizados por la Administración de citado Organismo, se indicó que el monto de los ₡557.182.764 anuales se debe mantener sin variantes, con la salvedad de que con dichos recursos es posible albergar todas las plazas de </w:t>
      </w:r>
      <w:r w:rsidRPr="002A7673">
        <w:rPr>
          <w:rFonts w:ascii="Times New Roman" w:hAnsi="Times New Roman" w:cs="Times New Roman"/>
          <w:sz w:val="26"/>
          <w:szCs w:val="26"/>
        </w:rPr>
        <w:t>UPRO, UPROV y OIJ</w:t>
      </w:r>
      <w:r w:rsidRPr="002A7673">
        <w:rPr>
          <w:rFonts w:ascii="Times New Roman" w:hAnsi="Times New Roman" w:cs="Times New Roman"/>
          <w:sz w:val="26"/>
          <w:szCs w:val="26"/>
          <w:lang w:val="es-ES"/>
        </w:rPr>
        <w:t xml:space="preserve"> (un total de 247 plazas), no obstante, se está solicitando la adición para el alquiler de un espacio físico que permita albergar toda la flotilla vehicular aprobada para estas oficinas, concretamente espacio para 64 vehículos, monto presupuestado en ₡195.000.000 anuales. Derivado del “Alquiler de edificios, locales y terrenos” para el OIJ, se solicitó adicionar el costo por “Servicios básicos” (servicio de agua y alcantarillado, servicio de energía eléctrica y servicio de telecomunicaciones) por un monto anual de ₡72.650.940.</w:t>
      </w:r>
    </w:p>
    <w:p w14:paraId="259F690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6F8DF57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En igual sentido, se solicitó incorporar los costos por concepto de “Viáticos dentro del país”, “Tiempo Extraordinario” y “Gastos Confidenciales”, por un monto total anual de ₡124.455.913.</w:t>
      </w:r>
    </w:p>
    <w:p w14:paraId="340E6C43"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285C096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Por otra parte, se solicitó la incorporación de una plaza de Auxiliar de Servicios Generales 2 para el OIJ debido a que no había sido contemplada con anterioridad y, según justificó la Administración del OIJ, es sumamente necesaria considerando las labores de limpieza requeridas ante la incorporación de las 123 plazas estimadas en la estructura del OIJ (como se estableció con la UPRO y UPROV), aunado a que por motivos de seguridad y las características particulares de la nueva Jurisdicción Especializada en Delincuencia Organizada no se está recomendando la contratación de servicios de limpieza y seguridad externa al Poder Judicial.</w:t>
      </w:r>
    </w:p>
    <w:p w14:paraId="6DE17DB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7EA0083A"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Dicho recurso humano tendría un costo de ₡6.143.500 por concepto de remuneración de 6 meses del 2023 (se estima que la Ley inicie en julio del 2023) y ₡1.184.510 por concepto de equipo y mobiliario, para un total de ₡7.328.010.</w:t>
      </w:r>
    </w:p>
    <w:p w14:paraId="5C688EE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32403606"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 xml:space="preserve">1.4. Programa 929 (Ministerio Público): </w:t>
      </w:r>
    </w:p>
    <w:p w14:paraId="64655DC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1FCC17E1"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El 19 de febrero del 2021 se recibió información por parte del Lic. Randall Sancho Hernández, de la Administración del Ministerio Público, quien, en su condición de Jefe de la Sección de Gestión Presupuestaria, mediante correo electrónico refirió que pese a los esfuerzos realizados en relación con la reorganización de las oficinas por motivo de la pandemia, las condiciones de hacinamiento persisten por lo cual se torna necesario incorporar el presupuesto para el alquiler de un local que permita ubicar al nuevo personal en una edificación que cumpla con las condiciones para el desarrollo de sus labores y dotarlos del equipo y mobiliario básico para su trabajo. </w:t>
      </w:r>
    </w:p>
    <w:p w14:paraId="73BCD220"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2DD6091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Manifestaron que, por lo expuesto anteriormente y debido a que la última actualización de presupuesto remitida por el Ministerio Público contenía la incorporación del rubro correspondiente al impuesto al valor agregado (IVA), es que no existen variaciones al presupuesto anterior y se deben mantener los mismos costos y recursos solicitados.</w:t>
      </w:r>
    </w:p>
    <w:p w14:paraId="07278DC0"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1375C2CA"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 pesar de lo manifestado por la Administración del Ministerio Público y con la finalidad de realizar algunos ajustes en el presupuesto con motivo de la proyección sobre la posible entrada en vigencia de la Ley 9481 hasta julio del 2023, se realizó una mesa de trabajo con el Lic. Randall Sancho Hernández y la Licda. Johan Vallecillo Canales, por su orden, Jefe y Coordinadora de la Sección de Gestión Presupuestaria, con quienes se acordó realizar algunos cambios menores relacionados con el equipo y mobiliario de oficina, el periodo para la adquisición de materiales, suministros y demás equipo requerido, así como también, el monto a presupuestar por concepto de </w:t>
      </w:r>
      <w:r w:rsidRPr="002A7673">
        <w:rPr>
          <w:rFonts w:ascii="Times New Roman" w:hAnsi="Times New Roman" w:cs="Times New Roman"/>
          <w:sz w:val="26"/>
          <w:szCs w:val="26"/>
          <w:lang w:val="es-ES"/>
        </w:rPr>
        <w:t xml:space="preserve">“Alquiler de edificios, locales y terrenos”, concretamente para los efectos legales necesarios que respalden el proceso de licitación y arrendamiento del local. </w:t>
      </w:r>
    </w:p>
    <w:p w14:paraId="27BE702A"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1.5. Programa 930 (Defensa Pública):</w:t>
      </w:r>
    </w:p>
    <w:p w14:paraId="4FE1B840"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2166438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El 12 de marzo del 2021 la Defensa Pública, por medio del Lic. Josué Alberto González Granados, Administrador </w:t>
      </w:r>
      <w:proofErr w:type="spellStart"/>
      <w:r w:rsidRPr="002A7673">
        <w:rPr>
          <w:rFonts w:ascii="Times New Roman" w:hAnsi="Times New Roman" w:cs="Times New Roman"/>
          <w:sz w:val="26"/>
          <w:szCs w:val="26"/>
          <w:lang w:val="es-ES"/>
        </w:rPr>
        <w:t>a.i.</w:t>
      </w:r>
      <w:proofErr w:type="spellEnd"/>
      <w:r w:rsidRPr="002A7673">
        <w:rPr>
          <w:rFonts w:ascii="Times New Roman" w:hAnsi="Times New Roman" w:cs="Times New Roman"/>
          <w:sz w:val="26"/>
          <w:szCs w:val="26"/>
          <w:lang w:val="es-ES"/>
        </w:rPr>
        <w:t xml:space="preserve"> de dicho ámbito, manifestó que previo a la revisión del presupuesto y necesidades para la implementación de la </w:t>
      </w:r>
      <w:r w:rsidRPr="002A7673">
        <w:rPr>
          <w:rFonts w:ascii="Times New Roman" w:hAnsi="Times New Roman" w:cs="Times New Roman"/>
          <w:i/>
          <w:iCs/>
          <w:sz w:val="26"/>
          <w:szCs w:val="26"/>
          <w:lang w:val="es-ES"/>
        </w:rPr>
        <w:t>“Ley de Creación de la Jurisdicción Especializada en Delincuencia Organizada en Costa Rica, Ley 9481”</w:t>
      </w:r>
      <w:r w:rsidRPr="002A7673">
        <w:rPr>
          <w:rFonts w:ascii="Times New Roman" w:hAnsi="Times New Roman" w:cs="Times New Roman"/>
          <w:sz w:val="26"/>
          <w:szCs w:val="26"/>
          <w:lang w:val="es-ES"/>
        </w:rPr>
        <w:t xml:space="preserve">, consideran que no se requiere actualizar los montos previamente establecidos. </w:t>
      </w:r>
    </w:p>
    <w:p w14:paraId="6B3A129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2DE84F06"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lang w:val="es-ES"/>
        </w:rPr>
        <w:t xml:space="preserve">No obstante, del mismo modo que se coordinó la mesa de trabajo con el personal del Ministerio Público y ante la necesidad de reducir el presupuesto de acuerdo con lo solicitado en el artículo IX de la sesión 11-2021 del Consejo Superior, del 9 de febrero de 2021, se establecieron algunas disposiciones sobre </w:t>
      </w:r>
      <w:r w:rsidRPr="002A7673">
        <w:rPr>
          <w:rFonts w:ascii="Times New Roman" w:hAnsi="Times New Roman" w:cs="Times New Roman"/>
          <w:sz w:val="26"/>
          <w:szCs w:val="26"/>
        </w:rPr>
        <w:t xml:space="preserve">el periodo para la adquisición de materiales, suministros y equipo requerido, además, del monto a presupuestar por concepto de </w:t>
      </w:r>
      <w:r w:rsidRPr="002A7673">
        <w:rPr>
          <w:rFonts w:ascii="Times New Roman" w:hAnsi="Times New Roman" w:cs="Times New Roman"/>
          <w:sz w:val="26"/>
          <w:szCs w:val="26"/>
          <w:lang w:val="es-ES"/>
        </w:rPr>
        <w:t>“Alquiler de edificios, locales y terrenos” para respaldar el proceso de licitación y arrendamiento del local. Todo lo anterior, en conjunto con el Lic. Josué Alberto González Granados, Lic. Juan Gonzalo Forero Castro y Licda. Melania Soto Delgado, por su orden, Administrador, Defensor Público y Coordinadora de Unidad, todos de la Administración de la Defensa Pública.</w:t>
      </w:r>
    </w:p>
    <w:p w14:paraId="442C721F"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7822DA09"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1.6. Programa 950 (Oficina de Atención y Protección a la Víctima del Delito):</w:t>
      </w:r>
    </w:p>
    <w:p w14:paraId="6C13961C" w14:textId="77777777" w:rsidR="00E147EB" w:rsidRPr="002A7673" w:rsidRDefault="00E147EB" w:rsidP="00E147EB">
      <w:pPr>
        <w:spacing w:after="0" w:line="240" w:lineRule="auto"/>
        <w:ind w:left="851" w:right="851" w:firstLine="709"/>
        <w:rPr>
          <w:rFonts w:ascii="Times New Roman" w:hAnsi="Times New Roman" w:cs="Times New Roman"/>
          <w:sz w:val="26"/>
          <w:szCs w:val="26"/>
          <w:lang w:val="es-ES"/>
        </w:rPr>
      </w:pPr>
    </w:p>
    <w:p w14:paraId="4672A05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La Máster Sara Arce Moya, Jefa de la Oficina de Atención y Protección a la Víctima de Delito, destacó mediante oficio 364-OAPVD-2021 del 19 de febrero del 2021 que, a pesar de la solicitud del Ente Superior sobre la reducción de costos, los requerimientos solicitados son los mínimos para brindar el servicio y atender las necesidades de la Jurisdicción Especializada en Delincuencia Organizada por lo que se deben mantener igual, tomando en consideración que la labor operativa que realiza la Oficina, es predominantemente presencial.</w:t>
      </w:r>
    </w:p>
    <w:p w14:paraId="367E004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1ADE438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 xml:space="preserve">En cuanto a los gastos variables y fijos solamente se actualizaron los montos conforme al Sistema SIGA- PJ, los cuales disponen del impuesto al valor agregado y el aumento por inflación. Además, en reunión sostenida con personal de la OAPVD se realizaron algunos ajustes relacionados con el equipo y mobiliario requerido; se estableció </w:t>
      </w:r>
      <w:r w:rsidRPr="002A7673">
        <w:rPr>
          <w:rFonts w:ascii="Times New Roman" w:hAnsi="Times New Roman" w:cs="Times New Roman"/>
          <w:sz w:val="26"/>
          <w:szCs w:val="26"/>
        </w:rPr>
        <w:t xml:space="preserve">el periodo para la adquisición de materiales, suministros y equipo, y se definió el monto a presupuestar por concepto de </w:t>
      </w:r>
      <w:r w:rsidRPr="002A7673">
        <w:rPr>
          <w:rFonts w:ascii="Times New Roman" w:hAnsi="Times New Roman" w:cs="Times New Roman"/>
          <w:sz w:val="26"/>
          <w:szCs w:val="26"/>
          <w:lang w:val="es-ES"/>
        </w:rPr>
        <w:t>“Alquiler de edificios, locales y terrenos” para respaldar el proceso de licitación y arrendamiento del local. Cabe indicar que, sobre este último punto se está valorando la posibilidad de arrendamiento en conjunto con el Ministerio Público, lo cual podría traer beneficios en reducción de costos, sin embargo, no se definió nada en concreto.</w:t>
      </w:r>
    </w:p>
    <w:p w14:paraId="5BD10BF9"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7DC5344F"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2. Actualización del costo por Recurso Humano:</w:t>
      </w:r>
    </w:p>
    <w:p w14:paraId="1174A746" w14:textId="77777777" w:rsidR="00E147EB" w:rsidRPr="002A7673" w:rsidRDefault="00E147EB" w:rsidP="00E147EB">
      <w:pPr>
        <w:spacing w:after="0" w:line="240" w:lineRule="auto"/>
        <w:ind w:left="851" w:right="851" w:firstLine="709"/>
        <w:rPr>
          <w:rFonts w:ascii="Times New Roman" w:hAnsi="Times New Roman" w:cs="Times New Roman"/>
          <w:sz w:val="26"/>
          <w:szCs w:val="26"/>
          <w:lang w:val="es-ES"/>
        </w:rPr>
      </w:pPr>
    </w:p>
    <w:p w14:paraId="4341E38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lastRenderedPageBreak/>
        <w:t>La actualización de los nuevos costos por recurso humano (</w:t>
      </w:r>
      <w:r w:rsidRPr="002A7673">
        <w:rPr>
          <w:rFonts w:ascii="Times New Roman" w:hAnsi="Times New Roman" w:cs="Times New Roman"/>
          <w:i/>
          <w:iCs/>
          <w:sz w:val="26"/>
          <w:szCs w:val="26"/>
        </w:rPr>
        <w:t>“Remuneraciones”</w:t>
      </w:r>
      <w:r w:rsidRPr="002A7673">
        <w:rPr>
          <w:rFonts w:ascii="Times New Roman" w:hAnsi="Times New Roman" w:cs="Times New Roman"/>
          <w:sz w:val="26"/>
          <w:szCs w:val="26"/>
        </w:rPr>
        <w:t>) se realizó con la proyección de una estructura de 12 plazas, destinadas a la primera fase de implementación de la Jurisdicción Especializada en Delincuencia Organizada durante el 2022 y con una estructura de 411 plazas, destinadas a la segunda fase del 2023 para la puesta en marcha de la nueva Jurisdicción, así como también, de acuerdo con la información de costos para el 2022, suministrada por el Subproceso de Formulación de Presupuesto y Portafolio de Proyectos Institucionales de la Dirección de Planificación.</w:t>
      </w:r>
    </w:p>
    <w:p w14:paraId="51C357C3"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4E0AAEE1"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El costo estimado por Recurso Humano para el 2022 presentó una nueva disminución por cuanto la Dirección de Gestión Humana </w:t>
      </w:r>
      <w:r w:rsidRPr="002A7673">
        <w:rPr>
          <w:rFonts w:ascii="Times New Roman" w:hAnsi="Times New Roman" w:cs="Times New Roman"/>
          <w:b/>
          <w:bCs/>
          <w:i/>
          <w:iCs/>
          <w:sz w:val="26"/>
          <w:szCs w:val="26"/>
        </w:rPr>
        <w:t>disminuyó los promedios de días de sustitución, anualidades y puntos de carrera profesional, lo cual provocó una baja en las estimaciones de todas las clases de puesto.</w:t>
      </w:r>
      <w:r w:rsidRPr="002A7673">
        <w:rPr>
          <w:rFonts w:ascii="Times New Roman" w:hAnsi="Times New Roman" w:cs="Times New Roman"/>
          <w:sz w:val="26"/>
          <w:szCs w:val="26"/>
        </w:rPr>
        <w:t xml:space="preserve"> El costo anual por Recurso Humano estimado para el 2022 es de ₡391.983.000, mientras que para el 2023 es de ₡5.301.727.833.</w:t>
      </w:r>
    </w:p>
    <w:p w14:paraId="0AE3BBD1"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5DA8FEBD"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3. Actualización de costos por “Alquiler de edificios, locales y terrenos”:</w:t>
      </w:r>
    </w:p>
    <w:p w14:paraId="3741933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69BA91A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El 16 de marzo del 2021 se realizó una sesión de trabajo con todos los ámbitos intervinientes en el proceso de implementación de la Ley 9481, lo anterior, mediante el Sistema de Microsoft </w:t>
      </w:r>
      <w:proofErr w:type="spellStart"/>
      <w:r w:rsidRPr="002A7673">
        <w:rPr>
          <w:rFonts w:ascii="Times New Roman" w:hAnsi="Times New Roman" w:cs="Times New Roman"/>
          <w:sz w:val="26"/>
          <w:szCs w:val="26"/>
        </w:rPr>
        <w:t>Teams</w:t>
      </w:r>
      <w:proofErr w:type="spellEnd"/>
      <w:r w:rsidRPr="002A7673">
        <w:rPr>
          <w:rFonts w:ascii="Times New Roman" w:hAnsi="Times New Roman" w:cs="Times New Roman"/>
          <w:sz w:val="26"/>
          <w:szCs w:val="26"/>
        </w:rPr>
        <w:t xml:space="preserve"> (reunión virtual), la cual tenía como objetivo ajustar los requerimientos del Ámbito Auxiliar de Justicia en relación con el arrendamiento de locales para la Jurisdicción Especializada en Delincuencia Organizada, con la finalidad de reducir costos sin perder de vista las necesidades reales y actuales de las partes.</w:t>
      </w:r>
    </w:p>
    <w:p w14:paraId="3572B59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0CAD60B6"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Dentro de los temas tratados se expuso por parte de la Dirección de Planificación las labores llevadas a cabo a partir de la solicitud del Consejo Superior y la necesidad de definir y establecer acuerdos en relación con el arrendamiento de locales para la Jurisdicción Especializada en Delincuencia Organizada, a fin de minimizar costos.</w:t>
      </w:r>
    </w:p>
    <w:p w14:paraId="7263ED7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E992B9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Por su parte, la Dirección Ejecutiva, reveló detalles del proyecto para lo cual se mostró el cronograma confeccionado con base en la vacancia de 18 meses referida en la Ley.</w:t>
      </w:r>
    </w:p>
    <w:p w14:paraId="552B3A51"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669213F"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Los ámbitos participantes acordaron realizar una revisión y actualización de acuerdo con un estudio de mercado, a fin de presentar la </w:t>
      </w:r>
      <w:r w:rsidRPr="002A7673">
        <w:rPr>
          <w:rFonts w:ascii="Times New Roman" w:hAnsi="Times New Roman" w:cs="Times New Roman"/>
          <w:sz w:val="26"/>
          <w:szCs w:val="26"/>
        </w:rPr>
        <w:lastRenderedPageBreak/>
        <w:t xml:space="preserve">información a la Dirección Ejecutiva para determinar su viabilidad y posteriormente compartir la información con la Dirección de Planificación para incorporar los costos ajustados dentro del presupuesto 2022-2023. </w:t>
      </w:r>
    </w:p>
    <w:p w14:paraId="3A2D5656"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856032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Dentro de los acuerdos tomados se estableció la confección de una minuta de la sesión de trabajo por parte de la Dirección de Planificación, la apertura de la Dirección Ejecutiva y del Departamento de Servicios Generales para brindar la asesoría técnica que requieran los ámbitos en el presente proceso y que los ámbitos involucrados aportarán a la Dirección de Planificación la información pendiente como fecha límite al 23 de marzo del 2021, minuta 237-PLA-MI-MNTA-21, </w:t>
      </w:r>
      <w:r w:rsidRPr="002A7673">
        <w:rPr>
          <w:rFonts w:ascii="Times New Roman" w:hAnsi="Times New Roman" w:cs="Times New Roman"/>
          <w:sz w:val="26"/>
          <w:szCs w:val="26"/>
          <w:u w:val="single"/>
        </w:rPr>
        <w:t>de lo cual no se tuvo respuesta alguna</w:t>
      </w:r>
      <w:r w:rsidRPr="002A7673">
        <w:rPr>
          <w:rFonts w:ascii="Times New Roman" w:hAnsi="Times New Roman" w:cs="Times New Roman"/>
          <w:sz w:val="26"/>
          <w:szCs w:val="26"/>
        </w:rPr>
        <w:t>.</w:t>
      </w:r>
    </w:p>
    <w:p w14:paraId="16C49856"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0F14DDB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relación con lo expuesto, la Magistrada Sandra Eugenia Zúñiga Morales, Coordinadora de la Subcomisión de Delincuencia Organizada, mediante oficio S-CJEDO-05-2021 consultó a la Dirección Ejecutiva sobre los avances relacionados con infraestructura por parte del Organismo de Investigación Judicial, Ministerio Público y Defensa Pública, esto por cuanto la Dirección Ejecutiva como ente técnico brindaría el apoyo y guía a los ámbitos en el proceso de arrendamiento de edificios, locales o terrenos necesarios para albergar al nuevo personal que atenderá la Jurisdicción Especializada en Delincuencia Organizada.</w:t>
      </w:r>
    </w:p>
    <w:p w14:paraId="2E8A20A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04136D7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respuesta a la consulta de la Magistrada Zúñiga Morales, la Dirección Ejecutiva mediante el oficio 1199-DE-2021 refirió que, únicamente el Organismo de Investigación Judicial y el Ministerio Público remitieron los requerimientos o plan de necesidades al Departamento de Servicios Generales con la finalidad de respaldar mediante un informe técnico las necesidades reales de cada ámbito y que, estos ámbitos a su vez (OIJ-MP), remitieron los cuadros de necesidades referidos a la Dirección de Planificación para considerarse dentro de la presente actualización de presupuesto, no obstante, la Dirección Ejecutiva dio por un hecho que el OIJ y el MP habían remitido la nueva información a la Dirección de Planificación, lo cual se aclara no ocurrió así, pese a los acuerdos tratados en la reunión, tal como se indicó previamente.</w:t>
      </w:r>
    </w:p>
    <w:p w14:paraId="785BADB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0255CB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En virtud de lo expuesto, las necesidades y costos actualizados </w:t>
      </w:r>
      <w:r w:rsidRPr="002A7673">
        <w:rPr>
          <w:rFonts w:ascii="Times New Roman" w:hAnsi="Times New Roman" w:cs="Times New Roman"/>
          <w:sz w:val="26"/>
          <w:szCs w:val="26"/>
          <w:u w:val="single"/>
        </w:rPr>
        <w:t>relacionados con infraestructura o arrendamientos</w:t>
      </w:r>
      <w:r w:rsidRPr="002A7673">
        <w:rPr>
          <w:rFonts w:ascii="Times New Roman" w:hAnsi="Times New Roman" w:cs="Times New Roman"/>
          <w:sz w:val="26"/>
          <w:szCs w:val="26"/>
        </w:rPr>
        <w:t xml:space="preserve"> para los Programas 928 (Organismo de Investigación Judicial), 929 (Ministerio Público), 930 (Defensa Pública) y 950 (Oficina de Atención y Protección a la Víctima del </w:t>
      </w:r>
      <w:r w:rsidRPr="002A7673">
        <w:rPr>
          <w:rFonts w:ascii="Times New Roman" w:hAnsi="Times New Roman" w:cs="Times New Roman"/>
          <w:sz w:val="26"/>
          <w:szCs w:val="26"/>
        </w:rPr>
        <w:lastRenderedPageBreak/>
        <w:t>Delito) que se presentan en este informe no incluyen los últimos datos avalados y remitidos por el Departamento de Servicios Generales a los programas referidos, como se pretendía por parte de la Dirección de Planificación, por lo cual en esta propuesta de informe para esos rubros se mantuvieron los mismos costos que se tenían en el 658-PLA-RH-MI-2020</w:t>
      </w:r>
    </w:p>
    <w:p w14:paraId="6462BAB6"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3AA1B70D"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4. Presupuesto para la Jurisdicción Especializada en Delincuencia Organizada</w:t>
      </w:r>
      <w:r w:rsidRPr="002A7673">
        <w:rPr>
          <w:rFonts w:ascii="Times New Roman" w:hAnsi="Times New Roman" w:cs="Times New Roman"/>
          <w:sz w:val="26"/>
          <w:szCs w:val="26"/>
        </w:rPr>
        <w:footnoteReference w:id="4"/>
      </w:r>
      <w:r w:rsidRPr="002A7673">
        <w:rPr>
          <w:rFonts w:ascii="Times New Roman" w:hAnsi="Times New Roman" w:cs="Times New Roman"/>
          <w:sz w:val="26"/>
          <w:szCs w:val="26"/>
        </w:rPr>
        <w:t>, en dos fases (2022-2023):</w:t>
      </w:r>
    </w:p>
    <w:p w14:paraId="68F84CE1"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18AA47C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Las proyecciones realizadas por la Dirección de Planificación para la construcción del presente presupuesto tienen como base lo establecido en la reforma a la Ley 9481, donde se dispuso su entrada en vigencia dieciocho meses después de que se haya otorgado el presupuesto necesario para su implementación y, como producto del plazo referido, se contemplan dos fases o etapas correspondientes al periodo comprendido entre enero del 2022 y junio del 2023 (18 meses), para dar inicio a la nueva Jurisdicción en julio del 2023.</w:t>
      </w:r>
    </w:p>
    <w:p w14:paraId="57916B2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00C95FD0"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Los costos fijos y variables de todos los requerimientos solicitados se distribuyeron en ambas fases (2022-2023) de la siguiente manera:</w:t>
      </w:r>
    </w:p>
    <w:p w14:paraId="486D667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280083AD" w14:textId="77777777" w:rsidR="00E147EB" w:rsidRPr="002A7673" w:rsidRDefault="00E147EB" w:rsidP="00FF3FAC">
      <w:pPr>
        <w:numPr>
          <w:ilvl w:val="0"/>
          <w:numId w:val="57"/>
        </w:num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u w:val="single"/>
        </w:rPr>
        <w:t>Fase 1 (2022)</w:t>
      </w:r>
      <w:r w:rsidRPr="002A7673">
        <w:rPr>
          <w:rFonts w:ascii="Times New Roman" w:hAnsi="Times New Roman" w:cs="Times New Roman"/>
          <w:sz w:val="26"/>
          <w:szCs w:val="26"/>
        </w:rPr>
        <w:t>: Se proyecta con la incorporación de 12 plazas de personal Técnico-Profesional dedicado estrictamente para la implementación de la Ley en el desarrollo logístico, proceso de remodelaciones, licitaciones y otros.</w:t>
      </w:r>
    </w:p>
    <w:p w14:paraId="36C85BBD" w14:textId="77777777" w:rsidR="00E147EB" w:rsidRPr="002A7673" w:rsidRDefault="00E147EB" w:rsidP="00E147EB">
      <w:pPr>
        <w:spacing w:after="0" w:line="240" w:lineRule="auto"/>
        <w:ind w:left="851" w:right="851" w:firstLine="709"/>
        <w:jc w:val="both"/>
        <w:rPr>
          <w:rFonts w:ascii="Times New Roman" w:hAnsi="Times New Roman" w:cs="Times New Roman"/>
          <w:b/>
          <w:sz w:val="26"/>
          <w:szCs w:val="26"/>
          <w:u w:val="single"/>
        </w:rPr>
      </w:pPr>
    </w:p>
    <w:p w14:paraId="3F743DF9"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Comprende los costos por sustituciones, </w:t>
      </w:r>
      <w:r w:rsidRPr="002A7673">
        <w:rPr>
          <w:rFonts w:ascii="Times New Roman" w:hAnsi="Times New Roman" w:cs="Times New Roman"/>
          <w:sz w:val="26"/>
          <w:szCs w:val="26"/>
          <w:lang w:val="es-ES"/>
        </w:rPr>
        <w:t xml:space="preserve">gastos de viaje, transporte y alimentación relacionados con </w:t>
      </w:r>
      <w:r w:rsidRPr="002A7673">
        <w:rPr>
          <w:rFonts w:ascii="Times New Roman" w:hAnsi="Times New Roman" w:cs="Times New Roman"/>
          <w:sz w:val="26"/>
          <w:szCs w:val="26"/>
        </w:rPr>
        <w:t>el proceso de capacitación por parte de la Escuela Judicial para el personal de la Judicatura.</w:t>
      </w:r>
    </w:p>
    <w:p w14:paraId="697A4AE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Se incluye un porcentaje de los costos por </w:t>
      </w:r>
      <w:r w:rsidRPr="002A7673">
        <w:rPr>
          <w:rFonts w:ascii="Times New Roman" w:hAnsi="Times New Roman" w:cs="Times New Roman"/>
          <w:sz w:val="26"/>
          <w:szCs w:val="26"/>
          <w:lang w:val="es-ES"/>
        </w:rPr>
        <w:t>“Alquiler de edificios, locales y terrenos” para garantizar el proceso de licitación y arrendamiento de los locales para las oficinas del Ámbito Auxiliar de Justicia; a</w:t>
      </w:r>
      <w:r w:rsidRPr="002A7673">
        <w:rPr>
          <w:rFonts w:ascii="Times New Roman" w:hAnsi="Times New Roman" w:cs="Times New Roman"/>
          <w:sz w:val="26"/>
          <w:szCs w:val="26"/>
        </w:rPr>
        <w:t>demás de algunos costos por equipo y mobiliario, remodelaciones, materiales y suministros.</w:t>
      </w:r>
    </w:p>
    <w:p w14:paraId="13986AC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5944BBCA" w14:textId="77777777" w:rsidR="00E147EB" w:rsidRPr="002A7673" w:rsidRDefault="00E147EB" w:rsidP="00FF3FAC">
      <w:pPr>
        <w:numPr>
          <w:ilvl w:val="0"/>
          <w:numId w:val="57"/>
        </w:num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u w:val="single"/>
        </w:rPr>
        <w:t>Fase 2 (2023)</w:t>
      </w:r>
      <w:r w:rsidRPr="002A7673">
        <w:rPr>
          <w:rFonts w:ascii="Times New Roman" w:hAnsi="Times New Roman" w:cs="Times New Roman"/>
          <w:b/>
          <w:sz w:val="26"/>
          <w:szCs w:val="26"/>
        </w:rPr>
        <w:t xml:space="preserve">: </w:t>
      </w:r>
      <w:r w:rsidRPr="002A7673">
        <w:rPr>
          <w:rFonts w:ascii="Times New Roman" w:hAnsi="Times New Roman" w:cs="Times New Roman"/>
          <w:bCs/>
          <w:sz w:val="26"/>
          <w:szCs w:val="26"/>
        </w:rPr>
        <w:t xml:space="preserve">A </w:t>
      </w:r>
      <w:r w:rsidRPr="002A7673">
        <w:rPr>
          <w:rFonts w:ascii="Times New Roman" w:hAnsi="Times New Roman" w:cs="Times New Roman"/>
          <w:sz w:val="26"/>
          <w:szCs w:val="26"/>
        </w:rPr>
        <w:t xml:space="preserve">partir de julio de 2023 permanecería la totalidad de las plazas requeridas para atender la Jurisdicción Especializada en </w:t>
      </w:r>
      <w:r w:rsidRPr="002A7673">
        <w:rPr>
          <w:rFonts w:ascii="Times New Roman" w:hAnsi="Times New Roman" w:cs="Times New Roman"/>
          <w:sz w:val="26"/>
          <w:szCs w:val="26"/>
        </w:rPr>
        <w:lastRenderedPageBreak/>
        <w:t xml:space="preserve">Delincuencia Organizada, concretamente 417 plazas nuevas, mientras que 2 </w:t>
      </w:r>
      <w:r w:rsidRPr="002A7673">
        <w:rPr>
          <w:rFonts w:ascii="Times New Roman" w:hAnsi="Times New Roman" w:cs="Times New Roman"/>
          <w:bCs/>
          <w:sz w:val="26"/>
          <w:szCs w:val="26"/>
        </w:rPr>
        <w:t>de las 12 plazas requeridas en el 2022 queda sin efecto al iniciar el 2023; 4 plazas se mantienen por unos meses previo a iniciar la nueva Jurisdicción.</w:t>
      </w:r>
    </w:p>
    <w:p w14:paraId="3CE52560"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3DD7AA6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Para esta fase la mayoría de los costos fijos se estimó con la proyección de los 6 meses a partir de iniciada la Jurisdicción, al igual que, la gran mayoría de los costos variables para la compra de equipo, mobiliario, materiales, vehículos, entre otros.</w:t>
      </w:r>
    </w:p>
    <w:p w14:paraId="15B19CD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59DAD95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Es importante referir que no fue posible realizar una disminución del presupuesto contemplando las nuevas conformaciones de trabajo y teletrabajo en ocasión de la pandemia pro COVID-19, debido a que los diferentes ámbitos manifestaron que pese a reorganización de sus oficinas, las condiciones de hacinamiento continúan y es indispensable contar con los recursos económicos para hacer frente a la nueva Jurisdicción, sumado a que las condiciones y características particulares en materia de Delincuencia Organizada demandan una labor presencial de parte del personal judicial y que por el contrario, las condiciones de teletrabajo dificultarían las labores del personal.</w:t>
      </w:r>
    </w:p>
    <w:p w14:paraId="3BD1CF41"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B08BDDC"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Sobre este particular, es criterio de la Dirección de Planificación que para poder arribar a una recomendación general sobre la modalidad de trabajo que debe emplear la nueva Jurisdicción Especializada en Delincuencia Organizada, ya sea mediante la opción de teletrabajo, presencial o mixta, es necesario realizar un estudio detallado mediante el cual se pueda conocer la posición de todos los ámbitos intervinientes en la implantación de esta nueva Ley; haciendo la observación de que al día de hoy no existe certeza de quienes van a conformar esa nueva jurisdicción.</w:t>
      </w:r>
    </w:p>
    <w:p w14:paraId="1968AB8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5F89A878"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Sumado a lo anterior, no se cuenta con el tiempo necesario para realizar dicho estudio debido a la urgencia para presentar la actualización del presupuesto 2022-2023 para la implementación de la Ley 9481, solicitada por el Consejo Superior, por tal motivo, nos apegamos a lo establecido por Corte Plena en sesión 27-2020 celebrada el 18 de mayo de 2020, artículo VII, en la cual se aprobó el Protocolo para la realización de audiencias orales por medios tecnológicos en materia penal, contravencional, ejecución de la pena y penal juvenil, lo anterior, concretamente en cuanto al alcance de dicho Protocolo donde se establece: </w:t>
      </w:r>
    </w:p>
    <w:p w14:paraId="3F10ED8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0775C132" w14:textId="77777777" w:rsidR="00E147EB" w:rsidRPr="002A7673" w:rsidRDefault="00E147EB" w:rsidP="00E147EB">
      <w:pPr>
        <w:spacing w:after="0" w:line="240" w:lineRule="auto"/>
        <w:ind w:left="851" w:right="851" w:firstLine="709"/>
        <w:jc w:val="both"/>
        <w:rPr>
          <w:rFonts w:ascii="Times New Roman" w:hAnsi="Times New Roman" w:cs="Times New Roman"/>
          <w:i/>
          <w:iCs/>
          <w:sz w:val="26"/>
          <w:szCs w:val="26"/>
        </w:rPr>
      </w:pPr>
      <w:r w:rsidRPr="002A7673">
        <w:rPr>
          <w:rFonts w:ascii="Times New Roman" w:hAnsi="Times New Roman" w:cs="Times New Roman"/>
          <w:i/>
          <w:iCs/>
          <w:sz w:val="26"/>
          <w:szCs w:val="26"/>
        </w:rPr>
        <w:lastRenderedPageBreak/>
        <w:t>“Siempre se priorizará que los debates y audiencias penales se realicen de manera presencial, por lo tanto el siguiente documento se utilizará para todos los casos en los cuales las audiencias no puedan efectuarse de manera presencial o no sea recomendable hacerla de esa forma por riesgos a la salud y en consecuencia se deba recurrir a medios tecnológicos que permitan crear un canal de comunicación idóneo en tiempo real, entre las partes intervinientes del proceso que se encuentren en lugares distintos…”.</w:t>
      </w:r>
    </w:p>
    <w:p w14:paraId="4B814A8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3A14A25D"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Por lo anterior, se considera que debe prevalecer la presencialidad como modalidad de trabajo para la nueva Jurisdicción Especializada en Delincuencia Organizada, máxime que dicha Jurisdicción cuenta con características y particularidades especiales, como por ejemplo, la complejidad de los asuntos, la custodia y manejo de la información, temas de seguridad, entre otros, en los cuales la modalidad de teletrabajo podría poner en riesgo tanto al personal judicial como a los diferentes procesos en esta materia, lo cual podría ser confirmado con la Gestoría de Materia Penal.</w:t>
      </w:r>
    </w:p>
    <w:p w14:paraId="44A59FA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20EAA9A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Sumado a lo anterior, en cuanto a la reducción de costos, como bien indica la Dirección Ejecutiva en el oficio 673-DE-2021, </w:t>
      </w:r>
      <w:r w:rsidRPr="002A7673">
        <w:rPr>
          <w:rFonts w:ascii="Times New Roman" w:hAnsi="Times New Roman" w:cs="Times New Roman"/>
          <w:i/>
          <w:iCs/>
          <w:sz w:val="26"/>
          <w:szCs w:val="26"/>
        </w:rPr>
        <w:t>“…la particularidad y exigencia de la nueva jurisdicción, requiere un alto detalle en la seguridad, lo que llevó a definir requerimientos con el Departamento de Seguridad y las oficinas de Protección a Testigos y Víctimas, aspectos que no permiten reducir en costos, dado el riesgo implícito. Además, considerando la actualización en materiales y el impacto del IVA en el proyecto, se recuden las posibilidades de ahorro para la implementación de la Ley…”.</w:t>
      </w:r>
    </w:p>
    <w:p w14:paraId="657B394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4351D2F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No obstante, es importante indicar que se logró una reducción significativa de costos entre el presupuesto total del 2021 y la nueva actualización para el periodo 2022-2023, variación que atiende principalmente a costos de remuneración por recurso humano, los cuales significaban el 56% del presupuesto inicial, lo anterior, producto de que los datos proyectados para el 2021 correspondían a costos anualizados, mientras que los costos de la presente actualización corresponden a una proyección por 6 meses del 2023, debido a que es hasta julio del 2023 el momento en el cual se estima podría entrar en vigor la Ley 9481.</w:t>
      </w:r>
    </w:p>
    <w:p w14:paraId="3517ADC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68721616"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Los costos totales del escenario para ambas fases ascienden a </w:t>
      </w:r>
      <w:r w:rsidRPr="002A7673">
        <w:rPr>
          <w:rFonts w:ascii="Times New Roman" w:hAnsi="Times New Roman" w:cs="Times New Roman"/>
          <w:b/>
          <w:sz w:val="26"/>
          <w:szCs w:val="26"/>
        </w:rPr>
        <w:t>₡12.633.067.119</w:t>
      </w:r>
      <w:r w:rsidRPr="002A7673">
        <w:rPr>
          <w:rFonts w:ascii="Times New Roman" w:hAnsi="Times New Roman" w:cs="Times New Roman"/>
          <w:sz w:val="26"/>
          <w:szCs w:val="26"/>
        </w:rPr>
        <w:t>:</w:t>
      </w:r>
    </w:p>
    <w:p w14:paraId="7BC63AAE" w14:textId="77777777" w:rsidR="00E147EB" w:rsidRPr="002A7673" w:rsidRDefault="00E147EB" w:rsidP="00E147EB">
      <w:pPr>
        <w:spacing w:after="0" w:line="240" w:lineRule="auto"/>
        <w:ind w:left="720"/>
        <w:jc w:val="both"/>
        <w:rPr>
          <w:rFonts w:ascii="Times New Roman" w:hAnsi="Times New Roman" w:cs="Times New Roman"/>
          <w:sz w:val="24"/>
          <w:szCs w:val="24"/>
        </w:rPr>
      </w:pPr>
    </w:p>
    <w:p w14:paraId="7EC62C9A" w14:textId="77777777" w:rsidR="00E147EB" w:rsidRPr="002A7673" w:rsidRDefault="00E147EB" w:rsidP="00E147EB">
      <w:pPr>
        <w:widowControl w:val="0"/>
        <w:autoSpaceDE w:val="0"/>
        <w:autoSpaceDN w:val="0"/>
        <w:adjustRightInd w:val="0"/>
        <w:spacing w:after="0" w:line="240" w:lineRule="auto"/>
        <w:jc w:val="center"/>
        <w:rPr>
          <w:rFonts w:ascii="Times New Roman" w:eastAsia="Times New Roman" w:hAnsi="Times New Roman" w:cs="Times New Roman"/>
          <w:lang w:val="es-ES" w:eastAsia="es-ES"/>
        </w:rPr>
      </w:pPr>
      <w:r w:rsidRPr="002A7673">
        <w:rPr>
          <w:rFonts w:ascii="Times New Roman" w:eastAsia="Times New Roman" w:hAnsi="Times New Roman" w:cs="Times New Roman"/>
          <w:lang w:val="es-ES" w:eastAsia="es-ES"/>
        </w:rPr>
        <w:lastRenderedPageBreak/>
        <w:t xml:space="preserve">Tabla </w:t>
      </w:r>
      <w:r w:rsidRPr="002A7673">
        <w:rPr>
          <w:rFonts w:ascii="Times New Roman" w:eastAsia="Times New Roman" w:hAnsi="Times New Roman" w:cs="Times New Roman"/>
          <w:lang w:val="es-ES" w:eastAsia="es-ES"/>
        </w:rPr>
        <w:fldChar w:fldCharType="begin"/>
      </w:r>
      <w:r w:rsidRPr="002A7673">
        <w:rPr>
          <w:rFonts w:ascii="Times New Roman" w:eastAsia="Times New Roman" w:hAnsi="Times New Roman" w:cs="Times New Roman"/>
          <w:lang w:val="es-ES" w:eastAsia="es-ES"/>
        </w:rPr>
        <w:instrText xml:space="preserve"> SEQ Tabla \* ARABIC </w:instrText>
      </w:r>
      <w:r w:rsidRPr="002A7673">
        <w:rPr>
          <w:rFonts w:ascii="Times New Roman" w:eastAsia="Times New Roman" w:hAnsi="Times New Roman" w:cs="Times New Roman"/>
          <w:lang w:val="es-ES" w:eastAsia="es-ES"/>
        </w:rPr>
        <w:fldChar w:fldCharType="separate"/>
      </w:r>
      <w:r w:rsidRPr="002A7673">
        <w:rPr>
          <w:rFonts w:ascii="Times New Roman" w:eastAsia="Times New Roman" w:hAnsi="Times New Roman" w:cs="Times New Roman"/>
          <w:noProof/>
          <w:lang w:val="es-ES" w:eastAsia="es-ES"/>
        </w:rPr>
        <w:t>6</w:t>
      </w:r>
      <w:r w:rsidRPr="002A7673">
        <w:rPr>
          <w:rFonts w:ascii="Times New Roman" w:eastAsia="Times New Roman" w:hAnsi="Times New Roman" w:cs="Times New Roman"/>
          <w:lang w:val="es-ES" w:eastAsia="es-ES"/>
        </w:rPr>
        <w:fldChar w:fldCharType="end"/>
      </w:r>
      <w:r w:rsidRPr="002A7673">
        <w:rPr>
          <w:rFonts w:ascii="Times New Roman" w:eastAsia="Times New Roman" w:hAnsi="Times New Roman" w:cs="Times New Roman"/>
          <w:lang w:val="es-ES" w:eastAsia="es-ES"/>
        </w:rPr>
        <w:t>: Resumen del presupuesto proyectado en dos fases</w:t>
      </w:r>
    </w:p>
    <w:p w14:paraId="13AA18D8" w14:textId="77777777" w:rsidR="00E147EB" w:rsidRPr="002A7673" w:rsidRDefault="00E147EB" w:rsidP="00E147EB">
      <w:pPr>
        <w:spacing w:after="0" w:line="240" w:lineRule="auto"/>
        <w:rPr>
          <w:rFonts w:ascii="Times New Roman" w:hAnsi="Times New Roman" w:cs="Times New Roman"/>
          <w:lang w:val="es-ES"/>
        </w:rPr>
      </w:pPr>
    </w:p>
    <w:tbl>
      <w:tblPr>
        <w:tblW w:w="7004" w:type="dxa"/>
        <w:jc w:val="center"/>
        <w:tblCellMar>
          <w:left w:w="70" w:type="dxa"/>
          <w:right w:w="70" w:type="dxa"/>
        </w:tblCellMar>
        <w:tblLook w:val="04A0" w:firstRow="1" w:lastRow="0" w:firstColumn="1" w:lastColumn="0" w:noHBand="0" w:noVBand="1"/>
      </w:tblPr>
      <w:tblGrid>
        <w:gridCol w:w="2186"/>
        <w:gridCol w:w="2379"/>
        <w:gridCol w:w="2439"/>
      </w:tblGrid>
      <w:tr w:rsidR="00E147EB" w:rsidRPr="002A7673" w14:paraId="469E6E78" w14:textId="77777777" w:rsidTr="0048334E">
        <w:trPr>
          <w:trHeight w:val="300"/>
          <w:jc w:val="center"/>
        </w:trPr>
        <w:tc>
          <w:tcPr>
            <w:tcW w:w="2186" w:type="dxa"/>
            <w:vMerge w:val="restart"/>
            <w:shd w:val="clear" w:color="auto" w:fill="808080"/>
            <w:vAlign w:val="center"/>
          </w:tcPr>
          <w:p w14:paraId="7F87C48C"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Recurso Humano</w:t>
            </w:r>
          </w:p>
        </w:tc>
        <w:tc>
          <w:tcPr>
            <w:tcW w:w="2379" w:type="dxa"/>
            <w:shd w:val="clear" w:color="auto" w:fill="D9D9D9"/>
            <w:noWrap/>
            <w:vAlign w:val="center"/>
            <w:hideMark/>
          </w:tcPr>
          <w:p w14:paraId="168C23E6"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Periodo 2022</w:t>
            </w:r>
          </w:p>
        </w:tc>
        <w:tc>
          <w:tcPr>
            <w:tcW w:w="2439" w:type="dxa"/>
            <w:shd w:val="clear" w:color="auto" w:fill="D9D9D9"/>
            <w:noWrap/>
            <w:vAlign w:val="center"/>
            <w:hideMark/>
          </w:tcPr>
          <w:p w14:paraId="1949FDE8"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12 plazas</w:t>
            </w:r>
          </w:p>
        </w:tc>
      </w:tr>
      <w:tr w:rsidR="00E147EB" w:rsidRPr="002A7673" w14:paraId="66C94F9B" w14:textId="77777777" w:rsidTr="0048334E">
        <w:trPr>
          <w:trHeight w:val="300"/>
          <w:jc w:val="center"/>
        </w:trPr>
        <w:tc>
          <w:tcPr>
            <w:tcW w:w="2186" w:type="dxa"/>
            <w:vMerge/>
            <w:shd w:val="clear" w:color="auto" w:fill="808080"/>
            <w:vAlign w:val="center"/>
          </w:tcPr>
          <w:p w14:paraId="4700CC7B"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p>
        </w:tc>
        <w:tc>
          <w:tcPr>
            <w:tcW w:w="2379" w:type="dxa"/>
            <w:shd w:val="clear" w:color="auto" w:fill="BFBFBF"/>
            <w:noWrap/>
            <w:vAlign w:val="center"/>
            <w:hideMark/>
          </w:tcPr>
          <w:p w14:paraId="04B17130"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Periodo 2023</w:t>
            </w:r>
          </w:p>
        </w:tc>
        <w:tc>
          <w:tcPr>
            <w:tcW w:w="2439" w:type="dxa"/>
            <w:shd w:val="clear" w:color="auto" w:fill="BFBFBF"/>
            <w:noWrap/>
            <w:vAlign w:val="center"/>
            <w:hideMark/>
          </w:tcPr>
          <w:p w14:paraId="2650047F"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417 plazas</w:t>
            </w:r>
          </w:p>
        </w:tc>
      </w:tr>
      <w:tr w:rsidR="00E147EB" w:rsidRPr="002A7673" w14:paraId="05239370" w14:textId="77777777" w:rsidTr="0048334E">
        <w:trPr>
          <w:trHeight w:val="300"/>
          <w:jc w:val="center"/>
        </w:trPr>
        <w:tc>
          <w:tcPr>
            <w:tcW w:w="2186" w:type="dxa"/>
            <w:vMerge/>
            <w:tcBorders>
              <w:bottom w:val="single" w:sz="12" w:space="0" w:color="auto"/>
            </w:tcBorders>
            <w:shd w:val="clear" w:color="auto" w:fill="808080"/>
            <w:vAlign w:val="center"/>
          </w:tcPr>
          <w:p w14:paraId="53FFD47C"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p>
        </w:tc>
        <w:tc>
          <w:tcPr>
            <w:tcW w:w="2379" w:type="dxa"/>
            <w:tcBorders>
              <w:bottom w:val="single" w:sz="12" w:space="0" w:color="auto"/>
            </w:tcBorders>
            <w:shd w:val="clear" w:color="auto" w:fill="D9D9D9"/>
            <w:noWrap/>
            <w:vAlign w:val="center"/>
            <w:hideMark/>
          </w:tcPr>
          <w:p w14:paraId="18877776"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Total</w:t>
            </w:r>
          </w:p>
        </w:tc>
        <w:tc>
          <w:tcPr>
            <w:tcW w:w="2439" w:type="dxa"/>
            <w:tcBorders>
              <w:bottom w:val="single" w:sz="12" w:space="0" w:color="auto"/>
            </w:tcBorders>
            <w:shd w:val="clear" w:color="auto" w:fill="D9D9D9"/>
            <w:noWrap/>
            <w:vAlign w:val="center"/>
            <w:hideMark/>
          </w:tcPr>
          <w:p w14:paraId="1FFE9840"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429 plazas</w:t>
            </w:r>
            <w:r w:rsidRPr="002A7673">
              <w:rPr>
                <w:rFonts w:ascii="Times New Roman" w:hAnsi="Times New Roman" w:cs="Times New Roman"/>
                <w:b/>
                <w:bCs/>
                <w:vertAlign w:val="superscript"/>
                <w:lang w:eastAsia="es-CR"/>
              </w:rPr>
              <w:footnoteReference w:id="5"/>
            </w:r>
          </w:p>
        </w:tc>
      </w:tr>
      <w:tr w:rsidR="00E147EB" w:rsidRPr="002A7673" w14:paraId="064679D7" w14:textId="77777777" w:rsidTr="0048334E">
        <w:trPr>
          <w:trHeight w:val="315"/>
          <w:jc w:val="center"/>
        </w:trPr>
        <w:tc>
          <w:tcPr>
            <w:tcW w:w="2186" w:type="dxa"/>
            <w:vMerge w:val="restart"/>
            <w:tcBorders>
              <w:top w:val="single" w:sz="12" w:space="0" w:color="auto"/>
            </w:tcBorders>
            <w:shd w:val="clear" w:color="auto" w:fill="8496B0"/>
            <w:vAlign w:val="center"/>
          </w:tcPr>
          <w:p w14:paraId="40DBEE67"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Costos</w:t>
            </w:r>
          </w:p>
        </w:tc>
        <w:tc>
          <w:tcPr>
            <w:tcW w:w="2379" w:type="dxa"/>
            <w:tcBorders>
              <w:top w:val="single" w:sz="12" w:space="0" w:color="auto"/>
            </w:tcBorders>
            <w:shd w:val="clear" w:color="auto" w:fill="ACB9CA"/>
            <w:noWrap/>
            <w:vAlign w:val="center"/>
            <w:hideMark/>
          </w:tcPr>
          <w:p w14:paraId="5055C088"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Periodo 2022</w:t>
            </w:r>
          </w:p>
        </w:tc>
        <w:tc>
          <w:tcPr>
            <w:tcW w:w="2439" w:type="dxa"/>
            <w:tcBorders>
              <w:top w:val="single" w:sz="12" w:space="0" w:color="auto"/>
            </w:tcBorders>
            <w:shd w:val="clear" w:color="auto" w:fill="ACB9CA"/>
            <w:noWrap/>
            <w:vAlign w:val="center"/>
            <w:hideMark/>
          </w:tcPr>
          <w:p w14:paraId="04C7F674"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₡2.149.749.343</w:t>
            </w:r>
          </w:p>
        </w:tc>
      </w:tr>
      <w:tr w:rsidR="00E147EB" w:rsidRPr="002A7673" w14:paraId="51431851" w14:textId="77777777" w:rsidTr="0048334E">
        <w:trPr>
          <w:trHeight w:val="315"/>
          <w:jc w:val="center"/>
        </w:trPr>
        <w:tc>
          <w:tcPr>
            <w:tcW w:w="2186" w:type="dxa"/>
            <w:vMerge/>
            <w:shd w:val="clear" w:color="auto" w:fill="8496B0"/>
            <w:vAlign w:val="center"/>
          </w:tcPr>
          <w:p w14:paraId="58BCDB56"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p>
        </w:tc>
        <w:tc>
          <w:tcPr>
            <w:tcW w:w="2379" w:type="dxa"/>
            <w:shd w:val="clear" w:color="auto" w:fill="D5DCE4"/>
            <w:noWrap/>
            <w:vAlign w:val="center"/>
            <w:hideMark/>
          </w:tcPr>
          <w:p w14:paraId="60374EDA"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Periodo 2023</w:t>
            </w:r>
          </w:p>
        </w:tc>
        <w:tc>
          <w:tcPr>
            <w:tcW w:w="2439" w:type="dxa"/>
            <w:shd w:val="clear" w:color="auto" w:fill="D5DCE4"/>
            <w:noWrap/>
            <w:vAlign w:val="center"/>
            <w:hideMark/>
          </w:tcPr>
          <w:p w14:paraId="44D8EE84"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₡10.483.317.776</w:t>
            </w:r>
          </w:p>
        </w:tc>
      </w:tr>
      <w:tr w:rsidR="00E147EB" w:rsidRPr="002A7673" w14:paraId="0BF34C04" w14:textId="77777777" w:rsidTr="0048334E">
        <w:trPr>
          <w:trHeight w:val="315"/>
          <w:jc w:val="center"/>
        </w:trPr>
        <w:tc>
          <w:tcPr>
            <w:tcW w:w="2186" w:type="dxa"/>
            <w:vMerge/>
            <w:shd w:val="clear" w:color="auto" w:fill="8496B0"/>
            <w:vAlign w:val="center"/>
          </w:tcPr>
          <w:p w14:paraId="1608B784"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p>
        </w:tc>
        <w:tc>
          <w:tcPr>
            <w:tcW w:w="2379" w:type="dxa"/>
            <w:shd w:val="clear" w:color="auto" w:fill="ACB9CA"/>
            <w:noWrap/>
            <w:vAlign w:val="center"/>
            <w:hideMark/>
          </w:tcPr>
          <w:p w14:paraId="6774FF7E"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Total, del Escenario</w:t>
            </w:r>
          </w:p>
        </w:tc>
        <w:tc>
          <w:tcPr>
            <w:tcW w:w="2439" w:type="dxa"/>
            <w:shd w:val="clear" w:color="auto" w:fill="ACB9CA"/>
            <w:noWrap/>
            <w:vAlign w:val="center"/>
            <w:hideMark/>
          </w:tcPr>
          <w:p w14:paraId="0E7A7BFD"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₡12.633.067.119</w:t>
            </w:r>
          </w:p>
        </w:tc>
      </w:tr>
    </w:tbl>
    <w:p w14:paraId="0FB7E449" w14:textId="77777777" w:rsidR="00E147EB" w:rsidRPr="002A7673" w:rsidRDefault="00E147EB" w:rsidP="00E147EB">
      <w:pPr>
        <w:spacing w:after="0" w:line="240" w:lineRule="auto"/>
        <w:ind w:left="1134"/>
        <w:rPr>
          <w:rFonts w:ascii="Times New Roman" w:hAnsi="Times New Roman" w:cs="Times New Roman"/>
        </w:rPr>
      </w:pPr>
      <w:r w:rsidRPr="002A7673">
        <w:rPr>
          <w:rFonts w:ascii="Times New Roman" w:hAnsi="Times New Roman" w:cs="Times New Roman"/>
        </w:rPr>
        <w:t>Fuente: Elaborado por la Dirección de Planificación.</w:t>
      </w:r>
    </w:p>
    <w:p w14:paraId="1CBD8C27"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2EB68085"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El presupuesto para el periodo 2021 se estimó en la suma de ₡19.454.725.717 lo que significa una disminución en el presupuesto general del 2022-2023 de ₡6.821.658.598.</w:t>
      </w:r>
    </w:p>
    <w:p w14:paraId="2A6D4BA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3DFD1220"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 continuación, se presenta el detalle de los costos por programa para el Presupuesto de la Jurisdicción Especializada en Delincuencia Organizada, en dos fases (2022-2023) con vacancia de 18 meses:</w:t>
      </w:r>
    </w:p>
    <w:p w14:paraId="30AD2D24"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EA99DE8" w14:textId="77777777" w:rsidR="00E147EB" w:rsidRPr="002A7673" w:rsidRDefault="00E147EB" w:rsidP="00E147EB">
      <w:pPr>
        <w:widowControl w:val="0"/>
        <w:autoSpaceDE w:val="0"/>
        <w:autoSpaceDN w:val="0"/>
        <w:adjustRightInd w:val="0"/>
        <w:spacing w:after="0" w:line="240" w:lineRule="auto"/>
        <w:jc w:val="center"/>
        <w:rPr>
          <w:rFonts w:ascii="Times New Roman" w:eastAsia="Times New Roman" w:hAnsi="Times New Roman" w:cs="Times New Roman"/>
          <w:b/>
          <w:bCs/>
          <w:lang w:val="es-ES" w:eastAsia="es-ES"/>
        </w:rPr>
      </w:pPr>
      <w:r w:rsidRPr="002A7673">
        <w:rPr>
          <w:rFonts w:ascii="Times New Roman" w:eastAsia="Times New Roman" w:hAnsi="Times New Roman" w:cs="Times New Roman"/>
          <w:b/>
          <w:bCs/>
          <w:lang w:val="es-ES" w:eastAsia="es-ES"/>
        </w:rPr>
        <w:t xml:space="preserve">Tabla </w:t>
      </w:r>
      <w:r w:rsidRPr="002A7673">
        <w:rPr>
          <w:rFonts w:ascii="Times New Roman" w:eastAsia="Times New Roman" w:hAnsi="Times New Roman" w:cs="Times New Roman"/>
          <w:b/>
          <w:bCs/>
          <w:lang w:val="es-ES" w:eastAsia="es-ES"/>
        </w:rPr>
        <w:fldChar w:fldCharType="begin"/>
      </w:r>
      <w:r w:rsidRPr="002A7673">
        <w:rPr>
          <w:rFonts w:ascii="Times New Roman" w:eastAsia="Times New Roman" w:hAnsi="Times New Roman" w:cs="Times New Roman"/>
          <w:b/>
          <w:bCs/>
          <w:lang w:val="es-ES" w:eastAsia="es-ES"/>
        </w:rPr>
        <w:instrText xml:space="preserve"> SEQ Tabla \* ARABIC </w:instrText>
      </w:r>
      <w:r w:rsidRPr="002A7673">
        <w:rPr>
          <w:rFonts w:ascii="Times New Roman" w:eastAsia="Times New Roman" w:hAnsi="Times New Roman" w:cs="Times New Roman"/>
          <w:b/>
          <w:bCs/>
          <w:lang w:val="es-ES" w:eastAsia="es-ES"/>
        </w:rPr>
        <w:fldChar w:fldCharType="separate"/>
      </w:r>
      <w:r w:rsidRPr="002A7673">
        <w:rPr>
          <w:rFonts w:ascii="Times New Roman" w:eastAsia="Times New Roman" w:hAnsi="Times New Roman" w:cs="Times New Roman"/>
          <w:b/>
          <w:bCs/>
          <w:noProof/>
          <w:lang w:val="es-ES" w:eastAsia="es-ES"/>
        </w:rPr>
        <w:t>7</w:t>
      </w:r>
      <w:r w:rsidRPr="002A7673">
        <w:rPr>
          <w:rFonts w:ascii="Times New Roman" w:eastAsia="Times New Roman" w:hAnsi="Times New Roman" w:cs="Times New Roman"/>
          <w:b/>
          <w:bCs/>
          <w:lang w:val="es-ES" w:eastAsia="es-ES"/>
        </w:rPr>
        <w:fldChar w:fldCharType="end"/>
      </w:r>
      <w:r w:rsidRPr="002A7673">
        <w:rPr>
          <w:rFonts w:ascii="Times New Roman" w:eastAsia="Times New Roman" w:hAnsi="Times New Roman" w:cs="Times New Roman"/>
          <w:b/>
          <w:bCs/>
          <w:lang w:val="es-ES" w:eastAsia="es-ES"/>
        </w:rPr>
        <w:t>: Presupuesto para la Jurisdicción Especializada en Delincuencia Organizada, Fase 2022:</w:t>
      </w:r>
    </w:p>
    <w:p w14:paraId="4C1BD9B2"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p>
    <w:p w14:paraId="637B6AC9"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10BC9B28" w14:textId="77777777" w:rsidR="00E147EB" w:rsidRPr="002A7673" w:rsidRDefault="00E147EB" w:rsidP="00E147EB">
      <w:pPr>
        <w:spacing w:after="0" w:line="240" w:lineRule="auto"/>
        <w:ind w:left="851" w:right="851" w:firstLine="709"/>
        <w:jc w:val="center"/>
        <w:rPr>
          <w:rFonts w:ascii="Times New Roman" w:hAnsi="Times New Roman" w:cs="Times New Roman"/>
          <w:sz w:val="26"/>
          <w:szCs w:val="26"/>
        </w:rPr>
      </w:pPr>
      <w:r w:rsidRPr="002A7673">
        <w:rPr>
          <w:rFonts w:ascii="Times New Roman" w:hAnsi="Times New Roman" w:cs="Times New Roman"/>
          <w:noProof/>
        </w:rPr>
        <w:drawing>
          <wp:inline distT="0" distB="0" distL="0" distR="0" wp14:anchorId="20709168" wp14:editId="19870060">
            <wp:extent cx="4977130" cy="3148200"/>
            <wp:effectExtent l="0" t="0" r="0" b="0"/>
            <wp:docPr id="1263269086" name="Imagen 126326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95851" cy="3160042"/>
                    </a:xfrm>
                    <a:prstGeom prst="rect">
                      <a:avLst/>
                    </a:prstGeom>
                    <a:noFill/>
                    <a:ln>
                      <a:noFill/>
                    </a:ln>
                  </pic:spPr>
                </pic:pic>
              </a:graphicData>
            </a:graphic>
          </wp:inline>
        </w:drawing>
      </w:r>
    </w:p>
    <w:p w14:paraId="2E9903DB"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3F35B67C" w14:textId="77777777" w:rsidR="00E147EB" w:rsidRPr="002A7673" w:rsidRDefault="00E147EB" w:rsidP="00E147EB">
      <w:pPr>
        <w:spacing w:after="0" w:line="240" w:lineRule="auto"/>
        <w:rPr>
          <w:rFonts w:ascii="Times New Roman" w:hAnsi="Times New Roman" w:cs="Times New Roman"/>
          <w:sz w:val="16"/>
          <w:szCs w:val="16"/>
        </w:rPr>
      </w:pPr>
      <w:r w:rsidRPr="002A7673">
        <w:rPr>
          <w:rFonts w:ascii="Times New Roman" w:hAnsi="Times New Roman" w:cs="Times New Roman"/>
          <w:sz w:val="16"/>
          <w:szCs w:val="16"/>
        </w:rPr>
        <w:t xml:space="preserve">                 Fuente: Elaboración de la Dirección de Planificación, con la información brindada por todos los ámbitos.</w:t>
      </w:r>
    </w:p>
    <w:p w14:paraId="0AA6894B" w14:textId="77777777" w:rsidR="00E147EB" w:rsidRPr="002A7673" w:rsidRDefault="00E147EB" w:rsidP="00E147EB">
      <w:pPr>
        <w:widowControl w:val="0"/>
        <w:autoSpaceDE w:val="0"/>
        <w:autoSpaceDN w:val="0"/>
        <w:adjustRightInd w:val="0"/>
        <w:spacing w:after="0" w:line="240" w:lineRule="auto"/>
        <w:jc w:val="center"/>
        <w:rPr>
          <w:rFonts w:ascii="Times New Roman" w:eastAsia="Times New Roman" w:hAnsi="Times New Roman" w:cs="Times New Roman"/>
          <w:b/>
          <w:bCs/>
          <w:lang w:val="es-ES" w:eastAsia="es-ES"/>
        </w:rPr>
      </w:pPr>
    </w:p>
    <w:p w14:paraId="31EDB858" w14:textId="77777777" w:rsidR="00E147EB" w:rsidRPr="002A7673" w:rsidRDefault="00E147EB" w:rsidP="00E147EB">
      <w:pPr>
        <w:widowControl w:val="0"/>
        <w:autoSpaceDE w:val="0"/>
        <w:autoSpaceDN w:val="0"/>
        <w:adjustRightInd w:val="0"/>
        <w:spacing w:after="0" w:line="240" w:lineRule="auto"/>
        <w:jc w:val="center"/>
        <w:rPr>
          <w:rFonts w:ascii="Times New Roman" w:eastAsia="Times New Roman" w:hAnsi="Times New Roman" w:cs="Times New Roman"/>
          <w:b/>
          <w:bCs/>
          <w:lang w:val="es-ES" w:eastAsia="es-ES"/>
        </w:rPr>
      </w:pPr>
      <w:r w:rsidRPr="002A7673">
        <w:rPr>
          <w:rFonts w:ascii="Times New Roman" w:eastAsia="Times New Roman" w:hAnsi="Times New Roman" w:cs="Times New Roman"/>
          <w:b/>
          <w:bCs/>
          <w:lang w:val="es-ES" w:eastAsia="es-ES"/>
        </w:rPr>
        <w:t xml:space="preserve">Tabla </w:t>
      </w:r>
      <w:r w:rsidRPr="002A7673">
        <w:rPr>
          <w:rFonts w:ascii="Times New Roman" w:eastAsia="Times New Roman" w:hAnsi="Times New Roman" w:cs="Times New Roman"/>
          <w:b/>
          <w:bCs/>
          <w:lang w:val="es-ES" w:eastAsia="es-ES"/>
        </w:rPr>
        <w:fldChar w:fldCharType="begin"/>
      </w:r>
      <w:r w:rsidRPr="002A7673">
        <w:rPr>
          <w:rFonts w:ascii="Times New Roman" w:eastAsia="Times New Roman" w:hAnsi="Times New Roman" w:cs="Times New Roman"/>
          <w:b/>
          <w:bCs/>
          <w:lang w:val="es-ES" w:eastAsia="es-ES"/>
        </w:rPr>
        <w:instrText xml:space="preserve"> SEQ Tabla \* ARABIC </w:instrText>
      </w:r>
      <w:r w:rsidRPr="002A7673">
        <w:rPr>
          <w:rFonts w:ascii="Times New Roman" w:eastAsia="Times New Roman" w:hAnsi="Times New Roman" w:cs="Times New Roman"/>
          <w:b/>
          <w:bCs/>
          <w:lang w:val="es-ES" w:eastAsia="es-ES"/>
        </w:rPr>
        <w:fldChar w:fldCharType="separate"/>
      </w:r>
      <w:r w:rsidRPr="002A7673">
        <w:rPr>
          <w:rFonts w:ascii="Times New Roman" w:eastAsia="Times New Roman" w:hAnsi="Times New Roman" w:cs="Times New Roman"/>
          <w:b/>
          <w:bCs/>
          <w:noProof/>
          <w:lang w:val="es-ES" w:eastAsia="es-ES"/>
        </w:rPr>
        <w:t>8</w:t>
      </w:r>
      <w:r w:rsidRPr="002A7673">
        <w:rPr>
          <w:rFonts w:ascii="Times New Roman" w:eastAsia="Times New Roman" w:hAnsi="Times New Roman" w:cs="Times New Roman"/>
          <w:b/>
          <w:bCs/>
          <w:lang w:val="es-ES" w:eastAsia="es-ES"/>
        </w:rPr>
        <w:fldChar w:fldCharType="end"/>
      </w:r>
      <w:r w:rsidRPr="002A7673">
        <w:rPr>
          <w:rFonts w:ascii="Times New Roman" w:eastAsia="Times New Roman" w:hAnsi="Times New Roman" w:cs="Times New Roman"/>
          <w:b/>
          <w:bCs/>
          <w:lang w:val="es-ES" w:eastAsia="es-ES"/>
        </w:rPr>
        <w:t>: Presupuesto para la Jurisdicción Especializada en Delincuencia Organizada, Fase 2023:</w:t>
      </w:r>
      <w:r w:rsidRPr="002A7673">
        <w:rPr>
          <w:rFonts w:ascii="Times New Roman" w:eastAsia="Times New Roman" w:hAnsi="Times New Roman" w:cs="Times New Roman"/>
          <w:b/>
          <w:bCs/>
          <w:noProof/>
          <w:sz w:val="20"/>
          <w:szCs w:val="20"/>
          <w:lang w:val="es-ES" w:eastAsia="es-ES"/>
        </w:rPr>
        <w:drawing>
          <wp:inline distT="0" distB="0" distL="0" distR="0" wp14:anchorId="6B262230" wp14:editId="30FA77EF">
            <wp:extent cx="6064343" cy="3435350"/>
            <wp:effectExtent l="0" t="0" r="0" b="0"/>
            <wp:docPr id="1263269087" name="Imagen 126326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7369" cy="3471053"/>
                    </a:xfrm>
                    <a:prstGeom prst="rect">
                      <a:avLst/>
                    </a:prstGeom>
                    <a:noFill/>
                    <a:ln>
                      <a:noFill/>
                    </a:ln>
                  </pic:spPr>
                </pic:pic>
              </a:graphicData>
            </a:graphic>
          </wp:inline>
        </w:drawing>
      </w:r>
    </w:p>
    <w:p w14:paraId="07C5E75B" w14:textId="77777777" w:rsidR="00E147EB" w:rsidRPr="002A7673" w:rsidRDefault="00E147EB" w:rsidP="00E147EB">
      <w:pPr>
        <w:widowControl w:val="0"/>
        <w:autoSpaceDE w:val="0"/>
        <w:autoSpaceDN w:val="0"/>
        <w:adjustRightInd w:val="0"/>
        <w:spacing w:after="0" w:line="240" w:lineRule="auto"/>
        <w:rPr>
          <w:rFonts w:ascii="Times New Roman" w:eastAsia="Times New Roman" w:hAnsi="Times New Roman" w:cs="Times New Roman"/>
          <w:b/>
          <w:bCs/>
          <w:sz w:val="18"/>
          <w:szCs w:val="18"/>
          <w:lang w:val="es-ES" w:eastAsia="es-ES"/>
        </w:rPr>
      </w:pPr>
      <w:r w:rsidRPr="002A7673">
        <w:rPr>
          <w:rFonts w:ascii="Times New Roman" w:eastAsia="Times New Roman" w:hAnsi="Times New Roman" w:cs="Times New Roman"/>
          <w:b/>
          <w:bCs/>
          <w:sz w:val="18"/>
          <w:szCs w:val="18"/>
          <w:lang w:val="es-ES" w:eastAsia="es-ES"/>
        </w:rPr>
        <w:t xml:space="preserve">                 Fuente: Elaboración de la Dirección de Planificación, con la información brindada por todos los ámbitos.</w:t>
      </w:r>
    </w:p>
    <w:bookmarkEnd w:id="122"/>
    <w:p w14:paraId="4E494A4D" w14:textId="77777777" w:rsidR="00E147EB" w:rsidRPr="002A7673" w:rsidRDefault="00E147EB" w:rsidP="00E147EB">
      <w:pPr>
        <w:spacing w:after="0" w:line="240" w:lineRule="auto"/>
        <w:ind w:right="851"/>
        <w:jc w:val="both"/>
        <w:rPr>
          <w:rFonts w:ascii="Times New Roman" w:hAnsi="Times New Roman" w:cs="Times New Roman"/>
          <w:sz w:val="26"/>
          <w:szCs w:val="26"/>
          <w:lang w:val="es-ES"/>
        </w:rPr>
      </w:pPr>
    </w:p>
    <w:p w14:paraId="6CB4474F"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p>
    <w:p w14:paraId="5B208BA6"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t>Se somete a consideración de las instancias superiores la aprobación del nuevo recurso</w:t>
      </w:r>
      <w:r w:rsidRPr="002A7673">
        <w:rPr>
          <w:rFonts w:ascii="Times New Roman" w:hAnsi="Times New Roman" w:cs="Times New Roman"/>
          <w:sz w:val="24"/>
          <w:szCs w:val="24"/>
          <w:lang w:val="es-ES"/>
        </w:rPr>
        <w:t xml:space="preserve"> </w:t>
      </w:r>
      <w:r w:rsidRPr="002A7673">
        <w:rPr>
          <w:rFonts w:ascii="Times New Roman" w:hAnsi="Times New Roman" w:cs="Times New Roman"/>
          <w:sz w:val="26"/>
          <w:szCs w:val="26"/>
          <w:lang w:val="es-ES"/>
        </w:rPr>
        <w:t>humano solicitado por el Organismo de Investigación Judicial expuesto en el apartado 1.3. del presente informe, el cual tendría un costo de ₡6.143.500 por concepto de remuneración de 6 meses del 2023 y ₡1.184.510 por concepto de equipo y mobiliario, para un total de ₡7.328.010 monto que, en caso de no considerar necesaria la aprobación deberá ser descontado de los costos del Programa 928, concretamente en el presupuesto del 2023.</w:t>
      </w:r>
    </w:p>
    <w:p w14:paraId="0A9A3327" w14:textId="77777777" w:rsidR="00E147EB" w:rsidRPr="002A7673" w:rsidRDefault="00E147EB" w:rsidP="00E147EB">
      <w:pPr>
        <w:spacing w:after="0" w:line="240" w:lineRule="auto"/>
        <w:jc w:val="both"/>
        <w:rPr>
          <w:rFonts w:ascii="Times New Roman" w:hAnsi="Times New Roman" w:cs="Times New Roman"/>
          <w:sz w:val="24"/>
          <w:szCs w:val="24"/>
          <w:u w:val="single"/>
          <w:lang w:val="es-ES"/>
        </w:rPr>
      </w:pPr>
    </w:p>
    <w:p w14:paraId="58A91C75" w14:textId="77777777" w:rsidR="00E147EB" w:rsidRPr="002A7673" w:rsidRDefault="00E147EB" w:rsidP="00E147EB">
      <w:pPr>
        <w:spacing w:after="0" w:line="240" w:lineRule="auto"/>
        <w:jc w:val="center"/>
        <w:rPr>
          <w:rFonts w:ascii="Times New Roman" w:hAnsi="Times New Roman" w:cs="Times New Roman"/>
          <w:sz w:val="24"/>
          <w:szCs w:val="24"/>
          <w:u w:val="single"/>
          <w:lang w:val="es-ES"/>
        </w:rPr>
      </w:pPr>
      <w:r w:rsidRPr="002A7673">
        <w:rPr>
          <w:rFonts w:ascii="Times New Roman" w:hAnsi="Times New Roman" w:cs="Times New Roman"/>
        </w:rPr>
        <w:t xml:space="preserve">Tabla </w:t>
      </w:r>
      <w:r w:rsidRPr="002A7673">
        <w:rPr>
          <w:rFonts w:ascii="Times New Roman" w:hAnsi="Times New Roman" w:cs="Times New Roman"/>
        </w:rPr>
        <w:fldChar w:fldCharType="begin"/>
      </w:r>
      <w:r w:rsidRPr="002A7673">
        <w:rPr>
          <w:rFonts w:ascii="Times New Roman" w:hAnsi="Times New Roman" w:cs="Times New Roman"/>
        </w:rPr>
        <w:instrText xml:space="preserve"> SEQ Tabla \* ARABIC </w:instrText>
      </w:r>
      <w:r w:rsidRPr="002A7673">
        <w:rPr>
          <w:rFonts w:ascii="Times New Roman" w:hAnsi="Times New Roman" w:cs="Times New Roman"/>
        </w:rPr>
        <w:fldChar w:fldCharType="separate"/>
      </w:r>
      <w:r w:rsidRPr="002A7673">
        <w:rPr>
          <w:rFonts w:ascii="Times New Roman" w:hAnsi="Times New Roman" w:cs="Times New Roman"/>
          <w:noProof/>
        </w:rPr>
        <w:t>9</w:t>
      </w:r>
      <w:r w:rsidRPr="002A7673">
        <w:rPr>
          <w:rFonts w:ascii="Times New Roman" w:hAnsi="Times New Roman" w:cs="Times New Roman"/>
        </w:rPr>
        <w:fldChar w:fldCharType="end"/>
      </w:r>
      <w:r w:rsidRPr="002A7673">
        <w:rPr>
          <w:rFonts w:ascii="Times New Roman" w:hAnsi="Times New Roman" w:cs="Times New Roman"/>
        </w:rPr>
        <w:t>: Detalle de costo por recurso humano solicitado por el OIJ</w:t>
      </w:r>
    </w:p>
    <w:tbl>
      <w:tblPr>
        <w:tblW w:w="6500" w:type="dxa"/>
        <w:jc w:val="center"/>
        <w:tblCellMar>
          <w:left w:w="70" w:type="dxa"/>
          <w:right w:w="70" w:type="dxa"/>
        </w:tblCellMar>
        <w:tblLook w:val="04A0" w:firstRow="1" w:lastRow="0" w:firstColumn="1" w:lastColumn="0" w:noHBand="0" w:noVBand="1"/>
      </w:tblPr>
      <w:tblGrid>
        <w:gridCol w:w="2560"/>
        <w:gridCol w:w="1180"/>
        <w:gridCol w:w="1220"/>
        <w:gridCol w:w="1540"/>
      </w:tblGrid>
      <w:tr w:rsidR="00E147EB" w:rsidRPr="002A7673" w14:paraId="390DA0A7" w14:textId="77777777" w:rsidTr="0048334E">
        <w:trPr>
          <w:trHeight w:val="630"/>
          <w:jc w:val="center"/>
        </w:trPr>
        <w:tc>
          <w:tcPr>
            <w:tcW w:w="2560" w:type="dxa"/>
            <w:tcBorders>
              <w:top w:val="single" w:sz="4" w:space="0" w:color="auto"/>
              <w:left w:val="single" w:sz="4" w:space="0" w:color="auto"/>
              <w:bottom w:val="single" w:sz="4" w:space="0" w:color="auto"/>
              <w:right w:val="single" w:sz="4" w:space="0" w:color="auto"/>
            </w:tcBorders>
            <w:shd w:val="clear" w:color="000000" w:fill="ACB9CA"/>
            <w:vAlign w:val="center"/>
            <w:hideMark/>
          </w:tcPr>
          <w:p w14:paraId="6AB5A4AB"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Requerimiento OIJ</w:t>
            </w:r>
          </w:p>
        </w:tc>
        <w:tc>
          <w:tcPr>
            <w:tcW w:w="1180" w:type="dxa"/>
            <w:tcBorders>
              <w:top w:val="single" w:sz="4" w:space="0" w:color="auto"/>
              <w:left w:val="nil"/>
              <w:bottom w:val="single" w:sz="4" w:space="0" w:color="auto"/>
              <w:right w:val="single" w:sz="4" w:space="0" w:color="auto"/>
            </w:tcBorders>
            <w:shd w:val="clear" w:color="000000" w:fill="ACB9CA"/>
            <w:vAlign w:val="center"/>
            <w:hideMark/>
          </w:tcPr>
          <w:p w14:paraId="557B311A"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Cantidad</w:t>
            </w:r>
          </w:p>
        </w:tc>
        <w:tc>
          <w:tcPr>
            <w:tcW w:w="1220" w:type="dxa"/>
            <w:tcBorders>
              <w:top w:val="single" w:sz="4" w:space="0" w:color="auto"/>
              <w:left w:val="nil"/>
              <w:bottom w:val="single" w:sz="4" w:space="0" w:color="auto"/>
              <w:right w:val="single" w:sz="4" w:space="0" w:color="auto"/>
            </w:tcBorders>
            <w:shd w:val="clear" w:color="000000" w:fill="ACB9CA"/>
            <w:vAlign w:val="center"/>
            <w:hideMark/>
          </w:tcPr>
          <w:p w14:paraId="72178B62"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Periodo 2023</w:t>
            </w:r>
          </w:p>
        </w:tc>
        <w:tc>
          <w:tcPr>
            <w:tcW w:w="1540" w:type="dxa"/>
            <w:tcBorders>
              <w:top w:val="single" w:sz="4" w:space="0" w:color="auto"/>
              <w:left w:val="nil"/>
              <w:bottom w:val="single" w:sz="4" w:space="0" w:color="auto"/>
              <w:right w:val="single" w:sz="4" w:space="0" w:color="auto"/>
            </w:tcBorders>
            <w:shd w:val="clear" w:color="000000" w:fill="ACB9CA"/>
            <w:vAlign w:val="center"/>
            <w:hideMark/>
          </w:tcPr>
          <w:p w14:paraId="0C4B1FBF"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Costo</w:t>
            </w:r>
          </w:p>
        </w:tc>
      </w:tr>
      <w:tr w:rsidR="00E147EB" w:rsidRPr="002A7673" w14:paraId="5BB9A121" w14:textId="77777777" w:rsidTr="0048334E">
        <w:trPr>
          <w:trHeight w:val="810"/>
          <w:jc w:val="center"/>
        </w:trPr>
        <w:tc>
          <w:tcPr>
            <w:tcW w:w="2560" w:type="dxa"/>
            <w:tcBorders>
              <w:top w:val="nil"/>
              <w:left w:val="single" w:sz="4" w:space="0" w:color="auto"/>
              <w:bottom w:val="single" w:sz="4" w:space="0" w:color="auto"/>
              <w:right w:val="single" w:sz="4" w:space="0" w:color="auto"/>
            </w:tcBorders>
            <w:shd w:val="clear" w:color="auto" w:fill="auto"/>
            <w:vAlign w:val="center"/>
            <w:hideMark/>
          </w:tcPr>
          <w:p w14:paraId="5AD8FE55" w14:textId="77777777" w:rsidR="00E147EB" w:rsidRPr="002A7673" w:rsidRDefault="00E147EB"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Auxiliar de Servicios Generales 2</w:t>
            </w:r>
          </w:p>
        </w:tc>
        <w:tc>
          <w:tcPr>
            <w:tcW w:w="1180" w:type="dxa"/>
            <w:tcBorders>
              <w:top w:val="nil"/>
              <w:left w:val="nil"/>
              <w:bottom w:val="single" w:sz="4" w:space="0" w:color="auto"/>
              <w:right w:val="single" w:sz="4" w:space="0" w:color="auto"/>
            </w:tcBorders>
            <w:shd w:val="clear" w:color="auto" w:fill="auto"/>
            <w:vAlign w:val="center"/>
            <w:hideMark/>
          </w:tcPr>
          <w:p w14:paraId="51A1F0A6"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1</w:t>
            </w:r>
          </w:p>
        </w:tc>
        <w:tc>
          <w:tcPr>
            <w:tcW w:w="1220" w:type="dxa"/>
            <w:tcBorders>
              <w:top w:val="nil"/>
              <w:left w:val="nil"/>
              <w:bottom w:val="single" w:sz="4" w:space="0" w:color="auto"/>
              <w:right w:val="single" w:sz="4" w:space="0" w:color="auto"/>
            </w:tcBorders>
            <w:shd w:val="clear" w:color="auto" w:fill="auto"/>
            <w:vAlign w:val="center"/>
            <w:hideMark/>
          </w:tcPr>
          <w:p w14:paraId="4C99EE1D" w14:textId="77777777" w:rsidR="00E147EB" w:rsidRPr="002A7673" w:rsidRDefault="00E147EB" w:rsidP="0048334E">
            <w:pPr>
              <w:spacing w:after="0" w:line="240" w:lineRule="auto"/>
              <w:jc w:val="center"/>
              <w:rPr>
                <w:rFonts w:ascii="Times New Roman" w:hAnsi="Times New Roman" w:cs="Times New Roman"/>
                <w:sz w:val="24"/>
                <w:szCs w:val="24"/>
                <w:lang w:eastAsia="es-CR"/>
              </w:rPr>
            </w:pPr>
            <w:r w:rsidRPr="002A7673">
              <w:rPr>
                <w:rFonts w:ascii="Times New Roman" w:hAnsi="Times New Roman" w:cs="Times New Roman"/>
                <w:sz w:val="24"/>
                <w:szCs w:val="24"/>
                <w:lang w:eastAsia="es-CR"/>
              </w:rPr>
              <w:t>6 meses</w:t>
            </w:r>
          </w:p>
        </w:tc>
        <w:tc>
          <w:tcPr>
            <w:tcW w:w="1540" w:type="dxa"/>
            <w:tcBorders>
              <w:top w:val="nil"/>
              <w:left w:val="nil"/>
              <w:bottom w:val="single" w:sz="4" w:space="0" w:color="auto"/>
              <w:right w:val="single" w:sz="4" w:space="0" w:color="auto"/>
            </w:tcBorders>
            <w:shd w:val="clear" w:color="auto" w:fill="auto"/>
            <w:vAlign w:val="center"/>
            <w:hideMark/>
          </w:tcPr>
          <w:p w14:paraId="4850B842" w14:textId="77777777" w:rsidR="00E147EB" w:rsidRPr="002A7673" w:rsidRDefault="00E147EB" w:rsidP="0048334E">
            <w:pPr>
              <w:spacing w:after="0" w:line="240" w:lineRule="auto"/>
              <w:jc w:val="center"/>
              <w:rPr>
                <w:rFonts w:ascii="Times New Roman" w:hAnsi="Times New Roman" w:cs="Times New Roman"/>
                <w:sz w:val="24"/>
                <w:szCs w:val="24"/>
                <w:lang w:eastAsia="es-CR"/>
              </w:rPr>
            </w:pPr>
            <w:r w:rsidRPr="002A7673">
              <w:rPr>
                <w:rFonts w:ascii="Times New Roman" w:hAnsi="Times New Roman" w:cs="Times New Roman"/>
                <w:sz w:val="24"/>
                <w:szCs w:val="24"/>
                <w:lang w:eastAsia="es-CR"/>
              </w:rPr>
              <w:t>₡6.143.500</w:t>
            </w:r>
          </w:p>
        </w:tc>
      </w:tr>
      <w:tr w:rsidR="00E147EB" w:rsidRPr="002A7673" w14:paraId="2B909A5E" w14:textId="77777777" w:rsidTr="0048334E">
        <w:trPr>
          <w:trHeight w:val="510"/>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B675111" w14:textId="77777777" w:rsidR="00E147EB" w:rsidRPr="002A7673" w:rsidRDefault="00E147EB"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lastRenderedPageBreak/>
              <w:t>Equipo y mobiliario</w:t>
            </w:r>
          </w:p>
        </w:tc>
        <w:tc>
          <w:tcPr>
            <w:tcW w:w="1180" w:type="dxa"/>
            <w:tcBorders>
              <w:top w:val="nil"/>
              <w:left w:val="nil"/>
              <w:bottom w:val="single" w:sz="4" w:space="0" w:color="auto"/>
              <w:right w:val="single" w:sz="4" w:space="0" w:color="auto"/>
            </w:tcBorders>
            <w:shd w:val="clear" w:color="auto" w:fill="auto"/>
            <w:noWrap/>
            <w:vAlign w:val="bottom"/>
            <w:hideMark/>
          </w:tcPr>
          <w:p w14:paraId="459DF076"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w:t>
            </w:r>
          </w:p>
        </w:tc>
        <w:tc>
          <w:tcPr>
            <w:tcW w:w="1220" w:type="dxa"/>
            <w:tcBorders>
              <w:top w:val="nil"/>
              <w:left w:val="nil"/>
              <w:bottom w:val="single" w:sz="4" w:space="0" w:color="auto"/>
              <w:right w:val="single" w:sz="4" w:space="0" w:color="auto"/>
            </w:tcBorders>
            <w:shd w:val="clear" w:color="auto" w:fill="auto"/>
            <w:noWrap/>
            <w:vAlign w:val="bottom"/>
            <w:hideMark/>
          </w:tcPr>
          <w:p w14:paraId="571EBF4C"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w:t>
            </w:r>
          </w:p>
        </w:tc>
        <w:tc>
          <w:tcPr>
            <w:tcW w:w="1540" w:type="dxa"/>
            <w:tcBorders>
              <w:top w:val="nil"/>
              <w:left w:val="nil"/>
              <w:bottom w:val="single" w:sz="4" w:space="0" w:color="auto"/>
              <w:right w:val="single" w:sz="4" w:space="0" w:color="auto"/>
            </w:tcBorders>
            <w:shd w:val="clear" w:color="auto" w:fill="auto"/>
            <w:vAlign w:val="center"/>
            <w:hideMark/>
          </w:tcPr>
          <w:p w14:paraId="519DBE0B" w14:textId="77777777" w:rsidR="00E147EB" w:rsidRPr="002A7673" w:rsidRDefault="00E147EB" w:rsidP="0048334E">
            <w:pPr>
              <w:spacing w:after="0" w:line="240" w:lineRule="auto"/>
              <w:jc w:val="center"/>
              <w:rPr>
                <w:rFonts w:ascii="Times New Roman" w:hAnsi="Times New Roman" w:cs="Times New Roman"/>
                <w:sz w:val="24"/>
                <w:szCs w:val="24"/>
                <w:lang w:eastAsia="es-CR"/>
              </w:rPr>
            </w:pPr>
            <w:r w:rsidRPr="002A7673">
              <w:rPr>
                <w:rFonts w:ascii="Times New Roman" w:hAnsi="Times New Roman" w:cs="Times New Roman"/>
                <w:sz w:val="24"/>
                <w:szCs w:val="24"/>
                <w:lang w:eastAsia="es-CR"/>
              </w:rPr>
              <w:t>₡1.184.510</w:t>
            </w:r>
          </w:p>
        </w:tc>
      </w:tr>
      <w:tr w:rsidR="00E147EB" w:rsidRPr="002A7673" w14:paraId="1F58A090" w14:textId="77777777" w:rsidTr="0048334E">
        <w:trPr>
          <w:trHeight w:val="510"/>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657ED0FA" w14:textId="77777777" w:rsidR="00E147EB" w:rsidRPr="002A7673" w:rsidRDefault="00E147EB" w:rsidP="0048334E">
            <w:pPr>
              <w:spacing w:after="0" w:line="240" w:lineRule="auto"/>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Total</w:t>
            </w:r>
          </w:p>
        </w:tc>
        <w:tc>
          <w:tcPr>
            <w:tcW w:w="1180" w:type="dxa"/>
            <w:tcBorders>
              <w:top w:val="nil"/>
              <w:left w:val="nil"/>
              <w:bottom w:val="single" w:sz="4" w:space="0" w:color="auto"/>
              <w:right w:val="single" w:sz="4" w:space="0" w:color="auto"/>
            </w:tcBorders>
            <w:shd w:val="clear" w:color="auto" w:fill="auto"/>
            <w:noWrap/>
            <w:vAlign w:val="bottom"/>
            <w:hideMark/>
          </w:tcPr>
          <w:p w14:paraId="4D23F5F0"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w:t>
            </w:r>
          </w:p>
        </w:tc>
        <w:tc>
          <w:tcPr>
            <w:tcW w:w="1220" w:type="dxa"/>
            <w:tcBorders>
              <w:top w:val="nil"/>
              <w:left w:val="nil"/>
              <w:bottom w:val="single" w:sz="4" w:space="0" w:color="auto"/>
              <w:right w:val="single" w:sz="4" w:space="0" w:color="auto"/>
            </w:tcBorders>
            <w:shd w:val="clear" w:color="auto" w:fill="auto"/>
            <w:noWrap/>
            <w:vAlign w:val="bottom"/>
            <w:hideMark/>
          </w:tcPr>
          <w:p w14:paraId="779EE056" w14:textId="77777777" w:rsidR="00E147EB" w:rsidRPr="002A7673" w:rsidRDefault="00E147EB" w:rsidP="0048334E">
            <w:pPr>
              <w:spacing w:after="0" w:line="24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w:t>
            </w:r>
          </w:p>
        </w:tc>
        <w:tc>
          <w:tcPr>
            <w:tcW w:w="1540" w:type="dxa"/>
            <w:tcBorders>
              <w:top w:val="nil"/>
              <w:left w:val="nil"/>
              <w:bottom w:val="single" w:sz="4" w:space="0" w:color="auto"/>
              <w:right w:val="single" w:sz="4" w:space="0" w:color="auto"/>
            </w:tcBorders>
            <w:shd w:val="clear" w:color="auto" w:fill="auto"/>
            <w:noWrap/>
            <w:vAlign w:val="bottom"/>
            <w:hideMark/>
          </w:tcPr>
          <w:p w14:paraId="25112F84" w14:textId="77777777" w:rsidR="00E147EB" w:rsidRPr="002A7673" w:rsidRDefault="00E147EB"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₡7.328.010</w:t>
            </w:r>
          </w:p>
        </w:tc>
      </w:tr>
    </w:tbl>
    <w:p w14:paraId="26148456" w14:textId="77777777" w:rsidR="00E147EB" w:rsidRPr="002A7673" w:rsidRDefault="00E147EB" w:rsidP="00E147EB">
      <w:pPr>
        <w:spacing w:after="0" w:line="240" w:lineRule="auto"/>
        <w:ind w:left="1418"/>
        <w:rPr>
          <w:rFonts w:ascii="Times New Roman" w:hAnsi="Times New Roman" w:cs="Times New Roman"/>
          <w:b/>
          <w:bCs/>
          <w:sz w:val="24"/>
          <w:szCs w:val="24"/>
          <w:u w:val="single"/>
        </w:rPr>
      </w:pPr>
      <w:r w:rsidRPr="002A7673">
        <w:rPr>
          <w:rFonts w:ascii="Times New Roman" w:hAnsi="Times New Roman" w:cs="Times New Roman"/>
        </w:rPr>
        <w:t>Fuente: Elaborado por la Dirección de Planificación.</w:t>
      </w:r>
    </w:p>
    <w:p w14:paraId="7C25B0C7" w14:textId="77777777" w:rsidR="00E147EB" w:rsidRPr="002A7673" w:rsidRDefault="00E147EB" w:rsidP="00E147EB">
      <w:pPr>
        <w:spacing w:after="0" w:line="240" w:lineRule="auto"/>
        <w:ind w:left="851" w:right="851" w:firstLine="709"/>
        <w:jc w:val="both"/>
        <w:rPr>
          <w:rFonts w:ascii="Times New Roman" w:hAnsi="Times New Roman" w:cs="Times New Roman"/>
          <w:b/>
          <w:bCs/>
          <w:sz w:val="26"/>
          <w:szCs w:val="26"/>
          <w:u w:val="single"/>
        </w:rPr>
      </w:pPr>
    </w:p>
    <w:p w14:paraId="4CFBC4D1"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 xml:space="preserve">5. Recomendaciones: </w:t>
      </w:r>
    </w:p>
    <w:p w14:paraId="71BA6FF2"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186597F1"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 xml:space="preserve">5.1. Al Consejo Superior: </w:t>
      </w:r>
    </w:p>
    <w:p w14:paraId="0C82CA4D"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1097A5F8" w14:textId="77777777" w:rsidR="00E147EB" w:rsidRPr="002A7673" w:rsidRDefault="00E147EB" w:rsidP="00FF3FAC">
      <w:pPr>
        <w:numPr>
          <w:ilvl w:val="0"/>
          <w:numId w:val="56"/>
        </w:num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Valorar la incorporación de los recursos económicos contenidos en la presente actualización dentro del presupuesto ordinario de la institución, tal como fue solicitado por la Subcomisión de Delincuencia Organizada, oficio S-CJEDO-07-2021 para la Jurisdicción Especializada en Delincuencia Organizada, en dos fases (2022-2023) en virtud de la necesidad de implementar la Ley 9481: </w:t>
      </w:r>
      <w:r w:rsidRPr="002A7673">
        <w:rPr>
          <w:rFonts w:ascii="Times New Roman" w:hAnsi="Times New Roman" w:cs="Times New Roman"/>
          <w:i/>
          <w:sz w:val="26"/>
          <w:szCs w:val="26"/>
        </w:rPr>
        <w:t>“Creación de la Jurisdicción Especializada en Delincuencia Organizada en Costa Rica”</w:t>
      </w:r>
      <w:r w:rsidRPr="002A7673">
        <w:rPr>
          <w:rFonts w:ascii="Times New Roman" w:hAnsi="Times New Roman" w:cs="Times New Roman"/>
          <w:sz w:val="26"/>
          <w:szCs w:val="26"/>
        </w:rPr>
        <w:t>, con la adición de la plaza solicitada por el Organismo de Investigación Judicial, para un monto total de ₡12.633.067.119. Caso contario se tendría que incorporar dentro de un presupuesto paralelo al ordinario tal como se indicó en el acuerdo del Consejo Superior de la sesión 21-2021 del 12 de marzo de 2021, artículo XI.</w:t>
      </w:r>
    </w:p>
    <w:p w14:paraId="24C6E533"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7D53A1A7"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 xml:space="preserve">5.2. A la Unidad de Presupuesto y Estudios Especiales de la Dirección de Gestión Humana: </w:t>
      </w:r>
    </w:p>
    <w:p w14:paraId="0C6D727E"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5DCDF1C3" w14:textId="77777777" w:rsidR="00E147EB" w:rsidRPr="002A7673" w:rsidRDefault="00E147EB" w:rsidP="00FF3FAC">
      <w:pPr>
        <w:numPr>
          <w:ilvl w:val="0"/>
          <w:numId w:val="56"/>
        </w:num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Una vez recabada la información que permita brindar el monto apropiado por concepto de sobre sueldo, como incentivo salarial que se debe otorgar al recurso humano que atenderá los casos de Delincuencia Organizada, se solicita remitir la información al Consejo Superior con copia a la Dirección de Planificación con la finalidad de realizar los ajustes que correspondan. Se aclara nuevamente que, ante la falta del criterio técnico de la Dirección de Gestión Humana el presente presupuesto mantiene el monto estimado inicial fijado de incentivo salarial en dos mil millones de colones (₡ 2.000.000.000,00).</w:t>
      </w:r>
    </w:p>
    <w:p w14:paraId="40C0A333" w14:textId="77777777" w:rsidR="00E147EB" w:rsidRPr="002A7673" w:rsidRDefault="00E147EB" w:rsidP="00E147EB">
      <w:pPr>
        <w:spacing w:after="0" w:line="240" w:lineRule="auto"/>
        <w:ind w:left="851" w:right="851" w:firstLine="709"/>
        <w:jc w:val="both"/>
        <w:rPr>
          <w:rFonts w:ascii="Times New Roman" w:hAnsi="Times New Roman" w:cs="Times New Roman"/>
          <w:sz w:val="26"/>
          <w:szCs w:val="26"/>
        </w:rPr>
      </w:pPr>
    </w:p>
    <w:p w14:paraId="3941C1CE"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r w:rsidRPr="002A7673">
        <w:rPr>
          <w:rFonts w:ascii="Times New Roman" w:hAnsi="Times New Roman" w:cs="Times New Roman"/>
          <w:sz w:val="26"/>
          <w:szCs w:val="26"/>
        </w:rPr>
        <w:t>6. Anexos:</w:t>
      </w:r>
    </w:p>
    <w:p w14:paraId="2AB4D35B" w14:textId="77777777" w:rsidR="00E147EB" w:rsidRPr="002A7673" w:rsidRDefault="00E147EB" w:rsidP="00E147EB">
      <w:pPr>
        <w:spacing w:after="0" w:line="240" w:lineRule="auto"/>
        <w:ind w:left="851" w:right="851" w:firstLine="709"/>
        <w:rPr>
          <w:rFonts w:ascii="Times New Roman" w:hAnsi="Times New Roman" w:cs="Times New Roman"/>
          <w:sz w:val="26"/>
          <w:szCs w:val="26"/>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81"/>
        <w:gridCol w:w="4413"/>
        <w:gridCol w:w="3558"/>
      </w:tblGrid>
      <w:tr w:rsidR="00E147EB" w:rsidRPr="002A7673" w14:paraId="369B073D" w14:textId="77777777" w:rsidTr="0048334E">
        <w:trPr>
          <w:tblCellSpacing w:w="1440" w:type="nil"/>
        </w:trPr>
        <w:tc>
          <w:tcPr>
            <w:tcW w:w="871" w:type="pct"/>
            <w:shd w:val="clear" w:color="auto" w:fill="365F91"/>
            <w:vAlign w:val="center"/>
          </w:tcPr>
          <w:p w14:paraId="761D0387" w14:textId="77777777" w:rsidR="00E147EB" w:rsidRPr="002A7673" w:rsidRDefault="00E147EB" w:rsidP="0048334E">
            <w:pPr>
              <w:spacing w:after="0" w:line="240" w:lineRule="auto"/>
              <w:jc w:val="center"/>
              <w:rPr>
                <w:rFonts w:ascii="Times New Roman" w:hAnsi="Times New Roman" w:cs="Times New Roman"/>
                <w:b/>
                <w:color w:val="FFFFFF"/>
                <w:sz w:val="24"/>
                <w:szCs w:val="24"/>
              </w:rPr>
            </w:pPr>
            <w:r w:rsidRPr="002A7673">
              <w:rPr>
                <w:rFonts w:ascii="Times New Roman" w:hAnsi="Times New Roman" w:cs="Times New Roman"/>
                <w:b/>
                <w:color w:val="FFFFFF"/>
                <w:sz w:val="24"/>
                <w:szCs w:val="24"/>
              </w:rPr>
              <w:t>Anexos</w:t>
            </w:r>
          </w:p>
        </w:tc>
        <w:tc>
          <w:tcPr>
            <w:tcW w:w="2286" w:type="pct"/>
            <w:shd w:val="clear" w:color="auto" w:fill="365F91"/>
            <w:vAlign w:val="center"/>
          </w:tcPr>
          <w:p w14:paraId="521D3818" w14:textId="77777777" w:rsidR="00E147EB" w:rsidRPr="002A7673" w:rsidRDefault="00E147EB" w:rsidP="0048334E">
            <w:pPr>
              <w:spacing w:after="0" w:line="240" w:lineRule="auto"/>
              <w:jc w:val="center"/>
              <w:rPr>
                <w:rFonts w:ascii="Times New Roman" w:hAnsi="Times New Roman" w:cs="Times New Roman"/>
                <w:b/>
                <w:color w:val="FFFFFF"/>
                <w:sz w:val="24"/>
                <w:szCs w:val="24"/>
              </w:rPr>
            </w:pPr>
            <w:r w:rsidRPr="002A7673">
              <w:rPr>
                <w:rFonts w:ascii="Times New Roman" w:hAnsi="Times New Roman" w:cs="Times New Roman"/>
                <w:b/>
                <w:color w:val="FFFFFF"/>
                <w:sz w:val="24"/>
                <w:szCs w:val="24"/>
              </w:rPr>
              <w:t>Nombre</w:t>
            </w:r>
          </w:p>
        </w:tc>
        <w:tc>
          <w:tcPr>
            <w:tcW w:w="1843" w:type="pct"/>
            <w:shd w:val="clear" w:color="auto" w:fill="365F91"/>
            <w:vAlign w:val="center"/>
          </w:tcPr>
          <w:p w14:paraId="45FDD9D8" w14:textId="77777777" w:rsidR="00E147EB" w:rsidRPr="002A7673" w:rsidRDefault="00E147EB" w:rsidP="0048334E">
            <w:pPr>
              <w:spacing w:after="0" w:line="240" w:lineRule="auto"/>
              <w:jc w:val="center"/>
              <w:rPr>
                <w:rFonts w:ascii="Times New Roman" w:hAnsi="Times New Roman" w:cs="Times New Roman"/>
                <w:b/>
                <w:color w:val="FFFFFF"/>
                <w:sz w:val="24"/>
                <w:szCs w:val="24"/>
              </w:rPr>
            </w:pPr>
            <w:r w:rsidRPr="002A7673">
              <w:rPr>
                <w:rFonts w:ascii="Times New Roman" w:hAnsi="Times New Roman" w:cs="Times New Roman"/>
                <w:b/>
                <w:color w:val="FFFFFF"/>
                <w:sz w:val="24"/>
                <w:szCs w:val="24"/>
              </w:rPr>
              <w:t>Documento</w:t>
            </w:r>
          </w:p>
        </w:tc>
      </w:tr>
      <w:tr w:rsidR="00E147EB" w:rsidRPr="002A7673" w14:paraId="37C0D04E" w14:textId="77777777" w:rsidTr="0048334E">
        <w:trPr>
          <w:tblCellSpacing w:w="1440" w:type="nil"/>
        </w:trPr>
        <w:tc>
          <w:tcPr>
            <w:tcW w:w="871" w:type="pct"/>
            <w:shd w:val="clear" w:color="auto" w:fill="auto"/>
            <w:vAlign w:val="center"/>
          </w:tcPr>
          <w:p w14:paraId="74718BD8" w14:textId="77777777" w:rsidR="00E147EB" w:rsidRPr="002A7673" w:rsidRDefault="00E147EB" w:rsidP="0048334E">
            <w:pPr>
              <w:spacing w:after="0" w:line="240" w:lineRule="auto"/>
              <w:jc w:val="center"/>
              <w:rPr>
                <w:rFonts w:ascii="Times New Roman" w:hAnsi="Times New Roman" w:cs="Times New Roman"/>
                <w:b/>
                <w:i/>
                <w:sz w:val="24"/>
                <w:szCs w:val="24"/>
              </w:rPr>
            </w:pPr>
            <w:r w:rsidRPr="002A7673">
              <w:rPr>
                <w:rFonts w:ascii="Times New Roman" w:hAnsi="Times New Roman" w:cs="Times New Roman"/>
                <w:b/>
                <w:i/>
                <w:color w:val="000000"/>
                <w:sz w:val="24"/>
                <w:szCs w:val="24"/>
              </w:rPr>
              <w:lastRenderedPageBreak/>
              <w:t>Anexo 6.1</w:t>
            </w:r>
          </w:p>
        </w:tc>
        <w:tc>
          <w:tcPr>
            <w:tcW w:w="2286" w:type="pct"/>
            <w:shd w:val="clear" w:color="auto" w:fill="auto"/>
            <w:vAlign w:val="center"/>
          </w:tcPr>
          <w:p w14:paraId="430ED1C2"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Acuerdo del Consejo Superior del Poder Judicial, Sesión 11-2021, Artículo IX</w:t>
            </w:r>
          </w:p>
        </w:tc>
        <w:tc>
          <w:tcPr>
            <w:tcW w:w="1843" w:type="pct"/>
            <w:shd w:val="clear" w:color="auto" w:fill="auto"/>
            <w:vAlign w:val="center"/>
          </w:tcPr>
          <w:p w14:paraId="2A91D5B8"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1310F913">
                <v:shape id="_x0000_i1054" type="#_x0000_t75" style="width:77pt;height:52pt" o:ole="">
                  <v:imagedata r:id="rId119" o:title=""/>
                </v:shape>
                <o:OLEObject Type="Embed" ProgID="Word.Document.12" ShapeID="_x0000_i1054" DrawAspect="Icon" ObjectID="_1684066997" r:id="rId120">
                  <o:FieldCodes>\s</o:FieldCodes>
                </o:OLEObject>
              </w:object>
            </w:r>
          </w:p>
        </w:tc>
      </w:tr>
      <w:tr w:rsidR="00E147EB" w:rsidRPr="002A7673" w14:paraId="14DB157D" w14:textId="77777777" w:rsidTr="0048334E">
        <w:trPr>
          <w:tblCellSpacing w:w="1440" w:type="nil"/>
        </w:trPr>
        <w:tc>
          <w:tcPr>
            <w:tcW w:w="871" w:type="pct"/>
            <w:shd w:val="clear" w:color="auto" w:fill="auto"/>
            <w:vAlign w:val="center"/>
          </w:tcPr>
          <w:p w14:paraId="7B041FB7"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sz w:val="24"/>
                <w:szCs w:val="24"/>
              </w:rPr>
              <w:t>Anexo 6.2</w:t>
            </w:r>
          </w:p>
        </w:tc>
        <w:tc>
          <w:tcPr>
            <w:tcW w:w="2286" w:type="pct"/>
            <w:shd w:val="clear" w:color="auto" w:fill="auto"/>
            <w:vAlign w:val="center"/>
          </w:tcPr>
          <w:p w14:paraId="6841B872"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Acuerdo del Consejo Superior del Poder Judicial, Sesión 21-2021, Artículo XI</w:t>
            </w:r>
          </w:p>
        </w:tc>
        <w:tc>
          <w:tcPr>
            <w:tcW w:w="1843" w:type="pct"/>
            <w:shd w:val="clear" w:color="auto" w:fill="auto"/>
            <w:vAlign w:val="center"/>
          </w:tcPr>
          <w:p w14:paraId="3C4DEF1E"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0D301AEF">
                <v:shape id="_x0000_i1055" type="#_x0000_t75" style="width:77pt;height:52pt" o:ole="">
                  <v:imagedata r:id="rId121" o:title=""/>
                </v:shape>
                <o:OLEObject Type="Embed" ProgID="Word.Document.12" ShapeID="_x0000_i1055" DrawAspect="Icon" ObjectID="_1684066998" r:id="rId122">
                  <o:FieldCodes>\s</o:FieldCodes>
                </o:OLEObject>
              </w:object>
            </w:r>
          </w:p>
        </w:tc>
      </w:tr>
      <w:tr w:rsidR="00E147EB" w:rsidRPr="002A7673" w14:paraId="33623268" w14:textId="77777777" w:rsidTr="0048334E">
        <w:trPr>
          <w:tblCellSpacing w:w="1440" w:type="nil"/>
        </w:trPr>
        <w:tc>
          <w:tcPr>
            <w:tcW w:w="871" w:type="pct"/>
            <w:shd w:val="clear" w:color="auto" w:fill="auto"/>
            <w:vAlign w:val="center"/>
          </w:tcPr>
          <w:p w14:paraId="33D409BE"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sz w:val="24"/>
                <w:szCs w:val="24"/>
              </w:rPr>
              <w:t>Anexo 6.3</w:t>
            </w:r>
          </w:p>
        </w:tc>
        <w:tc>
          <w:tcPr>
            <w:tcW w:w="2286" w:type="pct"/>
            <w:shd w:val="clear" w:color="auto" w:fill="auto"/>
            <w:vAlign w:val="center"/>
          </w:tcPr>
          <w:p w14:paraId="688693BD"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Correo electrónico de la Escuela Judicial</w:t>
            </w:r>
          </w:p>
        </w:tc>
        <w:tc>
          <w:tcPr>
            <w:tcW w:w="1843" w:type="pct"/>
            <w:shd w:val="clear" w:color="auto" w:fill="auto"/>
            <w:vAlign w:val="center"/>
          </w:tcPr>
          <w:p w14:paraId="0DDEB213"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0985EBD0">
                <v:shape id="_x0000_i1056" type="#_x0000_t75" style="width:77pt;height:52pt" o:ole="">
                  <v:imagedata r:id="rId123" o:title=""/>
                </v:shape>
                <o:OLEObject Type="Embed" ProgID="Package" ShapeID="_x0000_i1056" DrawAspect="Icon" ObjectID="_1684066999" r:id="rId124"/>
              </w:object>
            </w:r>
          </w:p>
        </w:tc>
      </w:tr>
      <w:tr w:rsidR="00E147EB" w:rsidRPr="002A7673" w14:paraId="4CB72455" w14:textId="77777777" w:rsidTr="0048334E">
        <w:trPr>
          <w:tblCellSpacing w:w="1440" w:type="nil"/>
        </w:trPr>
        <w:tc>
          <w:tcPr>
            <w:tcW w:w="871" w:type="pct"/>
            <w:shd w:val="clear" w:color="auto" w:fill="auto"/>
            <w:vAlign w:val="center"/>
          </w:tcPr>
          <w:p w14:paraId="59349FC3"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6.4</w:t>
            </w:r>
          </w:p>
        </w:tc>
        <w:tc>
          <w:tcPr>
            <w:tcW w:w="2286" w:type="pct"/>
            <w:shd w:val="clear" w:color="auto" w:fill="auto"/>
            <w:vAlign w:val="center"/>
          </w:tcPr>
          <w:p w14:paraId="52E1EFD4"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lang w:val="es-ES"/>
              </w:rPr>
              <w:t>Correo electrónico de la Unidad de Presupuesto y Estudios Especiales de la Dirección de Gestión Humana</w:t>
            </w:r>
          </w:p>
        </w:tc>
        <w:tc>
          <w:tcPr>
            <w:tcW w:w="1843" w:type="pct"/>
            <w:shd w:val="clear" w:color="auto" w:fill="auto"/>
            <w:vAlign w:val="center"/>
          </w:tcPr>
          <w:p w14:paraId="40BA78C0"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71B44BBF">
                <v:shape id="_x0000_i1057" type="#_x0000_t75" style="width:77pt;height:52pt" o:ole="">
                  <v:imagedata r:id="rId125" o:title=""/>
                </v:shape>
                <o:OLEObject Type="Embed" ProgID="Package" ShapeID="_x0000_i1057" DrawAspect="Icon" ObjectID="_1684067000" r:id="rId126"/>
              </w:object>
            </w:r>
          </w:p>
        </w:tc>
      </w:tr>
      <w:tr w:rsidR="00E147EB" w:rsidRPr="002A7673" w14:paraId="60C624D7" w14:textId="77777777" w:rsidTr="0048334E">
        <w:trPr>
          <w:tblCellSpacing w:w="1440" w:type="nil"/>
        </w:trPr>
        <w:tc>
          <w:tcPr>
            <w:tcW w:w="871" w:type="pct"/>
            <w:shd w:val="clear" w:color="auto" w:fill="auto"/>
            <w:vAlign w:val="center"/>
          </w:tcPr>
          <w:p w14:paraId="28F9AEC4"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6.5</w:t>
            </w:r>
          </w:p>
        </w:tc>
        <w:tc>
          <w:tcPr>
            <w:tcW w:w="2286" w:type="pct"/>
            <w:shd w:val="clear" w:color="auto" w:fill="auto"/>
            <w:vAlign w:val="center"/>
          </w:tcPr>
          <w:p w14:paraId="0DB25F89"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Correos electrónicos de la Dirección de Tecnología de Información</w:t>
            </w:r>
          </w:p>
        </w:tc>
        <w:tc>
          <w:tcPr>
            <w:tcW w:w="1843" w:type="pct"/>
            <w:shd w:val="clear" w:color="auto" w:fill="auto"/>
            <w:vAlign w:val="center"/>
          </w:tcPr>
          <w:p w14:paraId="0F07C571"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2CCADFA4">
                <v:shape id="_x0000_i1058" type="#_x0000_t75" style="width:77pt;height:52pt" o:ole="">
                  <v:imagedata r:id="rId127" o:title=""/>
                </v:shape>
                <o:OLEObject Type="Embed" ProgID="Package" ShapeID="_x0000_i1058" DrawAspect="Icon" ObjectID="_1684067001" r:id="rId128"/>
              </w:object>
            </w:r>
            <w:r w:rsidRPr="002A7673">
              <w:rPr>
                <w:rFonts w:ascii="Times New Roman" w:hAnsi="Times New Roman" w:cs="Times New Roman"/>
                <w:sz w:val="24"/>
                <w:szCs w:val="24"/>
              </w:rPr>
              <w:t xml:space="preserve"> </w:t>
            </w:r>
            <w:r w:rsidRPr="002A7673">
              <w:rPr>
                <w:rFonts w:ascii="Times New Roman" w:hAnsi="Times New Roman" w:cs="Times New Roman"/>
                <w:sz w:val="24"/>
                <w:szCs w:val="24"/>
              </w:rPr>
              <w:object w:dxaOrig="1551" w:dyaOrig="1004" w14:anchorId="7DF256CA">
                <v:shape id="_x0000_i1059" type="#_x0000_t75" style="width:77pt;height:52pt" o:ole="">
                  <v:imagedata r:id="rId129" o:title=""/>
                </v:shape>
                <o:OLEObject Type="Embed" ProgID="Package" ShapeID="_x0000_i1059" DrawAspect="Icon" ObjectID="_1684067002" r:id="rId130"/>
              </w:object>
            </w:r>
          </w:p>
          <w:p w14:paraId="382E3C25"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54F876C5">
                <v:shape id="_x0000_i1060" type="#_x0000_t75" style="width:77pt;height:52pt" o:ole="">
                  <v:imagedata r:id="rId131" o:title=""/>
                </v:shape>
                <o:OLEObject Type="Embed" ProgID="Package" ShapeID="_x0000_i1060" DrawAspect="Icon" ObjectID="_1684067003" r:id="rId132"/>
              </w:object>
            </w:r>
          </w:p>
        </w:tc>
      </w:tr>
      <w:tr w:rsidR="00E147EB" w:rsidRPr="002A7673" w14:paraId="20AADB3A" w14:textId="77777777" w:rsidTr="0048334E">
        <w:trPr>
          <w:tblCellSpacing w:w="1440" w:type="nil"/>
        </w:trPr>
        <w:tc>
          <w:tcPr>
            <w:tcW w:w="871" w:type="pct"/>
            <w:shd w:val="clear" w:color="auto" w:fill="auto"/>
            <w:vAlign w:val="center"/>
          </w:tcPr>
          <w:p w14:paraId="2C803E4C"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6.6</w:t>
            </w:r>
          </w:p>
        </w:tc>
        <w:tc>
          <w:tcPr>
            <w:tcW w:w="2286" w:type="pct"/>
            <w:shd w:val="clear" w:color="auto" w:fill="auto"/>
            <w:vAlign w:val="center"/>
          </w:tcPr>
          <w:p w14:paraId="4EE2BC8E"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lang w:val="es-ES"/>
              </w:rPr>
              <w:t>Oficio 673-DE-2021 de la Dirección Ejecutiva</w:t>
            </w:r>
          </w:p>
        </w:tc>
        <w:tc>
          <w:tcPr>
            <w:tcW w:w="1843" w:type="pct"/>
            <w:shd w:val="clear" w:color="auto" w:fill="auto"/>
            <w:vAlign w:val="center"/>
          </w:tcPr>
          <w:p w14:paraId="6B687058"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5AF15947">
                <v:shape id="_x0000_i1061" type="#_x0000_t75" style="width:77pt;height:52pt" o:ole="">
                  <v:imagedata r:id="rId133" o:title=""/>
                </v:shape>
                <o:OLEObject Type="Embed" ProgID="Package" ShapeID="_x0000_i1061" DrawAspect="Icon" ObjectID="_1684067004" r:id="rId134"/>
              </w:object>
            </w:r>
          </w:p>
        </w:tc>
      </w:tr>
      <w:tr w:rsidR="00E147EB" w:rsidRPr="002A7673" w14:paraId="155BD079" w14:textId="77777777" w:rsidTr="0048334E">
        <w:trPr>
          <w:tblCellSpacing w:w="1440" w:type="nil"/>
        </w:trPr>
        <w:tc>
          <w:tcPr>
            <w:tcW w:w="871" w:type="pct"/>
            <w:shd w:val="clear" w:color="auto" w:fill="auto"/>
            <w:vAlign w:val="center"/>
          </w:tcPr>
          <w:p w14:paraId="55A91244"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6.7</w:t>
            </w:r>
          </w:p>
        </w:tc>
        <w:tc>
          <w:tcPr>
            <w:tcW w:w="2286" w:type="pct"/>
            <w:shd w:val="clear" w:color="auto" w:fill="auto"/>
            <w:vAlign w:val="center"/>
          </w:tcPr>
          <w:p w14:paraId="522E9E82"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lang w:val="es-ES"/>
              </w:rPr>
              <w:t>Correo electrónico de la Administración del Organismo de Investigación Judicial</w:t>
            </w:r>
          </w:p>
        </w:tc>
        <w:tc>
          <w:tcPr>
            <w:tcW w:w="1843" w:type="pct"/>
            <w:shd w:val="clear" w:color="auto" w:fill="auto"/>
            <w:vAlign w:val="center"/>
          </w:tcPr>
          <w:p w14:paraId="6183B8F7"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77FAE057">
                <v:shape id="_x0000_i1062" type="#_x0000_t75" style="width:77pt;height:52pt" o:ole="">
                  <v:imagedata r:id="rId135" o:title=""/>
                </v:shape>
                <o:OLEObject Type="Embed" ProgID="Package" ShapeID="_x0000_i1062" DrawAspect="Icon" ObjectID="_1684067005" r:id="rId136"/>
              </w:object>
            </w:r>
          </w:p>
        </w:tc>
      </w:tr>
      <w:tr w:rsidR="00E147EB" w:rsidRPr="002A7673" w14:paraId="6D0F4E5C" w14:textId="77777777" w:rsidTr="0048334E">
        <w:trPr>
          <w:tblCellSpacing w:w="1440" w:type="nil"/>
        </w:trPr>
        <w:tc>
          <w:tcPr>
            <w:tcW w:w="871" w:type="pct"/>
            <w:shd w:val="clear" w:color="auto" w:fill="auto"/>
            <w:vAlign w:val="center"/>
          </w:tcPr>
          <w:p w14:paraId="7E596548"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6.8</w:t>
            </w:r>
          </w:p>
        </w:tc>
        <w:tc>
          <w:tcPr>
            <w:tcW w:w="2286" w:type="pct"/>
            <w:shd w:val="clear" w:color="auto" w:fill="auto"/>
            <w:vAlign w:val="center"/>
          </w:tcPr>
          <w:p w14:paraId="468F6541"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lang w:val="es-ES"/>
              </w:rPr>
              <w:t xml:space="preserve">Correo electrónico </w:t>
            </w:r>
            <w:r w:rsidRPr="002A7673">
              <w:rPr>
                <w:rFonts w:ascii="Times New Roman" w:hAnsi="Times New Roman" w:cs="Times New Roman"/>
                <w:sz w:val="24"/>
                <w:szCs w:val="24"/>
              </w:rPr>
              <w:t>de la Administración del Ministerio Público</w:t>
            </w:r>
          </w:p>
        </w:tc>
        <w:tc>
          <w:tcPr>
            <w:tcW w:w="1843" w:type="pct"/>
            <w:shd w:val="clear" w:color="auto" w:fill="auto"/>
            <w:vAlign w:val="center"/>
          </w:tcPr>
          <w:p w14:paraId="062C5040"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6E7D6ADB">
                <v:shape id="_x0000_i1063" type="#_x0000_t75" style="width:77pt;height:52pt" o:ole="">
                  <v:imagedata r:id="rId137" o:title=""/>
                </v:shape>
                <o:OLEObject Type="Embed" ProgID="Package" ShapeID="_x0000_i1063" DrawAspect="Icon" ObjectID="_1684067006" r:id="rId138"/>
              </w:object>
            </w:r>
          </w:p>
        </w:tc>
      </w:tr>
      <w:tr w:rsidR="00E147EB" w:rsidRPr="002A7673" w14:paraId="243CB06E" w14:textId="77777777" w:rsidTr="0048334E">
        <w:trPr>
          <w:tblCellSpacing w:w="1440" w:type="nil"/>
        </w:trPr>
        <w:tc>
          <w:tcPr>
            <w:tcW w:w="871" w:type="pct"/>
            <w:shd w:val="clear" w:color="auto" w:fill="auto"/>
            <w:vAlign w:val="center"/>
          </w:tcPr>
          <w:p w14:paraId="7F3E1894"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6.9</w:t>
            </w:r>
          </w:p>
        </w:tc>
        <w:tc>
          <w:tcPr>
            <w:tcW w:w="2286" w:type="pct"/>
            <w:shd w:val="clear" w:color="auto" w:fill="auto"/>
            <w:vAlign w:val="center"/>
          </w:tcPr>
          <w:p w14:paraId="0C41DB08"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lang w:val="es-ES"/>
              </w:rPr>
              <w:t xml:space="preserve">Correo electrónico </w:t>
            </w:r>
            <w:r w:rsidRPr="002A7673">
              <w:rPr>
                <w:rFonts w:ascii="Times New Roman" w:hAnsi="Times New Roman" w:cs="Times New Roman"/>
                <w:sz w:val="24"/>
                <w:szCs w:val="24"/>
              </w:rPr>
              <w:t xml:space="preserve">de la Administración de </w:t>
            </w:r>
            <w:r w:rsidRPr="002A7673">
              <w:rPr>
                <w:rFonts w:ascii="Times New Roman" w:hAnsi="Times New Roman" w:cs="Times New Roman"/>
                <w:sz w:val="24"/>
                <w:szCs w:val="24"/>
                <w:lang w:val="es-ES"/>
              </w:rPr>
              <w:t>la Defensa Pública</w:t>
            </w:r>
          </w:p>
        </w:tc>
        <w:tc>
          <w:tcPr>
            <w:tcW w:w="1843" w:type="pct"/>
            <w:shd w:val="clear" w:color="auto" w:fill="auto"/>
            <w:vAlign w:val="center"/>
          </w:tcPr>
          <w:p w14:paraId="557C7FB9"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5C793A22">
                <v:shape id="_x0000_i1064" type="#_x0000_t75" style="width:77pt;height:52pt" o:ole="">
                  <v:imagedata r:id="rId139" o:title=""/>
                </v:shape>
                <o:OLEObject Type="Embed" ProgID="Package" ShapeID="_x0000_i1064" DrawAspect="Icon" ObjectID="_1684067007" r:id="rId140"/>
              </w:object>
            </w:r>
          </w:p>
        </w:tc>
      </w:tr>
      <w:tr w:rsidR="00E147EB" w:rsidRPr="002A7673" w14:paraId="1984A9D3" w14:textId="77777777" w:rsidTr="0048334E">
        <w:trPr>
          <w:tblCellSpacing w:w="1440" w:type="nil"/>
        </w:trPr>
        <w:tc>
          <w:tcPr>
            <w:tcW w:w="871" w:type="pct"/>
            <w:shd w:val="clear" w:color="auto" w:fill="auto"/>
            <w:vAlign w:val="center"/>
          </w:tcPr>
          <w:p w14:paraId="474925BB"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6.10</w:t>
            </w:r>
          </w:p>
        </w:tc>
        <w:tc>
          <w:tcPr>
            <w:tcW w:w="2286" w:type="pct"/>
            <w:shd w:val="clear" w:color="auto" w:fill="auto"/>
            <w:vAlign w:val="center"/>
          </w:tcPr>
          <w:p w14:paraId="5C39527F"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lang w:val="es-ES"/>
              </w:rPr>
              <w:t>Oficio 364-OAPVD-2021 de la Oficina de Atención y Protección a la Víctima de Delito</w:t>
            </w:r>
          </w:p>
        </w:tc>
        <w:tc>
          <w:tcPr>
            <w:tcW w:w="1843" w:type="pct"/>
            <w:shd w:val="clear" w:color="auto" w:fill="auto"/>
            <w:vAlign w:val="center"/>
          </w:tcPr>
          <w:p w14:paraId="1E1EAAA1"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31B81DD1">
                <v:shape id="_x0000_i1065" type="#_x0000_t75" style="width:77pt;height:52pt" o:ole="">
                  <v:imagedata r:id="rId141" o:title=""/>
                </v:shape>
                <o:OLEObject Type="Embed" ProgID="Package" ShapeID="_x0000_i1065" DrawAspect="Icon" ObjectID="_1684067008" r:id="rId142"/>
              </w:object>
            </w:r>
          </w:p>
        </w:tc>
      </w:tr>
      <w:tr w:rsidR="00E147EB" w:rsidRPr="002A7673" w14:paraId="0CC80F23" w14:textId="77777777" w:rsidTr="0048334E">
        <w:trPr>
          <w:tblCellSpacing w:w="1440" w:type="nil"/>
        </w:trPr>
        <w:tc>
          <w:tcPr>
            <w:tcW w:w="871" w:type="pct"/>
            <w:shd w:val="clear" w:color="auto" w:fill="auto"/>
            <w:vAlign w:val="center"/>
          </w:tcPr>
          <w:p w14:paraId="1173B422"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lastRenderedPageBreak/>
              <w:t>Anexo 6.11</w:t>
            </w:r>
          </w:p>
        </w:tc>
        <w:tc>
          <w:tcPr>
            <w:tcW w:w="2286" w:type="pct"/>
            <w:shd w:val="clear" w:color="auto" w:fill="auto"/>
            <w:vAlign w:val="center"/>
          </w:tcPr>
          <w:p w14:paraId="1ED243D6"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Estimación de Costo Plazas 2022, del Subproceso de Formulación de Presupuesto de la Dirección de Planificación</w:t>
            </w:r>
          </w:p>
        </w:tc>
        <w:tc>
          <w:tcPr>
            <w:tcW w:w="1843" w:type="pct"/>
            <w:shd w:val="clear" w:color="auto" w:fill="auto"/>
            <w:vAlign w:val="center"/>
          </w:tcPr>
          <w:p w14:paraId="03812729"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7F5CB13D">
                <v:shape id="_x0000_i1066" type="#_x0000_t75" style="width:77pt;height:52pt" o:ole="">
                  <v:imagedata r:id="rId143" o:title=""/>
                </v:shape>
                <o:OLEObject Type="Embed" ProgID="Excel.Sheet.8" ShapeID="_x0000_i1066" DrawAspect="Icon" ObjectID="_1684067009" r:id="rId144"/>
              </w:object>
            </w:r>
          </w:p>
        </w:tc>
      </w:tr>
      <w:tr w:rsidR="00E147EB" w:rsidRPr="002A7673" w14:paraId="1D041CEF" w14:textId="77777777" w:rsidTr="0048334E">
        <w:trPr>
          <w:tblCellSpacing w:w="1440" w:type="nil"/>
        </w:trPr>
        <w:tc>
          <w:tcPr>
            <w:tcW w:w="871" w:type="pct"/>
            <w:shd w:val="clear" w:color="auto" w:fill="auto"/>
            <w:vAlign w:val="center"/>
          </w:tcPr>
          <w:p w14:paraId="71F970E0"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6.12</w:t>
            </w:r>
          </w:p>
        </w:tc>
        <w:tc>
          <w:tcPr>
            <w:tcW w:w="2286" w:type="pct"/>
            <w:shd w:val="clear" w:color="auto" w:fill="auto"/>
            <w:vAlign w:val="center"/>
          </w:tcPr>
          <w:p w14:paraId="096C464D"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Minuta 237-PLA-MI-MNTA-2021 de la Dirección de Planificación</w:t>
            </w:r>
          </w:p>
        </w:tc>
        <w:tc>
          <w:tcPr>
            <w:tcW w:w="1843" w:type="pct"/>
            <w:shd w:val="clear" w:color="auto" w:fill="auto"/>
            <w:vAlign w:val="center"/>
          </w:tcPr>
          <w:p w14:paraId="19D1B471"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noProof/>
                <w:sz w:val="24"/>
                <w:szCs w:val="24"/>
              </w:rPr>
              <w:drawing>
                <wp:inline distT="0" distB="0" distL="0" distR="0" wp14:anchorId="13D7E644" wp14:editId="5CA97B65">
                  <wp:extent cx="977900" cy="654050"/>
                  <wp:effectExtent l="0" t="0" r="0" b="0"/>
                  <wp:docPr id="1263269065" name="Imagen 126326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77900" cy="654050"/>
                          </a:xfrm>
                          <a:prstGeom prst="rect">
                            <a:avLst/>
                          </a:prstGeom>
                          <a:noFill/>
                          <a:ln>
                            <a:noFill/>
                          </a:ln>
                        </pic:spPr>
                      </pic:pic>
                    </a:graphicData>
                  </a:graphic>
                </wp:inline>
              </w:drawing>
            </w:r>
          </w:p>
        </w:tc>
      </w:tr>
      <w:tr w:rsidR="00E147EB" w:rsidRPr="002A7673" w14:paraId="69797F3D" w14:textId="77777777" w:rsidTr="0048334E">
        <w:trPr>
          <w:tblCellSpacing w:w="1440" w:type="nil"/>
        </w:trPr>
        <w:tc>
          <w:tcPr>
            <w:tcW w:w="871" w:type="pct"/>
            <w:shd w:val="clear" w:color="auto" w:fill="auto"/>
            <w:vAlign w:val="center"/>
          </w:tcPr>
          <w:p w14:paraId="41D6B40C"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6.13</w:t>
            </w:r>
          </w:p>
        </w:tc>
        <w:tc>
          <w:tcPr>
            <w:tcW w:w="2286" w:type="pct"/>
            <w:shd w:val="clear" w:color="auto" w:fill="auto"/>
            <w:vAlign w:val="center"/>
          </w:tcPr>
          <w:p w14:paraId="64C6052D"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Circular 102-20 de la Secretaría General de la Corte</w:t>
            </w:r>
          </w:p>
        </w:tc>
        <w:tc>
          <w:tcPr>
            <w:tcW w:w="1843" w:type="pct"/>
            <w:shd w:val="clear" w:color="auto" w:fill="auto"/>
            <w:vAlign w:val="center"/>
          </w:tcPr>
          <w:p w14:paraId="1BC180DE"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22087AF5">
                <v:shape id="_x0000_i1067" type="#_x0000_t75" style="width:77pt;height:52pt" o:ole="">
                  <v:imagedata r:id="rId146" o:title=""/>
                </v:shape>
                <o:OLEObject Type="Embed" ProgID="AcroExch.Document.DC" ShapeID="_x0000_i1067" DrawAspect="Icon" ObjectID="_1684067010" r:id="rId147"/>
              </w:object>
            </w:r>
          </w:p>
        </w:tc>
      </w:tr>
      <w:tr w:rsidR="00E147EB" w:rsidRPr="002A7673" w14:paraId="25842CF4" w14:textId="77777777" w:rsidTr="0048334E">
        <w:trPr>
          <w:tblCellSpacing w:w="1440" w:type="nil"/>
        </w:trPr>
        <w:tc>
          <w:tcPr>
            <w:tcW w:w="871" w:type="pct"/>
            <w:shd w:val="clear" w:color="auto" w:fill="auto"/>
            <w:vAlign w:val="center"/>
          </w:tcPr>
          <w:p w14:paraId="75134902"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6.14</w:t>
            </w:r>
          </w:p>
        </w:tc>
        <w:tc>
          <w:tcPr>
            <w:tcW w:w="2286" w:type="pct"/>
            <w:shd w:val="clear" w:color="auto" w:fill="auto"/>
            <w:vAlign w:val="center"/>
          </w:tcPr>
          <w:p w14:paraId="7FE4C99C"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Oficio S-CJEDO-07-2021 de la Subcomisión de Delincuencia Organizada</w:t>
            </w:r>
          </w:p>
        </w:tc>
        <w:bookmarkStart w:id="123" w:name="_MON_1680432051"/>
        <w:bookmarkEnd w:id="123"/>
        <w:tc>
          <w:tcPr>
            <w:tcW w:w="1843" w:type="pct"/>
            <w:shd w:val="clear" w:color="auto" w:fill="auto"/>
            <w:vAlign w:val="center"/>
          </w:tcPr>
          <w:p w14:paraId="0717577E"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3A61BDFB">
                <v:shape id="_x0000_i1068" type="#_x0000_t75" style="width:77pt;height:52pt" o:ole="">
                  <v:imagedata r:id="rId148" o:title=""/>
                </v:shape>
                <o:OLEObject Type="Embed" ProgID="Word.Document.12" ShapeID="_x0000_i1068" DrawAspect="Icon" ObjectID="_1684067011" r:id="rId149">
                  <o:FieldCodes>\s</o:FieldCodes>
                </o:OLEObject>
              </w:object>
            </w:r>
          </w:p>
        </w:tc>
      </w:tr>
      <w:tr w:rsidR="00E147EB" w:rsidRPr="002A7673" w14:paraId="75046EB6" w14:textId="77777777" w:rsidTr="0048334E">
        <w:trPr>
          <w:tblCellSpacing w:w="1440" w:type="nil"/>
        </w:trPr>
        <w:tc>
          <w:tcPr>
            <w:tcW w:w="871" w:type="pct"/>
            <w:shd w:val="clear" w:color="auto" w:fill="auto"/>
            <w:vAlign w:val="center"/>
          </w:tcPr>
          <w:p w14:paraId="5ABD5E9C" w14:textId="77777777" w:rsidR="00E147EB" w:rsidRPr="002A7673" w:rsidRDefault="00E147EB" w:rsidP="0048334E">
            <w:pPr>
              <w:spacing w:after="0" w:line="240" w:lineRule="auto"/>
              <w:jc w:val="center"/>
              <w:rPr>
                <w:rFonts w:ascii="Times New Roman" w:hAnsi="Times New Roman" w:cs="Times New Roman"/>
                <w:b/>
                <w:i/>
                <w:color w:val="000000"/>
                <w:sz w:val="24"/>
                <w:szCs w:val="24"/>
              </w:rPr>
            </w:pPr>
            <w:r w:rsidRPr="002A7673">
              <w:rPr>
                <w:rFonts w:ascii="Times New Roman" w:hAnsi="Times New Roman" w:cs="Times New Roman"/>
                <w:b/>
                <w:i/>
                <w:color w:val="000000"/>
                <w:sz w:val="24"/>
                <w:szCs w:val="24"/>
              </w:rPr>
              <w:t>Anexo 6.15</w:t>
            </w:r>
          </w:p>
        </w:tc>
        <w:tc>
          <w:tcPr>
            <w:tcW w:w="2286" w:type="pct"/>
            <w:shd w:val="clear" w:color="auto" w:fill="auto"/>
            <w:vAlign w:val="center"/>
          </w:tcPr>
          <w:p w14:paraId="2DE37BF0"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Oficio 1199-DE-2021 de la Dirección Ejecutiva</w:t>
            </w:r>
          </w:p>
        </w:tc>
        <w:bookmarkStart w:id="124" w:name="_MON_1680432104"/>
        <w:bookmarkEnd w:id="124"/>
        <w:tc>
          <w:tcPr>
            <w:tcW w:w="1843" w:type="pct"/>
            <w:shd w:val="clear" w:color="auto" w:fill="auto"/>
            <w:vAlign w:val="center"/>
          </w:tcPr>
          <w:p w14:paraId="0B1663EF" w14:textId="77777777" w:rsidR="00E147EB" w:rsidRPr="002A7673" w:rsidRDefault="00E147EB"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object w:dxaOrig="1551" w:dyaOrig="1004" w14:anchorId="52C209C5">
                <v:shape id="_x0000_i1069" type="#_x0000_t75" style="width:77pt;height:52pt" o:ole="">
                  <v:imagedata r:id="rId150" o:title=""/>
                </v:shape>
                <o:OLEObject Type="Embed" ProgID="Word.Document.12" ShapeID="_x0000_i1069" DrawAspect="Icon" ObjectID="_1684067012" r:id="rId151">
                  <o:FieldCodes>\s</o:FieldCodes>
                </o:OLEObject>
              </w:object>
            </w:r>
          </w:p>
        </w:tc>
      </w:tr>
    </w:tbl>
    <w:p w14:paraId="4618205F" w14:textId="77777777" w:rsidR="00E147EB" w:rsidRPr="002A7673" w:rsidRDefault="00E147EB" w:rsidP="00E147EB">
      <w:pPr>
        <w:spacing w:after="0" w:line="480" w:lineRule="auto"/>
        <w:jc w:val="center"/>
        <w:rPr>
          <w:rFonts w:ascii="Times New Roman" w:hAnsi="Times New Roman" w:cs="Times New Roman"/>
          <w:sz w:val="28"/>
          <w:szCs w:val="28"/>
          <w:lang w:val="pt-BR"/>
        </w:rPr>
      </w:pPr>
      <w:r w:rsidRPr="002A7673">
        <w:rPr>
          <w:rFonts w:ascii="Times New Roman" w:hAnsi="Times New Roman" w:cs="Times New Roman"/>
          <w:sz w:val="28"/>
          <w:szCs w:val="28"/>
          <w:lang w:val="pt-BR"/>
        </w:rPr>
        <w:t>-0-</w:t>
      </w:r>
    </w:p>
    <w:p w14:paraId="269EB7DA" w14:textId="77777777" w:rsidR="00E147EB" w:rsidRPr="002A7673" w:rsidRDefault="00E147EB" w:rsidP="00E147EB">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reunión de trabajo realizada el día 29 de abril, en conjunto con las señoras magistradas Patricia Solano Castro y Sandra Eugenia Zúñiga Morales, la Subdirectora Ejecutiva Dinorah Alvarez Acosta y la Directora de Planificación Nacira Valverde Bermúdez, se aprueba la propuesta de infraestructura presentada por la Dirección Ejecutiva.</w:t>
      </w:r>
    </w:p>
    <w:p w14:paraId="31FFE9C8" w14:textId="77777777" w:rsidR="00E147EB" w:rsidRPr="002A7673" w:rsidRDefault="00E147EB" w:rsidP="00E147EB">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 forma complementaria, mediante oficio 1413-DE-2021, la Dirección Ejecutiva señala que el monto requerido para el 2022, asciende a la suma de ₡511.276.926,79. Cabe indicar que, debido a la duración del proyecto en su ejecución (5 meses), esta continuará durante el año 2023, por lo que, de adjudicarse el proyecto </w:t>
      </w:r>
      <w:r w:rsidRPr="002A7673">
        <w:rPr>
          <w:rFonts w:ascii="Times New Roman" w:hAnsi="Times New Roman" w:cs="Times New Roman"/>
          <w:sz w:val="28"/>
          <w:szCs w:val="28"/>
        </w:rPr>
        <w:lastRenderedPageBreak/>
        <w:t>durante el 2022, se debe disponer del contenido para honrar el contrato convenido el siguiente año.</w:t>
      </w:r>
    </w:p>
    <w:p w14:paraId="41B8715A" w14:textId="77777777" w:rsidR="00E147EB" w:rsidRPr="002A7673" w:rsidRDefault="00E147EB" w:rsidP="00E147EB">
      <w:pPr>
        <w:spacing w:after="0" w:line="240" w:lineRule="auto"/>
        <w:jc w:val="center"/>
        <w:rPr>
          <w:rFonts w:ascii="Times New Roman" w:hAnsi="Times New Roman" w:cs="Times New Roman"/>
          <w:lang w:val="pt-BR"/>
        </w:rPr>
      </w:pPr>
      <w:r w:rsidRPr="002A7673">
        <w:rPr>
          <w:rFonts w:ascii="Times New Roman" w:hAnsi="Times New Roman" w:cs="Times New Roman"/>
          <w:lang w:val="pt-BR"/>
        </w:rPr>
        <w:object w:dxaOrig="1508" w:dyaOrig="984" w14:anchorId="78FD9E42">
          <v:shape id="_x0000_i1070" type="#_x0000_t75" style="width:77.5pt;height:52pt" o:ole="">
            <v:imagedata r:id="rId152" o:title=""/>
          </v:shape>
          <o:OLEObject Type="Embed" ProgID="AcroExch.Document.DC" ShapeID="_x0000_i1070" DrawAspect="Icon" ObjectID="_1684067013" r:id="rId153"/>
        </w:object>
      </w:r>
    </w:p>
    <w:p w14:paraId="5BE15F69" w14:textId="77777777" w:rsidR="00E147EB" w:rsidRPr="002A7673" w:rsidRDefault="00E147EB" w:rsidP="00E147EB">
      <w:pPr>
        <w:widowControl w:val="0"/>
        <w:autoSpaceDE w:val="0"/>
        <w:autoSpaceDN w:val="0"/>
        <w:adjustRightInd w:val="0"/>
        <w:spacing w:after="0" w:line="480" w:lineRule="auto"/>
        <w:ind w:firstLine="709"/>
        <w:jc w:val="both"/>
        <w:rPr>
          <w:rFonts w:ascii="Times New Roman" w:eastAsia="Times New Roman" w:hAnsi="Times New Roman" w:cs="Times New Roman"/>
          <w:sz w:val="28"/>
          <w:szCs w:val="28"/>
          <w:lang w:val="es" w:eastAsia="es"/>
        </w:rPr>
      </w:pPr>
      <w:r w:rsidRPr="002A7673">
        <w:rPr>
          <w:rFonts w:ascii="Times New Roman" w:hAnsi="Times New Roman" w:cs="Times New Roman"/>
          <w:sz w:val="28"/>
          <w:szCs w:val="28"/>
          <w:lang w:eastAsia="es-CR"/>
        </w:rPr>
        <w:t xml:space="preserve">Manifiesta la </w:t>
      </w:r>
      <w:r w:rsidRPr="002A7673">
        <w:rPr>
          <w:rFonts w:ascii="Times New Roman" w:hAnsi="Times New Roman" w:cs="Times New Roman"/>
          <w:sz w:val="28"/>
          <w:szCs w:val="28"/>
          <w:lang w:val="es" w:eastAsia="es"/>
        </w:rPr>
        <w:t>licenciada Nacira Valverde Berm</w:t>
      </w:r>
      <w:r w:rsidRPr="002A7673">
        <w:rPr>
          <w:rFonts w:ascii="Times New Roman" w:eastAsia="Times New Roman" w:hAnsi="Times New Roman" w:cs="Times New Roman"/>
          <w:sz w:val="28"/>
          <w:szCs w:val="28"/>
          <w:lang w:val="es" w:eastAsia="es"/>
        </w:rPr>
        <w:t xml:space="preserve">údez, Directora de Planificación explica que este asunto está actualizado y que se verificó </w:t>
      </w:r>
      <w:r w:rsidRPr="002A7673">
        <w:rPr>
          <w:rFonts w:ascii="Times New Roman" w:hAnsi="Times New Roman" w:cs="Times New Roman"/>
          <w:sz w:val="28"/>
          <w:szCs w:val="28"/>
          <w:lang w:val="es" w:eastAsia="es"/>
        </w:rPr>
        <w:t xml:space="preserve">con la licenciada Dinorah </w:t>
      </w:r>
      <w:r w:rsidRPr="002A7673">
        <w:rPr>
          <w:rFonts w:ascii="Times New Roman" w:eastAsia="Times New Roman" w:hAnsi="Times New Roman" w:cs="Times New Roman"/>
          <w:sz w:val="28"/>
          <w:szCs w:val="28"/>
          <w:lang w:val="es" w:eastAsia="es"/>
        </w:rPr>
        <w:t xml:space="preserve">Álvarez Acosta, conforme el tipo de </w:t>
      </w:r>
      <w:proofErr w:type="spellStart"/>
      <w:r w:rsidRPr="002A7673">
        <w:rPr>
          <w:rFonts w:ascii="Times New Roman" w:eastAsia="Times New Roman" w:hAnsi="Times New Roman" w:cs="Times New Roman"/>
          <w:sz w:val="28"/>
          <w:szCs w:val="28"/>
          <w:lang w:val="es" w:eastAsia="es"/>
        </w:rPr>
        <w:t>de</w:t>
      </w:r>
      <w:proofErr w:type="spellEnd"/>
      <w:r w:rsidRPr="002A7673">
        <w:rPr>
          <w:rFonts w:ascii="Times New Roman" w:eastAsia="Times New Roman" w:hAnsi="Times New Roman" w:cs="Times New Roman"/>
          <w:sz w:val="28"/>
          <w:szCs w:val="28"/>
          <w:lang w:val="es" w:eastAsia="es"/>
        </w:rPr>
        <w:t xml:space="preserve"> cambio.</w:t>
      </w:r>
    </w:p>
    <w:p w14:paraId="7016378D" w14:textId="77777777" w:rsidR="00E147EB" w:rsidRPr="002A7673" w:rsidRDefault="00E147EB" w:rsidP="00E147EB">
      <w:pPr>
        <w:widowControl w:val="0"/>
        <w:autoSpaceDE w:val="0"/>
        <w:autoSpaceDN w:val="0"/>
        <w:adjustRightInd w:val="0"/>
        <w:spacing w:after="0" w:line="480" w:lineRule="auto"/>
        <w:ind w:firstLine="709"/>
        <w:jc w:val="both"/>
        <w:rPr>
          <w:rFonts w:ascii="Times New Roman" w:eastAsia="Times New Roman" w:hAnsi="Times New Roman" w:cs="Times New Roman"/>
          <w:sz w:val="28"/>
          <w:szCs w:val="28"/>
          <w:lang w:val="es" w:eastAsia="es"/>
        </w:rPr>
      </w:pPr>
      <w:r w:rsidRPr="002A7673">
        <w:rPr>
          <w:rFonts w:ascii="Times New Roman" w:eastAsia="Times New Roman" w:hAnsi="Times New Roman" w:cs="Times New Roman"/>
          <w:sz w:val="28"/>
          <w:szCs w:val="28"/>
          <w:lang w:val="es" w:eastAsia="es"/>
        </w:rPr>
        <w:t>Asimismo, añade: “</w:t>
      </w:r>
      <w:r w:rsidRPr="002A7673">
        <w:rPr>
          <w:rFonts w:ascii="Times New Roman" w:hAnsi="Times New Roman" w:cs="Times New Roman"/>
          <w:sz w:val="28"/>
          <w:szCs w:val="28"/>
          <w:lang w:eastAsia="es-CR"/>
        </w:rPr>
        <w:t xml:space="preserve">Les explico; Los ¢525.000.000 (quinientos veinticinco millones de colones exactos), </w:t>
      </w:r>
      <w:r w:rsidRPr="002A7673">
        <w:rPr>
          <w:rFonts w:ascii="Times New Roman" w:hAnsi="Times New Roman" w:cs="Times New Roman"/>
          <w:sz w:val="28"/>
          <w:szCs w:val="28"/>
          <w:lang w:val="es" w:eastAsia="es"/>
        </w:rPr>
        <w:t>que se pusieron al principio era en relaci</w:t>
      </w:r>
      <w:r w:rsidRPr="002A7673">
        <w:rPr>
          <w:rFonts w:ascii="Times New Roman" w:eastAsia="Times New Roman" w:hAnsi="Times New Roman" w:cs="Times New Roman"/>
          <w:sz w:val="28"/>
          <w:szCs w:val="28"/>
          <w:lang w:val="es" w:eastAsia="es"/>
        </w:rPr>
        <w:t xml:space="preserve">ón con el proyecto primero, pero </w:t>
      </w:r>
      <w:r w:rsidRPr="002A7673">
        <w:rPr>
          <w:rFonts w:ascii="Times New Roman" w:hAnsi="Times New Roman" w:cs="Times New Roman"/>
          <w:sz w:val="28"/>
          <w:szCs w:val="28"/>
          <w:lang w:val="es" w:eastAsia="es"/>
        </w:rPr>
        <w:t xml:space="preserve">cuando se analizó con la licenciada </w:t>
      </w:r>
      <w:r w:rsidRPr="002A7673">
        <w:rPr>
          <w:rFonts w:ascii="Times New Roman" w:eastAsia="Times New Roman" w:hAnsi="Times New Roman" w:cs="Times New Roman"/>
          <w:sz w:val="28"/>
          <w:szCs w:val="28"/>
          <w:lang w:val="es" w:eastAsia="es"/>
        </w:rPr>
        <w:t>Álvarez Acosta, los proyectos como tal, hay tres en uno, entonces, cuando ellos nos desglosan, de los tres proyectos, cuánto vamos a ocupar para 2020 y cuánto vamos a ocupar para 2023, se parece mucho la suma, pero nos da los quinientos que ahí se indican.</w:t>
      </w:r>
    </w:p>
    <w:p w14:paraId="1F5E1875" w14:textId="77777777" w:rsidR="00E147EB" w:rsidRPr="002A7673" w:rsidRDefault="00E147EB" w:rsidP="00E147EB">
      <w:pPr>
        <w:widowControl w:val="0"/>
        <w:autoSpaceDE w:val="0"/>
        <w:autoSpaceDN w:val="0"/>
        <w:adjustRightInd w:val="0"/>
        <w:spacing w:after="0" w:line="480" w:lineRule="auto"/>
        <w:ind w:firstLine="709"/>
        <w:jc w:val="both"/>
        <w:rPr>
          <w:rFonts w:ascii="Times New Roman" w:eastAsia="Times New Roman" w:hAnsi="Times New Roman" w:cs="Times New Roman"/>
          <w:sz w:val="28"/>
          <w:szCs w:val="28"/>
          <w:lang w:val="es" w:eastAsia="es"/>
        </w:rPr>
      </w:pPr>
      <w:r w:rsidRPr="002A7673">
        <w:rPr>
          <w:rFonts w:ascii="Times New Roman" w:eastAsia="Times New Roman" w:hAnsi="Times New Roman" w:cs="Times New Roman"/>
          <w:sz w:val="28"/>
          <w:szCs w:val="28"/>
          <w:lang w:val="es" w:eastAsia="es"/>
        </w:rPr>
        <w:t>Ustedes nos solicitaron que conversáramos con la magistrada Sandra Eugenia Zúñiga Morales, Coordinadora de la Subcomisión de Delincuencia Organizada, sobre el tema, respecto a si estaban de acuerdo con la propuesta, y si están de acuerdo. Ayer se realizó una reunión tanto con la magistrada Sandra Eugenia Zúñiga Morales, como con la Vicepresidenta, Magistrada Solano y con la licenciada Dinorah Álvarez Acosta, en donde se valoró este tema y ellos nos dieron el aval, para que ustedes lo conozcan."</w:t>
      </w:r>
    </w:p>
    <w:p w14:paraId="77DCFA45" w14:textId="77777777" w:rsidR="00E147EB" w:rsidRPr="002A7673" w:rsidRDefault="00E147EB" w:rsidP="00E147EB">
      <w:pPr>
        <w:autoSpaceDE w:val="0"/>
        <w:autoSpaceDN w:val="0"/>
        <w:adjustRightInd w:val="0"/>
        <w:spacing w:after="0" w:line="480" w:lineRule="auto"/>
        <w:ind w:firstLine="709"/>
        <w:jc w:val="both"/>
        <w:rPr>
          <w:rFonts w:ascii="Times New Roman" w:eastAsia="Times New Roman" w:hAnsi="Times New Roman" w:cs="Times New Roman"/>
          <w:sz w:val="28"/>
          <w:szCs w:val="28"/>
          <w:lang w:val="es" w:eastAsia="es"/>
        </w:rPr>
      </w:pPr>
      <w:r w:rsidRPr="002A7673">
        <w:rPr>
          <w:rFonts w:ascii="Times New Roman" w:hAnsi="Times New Roman" w:cs="Times New Roman"/>
          <w:sz w:val="28"/>
          <w:szCs w:val="28"/>
          <w:lang w:val="es" w:eastAsia="es"/>
        </w:rPr>
        <w:lastRenderedPageBreak/>
        <w:t>Agrega la m</w:t>
      </w:r>
      <w:r w:rsidRPr="002A7673">
        <w:rPr>
          <w:rFonts w:ascii="Times New Roman" w:eastAsia="Times New Roman" w:hAnsi="Times New Roman" w:cs="Times New Roman"/>
          <w:sz w:val="28"/>
          <w:szCs w:val="28"/>
          <w:lang w:val="es" w:eastAsia="es"/>
        </w:rPr>
        <w:t>áster Ana Eugenia Romero Jenkins, Directora Ejecutiva: "De toda suerte esa inversión en infraestructura es necesaria porque los mismos juicios, aunque sean a través de una jurisdicción especializada los tiene que atender la institución en otras circunstancias."</w:t>
      </w:r>
    </w:p>
    <w:p w14:paraId="737A2AFD" w14:textId="77777777" w:rsidR="00E147EB" w:rsidRPr="002A7673" w:rsidRDefault="00E147EB" w:rsidP="00E147EB">
      <w:pPr>
        <w:autoSpaceDE w:val="0"/>
        <w:autoSpaceDN w:val="0"/>
        <w:adjustRightInd w:val="0"/>
        <w:spacing w:after="0" w:line="480" w:lineRule="auto"/>
        <w:ind w:firstLine="709"/>
        <w:jc w:val="both"/>
        <w:rPr>
          <w:rFonts w:ascii="Times New Roman" w:hAnsi="Times New Roman" w:cs="Times New Roman"/>
          <w:sz w:val="28"/>
          <w:szCs w:val="28"/>
          <w:lang w:val="x-none" w:eastAsia="x-none"/>
        </w:rPr>
      </w:pPr>
      <w:r w:rsidRPr="002A7673">
        <w:rPr>
          <w:rFonts w:ascii="Times New Roman" w:eastAsia="Times New Roman" w:hAnsi="Times New Roman" w:cs="Times New Roman"/>
          <w:sz w:val="28"/>
          <w:szCs w:val="28"/>
          <w:lang w:val="es" w:eastAsia="es"/>
        </w:rPr>
        <w:t xml:space="preserve">Indica el </w:t>
      </w:r>
      <w:r w:rsidRPr="002A7673">
        <w:rPr>
          <w:rFonts w:ascii="Times New Roman" w:hAnsi="Times New Roman" w:cs="Times New Roman"/>
          <w:sz w:val="28"/>
          <w:szCs w:val="28"/>
          <w:lang w:val="x-none" w:eastAsia="x-none"/>
        </w:rPr>
        <w:t>Presidente, Magistrado Cruz: "Lo que entiendo es que se va a invertir en infraestructura."</w:t>
      </w:r>
    </w:p>
    <w:p w14:paraId="30D02AEA" w14:textId="77777777" w:rsidR="00E147EB" w:rsidRPr="002A7673" w:rsidRDefault="00E147EB" w:rsidP="00E147EB">
      <w:pPr>
        <w:autoSpaceDE w:val="0"/>
        <w:autoSpaceDN w:val="0"/>
        <w:adjustRightInd w:val="0"/>
        <w:spacing w:after="0" w:line="480" w:lineRule="auto"/>
        <w:ind w:firstLine="709"/>
        <w:jc w:val="both"/>
        <w:rPr>
          <w:rFonts w:ascii="Times New Roman" w:eastAsia="Times New Roman" w:hAnsi="Times New Roman" w:cs="Times New Roman"/>
          <w:sz w:val="28"/>
          <w:szCs w:val="28"/>
          <w:lang w:val="es" w:eastAsia="es"/>
        </w:rPr>
      </w:pPr>
      <w:r w:rsidRPr="002A7673">
        <w:rPr>
          <w:rFonts w:ascii="Times New Roman" w:hAnsi="Times New Roman" w:cs="Times New Roman"/>
          <w:sz w:val="28"/>
          <w:szCs w:val="28"/>
          <w:lang w:val="es" w:eastAsia="es"/>
        </w:rPr>
        <w:t>Responde la m</w:t>
      </w:r>
      <w:r w:rsidRPr="002A7673">
        <w:rPr>
          <w:rFonts w:ascii="Times New Roman" w:eastAsia="Times New Roman" w:hAnsi="Times New Roman" w:cs="Times New Roman"/>
          <w:sz w:val="28"/>
          <w:szCs w:val="28"/>
          <w:lang w:val="es" w:eastAsia="es"/>
        </w:rPr>
        <w:t>áster Ana Eugenia Romero Jenkins, Directora Ejecutiva: "Sí, en preparar las salas de juicio. El tema es que lo que tenemos capacidad, de acuerdo con los límites que nos dio el Ministerio de Hacienda es; en el ejercicio presupuestario del 2022, hacer la inversión en infraestructura, para ir preparando esas condiciones, que de toda suerte se ocupan, se valoró la posibilidad de un plan piloto, conforme el señor Presidente, Magistrado Cruz, lo había sugerido y ellos lo consideraron."</w:t>
      </w:r>
    </w:p>
    <w:p w14:paraId="3D0B285A" w14:textId="77777777" w:rsidR="00E147EB" w:rsidRPr="002A7673" w:rsidRDefault="00E147EB" w:rsidP="00E147EB">
      <w:pPr>
        <w:widowControl w:val="0"/>
        <w:autoSpaceDE w:val="0"/>
        <w:autoSpaceDN w:val="0"/>
        <w:adjustRightInd w:val="0"/>
        <w:spacing w:after="0" w:line="480" w:lineRule="auto"/>
        <w:ind w:firstLine="709"/>
        <w:jc w:val="both"/>
        <w:rPr>
          <w:rFonts w:ascii="Times New Roman" w:hAnsi="Times New Roman" w:cs="Times New Roman"/>
          <w:sz w:val="28"/>
          <w:szCs w:val="28"/>
          <w:lang w:val="es" w:eastAsia="es"/>
        </w:rPr>
      </w:pPr>
      <w:r w:rsidRPr="002A7673">
        <w:rPr>
          <w:rFonts w:ascii="Times New Roman" w:eastAsia="Times New Roman" w:hAnsi="Times New Roman" w:cs="Times New Roman"/>
          <w:sz w:val="28"/>
          <w:szCs w:val="28"/>
          <w:lang w:val="es" w:eastAsia="es"/>
        </w:rPr>
        <w:t xml:space="preserve">Indica la licenciada </w:t>
      </w:r>
      <w:r w:rsidRPr="002A7673">
        <w:rPr>
          <w:rFonts w:ascii="Times New Roman" w:hAnsi="Times New Roman" w:cs="Times New Roman"/>
          <w:sz w:val="28"/>
          <w:szCs w:val="28"/>
          <w:lang w:val="es" w:eastAsia="es"/>
        </w:rPr>
        <w:t>Nacira Valverde Berm</w:t>
      </w:r>
      <w:r w:rsidRPr="002A7673">
        <w:rPr>
          <w:rFonts w:ascii="Times New Roman" w:eastAsia="Times New Roman" w:hAnsi="Times New Roman" w:cs="Times New Roman"/>
          <w:sz w:val="28"/>
          <w:szCs w:val="28"/>
          <w:lang w:val="es" w:eastAsia="es"/>
        </w:rPr>
        <w:t xml:space="preserve">údez: "En reunión del día 29 de abril de 2021, también se está tomando en consideración por parte de la </w:t>
      </w:r>
      <w:r w:rsidRPr="002A7673">
        <w:rPr>
          <w:rFonts w:ascii="Times New Roman" w:hAnsi="Times New Roman" w:cs="Times New Roman"/>
          <w:sz w:val="28"/>
          <w:szCs w:val="28"/>
          <w:lang w:eastAsia="es-CR"/>
        </w:rPr>
        <w:t>magistrada Sandra Eugenia Z</w:t>
      </w:r>
      <w:r w:rsidRPr="002A7673">
        <w:rPr>
          <w:rFonts w:ascii="Times New Roman" w:eastAsia="Times New Roman" w:hAnsi="Times New Roman" w:cs="Times New Roman"/>
          <w:sz w:val="28"/>
          <w:szCs w:val="28"/>
          <w:lang w:eastAsia="es-CR"/>
        </w:rPr>
        <w:t>úñiga Morales y la Vicepresidenta, Magistrada Solano, el reunirse con las diferentes jefaturas de los ámbitos para tratar de ver si es posible proponer un plan piloto</w:t>
      </w:r>
      <w:r w:rsidRPr="002A7673">
        <w:rPr>
          <w:rFonts w:ascii="Times New Roman" w:hAnsi="Times New Roman" w:cs="Times New Roman"/>
          <w:sz w:val="28"/>
          <w:szCs w:val="28"/>
          <w:lang w:val="es" w:eastAsia="es"/>
        </w:rPr>
        <w:t>."</w:t>
      </w:r>
    </w:p>
    <w:p w14:paraId="7017DA43" w14:textId="77777777" w:rsidR="00E147EB" w:rsidRPr="002A7673" w:rsidRDefault="00E147EB" w:rsidP="00E147EB">
      <w:pPr>
        <w:widowControl w:val="0"/>
        <w:autoSpaceDE w:val="0"/>
        <w:autoSpaceDN w:val="0"/>
        <w:adjustRightInd w:val="0"/>
        <w:spacing w:after="0" w:line="480" w:lineRule="auto"/>
        <w:ind w:firstLine="709"/>
        <w:jc w:val="both"/>
        <w:rPr>
          <w:rFonts w:ascii="Times New Roman" w:eastAsia="Times New Roman" w:hAnsi="Times New Roman" w:cs="Times New Roman"/>
          <w:sz w:val="28"/>
          <w:szCs w:val="28"/>
          <w:lang w:val="es" w:eastAsia="es"/>
        </w:rPr>
      </w:pPr>
      <w:r w:rsidRPr="002A7673">
        <w:rPr>
          <w:rFonts w:ascii="Times New Roman" w:hAnsi="Times New Roman" w:cs="Times New Roman"/>
          <w:sz w:val="28"/>
          <w:szCs w:val="28"/>
          <w:lang w:val="es" w:eastAsia="es"/>
        </w:rPr>
        <w:t>Agrega el integrante Bonilla Garro: "Dejar consignado el acuerdo de la reuni</w:t>
      </w:r>
      <w:r w:rsidRPr="002A7673">
        <w:rPr>
          <w:rFonts w:ascii="Times New Roman" w:eastAsia="Times New Roman" w:hAnsi="Times New Roman" w:cs="Times New Roman"/>
          <w:sz w:val="28"/>
          <w:szCs w:val="28"/>
          <w:lang w:val="es" w:eastAsia="es"/>
        </w:rPr>
        <w:t>ón."</w:t>
      </w:r>
    </w:p>
    <w:p w14:paraId="5E1D26D0" w14:textId="77777777" w:rsidR="00E147EB" w:rsidRPr="002A7673" w:rsidRDefault="00E147EB" w:rsidP="00E147EB">
      <w:pPr>
        <w:spacing w:after="0" w:line="480" w:lineRule="auto"/>
        <w:jc w:val="center"/>
        <w:rPr>
          <w:rFonts w:ascii="Times New Roman" w:eastAsiaTheme="majorEastAsia" w:hAnsi="Times New Roman" w:cs="Times New Roman"/>
          <w:bCs/>
          <w:sz w:val="28"/>
          <w:szCs w:val="28"/>
          <w:lang w:val="es"/>
        </w:rPr>
      </w:pPr>
      <w:r w:rsidRPr="002A7673">
        <w:rPr>
          <w:rFonts w:ascii="Times New Roman" w:eastAsiaTheme="majorEastAsia" w:hAnsi="Times New Roman" w:cs="Times New Roman"/>
          <w:bCs/>
          <w:sz w:val="28"/>
          <w:szCs w:val="28"/>
          <w:lang w:val="es"/>
        </w:rPr>
        <w:t>-0-</w:t>
      </w:r>
    </w:p>
    <w:p w14:paraId="1F66D7C0" w14:textId="77777777" w:rsidR="00E147EB" w:rsidRPr="002A7673" w:rsidRDefault="00E147EB" w:rsidP="00E147EB">
      <w:pPr>
        <w:spacing w:after="0" w:line="480" w:lineRule="auto"/>
        <w:ind w:firstLine="709"/>
        <w:jc w:val="both"/>
        <w:rPr>
          <w:rFonts w:ascii="Times New Roman" w:eastAsiaTheme="majorEastAsia" w:hAnsi="Times New Roman" w:cs="Times New Roman"/>
          <w:bCs/>
          <w:sz w:val="28"/>
          <w:szCs w:val="28"/>
        </w:rPr>
      </w:pPr>
      <w:r w:rsidRPr="002A7673">
        <w:rPr>
          <w:rFonts w:ascii="Times New Roman" w:eastAsiaTheme="majorEastAsia" w:hAnsi="Times New Roman" w:cs="Times New Roman"/>
          <w:b/>
          <w:sz w:val="28"/>
          <w:szCs w:val="28"/>
        </w:rPr>
        <w:lastRenderedPageBreak/>
        <w:t>Se acordó</w:t>
      </w:r>
      <w:r w:rsidRPr="002A7673">
        <w:rPr>
          <w:rFonts w:ascii="Times New Roman" w:eastAsiaTheme="majorEastAsia" w:hAnsi="Times New Roman" w:cs="Times New Roman"/>
          <w:bCs/>
          <w:sz w:val="28"/>
          <w:szCs w:val="28"/>
        </w:rPr>
        <w:t xml:space="preserve">: </w:t>
      </w:r>
      <w:r w:rsidRPr="002A7673">
        <w:rPr>
          <w:rFonts w:ascii="Times New Roman" w:eastAsiaTheme="majorEastAsia" w:hAnsi="Times New Roman" w:cs="Times New Roman"/>
          <w:b/>
          <w:sz w:val="28"/>
          <w:szCs w:val="28"/>
        </w:rPr>
        <w:t>1)</w:t>
      </w:r>
      <w:r w:rsidRPr="002A7673">
        <w:rPr>
          <w:rFonts w:ascii="Times New Roman" w:eastAsiaTheme="majorEastAsia" w:hAnsi="Times New Roman" w:cs="Times New Roman"/>
          <w:bCs/>
          <w:sz w:val="28"/>
          <w:szCs w:val="28"/>
        </w:rPr>
        <w:t xml:space="preserve"> Aprobar el informe 436-PLA-RH-MI-2021, estudio relacionado con la actualización del presupuesto 2022-2023 para la implementación de la Ley 9481: “Creación de la Jurisdicción Especializada en Delincuencia Organizada en Costa Rica”, con la adición de la plaza solicitada por el Organismo de Investigación Judicial. </w:t>
      </w:r>
      <w:r w:rsidRPr="002A7673">
        <w:rPr>
          <w:rFonts w:ascii="Times New Roman" w:eastAsiaTheme="majorEastAsia" w:hAnsi="Times New Roman" w:cs="Times New Roman"/>
          <w:b/>
          <w:sz w:val="28"/>
          <w:szCs w:val="28"/>
        </w:rPr>
        <w:t>2)</w:t>
      </w:r>
      <w:r w:rsidRPr="002A7673">
        <w:rPr>
          <w:rFonts w:ascii="Times New Roman" w:eastAsiaTheme="majorEastAsia" w:hAnsi="Times New Roman" w:cs="Times New Roman"/>
          <w:bCs/>
          <w:sz w:val="28"/>
          <w:szCs w:val="28"/>
        </w:rPr>
        <w:t xml:space="preserve"> Considerando la solicitud presentada por la Magistrada Sandra Eugenia Zúñiga Morales, Coordinadora de la Subcomisión de Delincuencia Organizada, mediante oficio S-CJEDO-05-2021, y una vez analizada las posibilidades presupuestarias, a partir del tope o límite establecido para la formulación presupuestaria del 2022 al Poder Judicial, tanto en gasto corriente como en gasto de capital y reconociendo la urgencia de brindar contenido presupuestario a esta jurisdicción, se avala la inclusión de recursos para atender las necesidades de infraestructura, por un total de ₡511.276.927 (Quinientos once millones doscientos setenta y seis mil novecientos veintisiete colones exactos), los cuales se incluirán como parte del presupuesto ordinario del Poder Judicial del 2022. El contenido económico restante será enviado de forma independiente al presupuesto ordinario ya que responde a una necesidad producto de una ley especial. </w:t>
      </w:r>
      <w:r w:rsidRPr="002A7673">
        <w:rPr>
          <w:rFonts w:ascii="Times New Roman" w:eastAsiaTheme="majorEastAsia" w:hAnsi="Times New Roman" w:cs="Times New Roman"/>
          <w:b/>
          <w:sz w:val="28"/>
          <w:szCs w:val="28"/>
        </w:rPr>
        <w:t>3)</w:t>
      </w:r>
      <w:r w:rsidRPr="002A7673">
        <w:rPr>
          <w:rFonts w:ascii="Times New Roman" w:eastAsiaTheme="majorEastAsia" w:hAnsi="Times New Roman" w:cs="Times New Roman"/>
          <w:bCs/>
          <w:sz w:val="28"/>
          <w:szCs w:val="28"/>
        </w:rPr>
        <w:t xml:space="preserve"> Solicitar a la Unidad de Presupuesto y Estudios Especiales de la Dirección de Gestión Humana que una vez recabada la información que permita brindar el monto apropiado por concepto de sobre sueldo, como incentivo salarial que se debe otorgar al recurso humano que atenderá los casos de Delincuencia Organizada, remita la </w:t>
      </w:r>
      <w:r w:rsidRPr="002A7673">
        <w:rPr>
          <w:rFonts w:ascii="Times New Roman" w:eastAsiaTheme="majorEastAsia" w:hAnsi="Times New Roman" w:cs="Times New Roman"/>
          <w:bCs/>
          <w:sz w:val="28"/>
          <w:szCs w:val="28"/>
        </w:rPr>
        <w:lastRenderedPageBreak/>
        <w:t>información al Consejo Superior con copia a la Dirección de Planificación con la finalidad de realizar los ajustes que correspondan. Se aclara nuevamente que, ante la falta del criterio técnico de la Dirección de Gestión Humana el presente presupuesto mantiene el monto estimado inicial fijado de incentivo salarial en dos mil millones de colones (₡ 2.000.000.000,00).</w:t>
      </w:r>
    </w:p>
    <w:p w14:paraId="476FA097" w14:textId="77777777" w:rsidR="00E147EB" w:rsidRPr="002A7673" w:rsidRDefault="00E147EB" w:rsidP="00E147EB">
      <w:pPr>
        <w:spacing w:after="0" w:line="480" w:lineRule="auto"/>
        <w:ind w:firstLine="709"/>
        <w:jc w:val="both"/>
        <w:rPr>
          <w:rFonts w:ascii="Times New Roman" w:eastAsiaTheme="majorEastAsia" w:hAnsi="Times New Roman" w:cs="Times New Roman"/>
          <w:bCs/>
          <w:sz w:val="28"/>
          <w:szCs w:val="28"/>
        </w:rPr>
      </w:pPr>
      <w:r w:rsidRPr="002A7673">
        <w:rPr>
          <w:rFonts w:ascii="Times New Roman" w:hAnsi="Times New Roman" w:cs="Times New Roman"/>
          <w:color w:val="000000" w:themeColor="text1"/>
          <w:sz w:val="28"/>
          <w:szCs w:val="28"/>
        </w:rPr>
        <w:t xml:space="preserve">La </w:t>
      </w:r>
      <w:r w:rsidRPr="002A7673">
        <w:rPr>
          <w:rFonts w:ascii="Times New Roman" w:hAnsi="Times New Roman" w:cs="Times New Roman"/>
          <w:color w:val="000000" w:themeColor="text1"/>
          <w:sz w:val="28"/>
          <w:szCs w:val="28"/>
          <w:lang w:val="es" w:eastAsia="es"/>
        </w:rPr>
        <w:t>licenciada Dinorah Á</w:t>
      </w:r>
      <w:r w:rsidRPr="002A7673">
        <w:rPr>
          <w:rFonts w:ascii="Times New Roman" w:eastAsia="Times New Roman" w:hAnsi="Times New Roman" w:cs="Times New Roman"/>
          <w:color w:val="000000" w:themeColor="text1"/>
          <w:sz w:val="28"/>
          <w:szCs w:val="28"/>
          <w:lang w:val="es" w:eastAsia="es"/>
        </w:rPr>
        <w:t xml:space="preserve">lvarez Acosta, </w:t>
      </w:r>
      <w:r w:rsidRPr="002A7673">
        <w:rPr>
          <w:rFonts w:ascii="Times New Roman" w:hAnsi="Times New Roman" w:cs="Times New Roman"/>
          <w:color w:val="000000" w:themeColor="text1"/>
          <w:sz w:val="28"/>
          <w:szCs w:val="28"/>
        </w:rPr>
        <w:t xml:space="preserve">se abstiene de votar por ser un asunto de delincuencia organizada. </w:t>
      </w:r>
      <w:r w:rsidRPr="002A7673">
        <w:rPr>
          <w:rFonts w:ascii="Times New Roman" w:eastAsiaTheme="majorEastAsia" w:hAnsi="Times New Roman" w:cs="Times New Roman"/>
          <w:b/>
          <w:sz w:val="28"/>
          <w:szCs w:val="28"/>
        </w:rPr>
        <w:t>Se declara acuerdo firme.</w:t>
      </w:r>
    </w:p>
    <w:p w14:paraId="63A8A829" w14:textId="77777777" w:rsidR="008A3FEC" w:rsidRPr="002A7673" w:rsidRDefault="008A3FEC" w:rsidP="008A3FEC">
      <w:pPr>
        <w:pStyle w:val="Ttulo1"/>
        <w:spacing w:line="360" w:lineRule="auto"/>
        <w:jc w:val="center"/>
        <w:rPr>
          <w:rFonts w:ascii="Times New Roman" w:eastAsia="Times New Roman" w:hAnsi="Times New Roman" w:cs="Times New Roman"/>
          <w:b/>
          <w:bCs/>
          <w:color w:val="000000"/>
          <w:kern w:val="36"/>
          <w:u w:val="single"/>
        </w:rPr>
      </w:pPr>
      <w:r w:rsidRPr="002A7673">
        <w:rPr>
          <w:rFonts w:ascii="Times New Roman" w:eastAsia="Times New Roman" w:hAnsi="Times New Roman" w:cs="Times New Roman"/>
          <w:b/>
          <w:bCs/>
          <w:color w:val="000000"/>
          <w:kern w:val="36"/>
          <w:u w:val="single"/>
        </w:rPr>
        <w:t>ARTÍCULO XII</w:t>
      </w:r>
    </w:p>
    <w:p w14:paraId="00EEC78F" w14:textId="77777777" w:rsidR="008A3FEC" w:rsidRPr="002A7673" w:rsidRDefault="008A3FEC" w:rsidP="008A3FEC">
      <w:pPr>
        <w:autoSpaceDE w:val="0"/>
        <w:autoSpaceDN w:val="0"/>
        <w:adjustRightInd w:val="0"/>
        <w:spacing w:line="480" w:lineRule="auto"/>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4410-2021</w:t>
      </w:r>
    </w:p>
    <w:p w14:paraId="636A593E" w14:textId="77777777" w:rsidR="008A3FEC" w:rsidRPr="002A7673" w:rsidRDefault="008A3FEC" w:rsidP="008A3FEC">
      <w:pPr>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En reunión de trabajo del pasado 23 de abril, la licenciada Nacira Valverde Bermúdez,</w:t>
      </w:r>
      <w:r w:rsidRPr="002A7673">
        <w:rPr>
          <w:rFonts w:ascii="Times New Roman" w:hAnsi="Times New Roman" w:cs="Times New Roman"/>
          <w:color w:val="000000"/>
          <w:sz w:val="28"/>
          <w:szCs w:val="28"/>
          <w:shd w:val="clear" w:color="auto" w:fill="FFFFFF"/>
        </w:rPr>
        <w:t xml:space="preserve"> </w:t>
      </w:r>
      <w:r w:rsidRPr="002A7673">
        <w:rPr>
          <w:rFonts w:ascii="Times New Roman" w:hAnsi="Times New Roman" w:cs="Times New Roman"/>
          <w:sz w:val="28"/>
          <w:szCs w:val="28"/>
        </w:rPr>
        <w:t xml:space="preserve">Directora de Planificación indicó que mediante oficio EJ-DIR-029-2021, la Licda. Rebeca Guardia Morales, en calidad de Directora de la Escuela Judicial, remitió la estimación realizada por la Escuela Judicial en conjunto con la persona Gestora de la Reforma Procesal de Familia, tendiente a solventar necesidades de capacitación durante 2022, previo a la </w:t>
      </w:r>
      <w:proofErr w:type="gramStart"/>
      <w:r w:rsidRPr="002A7673">
        <w:rPr>
          <w:rFonts w:ascii="Times New Roman" w:hAnsi="Times New Roman" w:cs="Times New Roman"/>
          <w:sz w:val="28"/>
          <w:szCs w:val="28"/>
        </w:rPr>
        <w:t>entrada en vigencia</w:t>
      </w:r>
      <w:proofErr w:type="gramEnd"/>
      <w:r w:rsidRPr="002A7673">
        <w:rPr>
          <w:rFonts w:ascii="Times New Roman" w:hAnsi="Times New Roman" w:cs="Times New Roman"/>
          <w:sz w:val="28"/>
          <w:szCs w:val="28"/>
        </w:rPr>
        <w:t xml:space="preserve"> de esta reforma.</w:t>
      </w:r>
    </w:p>
    <w:p w14:paraId="01EE8462" w14:textId="77777777" w:rsidR="008A3FEC" w:rsidRPr="002A7673" w:rsidRDefault="008A3FEC" w:rsidP="008A3FEC">
      <w:pPr>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 xml:space="preserve">En total se proponen 213 grupos, una participación de 4260 personas, 60 días hábiles presenciales y 70 días hábiles virtuales, 40 semanas de permisos con goce de </w:t>
      </w:r>
      <w:r w:rsidRPr="002A7673">
        <w:rPr>
          <w:rFonts w:ascii="Times New Roman" w:hAnsi="Times New Roman" w:cs="Times New Roman"/>
          <w:sz w:val="28"/>
          <w:szCs w:val="28"/>
        </w:rPr>
        <w:lastRenderedPageBreak/>
        <w:t>salario para actividades de diseño y 60 semanas de permisos con goce de salario para actividades de ejecución, de acuerdo con el detalle que se aprecia en el archivo adjunto:</w:t>
      </w:r>
    </w:p>
    <w:p w14:paraId="36594EE9" w14:textId="77777777" w:rsidR="008A3FEC" w:rsidRPr="002A7673" w:rsidRDefault="008A3FEC" w:rsidP="008A3FEC">
      <w:pPr>
        <w:spacing w:line="480" w:lineRule="auto"/>
        <w:ind w:firstLine="708"/>
        <w:jc w:val="center"/>
        <w:rPr>
          <w:rFonts w:ascii="Times New Roman" w:hAnsi="Times New Roman" w:cs="Times New Roman"/>
        </w:rPr>
      </w:pPr>
      <w:r w:rsidRPr="002A7673">
        <w:rPr>
          <w:rFonts w:ascii="Times New Roman" w:hAnsi="Times New Roman" w:cs="Times New Roman"/>
        </w:rPr>
        <w:object w:dxaOrig="1508" w:dyaOrig="984" w14:anchorId="64531DBC">
          <v:shape id="_x0000_i1071" type="#_x0000_t75" style="width:77.5pt;height:52pt" o:ole="">
            <v:imagedata r:id="rId154" o:title=""/>
          </v:shape>
          <o:OLEObject Type="Embed" ProgID="AcroExch.Document.DC" ShapeID="_x0000_i1071" DrawAspect="Icon" ObjectID="_1684067014" r:id="rId155"/>
        </w:object>
      </w:r>
    </w:p>
    <w:p w14:paraId="1B351A0A" w14:textId="77777777" w:rsidR="008A3FEC" w:rsidRPr="002A7673" w:rsidRDefault="008A3FEC" w:rsidP="008A3FEC">
      <w:pPr>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 xml:space="preserve">Finalmente, la Escuela Judicial en su oficio indica:   </w:t>
      </w:r>
    </w:p>
    <w:p w14:paraId="5F34B07F" w14:textId="77777777" w:rsidR="008A3FEC" w:rsidRPr="002A7673" w:rsidRDefault="008A3FEC" w:rsidP="008A3FEC">
      <w:pPr>
        <w:ind w:left="851" w:right="851" w:firstLine="709"/>
        <w:jc w:val="both"/>
        <w:rPr>
          <w:rFonts w:ascii="Times New Roman" w:hAnsi="Times New Roman" w:cs="Times New Roman"/>
          <w:i/>
          <w:iCs/>
          <w:sz w:val="28"/>
          <w:szCs w:val="28"/>
        </w:rPr>
      </w:pPr>
      <w:r w:rsidRPr="002A7673">
        <w:rPr>
          <w:rFonts w:ascii="Times New Roman" w:hAnsi="Times New Roman" w:cs="Times New Roman"/>
          <w:i/>
          <w:iCs/>
          <w:sz w:val="28"/>
          <w:szCs w:val="28"/>
        </w:rPr>
        <w:t xml:space="preserve">“(…) Es importante detallar, </w:t>
      </w:r>
      <w:proofErr w:type="gramStart"/>
      <w:r w:rsidRPr="002A7673">
        <w:rPr>
          <w:rFonts w:ascii="Times New Roman" w:hAnsi="Times New Roman" w:cs="Times New Roman"/>
          <w:i/>
          <w:iCs/>
          <w:sz w:val="28"/>
          <w:szCs w:val="28"/>
        </w:rPr>
        <w:t>que</w:t>
      </w:r>
      <w:proofErr w:type="gramEnd"/>
      <w:r w:rsidRPr="002A7673">
        <w:rPr>
          <w:rFonts w:ascii="Times New Roman" w:hAnsi="Times New Roman" w:cs="Times New Roman"/>
          <w:i/>
          <w:iCs/>
          <w:sz w:val="28"/>
          <w:szCs w:val="28"/>
        </w:rPr>
        <w:t xml:space="preserve"> a efectos presupuestarios, solamente se contempla el rubro correspondiente a suplencia de las personas facilitadoras, para los procesos de diseño y ejecución. Dado que se ha determinado </w:t>
      </w:r>
      <w:proofErr w:type="gramStart"/>
      <w:r w:rsidRPr="002A7673">
        <w:rPr>
          <w:rFonts w:ascii="Times New Roman" w:hAnsi="Times New Roman" w:cs="Times New Roman"/>
          <w:i/>
          <w:iCs/>
          <w:sz w:val="28"/>
          <w:szCs w:val="28"/>
        </w:rPr>
        <w:t>que</w:t>
      </w:r>
      <w:proofErr w:type="gramEnd"/>
      <w:r w:rsidRPr="002A7673">
        <w:rPr>
          <w:rFonts w:ascii="Times New Roman" w:hAnsi="Times New Roman" w:cs="Times New Roman"/>
          <w:i/>
          <w:iCs/>
          <w:sz w:val="28"/>
          <w:szCs w:val="28"/>
        </w:rPr>
        <w:t xml:space="preserve"> por un asunto de conveniencia y ahorro institucional, las capacitaciones previstas se realicen por medios tecnológicos, utilizando la plataforma MOODLE y el sistema de </w:t>
      </w:r>
      <w:proofErr w:type="spellStart"/>
      <w:r w:rsidRPr="002A7673">
        <w:rPr>
          <w:rFonts w:ascii="Times New Roman" w:hAnsi="Times New Roman" w:cs="Times New Roman"/>
          <w:i/>
          <w:iCs/>
          <w:sz w:val="28"/>
          <w:szCs w:val="28"/>
        </w:rPr>
        <w:t>vídeoconferencia</w:t>
      </w:r>
      <w:proofErr w:type="spellEnd"/>
      <w:r w:rsidRPr="002A7673">
        <w:rPr>
          <w:rFonts w:ascii="Times New Roman" w:hAnsi="Times New Roman" w:cs="Times New Roman"/>
          <w:i/>
          <w:iCs/>
          <w:sz w:val="28"/>
          <w:szCs w:val="28"/>
        </w:rPr>
        <w:t xml:space="preserve"> TEAMS. Es en ese sentido que las 100 semanas (25 meses) estimadas para diseños y ejecución, se calculan tomando como base el salario promediado de un Juez o jueza 4 de la República </w:t>
      </w:r>
      <w:proofErr w:type="gramStart"/>
      <w:r w:rsidRPr="002A7673">
        <w:rPr>
          <w:rFonts w:ascii="Times New Roman" w:hAnsi="Times New Roman" w:cs="Times New Roman"/>
          <w:i/>
          <w:iCs/>
          <w:sz w:val="28"/>
          <w:szCs w:val="28"/>
        </w:rPr>
        <w:t>al día de hoy</w:t>
      </w:r>
      <w:proofErr w:type="gramEnd"/>
      <w:r w:rsidRPr="002A7673">
        <w:rPr>
          <w:rFonts w:ascii="Times New Roman" w:hAnsi="Times New Roman" w:cs="Times New Roman"/>
          <w:i/>
          <w:iCs/>
          <w:sz w:val="28"/>
          <w:szCs w:val="28"/>
        </w:rPr>
        <w:t xml:space="preserve"> (3 370 000 colones) representaría un total de 84 250 000 (ochenta y cuatro millones, doscientos cincuenta mil colones”.</w:t>
      </w:r>
    </w:p>
    <w:p w14:paraId="0363E131" w14:textId="77777777" w:rsidR="008A3FEC" w:rsidRPr="002A7673" w:rsidRDefault="008A3FEC" w:rsidP="00FF3FAC">
      <w:pPr>
        <w:pStyle w:val="Prrafodelista"/>
        <w:numPr>
          <w:ilvl w:val="0"/>
          <w:numId w:val="55"/>
        </w:numPr>
        <w:spacing w:line="480" w:lineRule="auto"/>
        <w:jc w:val="center"/>
        <w:rPr>
          <w:rFonts w:ascii="Times New Roman" w:hAnsi="Times New Roman" w:cs="Times New Roman"/>
          <w:i/>
          <w:iCs/>
          <w:sz w:val="28"/>
          <w:szCs w:val="28"/>
        </w:rPr>
      </w:pPr>
      <w:r w:rsidRPr="002A7673">
        <w:rPr>
          <w:rFonts w:ascii="Times New Roman" w:hAnsi="Times New Roman" w:cs="Times New Roman"/>
          <w:i/>
          <w:iCs/>
          <w:sz w:val="28"/>
          <w:szCs w:val="28"/>
        </w:rPr>
        <w:t>0    -</w:t>
      </w:r>
    </w:p>
    <w:p w14:paraId="29C2BB3E" w14:textId="77777777" w:rsidR="008A3FEC" w:rsidRPr="002A7673" w:rsidRDefault="008A3FEC" w:rsidP="008A3FEC">
      <w:pPr>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 xml:space="preserve">Al respecto, es importante señalar que el proceso de formación de las personas juzgadoras y personal técnico respecto al nuevo Código Procesal de Familia, Ley 9747 que entra en vigencia el próximo 1 de octubre 2022, es vital para la Institución máxime el cambio a nivel procesal que implica, dado que es la primera vez que la jurisdicción cuenta con una norma procesal propia y que plantea un procedimiento nuevo, oral, por audiencias con participación activa de la Defensa Pública, con la introducción por la </w:t>
      </w:r>
      <w:r w:rsidRPr="002A7673">
        <w:rPr>
          <w:rFonts w:ascii="Times New Roman" w:hAnsi="Times New Roman" w:cs="Times New Roman"/>
          <w:sz w:val="28"/>
          <w:szCs w:val="28"/>
        </w:rPr>
        <w:lastRenderedPageBreak/>
        <w:t xml:space="preserve">Ley de nuevos tipos procesales, cambios de competencias materiales y la posible creación incluso de Juzgados por Ministerio de Ley; y siendo que la Ley 9747 impacta tanto la materia de Familia como Pensiones Alimentarias y Violencia Doméstica; es fundamental contar con el personal debidamente capacitado para su aplicación.  </w:t>
      </w:r>
    </w:p>
    <w:p w14:paraId="2E95F3F8" w14:textId="77777777" w:rsidR="008A3FEC" w:rsidRPr="002A7673" w:rsidRDefault="008A3FEC" w:rsidP="008A3FEC">
      <w:pPr>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 xml:space="preserve">A nivel presupuestario, inicialmente en la formulación para el 2020 y 2021 la capacitación de la Jurisdicción se estimó en ₡1,200,000,000.00 (para distribuir en 2 años).  Sin embargo, ante la falta de incorporación de presupuesto por parte del Ministerio de Hacienda y dada la ampliación en la vacancia de </w:t>
      </w:r>
      <w:proofErr w:type="gramStart"/>
      <w:r w:rsidRPr="002A7673">
        <w:rPr>
          <w:rFonts w:ascii="Times New Roman" w:hAnsi="Times New Roman" w:cs="Times New Roman"/>
          <w:sz w:val="28"/>
          <w:szCs w:val="28"/>
        </w:rPr>
        <w:t>entrada en vigencia</w:t>
      </w:r>
      <w:proofErr w:type="gramEnd"/>
      <w:r w:rsidRPr="002A7673">
        <w:rPr>
          <w:rFonts w:ascii="Times New Roman" w:hAnsi="Times New Roman" w:cs="Times New Roman"/>
          <w:sz w:val="28"/>
          <w:szCs w:val="28"/>
        </w:rPr>
        <w:t xml:space="preserve"> de la Ley aprobada por la Asamblea Legislativa (Ley 9904), el proceso de capacitación tuvo que ser asumido en 2020 y 2021 por la Escuela Judicial dentro de su presupuesto ordinario. </w:t>
      </w:r>
    </w:p>
    <w:p w14:paraId="49BD3EA5" w14:textId="77777777" w:rsidR="008A3FEC" w:rsidRPr="002A7673" w:rsidRDefault="008A3FEC" w:rsidP="008A3FEC">
      <w:pPr>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 xml:space="preserve">Como se desprende del oficio de la Escuela Judicial, para 2022 </w:t>
      </w:r>
      <w:proofErr w:type="gramStart"/>
      <w:r w:rsidRPr="002A7673">
        <w:rPr>
          <w:rFonts w:ascii="Times New Roman" w:hAnsi="Times New Roman" w:cs="Times New Roman"/>
          <w:sz w:val="28"/>
          <w:szCs w:val="28"/>
        </w:rPr>
        <w:t>se  estimó</w:t>
      </w:r>
      <w:proofErr w:type="gramEnd"/>
      <w:r w:rsidRPr="002A7673">
        <w:rPr>
          <w:rFonts w:ascii="Times New Roman" w:hAnsi="Times New Roman" w:cs="Times New Roman"/>
          <w:sz w:val="28"/>
          <w:szCs w:val="28"/>
        </w:rPr>
        <w:t xml:space="preserve"> su requerimiento presupuestario en ₡84,250,000.00; para el pago de suplencias tanto para la etapa de diseño como de ejecución (oficio EJ-DIR-029-2021). </w:t>
      </w:r>
    </w:p>
    <w:p w14:paraId="7C1919B4" w14:textId="77777777" w:rsidR="008A3FEC" w:rsidRPr="002A7673" w:rsidRDefault="008A3FEC" w:rsidP="008A3FEC">
      <w:pPr>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 xml:space="preserve">Dada la importancia de este componente se recomienda su inclusión dentro del presupuesto ordinario 2022. </w:t>
      </w:r>
    </w:p>
    <w:p w14:paraId="69FBFF75" w14:textId="77777777" w:rsidR="008A3FEC" w:rsidRPr="002A7673" w:rsidRDefault="008A3FEC" w:rsidP="008A3FEC">
      <w:pPr>
        <w:spacing w:line="48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 xml:space="preserve">De forma adicional, para el 2022 se incluye un monto de 30 millones como parte del Programa 926 Dirección y Administración, para el pago de peritajes del </w:t>
      </w:r>
      <w:r w:rsidRPr="002A7673">
        <w:rPr>
          <w:rFonts w:ascii="Times New Roman" w:hAnsi="Times New Roman" w:cs="Times New Roman"/>
          <w:sz w:val="28"/>
          <w:szCs w:val="28"/>
        </w:rPr>
        <w:lastRenderedPageBreak/>
        <w:t>Departamento de Trabajo Social y Psicología, con la finalidad de agilizar los plazos de respuesta de este Departamento, en los diferentes procesos judiciales.</w:t>
      </w:r>
    </w:p>
    <w:p w14:paraId="03840918" w14:textId="77777777" w:rsidR="008A3FEC" w:rsidRPr="002A7673" w:rsidRDefault="008A3FEC" w:rsidP="00FF3FAC">
      <w:pPr>
        <w:pStyle w:val="Prrafodelista"/>
        <w:numPr>
          <w:ilvl w:val="0"/>
          <w:numId w:val="55"/>
        </w:numPr>
        <w:spacing w:line="480" w:lineRule="auto"/>
        <w:jc w:val="center"/>
        <w:rPr>
          <w:rFonts w:ascii="Times New Roman" w:hAnsi="Times New Roman" w:cs="Times New Roman"/>
          <w:sz w:val="28"/>
          <w:szCs w:val="28"/>
        </w:rPr>
      </w:pPr>
      <w:r w:rsidRPr="002A7673">
        <w:rPr>
          <w:rFonts w:ascii="Times New Roman" w:hAnsi="Times New Roman" w:cs="Times New Roman"/>
          <w:sz w:val="28"/>
          <w:szCs w:val="28"/>
        </w:rPr>
        <w:t>0   -</w:t>
      </w:r>
    </w:p>
    <w:p w14:paraId="7B5D8C2C" w14:textId="77777777" w:rsidR="008A3FEC" w:rsidRPr="002A7673" w:rsidRDefault="008A3FEC" w:rsidP="008A3FEC">
      <w:pPr>
        <w:spacing w:line="480" w:lineRule="auto"/>
        <w:ind w:firstLine="709"/>
        <w:jc w:val="both"/>
        <w:rPr>
          <w:rFonts w:ascii="Times New Roman" w:eastAsiaTheme="majorEastAsia" w:hAnsi="Times New Roman" w:cs="Times New Roman"/>
          <w:bCs/>
          <w:sz w:val="28"/>
          <w:szCs w:val="28"/>
        </w:rPr>
      </w:pPr>
      <w:r w:rsidRPr="002A7673">
        <w:rPr>
          <w:rFonts w:ascii="Times New Roman" w:eastAsiaTheme="majorEastAsia" w:hAnsi="Times New Roman" w:cs="Times New Roman"/>
          <w:bCs/>
          <w:sz w:val="28"/>
          <w:szCs w:val="28"/>
        </w:rPr>
        <w:t>La Licda. Nacira Valverde expone el tema y se visualiza la importancia de señalar que el proceso de formación de las personas juzgadoras y personal técnico respecto al nuevo Código Procesal de Familia, Ley 9747 que entra en vigencia el próximo 1 de octubre 2022, es vital para la Institución máxime el cambio a nivel procesal que implica, dado que es la primera vez que la jurisdicción cuenta con una norma procesal propia y que plantea un procedimiento nuevo, oral, por audiencias con participación activa de la Defensa Pública, con la introducción por la Ley de nuevos tipos procesales, cambios de competencias materiales y la posible creación incluso de Juzgados por Ministerio de Ley; y siendo que la Ley 9747 impacta tanto la materia de Familia como Pensiones Alimentarias y Violencia Doméstica; es fundamental contar con el personal debidamente capacitado para su aplicación.</w:t>
      </w:r>
    </w:p>
    <w:p w14:paraId="0DB498B5" w14:textId="11FD6122" w:rsidR="008A3FEC" w:rsidRPr="002A7673" w:rsidRDefault="008A3FEC" w:rsidP="00D325F9">
      <w:pPr>
        <w:spacing w:line="480" w:lineRule="auto"/>
        <w:ind w:firstLine="709"/>
        <w:jc w:val="both"/>
        <w:rPr>
          <w:rFonts w:ascii="Times New Roman" w:eastAsiaTheme="majorEastAsia" w:hAnsi="Times New Roman" w:cs="Times New Roman"/>
          <w:bCs/>
          <w:sz w:val="28"/>
          <w:szCs w:val="28"/>
        </w:rPr>
      </w:pPr>
      <w:r w:rsidRPr="002A7673">
        <w:rPr>
          <w:rFonts w:ascii="Times New Roman" w:eastAsiaTheme="majorEastAsia" w:hAnsi="Times New Roman" w:cs="Times New Roman"/>
          <w:b/>
          <w:sz w:val="28"/>
          <w:szCs w:val="28"/>
        </w:rPr>
        <w:t>Se acordó</w:t>
      </w:r>
      <w:r w:rsidRPr="002A7673">
        <w:rPr>
          <w:rFonts w:ascii="Times New Roman" w:eastAsiaTheme="majorEastAsia" w:hAnsi="Times New Roman" w:cs="Times New Roman"/>
          <w:bCs/>
          <w:sz w:val="28"/>
          <w:szCs w:val="28"/>
        </w:rPr>
        <w:t xml:space="preserve">: Incluir en el anteproyecto de presupuesto ordinario institucional para la Escuela Judicial 2022 el monto de ₡84,250,000.00 (ochenta y cuatro millones doscientos cincuenta mil colones exactos) para capacitación del personal en Familia, Pensiones Alimentarias y Violencia Doméstica con ocasión de la próxima </w:t>
      </w:r>
      <w:proofErr w:type="gramStart"/>
      <w:r w:rsidRPr="002A7673">
        <w:rPr>
          <w:rFonts w:ascii="Times New Roman" w:eastAsiaTheme="majorEastAsia" w:hAnsi="Times New Roman" w:cs="Times New Roman"/>
          <w:bCs/>
          <w:sz w:val="28"/>
          <w:szCs w:val="28"/>
        </w:rPr>
        <w:t xml:space="preserve">entrada en </w:t>
      </w:r>
      <w:r w:rsidRPr="002A7673">
        <w:rPr>
          <w:rFonts w:ascii="Times New Roman" w:eastAsiaTheme="majorEastAsia" w:hAnsi="Times New Roman" w:cs="Times New Roman"/>
          <w:bCs/>
          <w:sz w:val="28"/>
          <w:szCs w:val="28"/>
        </w:rPr>
        <w:lastRenderedPageBreak/>
        <w:t>vigencia</w:t>
      </w:r>
      <w:proofErr w:type="gramEnd"/>
      <w:r w:rsidRPr="002A7673">
        <w:rPr>
          <w:rFonts w:ascii="Times New Roman" w:eastAsiaTheme="majorEastAsia" w:hAnsi="Times New Roman" w:cs="Times New Roman"/>
          <w:bCs/>
          <w:sz w:val="28"/>
          <w:szCs w:val="28"/>
        </w:rPr>
        <w:t xml:space="preserve"> de la Ley 9747 “Código Procesal de Familia” conforme al plan de capacitación diseñado por la Escuela Judicial. </w:t>
      </w:r>
      <w:r w:rsidRPr="002A7673">
        <w:rPr>
          <w:rFonts w:ascii="Times New Roman" w:eastAsiaTheme="majorEastAsia" w:hAnsi="Times New Roman" w:cs="Times New Roman"/>
          <w:b/>
          <w:sz w:val="28"/>
          <w:szCs w:val="28"/>
        </w:rPr>
        <w:t>Se declara acuerdo firme.</w:t>
      </w:r>
    </w:p>
    <w:p w14:paraId="6446AB74" w14:textId="77777777" w:rsidR="0093441E" w:rsidRPr="002A7673" w:rsidRDefault="0093441E" w:rsidP="0093441E">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XIII</w:t>
      </w:r>
    </w:p>
    <w:p w14:paraId="5D289B05" w14:textId="77777777" w:rsidR="0093441E" w:rsidRPr="002A7673" w:rsidRDefault="0093441E" w:rsidP="0093441E">
      <w:pPr>
        <w:autoSpaceDE w:val="0"/>
        <w:autoSpaceDN w:val="0"/>
        <w:adjustRightInd w:val="0"/>
        <w:spacing w:after="0" w:line="480" w:lineRule="auto"/>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4411-2021</w:t>
      </w:r>
    </w:p>
    <w:p w14:paraId="79CFF5D7" w14:textId="77777777" w:rsidR="0093441E" w:rsidRPr="002A7673" w:rsidRDefault="0093441E" w:rsidP="0093441E">
      <w:pPr>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sz w:val="28"/>
          <w:szCs w:val="28"/>
        </w:rPr>
        <w:t>En reunión de trabajo del pasado 23 de abril, la licenciada Nacira Valverde Bermúdez,</w:t>
      </w:r>
      <w:r w:rsidRPr="002A7673">
        <w:rPr>
          <w:rFonts w:ascii="Times New Roman" w:hAnsi="Times New Roman" w:cs="Times New Roman"/>
          <w:color w:val="000000"/>
          <w:sz w:val="28"/>
          <w:szCs w:val="28"/>
          <w:shd w:val="clear" w:color="auto" w:fill="FFFFFF"/>
        </w:rPr>
        <w:t xml:space="preserve"> </w:t>
      </w:r>
      <w:r w:rsidRPr="002A7673">
        <w:rPr>
          <w:rFonts w:ascii="Times New Roman" w:hAnsi="Times New Roman" w:cs="Times New Roman"/>
          <w:sz w:val="28"/>
          <w:szCs w:val="28"/>
        </w:rPr>
        <w:t xml:space="preserve">Directora de Planificación presentó el proyecto de presupuesto para el 2022 del </w:t>
      </w:r>
      <w:r w:rsidRPr="002A7673">
        <w:rPr>
          <w:rFonts w:ascii="Times New Roman" w:hAnsi="Times New Roman" w:cs="Times New Roman"/>
          <w:b/>
          <w:bCs/>
          <w:sz w:val="28"/>
          <w:szCs w:val="28"/>
        </w:rPr>
        <w:t>Programa 926 Dirección, Administración y Otros Órganos de Apoyo y Programa 927 Servicio Jurisdiccional.</w:t>
      </w:r>
    </w:p>
    <w:p w14:paraId="3A172FF1"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bCs/>
          <w:sz w:val="28"/>
          <w:szCs w:val="28"/>
        </w:rPr>
        <w:t>1.</w:t>
      </w:r>
      <w:r w:rsidRPr="002A7673">
        <w:rPr>
          <w:rFonts w:ascii="Times New Roman" w:hAnsi="Times New Roman" w:cs="Times New Roman"/>
          <w:b/>
          <w:bCs/>
          <w:sz w:val="28"/>
          <w:szCs w:val="28"/>
        </w:rPr>
        <w:tab/>
        <w:t>Información General</w:t>
      </w:r>
    </w:p>
    <w:p w14:paraId="26970DB0"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A nivel de Programa, en el caso del Programa 926 Dirección, Administración y Otros Órganos de Apoyo, al consolidar el presupuesto de Remuneraciones con el Gasto Variable, se tiene al 23 de abril del 2021, una variación total del 2.97%, y de forma específica de un 0.36% en Remuneraciones y de un 7,60% en Gasto Variable.  Por su parte, en el caso del Programa 927 Servicio Jurisdiccional, al consolidar el presupuesto de Remuneraciones con el Gasto Variable, se tiene al 23 de abril del 2021, una variación total del -0,48% y de forma específica de un 0.27% en Remuneraciones y de un -8,43% en Gasto Variable.  En ambos casos, al compararse el presupuesto formulado a la fecha con el presupuesto aprobado para el 2021.</w:t>
      </w:r>
    </w:p>
    <w:p w14:paraId="0BF4EA50"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 xml:space="preserve">Las cifras anteriores, reflejan el esfuerzo institucional de los distintos centros de responsabilidad para cumplir con el acuerdo de Corte Plena de ajustar la solicitud presupuestaria del 2022 en un -4%, siendo que al consolidarse con la previsión presupuestaria de Remuneraciones se logra un comportamiento muy controlado del gasto institucional, dentro de los límites establecidos por el Ministerio de Hacienda. De no haberse adoptado esta medida, posiblemente al consolidarse la petición de necesidades de gasto variable con las de remuneraciones, el monto total habría sido superior al tope presupuestario establecido para el Poder Judicial, tanto en gasto corriente como en gasto de capital.  </w:t>
      </w:r>
    </w:p>
    <w:p w14:paraId="4DCDBC94"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w:t>
      </w:r>
      <w:r w:rsidRPr="002A7673">
        <w:rPr>
          <w:rFonts w:ascii="Times New Roman" w:hAnsi="Times New Roman" w:cs="Times New Roman"/>
          <w:sz w:val="28"/>
          <w:szCs w:val="28"/>
        </w:rPr>
        <w:tab/>
      </w:r>
      <w:r w:rsidRPr="002A7673">
        <w:rPr>
          <w:rFonts w:ascii="Times New Roman" w:hAnsi="Times New Roman" w:cs="Times New Roman"/>
          <w:b/>
          <w:bCs/>
          <w:sz w:val="28"/>
          <w:szCs w:val="28"/>
        </w:rPr>
        <w:t>Acuerdo Corte Plena de sesión N°02-2021 celebrada el 11 de enero de 2021, artículo XLI</w:t>
      </w:r>
    </w:p>
    <w:p w14:paraId="68C85879"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Otro aspecto oportuno de resaltar, relacionado con el límite presupuestario, se refiere al acuerdo de Corte Plena tomado en la sesión 02-2021 del 11 de enero anterior, en el que con respecto al límite presupuestario 2022 para el anteproyecto de presupuesto del Área de Informática, se aprobó la propuesta de la Magistrada Sandra Zúñiga Morales, para que se hiciera una asignación diferente al aprobado del -4% con respecto al aprobado para el 2021. Esto considerando que la tecnología de la información tiene un carácter estratégico en el quehacer institucional y los servicios que brinda al usuario. Al respecto se acordó: </w:t>
      </w:r>
    </w:p>
    <w:p w14:paraId="68F70A9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 xml:space="preserve">“se acordó: Acoger la propuesta de la magistrada Zúñiga, en cuanto a la asignación diferenciada del tope en el presupuesto para la materia de tecnología de la información del Poder Judicial, dado el carácter estratégico y transversal en todo el quehacer institucional, así como en los servicios al ciudadano que la tecnología representa, en ese entendido no se aplicará el tope que se disponga al presupuesto en tecnología de la información y se mantiene el límite presupuestario tal y como se aprobó  originalmente en el presupuesto para el 2021, sin los rebajos aplicados durante el 2020, el cual asciende a la suma de once mil millones de colones.” </w:t>
      </w:r>
    </w:p>
    <w:p w14:paraId="685D8377"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w:t>
      </w:r>
      <w:r w:rsidRPr="002A7673">
        <w:rPr>
          <w:rFonts w:ascii="Times New Roman" w:hAnsi="Times New Roman" w:cs="Times New Roman"/>
          <w:sz w:val="28"/>
          <w:szCs w:val="28"/>
        </w:rPr>
        <w:tab/>
        <w:t>Comportamiento específico del Gasto Variable</w:t>
      </w:r>
    </w:p>
    <w:p w14:paraId="668952CE"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Al igual que en años anteriores, a </w:t>
      </w:r>
      <w:proofErr w:type="gramStart"/>
      <w:r w:rsidRPr="002A7673">
        <w:rPr>
          <w:rFonts w:ascii="Times New Roman" w:hAnsi="Times New Roman" w:cs="Times New Roman"/>
          <w:sz w:val="28"/>
          <w:szCs w:val="28"/>
        </w:rPr>
        <w:t>continuación</w:t>
      </w:r>
      <w:proofErr w:type="gramEnd"/>
      <w:r w:rsidRPr="002A7673">
        <w:rPr>
          <w:rFonts w:ascii="Times New Roman" w:hAnsi="Times New Roman" w:cs="Times New Roman"/>
          <w:sz w:val="28"/>
          <w:szCs w:val="28"/>
        </w:rPr>
        <w:t xml:space="preserve"> se presenta el comportamiento específico del presupuesto solicitado para necesidades de gasto variable:</w:t>
      </w:r>
    </w:p>
    <w:p w14:paraId="3D3A9C3A" w14:textId="77777777" w:rsidR="0093441E" w:rsidRPr="002A7673" w:rsidRDefault="0093441E" w:rsidP="0093441E">
      <w:pPr>
        <w:spacing w:after="0" w:line="360" w:lineRule="auto"/>
        <w:jc w:val="center"/>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noProof/>
          <w:sz w:val="24"/>
          <w:szCs w:val="24"/>
          <w:lang w:val="es-ES" w:eastAsia="es-ES"/>
        </w:rPr>
        <w:drawing>
          <wp:inline distT="0" distB="0" distL="0" distR="0" wp14:anchorId="0C04EC53" wp14:editId="33EAE759">
            <wp:extent cx="5612130" cy="918845"/>
            <wp:effectExtent l="0" t="0" r="762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2130" cy="918845"/>
                    </a:xfrm>
                    <a:prstGeom prst="rect">
                      <a:avLst/>
                    </a:prstGeom>
                    <a:noFill/>
                    <a:ln>
                      <a:noFill/>
                    </a:ln>
                  </pic:spPr>
                </pic:pic>
              </a:graphicData>
            </a:graphic>
          </wp:inline>
        </w:drawing>
      </w:r>
    </w:p>
    <w:p w14:paraId="0C882C6C" w14:textId="77777777" w:rsidR="0093441E" w:rsidRPr="002A7673" w:rsidRDefault="0093441E" w:rsidP="0093441E">
      <w:pPr>
        <w:spacing w:after="0" w:line="360" w:lineRule="auto"/>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5F1CEC6C" w14:textId="77777777" w:rsidR="0093441E" w:rsidRPr="002A7673" w:rsidRDefault="0093441E" w:rsidP="0093441E">
      <w:pPr>
        <w:spacing w:after="0" w:line="360" w:lineRule="auto"/>
        <w:rPr>
          <w:rFonts w:ascii="Times New Roman" w:hAnsi="Times New Roman" w:cs="Times New Roman"/>
        </w:rPr>
      </w:pPr>
    </w:p>
    <w:p w14:paraId="73A6C61F"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A nivel general el anteproyecto de presupuesto 2022 del programa 926 Dirección, Administración y Otros Órganos de Apoyo y 927 Servicio Jurisdiccional presenta un crecimiento del 2,28% con respecto al presupuesto aprobado el 2021. A </w:t>
      </w:r>
      <w:r w:rsidRPr="002A7673">
        <w:rPr>
          <w:rFonts w:ascii="Times New Roman" w:hAnsi="Times New Roman" w:cs="Times New Roman"/>
          <w:sz w:val="28"/>
          <w:szCs w:val="28"/>
        </w:rPr>
        <w:lastRenderedPageBreak/>
        <w:t xml:space="preserve">nivel de programa presupuestario se muestra un crecimiento de 7,60% en el programa 926 y un decrecimiento de 8,43% en el programa 927. </w:t>
      </w:r>
    </w:p>
    <w:p w14:paraId="600B79C3" w14:textId="77777777" w:rsidR="0093441E" w:rsidRPr="002A7673" w:rsidRDefault="0093441E" w:rsidP="0093441E">
      <w:pPr>
        <w:spacing w:after="0" w:line="360" w:lineRule="auto"/>
        <w:rPr>
          <w:rFonts w:ascii="Times New Roman" w:hAnsi="Times New Roman" w:cs="Times New Roman"/>
        </w:rPr>
      </w:pPr>
    </w:p>
    <w:p w14:paraId="334B1A43"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drawing>
          <wp:inline distT="0" distB="0" distL="0" distR="0" wp14:anchorId="55BA1ED5" wp14:editId="603DB658">
            <wp:extent cx="4542155" cy="2877820"/>
            <wp:effectExtent l="0" t="0" r="0" b="0"/>
            <wp:docPr id="51" name="Imagen 5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157">
                      <a:extLst>
                        <a:ext uri="{28A0092B-C50C-407E-A947-70E740481C1C}">
                          <a14:useLocalDpi xmlns:a14="http://schemas.microsoft.com/office/drawing/2010/main" val="0"/>
                        </a:ext>
                      </a:extLst>
                    </a:blip>
                    <a:stretch>
                      <a:fillRect/>
                    </a:stretch>
                  </pic:blipFill>
                  <pic:spPr>
                    <a:xfrm>
                      <a:off x="0" y="0"/>
                      <a:ext cx="4542155" cy="2877820"/>
                    </a:xfrm>
                    <a:prstGeom prst="rect">
                      <a:avLst/>
                    </a:prstGeom>
                  </pic:spPr>
                </pic:pic>
              </a:graphicData>
            </a:graphic>
          </wp:inline>
        </w:drawing>
      </w:r>
    </w:p>
    <w:p w14:paraId="633B4FCF" w14:textId="77777777" w:rsidR="0093441E" w:rsidRPr="002A7673" w:rsidRDefault="0093441E" w:rsidP="0093441E">
      <w:pPr>
        <w:spacing w:after="0" w:line="360" w:lineRule="auto"/>
        <w:rPr>
          <w:rFonts w:ascii="Times New Roman" w:hAnsi="Times New Roman" w:cs="Times New Roman"/>
          <w:sz w:val="20"/>
          <w:szCs w:val="20"/>
        </w:rPr>
      </w:pPr>
      <w:r w:rsidRPr="002A7673">
        <w:rPr>
          <w:rFonts w:ascii="Times New Roman" w:hAnsi="Times New Roman" w:cs="Times New Roman"/>
          <w:b/>
          <w:bCs/>
          <w:sz w:val="20"/>
          <w:szCs w:val="20"/>
        </w:rPr>
        <w:t xml:space="preserve">      </w:t>
      </w:r>
      <w:r w:rsidRPr="002A7673">
        <w:rPr>
          <w:rFonts w:ascii="Times New Roman" w:hAnsi="Times New Roman" w:cs="Times New Roman"/>
          <w:b/>
          <w:bCs/>
          <w:sz w:val="20"/>
          <w:szCs w:val="20"/>
        </w:rPr>
        <w:tab/>
      </w:r>
      <w:r w:rsidRPr="002A7673">
        <w:rPr>
          <w:rFonts w:ascii="Times New Roman" w:hAnsi="Times New Roman" w:cs="Times New Roman"/>
          <w:b/>
          <w:bCs/>
          <w:sz w:val="20"/>
          <w:szCs w:val="20"/>
        </w:rPr>
        <w:tab/>
        <w:t xml:space="preserve">Fuente: </w:t>
      </w:r>
      <w:r w:rsidRPr="002A7673">
        <w:rPr>
          <w:rFonts w:ascii="Times New Roman" w:hAnsi="Times New Roman" w:cs="Times New Roman"/>
          <w:sz w:val="20"/>
          <w:szCs w:val="20"/>
        </w:rPr>
        <w:t>Elaboración propia con información del Sistema SIGA-PJ.</w:t>
      </w:r>
    </w:p>
    <w:p w14:paraId="75719F5F" w14:textId="77777777" w:rsidR="0093441E" w:rsidRPr="002A7673" w:rsidRDefault="0093441E" w:rsidP="00FF3FAC">
      <w:pPr>
        <w:numPr>
          <w:ilvl w:val="0"/>
          <w:numId w:val="36"/>
        </w:numPr>
        <w:spacing w:after="0" w:line="480" w:lineRule="auto"/>
        <w:ind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Programa 926 Dirección, Administración y Otros Órganos de Apoyo</w:t>
      </w:r>
    </w:p>
    <w:p w14:paraId="22FC0449"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el siguiente cuadro se muestran las subpartidas para el programa presupuestario 926 Dirección, Administración y Otros Órganos de Apoyo, comparando los recursos aprobados para el 2021 y los formulados en el anteproyecto de presupuesto 2022.</w:t>
      </w:r>
    </w:p>
    <w:p w14:paraId="393D3944" w14:textId="77777777" w:rsidR="0093441E" w:rsidRPr="002A7673" w:rsidRDefault="0093441E" w:rsidP="0093441E">
      <w:pPr>
        <w:spacing w:after="0" w:line="360" w:lineRule="auto"/>
        <w:rPr>
          <w:rFonts w:ascii="Times New Roman" w:hAnsi="Times New Roman" w:cs="Times New Roman"/>
          <w:b/>
          <w:bCs/>
          <w:sz w:val="20"/>
          <w:szCs w:val="20"/>
        </w:rPr>
      </w:pPr>
    </w:p>
    <w:tbl>
      <w:tblPr>
        <w:tblW w:w="8740" w:type="dxa"/>
        <w:jc w:val="center"/>
        <w:tblCellMar>
          <w:left w:w="70" w:type="dxa"/>
          <w:right w:w="70" w:type="dxa"/>
        </w:tblCellMar>
        <w:tblLook w:val="04A0" w:firstRow="1" w:lastRow="0" w:firstColumn="1" w:lastColumn="0" w:noHBand="0" w:noVBand="1"/>
      </w:tblPr>
      <w:tblGrid>
        <w:gridCol w:w="5080"/>
        <w:gridCol w:w="1240"/>
        <w:gridCol w:w="1240"/>
        <w:gridCol w:w="1180"/>
      </w:tblGrid>
      <w:tr w:rsidR="0093441E" w:rsidRPr="002A7673" w14:paraId="05E44E8C" w14:textId="77777777" w:rsidTr="0048334E">
        <w:trPr>
          <w:trHeight w:val="440"/>
          <w:jc w:val="center"/>
        </w:trPr>
        <w:tc>
          <w:tcPr>
            <w:tcW w:w="8740" w:type="dxa"/>
            <w:gridSpan w:val="4"/>
            <w:tcBorders>
              <w:top w:val="single" w:sz="4" w:space="0" w:color="auto"/>
              <w:left w:val="single" w:sz="4" w:space="0" w:color="auto"/>
              <w:bottom w:val="single" w:sz="4" w:space="0" w:color="auto"/>
              <w:right w:val="single" w:sz="4" w:space="0" w:color="auto"/>
            </w:tcBorders>
            <w:shd w:val="clear" w:color="000000" w:fill="95B3D7"/>
            <w:vAlign w:val="center"/>
            <w:hideMark/>
          </w:tcPr>
          <w:p w14:paraId="7CCAA9E2" w14:textId="77777777" w:rsidR="0093441E" w:rsidRPr="002A7673" w:rsidRDefault="0093441E" w:rsidP="0048334E">
            <w:pPr>
              <w:spacing w:after="0" w:line="240" w:lineRule="auto"/>
              <w:jc w:val="center"/>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COMPARATIVO 2021-2022 POR SUBPARTIDA</w:t>
            </w:r>
            <w:r w:rsidRPr="002A7673">
              <w:rPr>
                <w:rFonts w:ascii="Times New Roman" w:hAnsi="Times New Roman" w:cs="Times New Roman"/>
                <w:b/>
                <w:sz w:val="16"/>
                <w:szCs w:val="16"/>
                <w:lang w:eastAsia="es-CR"/>
              </w:rPr>
              <w:br/>
              <w:t>PROGRAMA 926 DIRECCIÓN, ADMINISTRACIÓN Y OTROS ÓRGANOS DE APOYO</w:t>
            </w:r>
          </w:p>
        </w:tc>
      </w:tr>
      <w:tr w:rsidR="0093441E" w:rsidRPr="002A7673" w14:paraId="72AB978C" w14:textId="77777777" w:rsidTr="0048334E">
        <w:trPr>
          <w:trHeight w:val="220"/>
          <w:jc w:val="center"/>
        </w:trPr>
        <w:tc>
          <w:tcPr>
            <w:tcW w:w="5080" w:type="dxa"/>
            <w:tcBorders>
              <w:top w:val="nil"/>
              <w:left w:val="single" w:sz="4" w:space="0" w:color="auto"/>
              <w:bottom w:val="single" w:sz="4" w:space="0" w:color="auto"/>
              <w:right w:val="single" w:sz="4" w:space="0" w:color="auto"/>
            </w:tcBorders>
            <w:shd w:val="clear" w:color="000000" w:fill="B8CCE4"/>
            <w:noWrap/>
            <w:vAlign w:val="center"/>
            <w:hideMark/>
          </w:tcPr>
          <w:p w14:paraId="22A605B0" w14:textId="77777777" w:rsidR="0093441E" w:rsidRPr="002A7673" w:rsidRDefault="0093441E" w:rsidP="0048334E">
            <w:pPr>
              <w:spacing w:after="0" w:line="240" w:lineRule="auto"/>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Subpartida</w:t>
            </w:r>
          </w:p>
        </w:tc>
        <w:tc>
          <w:tcPr>
            <w:tcW w:w="1240" w:type="dxa"/>
            <w:tcBorders>
              <w:top w:val="nil"/>
              <w:left w:val="nil"/>
              <w:bottom w:val="single" w:sz="4" w:space="0" w:color="auto"/>
              <w:right w:val="single" w:sz="4" w:space="0" w:color="auto"/>
            </w:tcBorders>
            <w:shd w:val="clear" w:color="000000" w:fill="B8CCE4"/>
            <w:noWrap/>
            <w:vAlign w:val="center"/>
            <w:hideMark/>
          </w:tcPr>
          <w:p w14:paraId="5634E696" w14:textId="77777777" w:rsidR="0093441E" w:rsidRPr="002A7673" w:rsidRDefault="0093441E" w:rsidP="0048334E">
            <w:pPr>
              <w:spacing w:after="0" w:line="240" w:lineRule="auto"/>
              <w:jc w:val="center"/>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2021</w:t>
            </w:r>
          </w:p>
        </w:tc>
        <w:tc>
          <w:tcPr>
            <w:tcW w:w="1240" w:type="dxa"/>
            <w:tcBorders>
              <w:top w:val="nil"/>
              <w:left w:val="nil"/>
              <w:bottom w:val="single" w:sz="4" w:space="0" w:color="auto"/>
              <w:right w:val="single" w:sz="4" w:space="0" w:color="auto"/>
            </w:tcBorders>
            <w:shd w:val="clear" w:color="000000" w:fill="B8CCE4"/>
            <w:noWrap/>
            <w:vAlign w:val="center"/>
            <w:hideMark/>
          </w:tcPr>
          <w:p w14:paraId="467EE46E" w14:textId="77777777" w:rsidR="0093441E" w:rsidRPr="002A7673" w:rsidRDefault="0093441E" w:rsidP="0048334E">
            <w:pPr>
              <w:spacing w:after="0" w:line="240" w:lineRule="auto"/>
              <w:jc w:val="center"/>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2022</w:t>
            </w:r>
          </w:p>
        </w:tc>
        <w:tc>
          <w:tcPr>
            <w:tcW w:w="1180" w:type="dxa"/>
            <w:tcBorders>
              <w:top w:val="nil"/>
              <w:left w:val="nil"/>
              <w:bottom w:val="single" w:sz="4" w:space="0" w:color="auto"/>
              <w:right w:val="single" w:sz="4" w:space="0" w:color="auto"/>
            </w:tcBorders>
            <w:shd w:val="clear" w:color="000000" w:fill="B8CCE4"/>
            <w:noWrap/>
            <w:vAlign w:val="center"/>
            <w:hideMark/>
          </w:tcPr>
          <w:p w14:paraId="0D0E24EF" w14:textId="77777777" w:rsidR="0093441E" w:rsidRPr="002A7673" w:rsidRDefault="0093441E" w:rsidP="0048334E">
            <w:pPr>
              <w:spacing w:after="0" w:line="240" w:lineRule="auto"/>
              <w:jc w:val="center"/>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Diferencia</w:t>
            </w:r>
          </w:p>
        </w:tc>
      </w:tr>
      <w:tr w:rsidR="0093441E" w:rsidRPr="002A7673" w14:paraId="4767E33A"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BE1D4F0"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Alquiler de edificios, locales y terrenos</w:t>
            </w:r>
          </w:p>
        </w:tc>
        <w:tc>
          <w:tcPr>
            <w:tcW w:w="1240" w:type="dxa"/>
            <w:tcBorders>
              <w:top w:val="nil"/>
              <w:left w:val="nil"/>
              <w:bottom w:val="single" w:sz="4" w:space="0" w:color="auto"/>
              <w:right w:val="single" w:sz="4" w:space="0" w:color="auto"/>
            </w:tcBorders>
            <w:shd w:val="clear" w:color="auto" w:fill="auto"/>
            <w:vAlign w:val="center"/>
            <w:hideMark/>
          </w:tcPr>
          <w:p w14:paraId="61B2D76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467 999 077</w:t>
            </w:r>
          </w:p>
        </w:tc>
        <w:tc>
          <w:tcPr>
            <w:tcW w:w="1240" w:type="dxa"/>
            <w:tcBorders>
              <w:top w:val="nil"/>
              <w:left w:val="nil"/>
              <w:bottom w:val="single" w:sz="4" w:space="0" w:color="auto"/>
              <w:right w:val="single" w:sz="4" w:space="0" w:color="auto"/>
            </w:tcBorders>
            <w:shd w:val="clear" w:color="auto" w:fill="auto"/>
            <w:vAlign w:val="center"/>
            <w:hideMark/>
          </w:tcPr>
          <w:p w14:paraId="24FF3B1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462 972 269</w:t>
            </w:r>
          </w:p>
        </w:tc>
        <w:tc>
          <w:tcPr>
            <w:tcW w:w="1180" w:type="dxa"/>
            <w:tcBorders>
              <w:top w:val="nil"/>
              <w:left w:val="nil"/>
              <w:bottom w:val="single" w:sz="4" w:space="0" w:color="auto"/>
              <w:right w:val="single" w:sz="4" w:space="0" w:color="auto"/>
            </w:tcBorders>
            <w:shd w:val="clear" w:color="auto" w:fill="auto"/>
            <w:noWrap/>
            <w:vAlign w:val="center"/>
            <w:hideMark/>
          </w:tcPr>
          <w:p w14:paraId="6E8A36DE"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-5 026 808</w:t>
            </w:r>
          </w:p>
        </w:tc>
      </w:tr>
      <w:tr w:rsidR="0093441E" w:rsidRPr="002A7673" w14:paraId="13D93324"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784F63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lastRenderedPageBreak/>
              <w:t>Alquiler de maquinaria, equipo y mobiliario</w:t>
            </w:r>
          </w:p>
        </w:tc>
        <w:tc>
          <w:tcPr>
            <w:tcW w:w="1240" w:type="dxa"/>
            <w:tcBorders>
              <w:top w:val="nil"/>
              <w:left w:val="nil"/>
              <w:bottom w:val="single" w:sz="4" w:space="0" w:color="auto"/>
              <w:right w:val="single" w:sz="4" w:space="0" w:color="auto"/>
            </w:tcBorders>
            <w:shd w:val="clear" w:color="auto" w:fill="auto"/>
            <w:vAlign w:val="center"/>
            <w:hideMark/>
          </w:tcPr>
          <w:p w14:paraId="42E6AD7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154 500</w:t>
            </w:r>
          </w:p>
        </w:tc>
        <w:tc>
          <w:tcPr>
            <w:tcW w:w="1240" w:type="dxa"/>
            <w:tcBorders>
              <w:top w:val="nil"/>
              <w:left w:val="nil"/>
              <w:bottom w:val="single" w:sz="4" w:space="0" w:color="auto"/>
              <w:right w:val="single" w:sz="4" w:space="0" w:color="auto"/>
            </w:tcBorders>
            <w:shd w:val="clear" w:color="auto" w:fill="auto"/>
            <w:vAlign w:val="center"/>
            <w:hideMark/>
          </w:tcPr>
          <w:p w14:paraId="269A8B0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154 500</w:t>
            </w:r>
          </w:p>
        </w:tc>
        <w:tc>
          <w:tcPr>
            <w:tcW w:w="1180" w:type="dxa"/>
            <w:tcBorders>
              <w:top w:val="nil"/>
              <w:left w:val="nil"/>
              <w:bottom w:val="single" w:sz="4" w:space="0" w:color="auto"/>
              <w:right w:val="single" w:sz="4" w:space="0" w:color="auto"/>
            </w:tcBorders>
            <w:shd w:val="clear" w:color="auto" w:fill="auto"/>
            <w:noWrap/>
            <w:vAlign w:val="center"/>
            <w:hideMark/>
          </w:tcPr>
          <w:p w14:paraId="11D42D44"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0</w:t>
            </w:r>
          </w:p>
        </w:tc>
      </w:tr>
      <w:tr w:rsidR="0093441E" w:rsidRPr="002A7673" w14:paraId="24245B2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E8BB0B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Alquiler de equipo de cómputo</w:t>
            </w:r>
          </w:p>
        </w:tc>
        <w:tc>
          <w:tcPr>
            <w:tcW w:w="1240" w:type="dxa"/>
            <w:tcBorders>
              <w:top w:val="nil"/>
              <w:left w:val="nil"/>
              <w:bottom w:val="single" w:sz="4" w:space="0" w:color="auto"/>
              <w:right w:val="single" w:sz="4" w:space="0" w:color="auto"/>
            </w:tcBorders>
            <w:shd w:val="clear" w:color="auto" w:fill="auto"/>
            <w:vAlign w:val="center"/>
            <w:hideMark/>
          </w:tcPr>
          <w:p w14:paraId="20071EA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243 821 494</w:t>
            </w:r>
          </w:p>
        </w:tc>
        <w:tc>
          <w:tcPr>
            <w:tcW w:w="1240" w:type="dxa"/>
            <w:tcBorders>
              <w:top w:val="nil"/>
              <w:left w:val="nil"/>
              <w:bottom w:val="single" w:sz="4" w:space="0" w:color="auto"/>
              <w:right w:val="single" w:sz="4" w:space="0" w:color="auto"/>
            </w:tcBorders>
            <w:shd w:val="clear" w:color="auto" w:fill="auto"/>
            <w:vAlign w:val="center"/>
            <w:hideMark/>
          </w:tcPr>
          <w:p w14:paraId="4C2F625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484 906 142</w:t>
            </w:r>
          </w:p>
        </w:tc>
        <w:tc>
          <w:tcPr>
            <w:tcW w:w="1180" w:type="dxa"/>
            <w:tcBorders>
              <w:top w:val="nil"/>
              <w:left w:val="nil"/>
              <w:bottom w:val="single" w:sz="4" w:space="0" w:color="auto"/>
              <w:right w:val="single" w:sz="4" w:space="0" w:color="auto"/>
            </w:tcBorders>
            <w:shd w:val="clear" w:color="auto" w:fill="auto"/>
            <w:noWrap/>
            <w:vAlign w:val="center"/>
            <w:hideMark/>
          </w:tcPr>
          <w:p w14:paraId="50DC07CE"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241 084 648</w:t>
            </w:r>
          </w:p>
        </w:tc>
      </w:tr>
      <w:tr w:rsidR="0093441E" w:rsidRPr="002A7673" w14:paraId="663F75E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1C8CD0B"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Alquiler de equipo y derechos para comunicaciones</w:t>
            </w:r>
          </w:p>
        </w:tc>
        <w:tc>
          <w:tcPr>
            <w:tcW w:w="1240" w:type="dxa"/>
            <w:tcBorders>
              <w:top w:val="nil"/>
              <w:left w:val="nil"/>
              <w:bottom w:val="single" w:sz="4" w:space="0" w:color="auto"/>
              <w:right w:val="single" w:sz="4" w:space="0" w:color="auto"/>
            </w:tcBorders>
            <w:shd w:val="clear" w:color="auto" w:fill="auto"/>
            <w:vAlign w:val="center"/>
            <w:hideMark/>
          </w:tcPr>
          <w:p w14:paraId="2F6EE07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49 138 264</w:t>
            </w:r>
          </w:p>
        </w:tc>
        <w:tc>
          <w:tcPr>
            <w:tcW w:w="1240" w:type="dxa"/>
            <w:tcBorders>
              <w:top w:val="nil"/>
              <w:left w:val="nil"/>
              <w:bottom w:val="single" w:sz="4" w:space="0" w:color="auto"/>
              <w:right w:val="single" w:sz="4" w:space="0" w:color="auto"/>
            </w:tcBorders>
            <w:shd w:val="clear" w:color="auto" w:fill="auto"/>
            <w:vAlign w:val="center"/>
            <w:hideMark/>
          </w:tcPr>
          <w:p w14:paraId="4BA6C57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22 050 335</w:t>
            </w:r>
          </w:p>
        </w:tc>
        <w:tc>
          <w:tcPr>
            <w:tcW w:w="1180" w:type="dxa"/>
            <w:tcBorders>
              <w:top w:val="nil"/>
              <w:left w:val="nil"/>
              <w:bottom w:val="single" w:sz="4" w:space="0" w:color="auto"/>
              <w:right w:val="single" w:sz="4" w:space="0" w:color="auto"/>
            </w:tcBorders>
            <w:shd w:val="clear" w:color="auto" w:fill="auto"/>
            <w:noWrap/>
            <w:vAlign w:val="center"/>
            <w:hideMark/>
          </w:tcPr>
          <w:p w14:paraId="57F17C6E"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-27 087 929</w:t>
            </w:r>
          </w:p>
        </w:tc>
      </w:tr>
      <w:tr w:rsidR="0093441E" w:rsidRPr="002A7673" w14:paraId="634016B7"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B9A247D"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alquileres</w:t>
            </w:r>
          </w:p>
        </w:tc>
        <w:tc>
          <w:tcPr>
            <w:tcW w:w="1240" w:type="dxa"/>
            <w:tcBorders>
              <w:top w:val="nil"/>
              <w:left w:val="nil"/>
              <w:bottom w:val="single" w:sz="4" w:space="0" w:color="auto"/>
              <w:right w:val="single" w:sz="4" w:space="0" w:color="auto"/>
            </w:tcBorders>
            <w:shd w:val="clear" w:color="auto" w:fill="auto"/>
            <w:vAlign w:val="center"/>
            <w:hideMark/>
          </w:tcPr>
          <w:p w14:paraId="53768A8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315 292 674</w:t>
            </w:r>
          </w:p>
        </w:tc>
        <w:tc>
          <w:tcPr>
            <w:tcW w:w="1240" w:type="dxa"/>
            <w:tcBorders>
              <w:top w:val="nil"/>
              <w:left w:val="nil"/>
              <w:bottom w:val="single" w:sz="4" w:space="0" w:color="auto"/>
              <w:right w:val="single" w:sz="4" w:space="0" w:color="auto"/>
            </w:tcBorders>
            <w:shd w:val="clear" w:color="auto" w:fill="auto"/>
            <w:vAlign w:val="center"/>
            <w:hideMark/>
          </w:tcPr>
          <w:p w14:paraId="05AD42F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355 726 731</w:t>
            </w:r>
          </w:p>
        </w:tc>
        <w:tc>
          <w:tcPr>
            <w:tcW w:w="1180" w:type="dxa"/>
            <w:tcBorders>
              <w:top w:val="nil"/>
              <w:left w:val="nil"/>
              <w:bottom w:val="single" w:sz="4" w:space="0" w:color="auto"/>
              <w:right w:val="single" w:sz="4" w:space="0" w:color="auto"/>
            </w:tcBorders>
            <w:shd w:val="clear" w:color="auto" w:fill="auto"/>
            <w:noWrap/>
            <w:vAlign w:val="center"/>
            <w:hideMark/>
          </w:tcPr>
          <w:p w14:paraId="62EE18F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40 434 057</w:t>
            </w:r>
          </w:p>
        </w:tc>
      </w:tr>
      <w:tr w:rsidR="0093441E" w:rsidRPr="002A7673" w14:paraId="1CF12C9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CB44EA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Servicio de agua y alcantarillado </w:t>
            </w:r>
          </w:p>
        </w:tc>
        <w:tc>
          <w:tcPr>
            <w:tcW w:w="1240" w:type="dxa"/>
            <w:tcBorders>
              <w:top w:val="nil"/>
              <w:left w:val="nil"/>
              <w:bottom w:val="single" w:sz="4" w:space="0" w:color="auto"/>
              <w:right w:val="single" w:sz="4" w:space="0" w:color="auto"/>
            </w:tcBorders>
            <w:shd w:val="clear" w:color="auto" w:fill="auto"/>
            <w:vAlign w:val="center"/>
            <w:hideMark/>
          </w:tcPr>
          <w:p w14:paraId="1C3A7D9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164 697 705</w:t>
            </w:r>
          </w:p>
        </w:tc>
        <w:tc>
          <w:tcPr>
            <w:tcW w:w="1240" w:type="dxa"/>
            <w:tcBorders>
              <w:top w:val="nil"/>
              <w:left w:val="nil"/>
              <w:bottom w:val="single" w:sz="4" w:space="0" w:color="auto"/>
              <w:right w:val="single" w:sz="4" w:space="0" w:color="auto"/>
            </w:tcBorders>
            <w:shd w:val="clear" w:color="auto" w:fill="auto"/>
            <w:vAlign w:val="center"/>
            <w:hideMark/>
          </w:tcPr>
          <w:p w14:paraId="0AF1D02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161 383 022</w:t>
            </w:r>
          </w:p>
        </w:tc>
        <w:tc>
          <w:tcPr>
            <w:tcW w:w="1180" w:type="dxa"/>
            <w:tcBorders>
              <w:top w:val="nil"/>
              <w:left w:val="nil"/>
              <w:bottom w:val="single" w:sz="4" w:space="0" w:color="auto"/>
              <w:right w:val="single" w:sz="4" w:space="0" w:color="auto"/>
            </w:tcBorders>
            <w:shd w:val="clear" w:color="auto" w:fill="auto"/>
            <w:noWrap/>
            <w:vAlign w:val="center"/>
            <w:hideMark/>
          </w:tcPr>
          <w:p w14:paraId="79CBDD2E"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-3 314 683</w:t>
            </w:r>
          </w:p>
        </w:tc>
      </w:tr>
      <w:tr w:rsidR="0093441E" w:rsidRPr="002A7673" w14:paraId="54D771B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B477E15"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 de energía eléctrica</w:t>
            </w:r>
          </w:p>
        </w:tc>
        <w:tc>
          <w:tcPr>
            <w:tcW w:w="1240" w:type="dxa"/>
            <w:tcBorders>
              <w:top w:val="nil"/>
              <w:left w:val="nil"/>
              <w:bottom w:val="single" w:sz="4" w:space="0" w:color="auto"/>
              <w:right w:val="single" w:sz="4" w:space="0" w:color="auto"/>
            </w:tcBorders>
            <w:shd w:val="clear" w:color="auto" w:fill="auto"/>
            <w:vAlign w:val="center"/>
            <w:hideMark/>
          </w:tcPr>
          <w:p w14:paraId="30BCC97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733 851 247</w:t>
            </w:r>
          </w:p>
        </w:tc>
        <w:tc>
          <w:tcPr>
            <w:tcW w:w="1240" w:type="dxa"/>
            <w:tcBorders>
              <w:top w:val="nil"/>
              <w:left w:val="nil"/>
              <w:bottom w:val="single" w:sz="4" w:space="0" w:color="auto"/>
              <w:right w:val="single" w:sz="4" w:space="0" w:color="auto"/>
            </w:tcBorders>
            <w:shd w:val="clear" w:color="auto" w:fill="auto"/>
            <w:vAlign w:val="center"/>
            <w:hideMark/>
          </w:tcPr>
          <w:p w14:paraId="5588B76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742 920 221</w:t>
            </w:r>
          </w:p>
        </w:tc>
        <w:tc>
          <w:tcPr>
            <w:tcW w:w="1180" w:type="dxa"/>
            <w:tcBorders>
              <w:top w:val="nil"/>
              <w:left w:val="nil"/>
              <w:bottom w:val="single" w:sz="4" w:space="0" w:color="auto"/>
              <w:right w:val="single" w:sz="4" w:space="0" w:color="auto"/>
            </w:tcBorders>
            <w:shd w:val="clear" w:color="auto" w:fill="auto"/>
            <w:noWrap/>
            <w:vAlign w:val="center"/>
            <w:hideMark/>
          </w:tcPr>
          <w:p w14:paraId="78F11C4B"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9 068 974</w:t>
            </w:r>
          </w:p>
        </w:tc>
      </w:tr>
      <w:tr w:rsidR="0093441E" w:rsidRPr="002A7673" w14:paraId="1BF49FB3"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831644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 de correo</w:t>
            </w:r>
          </w:p>
        </w:tc>
        <w:tc>
          <w:tcPr>
            <w:tcW w:w="1240" w:type="dxa"/>
            <w:tcBorders>
              <w:top w:val="nil"/>
              <w:left w:val="nil"/>
              <w:bottom w:val="single" w:sz="4" w:space="0" w:color="auto"/>
              <w:right w:val="single" w:sz="4" w:space="0" w:color="auto"/>
            </w:tcBorders>
            <w:shd w:val="clear" w:color="auto" w:fill="auto"/>
            <w:vAlign w:val="center"/>
            <w:hideMark/>
          </w:tcPr>
          <w:p w14:paraId="49E19F0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183 958 961</w:t>
            </w:r>
          </w:p>
        </w:tc>
        <w:tc>
          <w:tcPr>
            <w:tcW w:w="1240" w:type="dxa"/>
            <w:tcBorders>
              <w:top w:val="nil"/>
              <w:left w:val="nil"/>
              <w:bottom w:val="single" w:sz="4" w:space="0" w:color="auto"/>
              <w:right w:val="single" w:sz="4" w:space="0" w:color="auto"/>
            </w:tcBorders>
            <w:shd w:val="clear" w:color="auto" w:fill="auto"/>
            <w:vAlign w:val="center"/>
            <w:hideMark/>
          </w:tcPr>
          <w:p w14:paraId="6F9E030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195 248 871</w:t>
            </w:r>
          </w:p>
        </w:tc>
        <w:tc>
          <w:tcPr>
            <w:tcW w:w="1180" w:type="dxa"/>
            <w:tcBorders>
              <w:top w:val="nil"/>
              <w:left w:val="nil"/>
              <w:bottom w:val="single" w:sz="4" w:space="0" w:color="auto"/>
              <w:right w:val="single" w:sz="4" w:space="0" w:color="auto"/>
            </w:tcBorders>
            <w:shd w:val="clear" w:color="auto" w:fill="auto"/>
            <w:noWrap/>
            <w:vAlign w:val="center"/>
            <w:hideMark/>
          </w:tcPr>
          <w:p w14:paraId="1BE78561"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11 289 910</w:t>
            </w:r>
          </w:p>
        </w:tc>
      </w:tr>
      <w:tr w:rsidR="0093441E" w:rsidRPr="002A7673" w14:paraId="001644F9"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29F581E"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 de telecomunicaciones</w:t>
            </w:r>
          </w:p>
        </w:tc>
        <w:tc>
          <w:tcPr>
            <w:tcW w:w="1240" w:type="dxa"/>
            <w:tcBorders>
              <w:top w:val="nil"/>
              <w:left w:val="nil"/>
              <w:bottom w:val="single" w:sz="4" w:space="0" w:color="auto"/>
              <w:right w:val="single" w:sz="4" w:space="0" w:color="auto"/>
            </w:tcBorders>
            <w:shd w:val="clear" w:color="auto" w:fill="auto"/>
            <w:vAlign w:val="center"/>
            <w:hideMark/>
          </w:tcPr>
          <w:p w14:paraId="0604325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1 000 652 045</w:t>
            </w:r>
          </w:p>
        </w:tc>
        <w:tc>
          <w:tcPr>
            <w:tcW w:w="1240" w:type="dxa"/>
            <w:tcBorders>
              <w:top w:val="nil"/>
              <w:left w:val="nil"/>
              <w:bottom w:val="single" w:sz="4" w:space="0" w:color="auto"/>
              <w:right w:val="single" w:sz="4" w:space="0" w:color="auto"/>
            </w:tcBorders>
            <w:shd w:val="clear" w:color="auto" w:fill="auto"/>
            <w:vAlign w:val="center"/>
            <w:hideMark/>
          </w:tcPr>
          <w:p w14:paraId="6A0B28D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1 270 909 430</w:t>
            </w:r>
          </w:p>
        </w:tc>
        <w:tc>
          <w:tcPr>
            <w:tcW w:w="1180" w:type="dxa"/>
            <w:tcBorders>
              <w:top w:val="nil"/>
              <w:left w:val="nil"/>
              <w:bottom w:val="single" w:sz="4" w:space="0" w:color="auto"/>
              <w:right w:val="single" w:sz="4" w:space="0" w:color="auto"/>
            </w:tcBorders>
            <w:shd w:val="clear" w:color="auto" w:fill="auto"/>
            <w:noWrap/>
            <w:vAlign w:val="center"/>
            <w:hideMark/>
          </w:tcPr>
          <w:p w14:paraId="492A8AA9"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270 257 385</w:t>
            </w:r>
          </w:p>
        </w:tc>
      </w:tr>
      <w:tr w:rsidR="0093441E" w:rsidRPr="002A7673" w14:paraId="6EDDAD40"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160B42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Otros servicios básicos </w:t>
            </w:r>
          </w:p>
        </w:tc>
        <w:tc>
          <w:tcPr>
            <w:tcW w:w="1240" w:type="dxa"/>
            <w:tcBorders>
              <w:top w:val="nil"/>
              <w:left w:val="nil"/>
              <w:bottom w:val="single" w:sz="4" w:space="0" w:color="auto"/>
              <w:right w:val="single" w:sz="4" w:space="0" w:color="auto"/>
            </w:tcBorders>
            <w:shd w:val="clear" w:color="auto" w:fill="auto"/>
            <w:vAlign w:val="center"/>
            <w:hideMark/>
          </w:tcPr>
          <w:p w14:paraId="25ED63F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122 920 116</w:t>
            </w:r>
          </w:p>
        </w:tc>
        <w:tc>
          <w:tcPr>
            <w:tcW w:w="1240" w:type="dxa"/>
            <w:tcBorders>
              <w:top w:val="nil"/>
              <w:left w:val="nil"/>
              <w:bottom w:val="single" w:sz="4" w:space="0" w:color="auto"/>
              <w:right w:val="single" w:sz="4" w:space="0" w:color="auto"/>
            </w:tcBorders>
            <w:shd w:val="clear" w:color="auto" w:fill="auto"/>
            <w:vAlign w:val="center"/>
            <w:hideMark/>
          </w:tcPr>
          <w:p w14:paraId="1F20C9C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122 209 861</w:t>
            </w:r>
          </w:p>
        </w:tc>
        <w:tc>
          <w:tcPr>
            <w:tcW w:w="1180" w:type="dxa"/>
            <w:tcBorders>
              <w:top w:val="nil"/>
              <w:left w:val="nil"/>
              <w:bottom w:val="single" w:sz="4" w:space="0" w:color="auto"/>
              <w:right w:val="single" w:sz="4" w:space="0" w:color="auto"/>
            </w:tcBorders>
            <w:shd w:val="clear" w:color="auto" w:fill="auto"/>
            <w:noWrap/>
            <w:vAlign w:val="center"/>
            <w:hideMark/>
          </w:tcPr>
          <w:p w14:paraId="47E9C955"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-710 255</w:t>
            </w:r>
          </w:p>
        </w:tc>
      </w:tr>
      <w:tr w:rsidR="0093441E" w:rsidRPr="002A7673" w14:paraId="7B696674"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494C5541"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Información </w:t>
            </w:r>
          </w:p>
        </w:tc>
        <w:tc>
          <w:tcPr>
            <w:tcW w:w="1240" w:type="dxa"/>
            <w:tcBorders>
              <w:top w:val="nil"/>
              <w:left w:val="nil"/>
              <w:bottom w:val="single" w:sz="4" w:space="0" w:color="auto"/>
              <w:right w:val="single" w:sz="4" w:space="0" w:color="auto"/>
            </w:tcBorders>
            <w:shd w:val="clear" w:color="auto" w:fill="auto"/>
            <w:vAlign w:val="center"/>
            <w:hideMark/>
          </w:tcPr>
          <w:p w14:paraId="106F72C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105 388 215</w:t>
            </w:r>
          </w:p>
        </w:tc>
        <w:tc>
          <w:tcPr>
            <w:tcW w:w="1240" w:type="dxa"/>
            <w:tcBorders>
              <w:top w:val="nil"/>
              <w:left w:val="nil"/>
              <w:bottom w:val="single" w:sz="4" w:space="0" w:color="auto"/>
              <w:right w:val="single" w:sz="4" w:space="0" w:color="auto"/>
            </w:tcBorders>
            <w:shd w:val="clear" w:color="auto" w:fill="auto"/>
            <w:vAlign w:val="center"/>
            <w:hideMark/>
          </w:tcPr>
          <w:p w14:paraId="1E9255A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99 751 387</w:t>
            </w:r>
          </w:p>
        </w:tc>
        <w:tc>
          <w:tcPr>
            <w:tcW w:w="1180" w:type="dxa"/>
            <w:tcBorders>
              <w:top w:val="nil"/>
              <w:left w:val="nil"/>
              <w:bottom w:val="single" w:sz="4" w:space="0" w:color="auto"/>
              <w:right w:val="single" w:sz="4" w:space="0" w:color="auto"/>
            </w:tcBorders>
            <w:shd w:val="clear" w:color="auto" w:fill="auto"/>
            <w:noWrap/>
            <w:vAlign w:val="center"/>
            <w:hideMark/>
          </w:tcPr>
          <w:p w14:paraId="6EEC5442"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-5 636 828</w:t>
            </w:r>
          </w:p>
        </w:tc>
      </w:tr>
      <w:tr w:rsidR="0093441E" w:rsidRPr="002A7673" w14:paraId="05D37CF3"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58C615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Publicidad y propaganda</w:t>
            </w:r>
          </w:p>
        </w:tc>
        <w:tc>
          <w:tcPr>
            <w:tcW w:w="1240" w:type="dxa"/>
            <w:tcBorders>
              <w:top w:val="nil"/>
              <w:left w:val="nil"/>
              <w:bottom w:val="single" w:sz="4" w:space="0" w:color="auto"/>
              <w:right w:val="single" w:sz="4" w:space="0" w:color="auto"/>
            </w:tcBorders>
            <w:shd w:val="clear" w:color="auto" w:fill="auto"/>
            <w:vAlign w:val="center"/>
            <w:hideMark/>
          </w:tcPr>
          <w:p w14:paraId="457FCB9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14 352 443</w:t>
            </w:r>
          </w:p>
        </w:tc>
        <w:tc>
          <w:tcPr>
            <w:tcW w:w="1240" w:type="dxa"/>
            <w:tcBorders>
              <w:top w:val="nil"/>
              <w:left w:val="nil"/>
              <w:bottom w:val="single" w:sz="4" w:space="0" w:color="auto"/>
              <w:right w:val="single" w:sz="4" w:space="0" w:color="auto"/>
            </w:tcBorders>
            <w:shd w:val="clear" w:color="auto" w:fill="auto"/>
            <w:vAlign w:val="center"/>
            <w:hideMark/>
          </w:tcPr>
          <w:p w14:paraId="52B1DFB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12 571 333</w:t>
            </w:r>
          </w:p>
        </w:tc>
        <w:tc>
          <w:tcPr>
            <w:tcW w:w="1180" w:type="dxa"/>
            <w:tcBorders>
              <w:top w:val="nil"/>
              <w:left w:val="nil"/>
              <w:bottom w:val="single" w:sz="4" w:space="0" w:color="auto"/>
              <w:right w:val="single" w:sz="4" w:space="0" w:color="auto"/>
            </w:tcBorders>
            <w:shd w:val="clear" w:color="auto" w:fill="auto"/>
            <w:noWrap/>
            <w:vAlign w:val="center"/>
            <w:hideMark/>
          </w:tcPr>
          <w:p w14:paraId="0CDFEEA9"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-1 781 110</w:t>
            </w:r>
          </w:p>
        </w:tc>
      </w:tr>
      <w:tr w:rsidR="0093441E" w:rsidRPr="002A7673" w14:paraId="58D5763B"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D6D288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Impresión, encuadernación y otros</w:t>
            </w:r>
          </w:p>
        </w:tc>
        <w:tc>
          <w:tcPr>
            <w:tcW w:w="1240" w:type="dxa"/>
            <w:tcBorders>
              <w:top w:val="nil"/>
              <w:left w:val="nil"/>
              <w:bottom w:val="single" w:sz="4" w:space="0" w:color="auto"/>
              <w:right w:val="single" w:sz="4" w:space="0" w:color="auto"/>
            </w:tcBorders>
            <w:shd w:val="clear" w:color="auto" w:fill="auto"/>
            <w:vAlign w:val="center"/>
            <w:hideMark/>
          </w:tcPr>
          <w:p w14:paraId="7FB9A4D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108 033 292</w:t>
            </w:r>
          </w:p>
        </w:tc>
        <w:tc>
          <w:tcPr>
            <w:tcW w:w="1240" w:type="dxa"/>
            <w:tcBorders>
              <w:top w:val="nil"/>
              <w:left w:val="nil"/>
              <w:bottom w:val="single" w:sz="4" w:space="0" w:color="auto"/>
              <w:right w:val="single" w:sz="4" w:space="0" w:color="auto"/>
            </w:tcBorders>
            <w:shd w:val="clear" w:color="auto" w:fill="auto"/>
            <w:vAlign w:val="center"/>
            <w:hideMark/>
          </w:tcPr>
          <w:p w14:paraId="0FF6342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97 993 632</w:t>
            </w:r>
          </w:p>
        </w:tc>
        <w:tc>
          <w:tcPr>
            <w:tcW w:w="1180" w:type="dxa"/>
            <w:tcBorders>
              <w:top w:val="nil"/>
              <w:left w:val="nil"/>
              <w:bottom w:val="single" w:sz="4" w:space="0" w:color="auto"/>
              <w:right w:val="single" w:sz="4" w:space="0" w:color="auto"/>
            </w:tcBorders>
            <w:shd w:val="clear" w:color="auto" w:fill="auto"/>
            <w:noWrap/>
            <w:vAlign w:val="center"/>
            <w:hideMark/>
          </w:tcPr>
          <w:p w14:paraId="733BD13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-10 039 660</w:t>
            </w:r>
          </w:p>
        </w:tc>
      </w:tr>
      <w:tr w:rsidR="0093441E" w:rsidRPr="002A7673" w14:paraId="2F994877"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025941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Transporte de bienes</w:t>
            </w:r>
          </w:p>
        </w:tc>
        <w:tc>
          <w:tcPr>
            <w:tcW w:w="1240" w:type="dxa"/>
            <w:tcBorders>
              <w:top w:val="nil"/>
              <w:left w:val="nil"/>
              <w:bottom w:val="single" w:sz="4" w:space="0" w:color="auto"/>
              <w:right w:val="single" w:sz="4" w:space="0" w:color="auto"/>
            </w:tcBorders>
            <w:shd w:val="clear" w:color="auto" w:fill="auto"/>
            <w:vAlign w:val="center"/>
            <w:hideMark/>
          </w:tcPr>
          <w:p w14:paraId="0CAE39D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29 679 525</w:t>
            </w:r>
          </w:p>
        </w:tc>
        <w:tc>
          <w:tcPr>
            <w:tcW w:w="1240" w:type="dxa"/>
            <w:tcBorders>
              <w:top w:val="nil"/>
              <w:left w:val="nil"/>
              <w:bottom w:val="single" w:sz="4" w:space="0" w:color="auto"/>
              <w:right w:val="single" w:sz="4" w:space="0" w:color="auto"/>
            </w:tcBorders>
            <w:shd w:val="clear" w:color="auto" w:fill="auto"/>
            <w:vAlign w:val="center"/>
            <w:hideMark/>
          </w:tcPr>
          <w:p w14:paraId="12ED31D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26 119 819</w:t>
            </w:r>
          </w:p>
        </w:tc>
        <w:tc>
          <w:tcPr>
            <w:tcW w:w="1180" w:type="dxa"/>
            <w:tcBorders>
              <w:top w:val="nil"/>
              <w:left w:val="nil"/>
              <w:bottom w:val="single" w:sz="4" w:space="0" w:color="auto"/>
              <w:right w:val="single" w:sz="4" w:space="0" w:color="auto"/>
            </w:tcBorders>
            <w:shd w:val="clear" w:color="auto" w:fill="auto"/>
            <w:noWrap/>
            <w:vAlign w:val="center"/>
            <w:hideMark/>
          </w:tcPr>
          <w:p w14:paraId="309DC4F2"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-3 559 706</w:t>
            </w:r>
          </w:p>
        </w:tc>
      </w:tr>
      <w:tr w:rsidR="0093441E" w:rsidRPr="002A7673" w14:paraId="06FBF849"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67DBAD3"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Servicios aduaneros</w:t>
            </w:r>
          </w:p>
        </w:tc>
        <w:tc>
          <w:tcPr>
            <w:tcW w:w="1240" w:type="dxa"/>
            <w:tcBorders>
              <w:top w:val="nil"/>
              <w:left w:val="nil"/>
              <w:bottom w:val="single" w:sz="4" w:space="0" w:color="auto"/>
              <w:right w:val="single" w:sz="4" w:space="0" w:color="auto"/>
            </w:tcBorders>
            <w:shd w:val="clear" w:color="auto" w:fill="auto"/>
            <w:vAlign w:val="center"/>
            <w:hideMark/>
          </w:tcPr>
          <w:p w14:paraId="4074EFF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882 000</w:t>
            </w:r>
          </w:p>
        </w:tc>
        <w:tc>
          <w:tcPr>
            <w:tcW w:w="1240" w:type="dxa"/>
            <w:tcBorders>
              <w:top w:val="nil"/>
              <w:left w:val="nil"/>
              <w:bottom w:val="single" w:sz="4" w:space="0" w:color="auto"/>
              <w:right w:val="single" w:sz="4" w:space="0" w:color="auto"/>
            </w:tcBorders>
            <w:shd w:val="clear" w:color="auto" w:fill="auto"/>
            <w:vAlign w:val="center"/>
            <w:hideMark/>
          </w:tcPr>
          <w:p w14:paraId="6126C33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700 000</w:t>
            </w:r>
          </w:p>
        </w:tc>
        <w:tc>
          <w:tcPr>
            <w:tcW w:w="1180" w:type="dxa"/>
            <w:tcBorders>
              <w:top w:val="nil"/>
              <w:left w:val="nil"/>
              <w:bottom w:val="single" w:sz="4" w:space="0" w:color="auto"/>
              <w:right w:val="single" w:sz="4" w:space="0" w:color="auto"/>
            </w:tcBorders>
            <w:shd w:val="clear" w:color="auto" w:fill="auto"/>
            <w:noWrap/>
            <w:vAlign w:val="center"/>
            <w:hideMark/>
          </w:tcPr>
          <w:p w14:paraId="271C628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-182 000</w:t>
            </w:r>
          </w:p>
        </w:tc>
      </w:tr>
      <w:tr w:rsidR="0093441E" w:rsidRPr="002A7673" w14:paraId="6FDBC91A" w14:textId="77777777" w:rsidTr="0048334E">
        <w:trPr>
          <w:trHeight w:val="21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B70C0F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Comisiones y gastos por servicios financieros y comerciales</w:t>
            </w:r>
          </w:p>
        </w:tc>
        <w:tc>
          <w:tcPr>
            <w:tcW w:w="1240" w:type="dxa"/>
            <w:tcBorders>
              <w:top w:val="nil"/>
              <w:left w:val="nil"/>
              <w:bottom w:val="single" w:sz="4" w:space="0" w:color="auto"/>
              <w:right w:val="single" w:sz="4" w:space="0" w:color="auto"/>
            </w:tcBorders>
            <w:shd w:val="clear" w:color="auto" w:fill="auto"/>
            <w:vAlign w:val="center"/>
            <w:hideMark/>
          </w:tcPr>
          <w:p w14:paraId="7FA6AEC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119 948 094</w:t>
            </w:r>
          </w:p>
        </w:tc>
        <w:tc>
          <w:tcPr>
            <w:tcW w:w="1240" w:type="dxa"/>
            <w:tcBorders>
              <w:top w:val="nil"/>
              <w:left w:val="nil"/>
              <w:bottom w:val="single" w:sz="4" w:space="0" w:color="auto"/>
              <w:right w:val="single" w:sz="4" w:space="0" w:color="auto"/>
            </w:tcBorders>
            <w:shd w:val="clear" w:color="auto" w:fill="auto"/>
            <w:vAlign w:val="center"/>
            <w:hideMark/>
          </w:tcPr>
          <w:p w14:paraId="388BB7E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145 784 541</w:t>
            </w:r>
          </w:p>
        </w:tc>
        <w:tc>
          <w:tcPr>
            <w:tcW w:w="1180" w:type="dxa"/>
            <w:tcBorders>
              <w:top w:val="nil"/>
              <w:left w:val="nil"/>
              <w:bottom w:val="single" w:sz="4" w:space="0" w:color="auto"/>
              <w:right w:val="single" w:sz="4" w:space="0" w:color="auto"/>
            </w:tcBorders>
            <w:shd w:val="clear" w:color="auto" w:fill="auto"/>
            <w:noWrap/>
            <w:vAlign w:val="center"/>
            <w:hideMark/>
          </w:tcPr>
          <w:p w14:paraId="6319CD09"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25 836 447</w:t>
            </w:r>
          </w:p>
        </w:tc>
      </w:tr>
      <w:tr w:rsidR="0093441E" w:rsidRPr="002A7673" w14:paraId="4B0A5B63"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DBEEDCB"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Servicios de tecnologías de información</w:t>
            </w:r>
          </w:p>
        </w:tc>
        <w:tc>
          <w:tcPr>
            <w:tcW w:w="1240" w:type="dxa"/>
            <w:tcBorders>
              <w:top w:val="nil"/>
              <w:left w:val="nil"/>
              <w:bottom w:val="single" w:sz="4" w:space="0" w:color="auto"/>
              <w:right w:val="single" w:sz="4" w:space="0" w:color="auto"/>
            </w:tcBorders>
            <w:shd w:val="clear" w:color="auto" w:fill="auto"/>
            <w:vAlign w:val="center"/>
            <w:hideMark/>
          </w:tcPr>
          <w:p w14:paraId="00B56EA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46 354 261</w:t>
            </w:r>
          </w:p>
        </w:tc>
        <w:tc>
          <w:tcPr>
            <w:tcW w:w="1240" w:type="dxa"/>
            <w:tcBorders>
              <w:top w:val="nil"/>
              <w:left w:val="nil"/>
              <w:bottom w:val="single" w:sz="4" w:space="0" w:color="auto"/>
              <w:right w:val="single" w:sz="4" w:space="0" w:color="auto"/>
            </w:tcBorders>
            <w:shd w:val="clear" w:color="auto" w:fill="auto"/>
            <w:vAlign w:val="center"/>
            <w:hideMark/>
          </w:tcPr>
          <w:p w14:paraId="4B61967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40 338 976</w:t>
            </w:r>
          </w:p>
        </w:tc>
        <w:tc>
          <w:tcPr>
            <w:tcW w:w="1180" w:type="dxa"/>
            <w:tcBorders>
              <w:top w:val="nil"/>
              <w:left w:val="nil"/>
              <w:bottom w:val="single" w:sz="4" w:space="0" w:color="auto"/>
              <w:right w:val="single" w:sz="4" w:space="0" w:color="auto"/>
            </w:tcBorders>
            <w:shd w:val="clear" w:color="auto" w:fill="auto"/>
            <w:noWrap/>
            <w:vAlign w:val="center"/>
            <w:hideMark/>
          </w:tcPr>
          <w:p w14:paraId="79D7133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-6 015 285</w:t>
            </w:r>
          </w:p>
        </w:tc>
      </w:tr>
      <w:tr w:rsidR="0093441E" w:rsidRPr="002A7673" w14:paraId="1D76BD8D"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760B66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Servicios en ciencias de la salud</w:t>
            </w:r>
          </w:p>
        </w:tc>
        <w:tc>
          <w:tcPr>
            <w:tcW w:w="1240" w:type="dxa"/>
            <w:tcBorders>
              <w:top w:val="nil"/>
              <w:left w:val="nil"/>
              <w:bottom w:val="single" w:sz="4" w:space="0" w:color="auto"/>
              <w:right w:val="single" w:sz="4" w:space="0" w:color="auto"/>
            </w:tcBorders>
            <w:shd w:val="clear" w:color="auto" w:fill="auto"/>
            <w:vAlign w:val="center"/>
            <w:hideMark/>
          </w:tcPr>
          <w:p w14:paraId="0442C4F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133 134 008</w:t>
            </w:r>
          </w:p>
        </w:tc>
        <w:tc>
          <w:tcPr>
            <w:tcW w:w="1240" w:type="dxa"/>
            <w:tcBorders>
              <w:top w:val="nil"/>
              <w:left w:val="nil"/>
              <w:bottom w:val="single" w:sz="4" w:space="0" w:color="auto"/>
              <w:right w:val="single" w:sz="4" w:space="0" w:color="auto"/>
            </w:tcBorders>
            <w:shd w:val="clear" w:color="auto" w:fill="auto"/>
            <w:vAlign w:val="center"/>
            <w:hideMark/>
          </w:tcPr>
          <w:p w14:paraId="108C1ED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12 740 000</w:t>
            </w:r>
          </w:p>
        </w:tc>
        <w:tc>
          <w:tcPr>
            <w:tcW w:w="1180" w:type="dxa"/>
            <w:tcBorders>
              <w:top w:val="nil"/>
              <w:left w:val="nil"/>
              <w:bottom w:val="single" w:sz="4" w:space="0" w:color="auto"/>
              <w:right w:val="single" w:sz="4" w:space="0" w:color="auto"/>
            </w:tcBorders>
            <w:shd w:val="clear" w:color="auto" w:fill="auto"/>
            <w:noWrap/>
            <w:vAlign w:val="center"/>
            <w:hideMark/>
          </w:tcPr>
          <w:p w14:paraId="6A88CEE9"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-120 394 008</w:t>
            </w:r>
          </w:p>
        </w:tc>
      </w:tr>
      <w:tr w:rsidR="0093441E" w:rsidRPr="002A7673" w14:paraId="031CC3E9"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F529C31"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Servicios de ingeniería y arquitectura</w:t>
            </w:r>
          </w:p>
        </w:tc>
        <w:tc>
          <w:tcPr>
            <w:tcW w:w="1240" w:type="dxa"/>
            <w:tcBorders>
              <w:top w:val="nil"/>
              <w:left w:val="nil"/>
              <w:bottom w:val="single" w:sz="4" w:space="0" w:color="auto"/>
              <w:right w:val="single" w:sz="4" w:space="0" w:color="auto"/>
            </w:tcBorders>
            <w:shd w:val="clear" w:color="auto" w:fill="auto"/>
            <w:vAlign w:val="center"/>
            <w:hideMark/>
          </w:tcPr>
          <w:p w14:paraId="4F3EF91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119 567 615</w:t>
            </w:r>
          </w:p>
        </w:tc>
        <w:tc>
          <w:tcPr>
            <w:tcW w:w="1240" w:type="dxa"/>
            <w:tcBorders>
              <w:top w:val="nil"/>
              <w:left w:val="nil"/>
              <w:bottom w:val="single" w:sz="4" w:space="0" w:color="auto"/>
              <w:right w:val="single" w:sz="4" w:space="0" w:color="auto"/>
            </w:tcBorders>
            <w:shd w:val="clear" w:color="auto" w:fill="auto"/>
            <w:vAlign w:val="center"/>
            <w:hideMark/>
          </w:tcPr>
          <w:p w14:paraId="3DE5BEF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34 435 720</w:t>
            </w:r>
          </w:p>
        </w:tc>
        <w:tc>
          <w:tcPr>
            <w:tcW w:w="1180" w:type="dxa"/>
            <w:tcBorders>
              <w:top w:val="nil"/>
              <w:left w:val="nil"/>
              <w:bottom w:val="single" w:sz="4" w:space="0" w:color="auto"/>
              <w:right w:val="single" w:sz="4" w:space="0" w:color="auto"/>
            </w:tcBorders>
            <w:shd w:val="clear" w:color="auto" w:fill="auto"/>
            <w:noWrap/>
            <w:vAlign w:val="center"/>
            <w:hideMark/>
          </w:tcPr>
          <w:p w14:paraId="31DCEA7E"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-85 131 895</w:t>
            </w:r>
          </w:p>
        </w:tc>
      </w:tr>
      <w:tr w:rsidR="0093441E" w:rsidRPr="002A7673" w14:paraId="0F4EFF20"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19476D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Servicios en ciencias económicas y sociales</w:t>
            </w:r>
          </w:p>
        </w:tc>
        <w:tc>
          <w:tcPr>
            <w:tcW w:w="1240" w:type="dxa"/>
            <w:tcBorders>
              <w:top w:val="nil"/>
              <w:left w:val="nil"/>
              <w:bottom w:val="single" w:sz="4" w:space="0" w:color="auto"/>
              <w:right w:val="single" w:sz="4" w:space="0" w:color="auto"/>
            </w:tcBorders>
            <w:shd w:val="clear" w:color="auto" w:fill="auto"/>
            <w:vAlign w:val="center"/>
            <w:hideMark/>
          </w:tcPr>
          <w:p w14:paraId="37A014F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92 472 116</w:t>
            </w:r>
          </w:p>
        </w:tc>
        <w:tc>
          <w:tcPr>
            <w:tcW w:w="1240" w:type="dxa"/>
            <w:tcBorders>
              <w:top w:val="nil"/>
              <w:left w:val="nil"/>
              <w:bottom w:val="single" w:sz="4" w:space="0" w:color="auto"/>
              <w:right w:val="single" w:sz="4" w:space="0" w:color="auto"/>
            </w:tcBorders>
            <w:shd w:val="clear" w:color="auto" w:fill="auto"/>
            <w:vAlign w:val="center"/>
            <w:hideMark/>
          </w:tcPr>
          <w:p w14:paraId="1350FFB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93 565 958</w:t>
            </w:r>
          </w:p>
        </w:tc>
        <w:tc>
          <w:tcPr>
            <w:tcW w:w="1180" w:type="dxa"/>
            <w:tcBorders>
              <w:top w:val="nil"/>
              <w:left w:val="nil"/>
              <w:bottom w:val="single" w:sz="4" w:space="0" w:color="auto"/>
              <w:right w:val="single" w:sz="4" w:space="0" w:color="auto"/>
            </w:tcBorders>
            <w:shd w:val="clear" w:color="auto" w:fill="auto"/>
            <w:noWrap/>
            <w:vAlign w:val="center"/>
            <w:hideMark/>
          </w:tcPr>
          <w:p w14:paraId="256E30B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1 093 842</w:t>
            </w:r>
          </w:p>
        </w:tc>
      </w:tr>
      <w:tr w:rsidR="0093441E" w:rsidRPr="002A7673" w14:paraId="591AF4AB"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49E15A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Servicios informáticos</w:t>
            </w:r>
          </w:p>
        </w:tc>
        <w:tc>
          <w:tcPr>
            <w:tcW w:w="1240" w:type="dxa"/>
            <w:tcBorders>
              <w:top w:val="nil"/>
              <w:left w:val="nil"/>
              <w:bottom w:val="single" w:sz="4" w:space="0" w:color="auto"/>
              <w:right w:val="single" w:sz="4" w:space="0" w:color="auto"/>
            </w:tcBorders>
            <w:shd w:val="clear" w:color="auto" w:fill="auto"/>
            <w:vAlign w:val="center"/>
            <w:hideMark/>
          </w:tcPr>
          <w:p w14:paraId="1FB1E69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158 590 460</w:t>
            </w:r>
          </w:p>
        </w:tc>
        <w:tc>
          <w:tcPr>
            <w:tcW w:w="1240" w:type="dxa"/>
            <w:tcBorders>
              <w:top w:val="nil"/>
              <w:left w:val="nil"/>
              <w:bottom w:val="single" w:sz="4" w:space="0" w:color="auto"/>
              <w:right w:val="single" w:sz="4" w:space="0" w:color="auto"/>
            </w:tcBorders>
            <w:shd w:val="clear" w:color="auto" w:fill="auto"/>
            <w:vAlign w:val="center"/>
            <w:hideMark/>
          </w:tcPr>
          <w:p w14:paraId="06E7DB7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387 750 000</w:t>
            </w:r>
          </w:p>
        </w:tc>
        <w:tc>
          <w:tcPr>
            <w:tcW w:w="1180" w:type="dxa"/>
            <w:tcBorders>
              <w:top w:val="nil"/>
              <w:left w:val="nil"/>
              <w:bottom w:val="single" w:sz="4" w:space="0" w:color="auto"/>
              <w:right w:val="single" w:sz="4" w:space="0" w:color="auto"/>
            </w:tcBorders>
            <w:shd w:val="clear" w:color="auto" w:fill="auto"/>
            <w:noWrap/>
            <w:vAlign w:val="center"/>
            <w:hideMark/>
          </w:tcPr>
          <w:p w14:paraId="07DA3474"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229 159 540</w:t>
            </w:r>
          </w:p>
        </w:tc>
      </w:tr>
      <w:tr w:rsidR="0093441E" w:rsidRPr="002A7673" w14:paraId="35F23E7F"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A293C9A"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Servicios generales </w:t>
            </w:r>
          </w:p>
        </w:tc>
        <w:tc>
          <w:tcPr>
            <w:tcW w:w="1240" w:type="dxa"/>
            <w:tcBorders>
              <w:top w:val="nil"/>
              <w:left w:val="nil"/>
              <w:bottom w:val="single" w:sz="4" w:space="0" w:color="auto"/>
              <w:right w:val="single" w:sz="4" w:space="0" w:color="auto"/>
            </w:tcBorders>
            <w:shd w:val="clear" w:color="auto" w:fill="auto"/>
            <w:vAlign w:val="center"/>
            <w:hideMark/>
          </w:tcPr>
          <w:p w14:paraId="1B06E32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4 571 056 796</w:t>
            </w:r>
          </w:p>
        </w:tc>
        <w:tc>
          <w:tcPr>
            <w:tcW w:w="1240" w:type="dxa"/>
            <w:tcBorders>
              <w:top w:val="nil"/>
              <w:left w:val="nil"/>
              <w:bottom w:val="single" w:sz="4" w:space="0" w:color="auto"/>
              <w:right w:val="single" w:sz="4" w:space="0" w:color="auto"/>
            </w:tcBorders>
            <w:shd w:val="clear" w:color="auto" w:fill="auto"/>
            <w:vAlign w:val="center"/>
            <w:hideMark/>
          </w:tcPr>
          <w:p w14:paraId="7244DE6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5 269 870 918</w:t>
            </w:r>
          </w:p>
        </w:tc>
        <w:tc>
          <w:tcPr>
            <w:tcW w:w="1180" w:type="dxa"/>
            <w:tcBorders>
              <w:top w:val="nil"/>
              <w:left w:val="nil"/>
              <w:bottom w:val="single" w:sz="4" w:space="0" w:color="auto"/>
              <w:right w:val="single" w:sz="4" w:space="0" w:color="auto"/>
            </w:tcBorders>
            <w:shd w:val="clear" w:color="auto" w:fill="auto"/>
            <w:noWrap/>
            <w:vAlign w:val="center"/>
            <w:hideMark/>
          </w:tcPr>
          <w:p w14:paraId="57140435"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698 814 122</w:t>
            </w:r>
          </w:p>
        </w:tc>
      </w:tr>
      <w:tr w:rsidR="0093441E" w:rsidRPr="002A7673" w14:paraId="6C13E6F8"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9544E6D"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servicios de gestión y apoyo</w:t>
            </w:r>
          </w:p>
        </w:tc>
        <w:tc>
          <w:tcPr>
            <w:tcW w:w="1240" w:type="dxa"/>
            <w:tcBorders>
              <w:top w:val="nil"/>
              <w:left w:val="nil"/>
              <w:bottom w:val="single" w:sz="4" w:space="0" w:color="auto"/>
              <w:right w:val="single" w:sz="4" w:space="0" w:color="auto"/>
            </w:tcBorders>
            <w:shd w:val="clear" w:color="auto" w:fill="auto"/>
            <w:vAlign w:val="center"/>
            <w:hideMark/>
          </w:tcPr>
          <w:p w14:paraId="22517F9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464 894 431</w:t>
            </w:r>
          </w:p>
        </w:tc>
        <w:tc>
          <w:tcPr>
            <w:tcW w:w="1240" w:type="dxa"/>
            <w:tcBorders>
              <w:top w:val="nil"/>
              <w:left w:val="nil"/>
              <w:bottom w:val="single" w:sz="4" w:space="0" w:color="auto"/>
              <w:right w:val="single" w:sz="4" w:space="0" w:color="auto"/>
            </w:tcBorders>
            <w:shd w:val="clear" w:color="auto" w:fill="auto"/>
            <w:vAlign w:val="center"/>
            <w:hideMark/>
          </w:tcPr>
          <w:p w14:paraId="2B98B57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223 759 527</w:t>
            </w:r>
          </w:p>
        </w:tc>
        <w:tc>
          <w:tcPr>
            <w:tcW w:w="1180" w:type="dxa"/>
            <w:tcBorders>
              <w:top w:val="nil"/>
              <w:left w:val="nil"/>
              <w:bottom w:val="single" w:sz="4" w:space="0" w:color="auto"/>
              <w:right w:val="single" w:sz="4" w:space="0" w:color="auto"/>
            </w:tcBorders>
            <w:shd w:val="clear" w:color="auto" w:fill="auto"/>
            <w:noWrap/>
            <w:vAlign w:val="center"/>
            <w:hideMark/>
          </w:tcPr>
          <w:p w14:paraId="1C75BE58"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-241 134 904</w:t>
            </w:r>
          </w:p>
        </w:tc>
      </w:tr>
      <w:tr w:rsidR="0093441E" w:rsidRPr="002A7673" w14:paraId="56D47BD5"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290B05A"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Transporte dentro del país</w:t>
            </w:r>
          </w:p>
        </w:tc>
        <w:tc>
          <w:tcPr>
            <w:tcW w:w="1240" w:type="dxa"/>
            <w:tcBorders>
              <w:top w:val="nil"/>
              <w:left w:val="nil"/>
              <w:bottom w:val="single" w:sz="4" w:space="0" w:color="auto"/>
              <w:right w:val="single" w:sz="4" w:space="0" w:color="auto"/>
            </w:tcBorders>
            <w:shd w:val="clear" w:color="auto" w:fill="auto"/>
            <w:vAlign w:val="center"/>
            <w:hideMark/>
          </w:tcPr>
          <w:p w14:paraId="13CA5B1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54 533 424</w:t>
            </w:r>
          </w:p>
        </w:tc>
        <w:tc>
          <w:tcPr>
            <w:tcW w:w="1240" w:type="dxa"/>
            <w:tcBorders>
              <w:top w:val="nil"/>
              <w:left w:val="nil"/>
              <w:bottom w:val="single" w:sz="4" w:space="0" w:color="auto"/>
              <w:right w:val="single" w:sz="4" w:space="0" w:color="auto"/>
            </w:tcBorders>
            <w:shd w:val="clear" w:color="auto" w:fill="auto"/>
            <w:vAlign w:val="center"/>
            <w:hideMark/>
          </w:tcPr>
          <w:p w14:paraId="5514640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41 697 082</w:t>
            </w:r>
          </w:p>
        </w:tc>
        <w:tc>
          <w:tcPr>
            <w:tcW w:w="1180" w:type="dxa"/>
            <w:tcBorders>
              <w:top w:val="nil"/>
              <w:left w:val="nil"/>
              <w:bottom w:val="single" w:sz="4" w:space="0" w:color="auto"/>
              <w:right w:val="single" w:sz="4" w:space="0" w:color="auto"/>
            </w:tcBorders>
            <w:shd w:val="clear" w:color="auto" w:fill="auto"/>
            <w:noWrap/>
            <w:vAlign w:val="center"/>
            <w:hideMark/>
          </w:tcPr>
          <w:p w14:paraId="0A4D697C"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-12 836 342</w:t>
            </w:r>
          </w:p>
        </w:tc>
      </w:tr>
      <w:tr w:rsidR="0093441E" w:rsidRPr="002A7673" w14:paraId="3BD68D10"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09F86A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Viáticos dentro del país</w:t>
            </w:r>
          </w:p>
        </w:tc>
        <w:tc>
          <w:tcPr>
            <w:tcW w:w="1240" w:type="dxa"/>
            <w:tcBorders>
              <w:top w:val="nil"/>
              <w:left w:val="nil"/>
              <w:bottom w:val="single" w:sz="4" w:space="0" w:color="auto"/>
              <w:right w:val="single" w:sz="4" w:space="0" w:color="auto"/>
            </w:tcBorders>
            <w:shd w:val="clear" w:color="auto" w:fill="auto"/>
            <w:vAlign w:val="center"/>
            <w:hideMark/>
          </w:tcPr>
          <w:p w14:paraId="72FD7A3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444 305 403</w:t>
            </w:r>
          </w:p>
        </w:tc>
        <w:tc>
          <w:tcPr>
            <w:tcW w:w="1240" w:type="dxa"/>
            <w:tcBorders>
              <w:top w:val="nil"/>
              <w:left w:val="nil"/>
              <w:bottom w:val="single" w:sz="4" w:space="0" w:color="auto"/>
              <w:right w:val="single" w:sz="4" w:space="0" w:color="auto"/>
            </w:tcBorders>
            <w:shd w:val="clear" w:color="auto" w:fill="auto"/>
            <w:vAlign w:val="center"/>
            <w:hideMark/>
          </w:tcPr>
          <w:p w14:paraId="0145E5F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396 897 595</w:t>
            </w:r>
          </w:p>
        </w:tc>
        <w:tc>
          <w:tcPr>
            <w:tcW w:w="1180" w:type="dxa"/>
            <w:tcBorders>
              <w:top w:val="nil"/>
              <w:left w:val="nil"/>
              <w:bottom w:val="single" w:sz="4" w:space="0" w:color="auto"/>
              <w:right w:val="single" w:sz="4" w:space="0" w:color="auto"/>
            </w:tcBorders>
            <w:shd w:val="clear" w:color="auto" w:fill="auto"/>
            <w:noWrap/>
            <w:vAlign w:val="center"/>
            <w:hideMark/>
          </w:tcPr>
          <w:p w14:paraId="719352A6"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-47 407 808</w:t>
            </w:r>
          </w:p>
        </w:tc>
      </w:tr>
      <w:tr w:rsidR="0093441E" w:rsidRPr="002A7673" w14:paraId="26701FF4"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0EE6D43"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Transporte en el exterior</w:t>
            </w:r>
          </w:p>
        </w:tc>
        <w:tc>
          <w:tcPr>
            <w:tcW w:w="1240" w:type="dxa"/>
            <w:tcBorders>
              <w:top w:val="nil"/>
              <w:left w:val="nil"/>
              <w:bottom w:val="single" w:sz="4" w:space="0" w:color="auto"/>
              <w:right w:val="single" w:sz="4" w:space="0" w:color="auto"/>
            </w:tcBorders>
            <w:shd w:val="clear" w:color="auto" w:fill="auto"/>
            <w:vAlign w:val="center"/>
            <w:hideMark/>
          </w:tcPr>
          <w:p w14:paraId="45E283F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40" w:type="dxa"/>
            <w:tcBorders>
              <w:top w:val="nil"/>
              <w:left w:val="nil"/>
              <w:bottom w:val="single" w:sz="4" w:space="0" w:color="auto"/>
              <w:right w:val="single" w:sz="4" w:space="0" w:color="auto"/>
            </w:tcBorders>
            <w:shd w:val="clear" w:color="auto" w:fill="auto"/>
            <w:vAlign w:val="center"/>
            <w:hideMark/>
          </w:tcPr>
          <w:p w14:paraId="1DEEB39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2 000 000</w:t>
            </w:r>
          </w:p>
        </w:tc>
        <w:tc>
          <w:tcPr>
            <w:tcW w:w="1180" w:type="dxa"/>
            <w:tcBorders>
              <w:top w:val="nil"/>
              <w:left w:val="nil"/>
              <w:bottom w:val="single" w:sz="4" w:space="0" w:color="auto"/>
              <w:right w:val="single" w:sz="4" w:space="0" w:color="auto"/>
            </w:tcBorders>
            <w:shd w:val="clear" w:color="auto" w:fill="auto"/>
            <w:noWrap/>
            <w:vAlign w:val="center"/>
            <w:hideMark/>
          </w:tcPr>
          <w:p w14:paraId="696D700A"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2 000 000</w:t>
            </w:r>
          </w:p>
        </w:tc>
      </w:tr>
      <w:tr w:rsidR="0093441E" w:rsidRPr="002A7673" w14:paraId="3B1DFE08"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68691D5"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Viáticos en el exterior</w:t>
            </w:r>
          </w:p>
        </w:tc>
        <w:tc>
          <w:tcPr>
            <w:tcW w:w="1240" w:type="dxa"/>
            <w:tcBorders>
              <w:top w:val="nil"/>
              <w:left w:val="nil"/>
              <w:bottom w:val="single" w:sz="4" w:space="0" w:color="auto"/>
              <w:right w:val="single" w:sz="4" w:space="0" w:color="auto"/>
            </w:tcBorders>
            <w:shd w:val="clear" w:color="auto" w:fill="auto"/>
            <w:vAlign w:val="center"/>
            <w:hideMark/>
          </w:tcPr>
          <w:p w14:paraId="6395691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40" w:type="dxa"/>
            <w:tcBorders>
              <w:top w:val="nil"/>
              <w:left w:val="nil"/>
              <w:bottom w:val="single" w:sz="4" w:space="0" w:color="auto"/>
              <w:right w:val="single" w:sz="4" w:space="0" w:color="auto"/>
            </w:tcBorders>
            <w:shd w:val="clear" w:color="auto" w:fill="auto"/>
            <w:vAlign w:val="center"/>
            <w:hideMark/>
          </w:tcPr>
          <w:p w14:paraId="75ECEFC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2 000 000</w:t>
            </w:r>
          </w:p>
        </w:tc>
        <w:tc>
          <w:tcPr>
            <w:tcW w:w="1180" w:type="dxa"/>
            <w:tcBorders>
              <w:top w:val="nil"/>
              <w:left w:val="nil"/>
              <w:bottom w:val="single" w:sz="4" w:space="0" w:color="auto"/>
              <w:right w:val="single" w:sz="4" w:space="0" w:color="auto"/>
            </w:tcBorders>
            <w:shd w:val="clear" w:color="auto" w:fill="auto"/>
            <w:noWrap/>
            <w:vAlign w:val="center"/>
            <w:hideMark/>
          </w:tcPr>
          <w:p w14:paraId="1DB81C2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2 000 000</w:t>
            </w:r>
          </w:p>
        </w:tc>
      </w:tr>
      <w:tr w:rsidR="0093441E" w:rsidRPr="002A7673" w14:paraId="50FF9937"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8A7534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Seguros </w:t>
            </w:r>
          </w:p>
        </w:tc>
        <w:tc>
          <w:tcPr>
            <w:tcW w:w="1240" w:type="dxa"/>
            <w:tcBorders>
              <w:top w:val="nil"/>
              <w:left w:val="nil"/>
              <w:bottom w:val="single" w:sz="4" w:space="0" w:color="auto"/>
              <w:right w:val="single" w:sz="4" w:space="0" w:color="auto"/>
            </w:tcBorders>
            <w:shd w:val="clear" w:color="auto" w:fill="auto"/>
            <w:vAlign w:val="center"/>
            <w:hideMark/>
          </w:tcPr>
          <w:p w14:paraId="16325A2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2 590 670 222</w:t>
            </w:r>
          </w:p>
        </w:tc>
        <w:tc>
          <w:tcPr>
            <w:tcW w:w="1240" w:type="dxa"/>
            <w:tcBorders>
              <w:top w:val="nil"/>
              <w:left w:val="nil"/>
              <w:bottom w:val="single" w:sz="4" w:space="0" w:color="auto"/>
              <w:right w:val="single" w:sz="4" w:space="0" w:color="auto"/>
            </w:tcBorders>
            <w:shd w:val="clear" w:color="auto" w:fill="auto"/>
            <w:vAlign w:val="center"/>
            <w:hideMark/>
          </w:tcPr>
          <w:p w14:paraId="24B96D1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2 486 520 008</w:t>
            </w:r>
          </w:p>
        </w:tc>
        <w:tc>
          <w:tcPr>
            <w:tcW w:w="1180" w:type="dxa"/>
            <w:tcBorders>
              <w:top w:val="nil"/>
              <w:left w:val="nil"/>
              <w:bottom w:val="single" w:sz="4" w:space="0" w:color="auto"/>
              <w:right w:val="single" w:sz="4" w:space="0" w:color="auto"/>
            </w:tcBorders>
            <w:shd w:val="clear" w:color="auto" w:fill="auto"/>
            <w:noWrap/>
            <w:vAlign w:val="center"/>
            <w:hideMark/>
          </w:tcPr>
          <w:p w14:paraId="789A42B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-104 150 214</w:t>
            </w:r>
          </w:p>
        </w:tc>
      </w:tr>
      <w:tr w:rsidR="0093441E" w:rsidRPr="002A7673" w14:paraId="4A393DC9"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8A5A85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Actividades de capacitación</w:t>
            </w:r>
          </w:p>
        </w:tc>
        <w:tc>
          <w:tcPr>
            <w:tcW w:w="1240" w:type="dxa"/>
            <w:tcBorders>
              <w:top w:val="nil"/>
              <w:left w:val="nil"/>
              <w:bottom w:val="single" w:sz="4" w:space="0" w:color="auto"/>
              <w:right w:val="single" w:sz="4" w:space="0" w:color="auto"/>
            </w:tcBorders>
            <w:shd w:val="clear" w:color="auto" w:fill="auto"/>
            <w:vAlign w:val="center"/>
            <w:hideMark/>
          </w:tcPr>
          <w:p w14:paraId="06374DB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63 319 925</w:t>
            </w:r>
          </w:p>
        </w:tc>
        <w:tc>
          <w:tcPr>
            <w:tcW w:w="1240" w:type="dxa"/>
            <w:tcBorders>
              <w:top w:val="nil"/>
              <w:left w:val="nil"/>
              <w:bottom w:val="single" w:sz="4" w:space="0" w:color="auto"/>
              <w:right w:val="single" w:sz="4" w:space="0" w:color="auto"/>
            </w:tcBorders>
            <w:shd w:val="clear" w:color="auto" w:fill="auto"/>
            <w:vAlign w:val="center"/>
            <w:hideMark/>
          </w:tcPr>
          <w:p w14:paraId="12AD767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63 247 423</w:t>
            </w:r>
          </w:p>
        </w:tc>
        <w:tc>
          <w:tcPr>
            <w:tcW w:w="1180" w:type="dxa"/>
            <w:tcBorders>
              <w:top w:val="nil"/>
              <w:left w:val="nil"/>
              <w:bottom w:val="single" w:sz="4" w:space="0" w:color="auto"/>
              <w:right w:val="single" w:sz="4" w:space="0" w:color="auto"/>
            </w:tcBorders>
            <w:shd w:val="clear" w:color="auto" w:fill="auto"/>
            <w:noWrap/>
            <w:vAlign w:val="center"/>
            <w:hideMark/>
          </w:tcPr>
          <w:p w14:paraId="23A69F47"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-72 502</w:t>
            </w:r>
          </w:p>
        </w:tc>
      </w:tr>
      <w:tr w:rsidR="0093441E" w:rsidRPr="002A7673" w14:paraId="70C1D489"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1041D71"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Actividades protocolarias y sociales </w:t>
            </w:r>
          </w:p>
        </w:tc>
        <w:tc>
          <w:tcPr>
            <w:tcW w:w="1240" w:type="dxa"/>
            <w:tcBorders>
              <w:top w:val="nil"/>
              <w:left w:val="nil"/>
              <w:bottom w:val="single" w:sz="4" w:space="0" w:color="auto"/>
              <w:right w:val="single" w:sz="4" w:space="0" w:color="auto"/>
            </w:tcBorders>
            <w:shd w:val="clear" w:color="auto" w:fill="auto"/>
            <w:vAlign w:val="center"/>
            <w:hideMark/>
          </w:tcPr>
          <w:p w14:paraId="65EA2E3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6 495 179</w:t>
            </w:r>
          </w:p>
        </w:tc>
        <w:tc>
          <w:tcPr>
            <w:tcW w:w="1240" w:type="dxa"/>
            <w:tcBorders>
              <w:top w:val="nil"/>
              <w:left w:val="nil"/>
              <w:bottom w:val="single" w:sz="4" w:space="0" w:color="auto"/>
              <w:right w:val="single" w:sz="4" w:space="0" w:color="auto"/>
            </w:tcBorders>
            <w:shd w:val="clear" w:color="auto" w:fill="auto"/>
            <w:vAlign w:val="center"/>
            <w:hideMark/>
          </w:tcPr>
          <w:p w14:paraId="63FC270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5 654 005</w:t>
            </w:r>
          </w:p>
        </w:tc>
        <w:tc>
          <w:tcPr>
            <w:tcW w:w="1180" w:type="dxa"/>
            <w:tcBorders>
              <w:top w:val="nil"/>
              <w:left w:val="nil"/>
              <w:bottom w:val="single" w:sz="4" w:space="0" w:color="auto"/>
              <w:right w:val="single" w:sz="4" w:space="0" w:color="auto"/>
            </w:tcBorders>
            <w:shd w:val="clear" w:color="auto" w:fill="auto"/>
            <w:noWrap/>
            <w:vAlign w:val="center"/>
            <w:hideMark/>
          </w:tcPr>
          <w:p w14:paraId="5B7348E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-841 174</w:t>
            </w:r>
          </w:p>
        </w:tc>
      </w:tr>
      <w:tr w:rsidR="0093441E" w:rsidRPr="002A7673" w14:paraId="0655AD4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703723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de edificios y locales</w:t>
            </w:r>
          </w:p>
        </w:tc>
        <w:tc>
          <w:tcPr>
            <w:tcW w:w="1240" w:type="dxa"/>
            <w:tcBorders>
              <w:top w:val="nil"/>
              <w:left w:val="nil"/>
              <w:bottom w:val="single" w:sz="4" w:space="0" w:color="auto"/>
              <w:right w:val="single" w:sz="4" w:space="0" w:color="auto"/>
            </w:tcBorders>
            <w:shd w:val="clear" w:color="auto" w:fill="auto"/>
            <w:vAlign w:val="center"/>
            <w:hideMark/>
          </w:tcPr>
          <w:p w14:paraId="3A40CDB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1 493 370 663</w:t>
            </w:r>
          </w:p>
        </w:tc>
        <w:tc>
          <w:tcPr>
            <w:tcW w:w="1240" w:type="dxa"/>
            <w:tcBorders>
              <w:top w:val="nil"/>
              <w:left w:val="nil"/>
              <w:bottom w:val="single" w:sz="4" w:space="0" w:color="auto"/>
              <w:right w:val="single" w:sz="4" w:space="0" w:color="auto"/>
            </w:tcBorders>
            <w:shd w:val="clear" w:color="auto" w:fill="auto"/>
            <w:vAlign w:val="center"/>
            <w:hideMark/>
          </w:tcPr>
          <w:p w14:paraId="631FDDD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1 865 450 453</w:t>
            </w:r>
          </w:p>
        </w:tc>
        <w:tc>
          <w:tcPr>
            <w:tcW w:w="1180" w:type="dxa"/>
            <w:tcBorders>
              <w:top w:val="nil"/>
              <w:left w:val="nil"/>
              <w:bottom w:val="single" w:sz="4" w:space="0" w:color="auto"/>
              <w:right w:val="single" w:sz="4" w:space="0" w:color="auto"/>
            </w:tcBorders>
            <w:shd w:val="clear" w:color="auto" w:fill="auto"/>
            <w:noWrap/>
            <w:vAlign w:val="center"/>
            <w:hideMark/>
          </w:tcPr>
          <w:p w14:paraId="588F239A"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372 079 790</w:t>
            </w:r>
          </w:p>
        </w:tc>
      </w:tr>
      <w:tr w:rsidR="0093441E" w:rsidRPr="002A7673" w14:paraId="1E6AA784"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FE45614"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de vías de comunicación</w:t>
            </w:r>
          </w:p>
        </w:tc>
        <w:tc>
          <w:tcPr>
            <w:tcW w:w="1240" w:type="dxa"/>
            <w:tcBorders>
              <w:top w:val="nil"/>
              <w:left w:val="nil"/>
              <w:bottom w:val="single" w:sz="4" w:space="0" w:color="auto"/>
              <w:right w:val="single" w:sz="4" w:space="0" w:color="auto"/>
            </w:tcBorders>
            <w:shd w:val="clear" w:color="auto" w:fill="auto"/>
            <w:vAlign w:val="center"/>
            <w:hideMark/>
          </w:tcPr>
          <w:p w14:paraId="15C7115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81 734 158</w:t>
            </w:r>
          </w:p>
        </w:tc>
        <w:tc>
          <w:tcPr>
            <w:tcW w:w="1240" w:type="dxa"/>
            <w:tcBorders>
              <w:top w:val="nil"/>
              <w:left w:val="nil"/>
              <w:bottom w:val="single" w:sz="4" w:space="0" w:color="auto"/>
              <w:right w:val="single" w:sz="4" w:space="0" w:color="auto"/>
            </w:tcBorders>
            <w:shd w:val="clear" w:color="auto" w:fill="auto"/>
            <w:vAlign w:val="center"/>
            <w:hideMark/>
          </w:tcPr>
          <w:p w14:paraId="10F0E27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42 100 000</w:t>
            </w:r>
          </w:p>
        </w:tc>
        <w:tc>
          <w:tcPr>
            <w:tcW w:w="1180" w:type="dxa"/>
            <w:tcBorders>
              <w:top w:val="nil"/>
              <w:left w:val="nil"/>
              <w:bottom w:val="single" w:sz="4" w:space="0" w:color="auto"/>
              <w:right w:val="single" w:sz="4" w:space="0" w:color="auto"/>
            </w:tcBorders>
            <w:shd w:val="clear" w:color="auto" w:fill="auto"/>
            <w:noWrap/>
            <w:vAlign w:val="center"/>
            <w:hideMark/>
          </w:tcPr>
          <w:p w14:paraId="042BC67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-39 634 158</w:t>
            </w:r>
          </w:p>
        </w:tc>
      </w:tr>
      <w:tr w:rsidR="0093441E" w:rsidRPr="002A7673" w14:paraId="03775FDE"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CA94153"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de instalaciones y otras obras</w:t>
            </w:r>
          </w:p>
        </w:tc>
        <w:tc>
          <w:tcPr>
            <w:tcW w:w="1240" w:type="dxa"/>
            <w:tcBorders>
              <w:top w:val="nil"/>
              <w:left w:val="nil"/>
              <w:bottom w:val="single" w:sz="4" w:space="0" w:color="auto"/>
              <w:right w:val="single" w:sz="4" w:space="0" w:color="auto"/>
            </w:tcBorders>
            <w:shd w:val="clear" w:color="auto" w:fill="auto"/>
            <w:vAlign w:val="center"/>
            <w:hideMark/>
          </w:tcPr>
          <w:p w14:paraId="043C0D3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69 661 542</w:t>
            </w:r>
          </w:p>
        </w:tc>
        <w:tc>
          <w:tcPr>
            <w:tcW w:w="1240" w:type="dxa"/>
            <w:tcBorders>
              <w:top w:val="nil"/>
              <w:left w:val="nil"/>
              <w:bottom w:val="single" w:sz="4" w:space="0" w:color="auto"/>
              <w:right w:val="single" w:sz="4" w:space="0" w:color="auto"/>
            </w:tcBorders>
            <w:shd w:val="clear" w:color="auto" w:fill="auto"/>
            <w:vAlign w:val="center"/>
            <w:hideMark/>
          </w:tcPr>
          <w:p w14:paraId="0ED36E1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43 817 768</w:t>
            </w:r>
          </w:p>
        </w:tc>
        <w:tc>
          <w:tcPr>
            <w:tcW w:w="1180" w:type="dxa"/>
            <w:tcBorders>
              <w:top w:val="nil"/>
              <w:left w:val="nil"/>
              <w:bottom w:val="single" w:sz="4" w:space="0" w:color="auto"/>
              <w:right w:val="single" w:sz="4" w:space="0" w:color="auto"/>
            </w:tcBorders>
            <w:shd w:val="clear" w:color="auto" w:fill="auto"/>
            <w:noWrap/>
            <w:vAlign w:val="center"/>
            <w:hideMark/>
          </w:tcPr>
          <w:p w14:paraId="60324469"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-25 843 774</w:t>
            </w:r>
          </w:p>
        </w:tc>
      </w:tr>
      <w:tr w:rsidR="0093441E" w:rsidRPr="002A7673" w14:paraId="070CD3FC"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5A57475"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Mantenimiento y </w:t>
            </w:r>
            <w:proofErr w:type="spellStart"/>
            <w:r w:rsidRPr="002A7673">
              <w:rPr>
                <w:rFonts w:ascii="Times New Roman" w:hAnsi="Times New Roman" w:cs="Times New Roman"/>
                <w:color w:val="000000"/>
                <w:sz w:val="16"/>
                <w:szCs w:val="16"/>
                <w:lang w:eastAsia="es-CR"/>
              </w:rPr>
              <w:t>rep.</w:t>
            </w:r>
            <w:proofErr w:type="spellEnd"/>
            <w:r w:rsidRPr="002A7673">
              <w:rPr>
                <w:rFonts w:ascii="Times New Roman" w:hAnsi="Times New Roman" w:cs="Times New Roman"/>
                <w:color w:val="000000"/>
                <w:sz w:val="16"/>
                <w:szCs w:val="16"/>
                <w:lang w:eastAsia="es-CR"/>
              </w:rPr>
              <w:t xml:space="preserve"> de maquinaria y equipo de producción</w:t>
            </w:r>
          </w:p>
        </w:tc>
        <w:tc>
          <w:tcPr>
            <w:tcW w:w="1240" w:type="dxa"/>
            <w:tcBorders>
              <w:top w:val="nil"/>
              <w:left w:val="nil"/>
              <w:bottom w:val="single" w:sz="4" w:space="0" w:color="auto"/>
              <w:right w:val="single" w:sz="4" w:space="0" w:color="auto"/>
            </w:tcBorders>
            <w:shd w:val="clear" w:color="auto" w:fill="auto"/>
            <w:vAlign w:val="center"/>
            <w:hideMark/>
          </w:tcPr>
          <w:p w14:paraId="077177D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171 368 790</w:t>
            </w:r>
          </w:p>
        </w:tc>
        <w:tc>
          <w:tcPr>
            <w:tcW w:w="1240" w:type="dxa"/>
            <w:tcBorders>
              <w:top w:val="nil"/>
              <w:left w:val="nil"/>
              <w:bottom w:val="single" w:sz="4" w:space="0" w:color="auto"/>
              <w:right w:val="single" w:sz="4" w:space="0" w:color="auto"/>
            </w:tcBorders>
            <w:shd w:val="clear" w:color="auto" w:fill="auto"/>
            <w:vAlign w:val="center"/>
            <w:hideMark/>
          </w:tcPr>
          <w:p w14:paraId="270E08B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165 458 308</w:t>
            </w:r>
          </w:p>
        </w:tc>
        <w:tc>
          <w:tcPr>
            <w:tcW w:w="1180" w:type="dxa"/>
            <w:tcBorders>
              <w:top w:val="nil"/>
              <w:left w:val="nil"/>
              <w:bottom w:val="single" w:sz="4" w:space="0" w:color="auto"/>
              <w:right w:val="single" w:sz="4" w:space="0" w:color="auto"/>
            </w:tcBorders>
            <w:shd w:val="clear" w:color="auto" w:fill="auto"/>
            <w:noWrap/>
            <w:vAlign w:val="center"/>
            <w:hideMark/>
          </w:tcPr>
          <w:p w14:paraId="6071C12D"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-5 910 482</w:t>
            </w:r>
          </w:p>
        </w:tc>
      </w:tr>
      <w:tr w:rsidR="0093441E" w:rsidRPr="002A7673" w14:paraId="4BFC5CFD"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22D2EF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y reparación de equipo de transporte</w:t>
            </w:r>
          </w:p>
        </w:tc>
        <w:tc>
          <w:tcPr>
            <w:tcW w:w="1240" w:type="dxa"/>
            <w:tcBorders>
              <w:top w:val="nil"/>
              <w:left w:val="nil"/>
              <w:bottom w:val="single" w:sz="4" w:space="0" w:color="auto"/>
              <w:right w:val="single" w:sz="4" w:space="0" w:color="auto"/>
            </w:tcBorders>
            <w:shd w:val="clear" w:color="auto" w:fill="auto"/>
            <w:vAlign w:val="center"/>
            <w:hideMark/>
          </w:tcPr>
          <w:p w14:paraId="6A6F409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148 023 002</w:t>
            </w:r>
          </w:p>
        </w:tc>
        <w:tc>
          <w:tcPr>
            <w:tcW w:w="1240" w:type="dxa"/>
            <w:tcBorders>
              <w:top w:val="nil"/>
              <w:left w:val="nil"/>
              <w:bottom w:val="single" w:sz="4" w:space="0" w:color="auto"/>
              <w:right w:val="single" w:sz="4" w:space="0" w:color="auto"/>
            </w:tcBorders>
            <w:shd w:val="clear" w:color="auto" w:fill="auto"/>
            <w:vAlign w:val="center"/>
            <w:hideMark/>
          </w:tcPr>
          <w:p w14:paraId="490F08E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139 427 262</w:t>
            </w:r>
          </w:p>
        </w:tc>
        <w:tc>
          <w:tcPr>
            <w:tcW w:w="1180" w:type="dxa"/>
            <w:tcBorders>
              <w:top w:val="nil"/>
              <w:left w:val="nil"/>
              <w:bottom w:val="single" w:sz="4" w:space="0" w:color="auto"/>
              <w:right w:val="single" w:sz="4" w:space="0" w:color="auto"/>
            </w:tcBorders>
            <w:shd w:val="clear" w:color="auto" w:fill="auto"/>
            <w:noWrap/>
            <w:vAlign w:val="center"/>
            <w:hideMark/>
          </w:tcPr>
          <w:p w14:paraId="60D44F8A"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-8 595 740</w:t>
            </w:r>
          </w:p>
        </w:tc>
      </w:tr>
      <w:tr w:rsidR="0093441E" w:rsidRPr="002A7673" w14:paraId="24C6110D"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B88396B"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y reparación de equipo de comunicación</w:t>
            </w:r>
          </w:p>
        </w:tc>
        <w:tc>
          <w:tcPr>
            <w:tcW w:w="1240" w:type="dxa"/>
            <w:tcBorders>
              <w:top w:val="nil"/>
              <w:left w:val="nil"/>
              <w:bottom w:val="single" w:sz="4" w:space="0" w:color="auto"/>
              <w:right w:val="single" w:sz="4" w:space="0" w:color="auto"/>
            </w:tcBorders>
            <w:shd w:val="clear" w:color="auto" w:fill="auto"/>
            <w:vAlign w:val="center"/>
            <w:hideMark/>
          </w:tcPr>
          <w:p w14:paraId="240F79B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138 502 094</w:t>
            </w:r>
          </w:p>
        </w:tc>
        <w:tc>
          <w:tcPr>
            <w:tcW w:w="1240" w:type="dxa"/>
            <w:tcBorders>
              <w:top w:val="nil"/>
              <w:left w:val="nil"/>
              <w:bottom w:val="single" w:sz="4" w:space="0" w:color="auto"/>
              <w:right w:val="single" w:sz="4" w:space="0" w:color="auto"/>
            </w:tcBorders>
            <w:shd w:val="clear" w:color="auto" w:fill="auto"/>
            <w:vAlign w:val="center"/>
            <w:hideMark/>
          </w:tcPr>
          <w:p w14:paraId="00BE268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99 720 478</w:t>
            </w:r>
          </w:p>
        </w:tc>
        <w:tc>
          <w:tcPr>
            <w:tcW w:w="1180" w:type="dxa"/>
            <w:tcBorders>
              <w:top w:val="nil"/>
              <w:left w:val="nil"/>
              <w:bottom w:val="single" w:sz="4" w:space="0" w:color="auto"/>
              <w:right w:val="single" w:sz="4" w:space="0" w:color="auto"/>
            </w:tcBorders>
            <w:shd w:val="clear" w:color="auto" w:fill="auto"/>
            <w:noWrap/>
            <w:vAlign w:val="center"/>
            <w:hideMark/>
          </w:tcPr>
          <w:p w14:paraId="19D89482"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-38 781 616</w:t>
            </w:r>
          </w:p>
        </w:tc>
      </w:tr>
      <w:tr w:rsidR="0093441E" w:rsidRPr="002A7673" w14:paraId="3D479CF3"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D88EC2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y reparación de equipo y mobiliario de oficina</w:t>
            </w:r>
          </w:p>
        </w:tc>
        <w:tc>
          <w:tcPr>
            <w:tcW w:w="1240" w:type="dxa"/>
            <w:tcBorders>
              <w:top w:val="nil"/>
              <w:left w:val="nil"/>
              <w:bottom w:val="single" w:sz="4" w:space="0" w:color="auto"/>
              <w:right w:val="single" w:sz="4" w:space="0" w:color="auto"/>
            </w:tcBorders>
            <w:shd w:val="clear" w:color="auto" w:fill="auto"/>
            <w:vAlign w:val="center"/>
            <w:hideMark/>
          </w:tcPr>
          <w:p w14:paraId="68D9C21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388 106 273</w:t>
            </w:r>
          </w:p>
        </w:tc>
        <w:tc>
          <w:tcPr>
            <w:tcW w:w="1240" w:type="dxa"/>
            <w:tcBorders>
              <w:top w:val="nil"/>
              <w:left w:val="nil"/>
              <w:bottom w:val="single" w:sz="4" w:space="0" w:color="auto"/>
              <w:right w:val="single" w:sz="4" w:space="0" w:color="auto"/>
            </w:tcBorders>
            <w:shd w:val="clear" w:color="auto" w:fill="auto"/>
            <w:vAlign w:val="center"/>
            <w:hideMark/>
          </w:tcPr>
          <w:p w14:paraId="04F6F96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376 057 018</w:t>
            </w:r>
          </w:p>
        </w:tc>
        <w:tc>
          <w:tcPr>
            <w:tcW w:w="1180" w:type="dxa"/>
            <w:tcBorders>
              <w:top w:val="nil"/>
              <w:left w:val="nil"/>
              <w:bottom w:val="single" w:sz="4" w:space="0" w:color="auto"/>
              <w:right w:val="single" w:sz="4" w:space="0" w:color="auto"/>
            </w:tcBorders>
            <w:shd w:val="clear" w:color="auto" w:fill="auto"/>
            <w:noWrap/>
            <w:vAlign w:val="center"/>
            <w:hideMark/>
          </w:tcPr>
          <w:p w14:paraId="11CB3F49"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-12 049 255</w:t>
            </w:r>
          </w:p>
        </w:tc>
      </w:tr>
      <w:tr w:rsidR="0093441E" w:rsidRPr="002A7673" w14:paraId="59A09A72"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F5CF06A"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Mantenimiento y </w:t>
            </w:r>
            <w:proofErr w:type="spellStart"/>
            <w:r w:rsidRPr="002A7673">
              <w:rPr>
                <w:rFonts w:ascii="Times New Roman" w:hAnsi="Times New Roman" w:cs="Times New Roman"/>
                <w:color w:val="000000"/>
                <w:sz w:val="16"/>
                <w:szCs w:val="16"/>
                <w:lang w:eastAsia="es-CR"/>
              </w:rPr>
              <w:t>rep.</w:t>
            </w:r>
            <w:proofErr w:type="spellEnd"/>
            <w:r w:rsidRPr="002A7673">
              <w:rPr>
                <w:rFonts w:ascii="Times New Roman" w:hAnsi="Times New Roman" w:cs="Times New Roman"/>
                <w:color w:val="000000"/>
                <w:sz w:val="16"/>
                <w:szCs w:val="16"/>
                <w:lang w:eastAsia="es-CR"/>
              </w:rPr>
              <w:t xml:space="preserve"> equipo de cómputo </w:t>
            </w:r>
            <w:proofErr w:type="gramStart"/>
            <w:r w:rsidRPr="002A7673">
              <w:rPr>
                <w:rFonts w:ascii="Times New Roman" w:hAnsi="Times New Roman" w:cs="Times New Roman"/>
                <w:color w:val="000000"/>
                <w:sz w:val="16"/>
                <w:szCs w:val="16"/>
                <w:lang w:eastAsia="es-CR"/>
              </w:rPr>
              <w:t>y  sistemas</w:t>
            </w:r>
            <w:proofErr w:type="gramEnd"/>
            <w:r w:rsidRPr="002A7673">
              <w:rPr>
                <w:rFonts w:ascii="Times New Roman" w:hAnsi="Times New Roman" w:cs="Times New Roman"/>
                <w:color w:val="000000"/>
                <w:sz w:val="16"/>
                <w:szCs w:val="16"/>
                <w:lang w:eastAsia="es-CR"/>
              </w:rPr>
              <w:t xml:space="preserve"> información</w:t>
            </w:r>
          </w:p>
        </w:tc>
        <w:tc>
          <w:tcPr>
            <w:tcW w:w="1240" w:type="dxa"/>
            <w:tcBorders>
              <w:top w:val="nil"/>
              <w:left w:val="nil"/>
              <w:bottom w:val="single" w:sz="4" w:space="0" w:color="auto"/>
              <w:right w:val="single" w:sz="4" w:space="0" w:color="auto"/>
            </w:tcBorders>
            <w:shd w:val="clear" w:color="auto" w:fill="auto"/>
            <w:vAlign w:val="center"/>
            <w:hideMark/>
          </w:tcPr>
          <w:p w14:paraId="2B80000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245 192 229</w:t>
            </w:r>
          </w:p>
        </w:tc>
        <w:tc>
          <w:tcPr>
            <w:tcW w:w="1240" w:type="dxa"/>
            <w:tcBorders>
              <w:top w:val="nil"/>
              <w:left w:val="nil"/>
              <w:bottom w:val="single" w:sz="4" w:space="0" w:color="auto"/>
              <w:right w:val="single" w:sz="4" w:space="0" w:color="auto"/>
            </w:tcBorders>
            <w:shd w:val="clear" w:color="auto" w:fill="auto"/>
            <w:vAlign w:val="center"/>
            <w:hideMark/>
          </w:tcPr>
          <w:p w14:paraId="688EE22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299 233 004</w:t>
            </w:r>
          </w:p>
        </w:tc>
        <w:tc>
          <w:tcPr>
            <w:tcW w:w="1180" w:type="dxa"/>
            <w:tcBorders>
              <w:top w:val="nil"/>
              <w:left w:val="nil"/>
              <w:bottom w:val="single" w:sz="4" w:space="0" w:color="auto"/>
              <w:right w:val="single" w:sz="4" w:space="0" w:color="auto"/>
            </w:tcBorders>
            <w:shd w:val="clear" w:color="auto" w:fill="auto"/>
            <w:noWrap/>
            <w:vAlign w:val="center"/>
            <w:hideMark/>
          </w:tcPr>
          <w:p w14:paraId="4C865CBD"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54 040 775</w:t>
            </w:r>
          </w:p>
        </w:tc>
      </w:tr>
      <w:tr w:rsidR="0093441E" w:rsidRPr="002A7673" w14:paraId="4A21BB49"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151F4D0"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y reparación de otros equipos</w:t>
            </w:r>
          </w:p>
        </w:tc>
        <w:tc>
          <w:tcPr>
            <w:tcW w:w="1240" w:type="dxa"/>
            <w:tcBorders>
              <w:top w:val="nil"/>
              <w:left w:val="nil"/>
              <w:bottom w:val="single" w:sz="4" w:space="0" w:color="auto"/>
              <w:right w:val="single" w:sz="4" w:space="0" w:color="auto"/>
            </w:tcBorders>
            <w:shd w:val="clear" w:color="auto" w:fill="auto"/>
            <w:vAlign w:val="center"/>
            <w:hideMark/>
          </w:tcPr>
          <w:p w14:paraId="40298A8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204 134 399</w:t>
            </w:r>
          </w:p>
        </w:tc>
        <w:tc>
          <w:tcPr>
            <w:tcW w:w="1240" w:type="dxa"/>
            <w:tcBorders>
              <w:top w:val="nil"/>
              <w:left w:val="nil"/>
              <w:bottom w:val="single" w:sz="4" w:space="0" w:color="auto"/>
              <w:right w:val="single" w:sz="4" w:space="0" w:color="auto"/>
            </w:tcBorders>
            <w:shd w:val="clear" w:color="auto" w:fill="auto"/>
            <w:vAlign w:val="center"/>
            <w:hideMark/>
          </w:tcPr>
          <w:p w14:paraId="14B45B6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242 278 752</w:t>
            </w:r>
          </w:p>
        </w:tc>
        <w:tc>
          <w:tcPr>
            <w:tcW w:w="1180" w:type="dxa"/>
            <w:tcBorders>
              <w:top w:val="nil"/>
              <w:left w:val="nil"/>
              <w:bottom w:val="single" w:sz="4" w:space="0" w:color="auto"/>
              <w:right w:val="single" w:sz="4" w:space="0" w:color="auto"/>
            </w:tcBorders>
            <w:shd w:val="clear" w:color="auto" w:fill="auto"/>
            <w:noWrap/>
            <w:vAlign w:val="center"/>
            <w:hideMark/>
          </w:tcPr>
          <w:p w14:paraId="66223A41"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38 144 353</w:t>
            </w:r>
          </w:p>
        </w:tc>
      </w:tr>
      <w:tr w:rsidR="0093441E" w:rsidRPr="002A7673" w14:paraId="26E1392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B1ABA0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impuestos</w:t>
            </w:r>
          </w:p>
        </w:tc>
        <w:tc>
          <w:tcPr>
            <w:tcW w:w="1240" w:type="dxa"/>
            <w:tcBorders>
              <w:top w:val="nil"/>
              <w:left w:val="nil"/>
              <w:bottom w:val="single" w:sz="4" w:space="0" w:color="auto"/>
              <w:right w:val="single" w:sz="4" w:space="0" w:color="auto"/>
            </w:tcBorders>
            <w:shd w:val="clear" w:color="auto" w:fill="auto"/>
            <w:vAlign w:val="center"/>
            <w:hideMark/>
          </w:tcPr>
          <w:p w14:paraId="1B5FAEE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73 500 000</w:t>
            </w:r>
          </w:p>
        </w:tc>
        <w:tc>
          <w:tcPr>
            <w:tcW w:w="1240" w:type="dxa"/>
            <w:tcBorders>
              <w:top w:val="nil"/>
              <w:left w:val="nil"/>
              <w:bottom w:val="single" w:sz="4" w:space="0" w:color="auto"/>
              <w:right w:val="single" w:sz="4" w:space="0" w:color="auto"/>
            </w:tcBorders>
            <w:shd w:val="clear" w:color="auto" w:fill="auto"/>
            <w:vAlign w:val="center"/>
            <w:hideMark/>
          </w:tcPr>
          <w:p w14:paraId="40C6BB2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59 590 350</w:t>
            </w:r>
          </w:p>
        </w:tc>
        <w:tc>
          <w:tcPr>
            <w:tcW w:w="1180" w:type="dxa"/>
            <w:tcBorders>
              <w:top w:val="nil"/>
              <w:left w:val="nil"/>
              <w:bottom w:val="single" w:sz="4" w:space="0" w:color="auto"/>
              <w:right w:val="single" w:sz="4" w:space="0" w:color="auto"/>
            </w:tcBorders>
            <w:shd w:val="clear" w:color="auto" w:fill="auto"/>
            <w:noWrap/>
            <w:vAlign w:val="center"/>
            <w:hideMark/>
          </w:tcPr>
          <w:p w14:paraId="23058C39"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-13 909 650</w:t>
            </w:r>
          </w:p>
        </w:tc>
      </w:tr>
      <w:tr w:rsidR="0093441E" w:rsidRPr="002A7673" w14:paraId="32E7A6E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959795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Combustibles y lubricantes</w:t>
            </w:r>
          </w:p>
        </w:tc>
        <w:tc>
          <w:tcPr>
            <w:tcW w:w="1240" w:type="dxa"/>
            <w:tcBorders>
              <w:top w:val="nil"/>
              <w:left w:val="nil"/>
              <w:bottom w:val="single" w:sz="4" w:space="0" w:color="auto"/>
              <w:right w:val="single" w:sz="4" w:space="0" w:color="auto"/>
            </w:tcBorders>
            <w:shd w:val="clear" w:color="auto" w:fill="auto"/>
            <w:vAlign w:val="center"/>
            <w:hideMark/>
          </w:tcPr>
          <w:p w14:paraId="6890A39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290 308 830</w:t>
            </w:r>
          </w:p>
        </w:tc>
        <w:tc>
          <w:tcPr>
            <w:tcW w:w="1240" w:type="dxa"/>
            <w:tcBorders>
              <w:top w:val="nil"/>
              <w:left w:val="nil"/>
              <w:bottom w:val="single" w:sz="4" w:space="0" w:color="auto"/>
              <w:right w:val="single" w:sz="4" w:space="0" w:color="auto"/>
            </w:tcBorders>
            <w:shd w:val="clear" w:color="auto" w:fill="auto"/>
            <w:vAlign w:val="center"/>
            <w:hideMark/>
          </w:tcPr>
          <w:p w14:paraId="0FE1DA4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252 505 529</w:t>
            </w:r>
          </w:p>
        </w:tc>
        <w:tc>
          <w:tcPr>
            <w:tcW w:w="1180" w:type="dxa"/>
            <w:tcBorders>
              <w:top w:val="nil"/>
              <w:left w:val="nil"/>
              <w:bottom w:val="single" w:sz="4" w:space="0" w:color="auto"/>
              <w:right w:val="single" w:sz="4" w:space="0" w:color="auto"/>
            </w:tcBorders>
            <w:shd w:val="clear" w:color="auto" w:fill="auto"/>
            <w:noWrap/>
            <w:vAlign w:val="center"/>
            <w:hideMark/>
          </w:tcPr>
          <w:p w14:paraId="667F0B76"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-37 803 301</w:t>
            </w:r>
          </w:p>
        </w:tc>
      </w:tr>
      <w:tr w:rsidR="0093441E" w:rsidRPr="002A7673" w14:paraId="4BD6A68A"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BF9C69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lastRenderedPageBreak/>
              <w:t>Productos farmacéuticos y medicinales</w:t>
            </w:r>
          </w:p>
        </w:tc>
        <w:tc>
          <w:tcPr>
            <w:tcW w:w="1240" w:type="dxa"/>
            <w:tcBorders>
              <w:top w:val="nil"/>
              <w:left w:val="nil"/>
              <w:bottom w:val="single" w:sz="4" w:space="0" w:color="auto"/>
              <w:right w:val="single" w:sz="4" w:space="0" w:color="auto"/>
            </w:tcBorders>
            <w:shd w:val="clear" w:color="auto" w:fill="auto"/>
            <w:vAlign w:val="center"/>
            <w:hideMark/>
          </w:tcPr>
          <w:p w14:paraId="3845CD8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45 746 815</w:t>
            </w:r>
          </w:p>
        </w:tc>
        <w:tc>
          <w:tcPr>
            <w:tcW w:w="1240" w:type="dxa"/>
            <w:tcBorders>
              <w:top w:val="nil"/>
              <w:left w:val="nil"/>
              <w:bottom w:val="single" w:sz="4" w:space="0" w:color="auto"/>
              <w:right w:val="single" w:sz="4" w:space="0" w:color="auto"/>
            </w:tcBorders>
            <w:shd w:val="clear" w:color="auto" w:fill="auto"/>
            <w:vAlign w:val="center"/>
            <w:hideMark/>
          </w:tcPr>
          <w:p w14:paraId="68E99E8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96 600 299</w:t>
            </w:r>
          </w:p>
        </w:tc>
        <w:tc>
          <w:tcPr>
            <w:tcW w:w="1180" w:type="dxa"/>
            <w:tcBorders>
              <w:top w:val="nil"/>
              <w:left w:val="nil"/>
              <w:bottom w:val="single" w:sz="4" w:space="0" w:color="auto"/>
              <w:right w:val="single" w:sz="4" w:space="0" w:color="auto"/>
            </w:tcBorders>
            <w:shd w:val="clear" w:color="auto" w:fill="auto"/>
            <w:noWrap/>
            <w:vAlign w:val="center"/>
            <w:hideMark/>
          </w:tcPr>
          <w:p w14:paraId="6574C5D7"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50 853 484</w:t>
            </w:r>
          </w:p>
        </w:tc>
      </w:tr>
      <w:tr w:rsidR="0093441E" w:rsidRPr="002A7673" w14:paraId="7863128D"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4BFE96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Tintas, pinturas y diluyentes </w:t>
            </w:r>
          </w:p>
        </w:tc>
        <w:tc>
          <w:tcPr>
            <w:tcW w:w="1240" w:type="dxa"/>
            <w:tcBorders>
              <w:top w:val="nil"/>
              <w:left w:val="nil"/>
              <w:bottom w:val="single" w:sz="4" w:space="0" w:color="auto"/>
              <w:right w:val="single" w:sz="4" w:space="0" w:color="auto"/>
            </w:tcBorders>
            <w:shd w:val="clear" w:color="auto" w:fill="auto"/>
            <w:vAlign w:val="center"/>
            <w:hideMark/>
          </w:tcPr>
          <w:p w14:paraId="516901A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165 772 017</w:t>
            </w:r>
          </w:p>
        </w:tc>
        <w:tc>
          <w:tcPr>
            <w:tcW w:w="1240" w:type="dxa"/>
            <w:tcBorders>
              <w:top w:val="nil"/>
              <w:left w:val="nil"/>
              <w:bottom w:val="single" w:sz="4" w:space="0" w:color="auto"/>
              <w:right w:val="single" w:sz="4" w:space="0" w:color="auto"/>
            </w:tcBorders>
            <w:shd w:val="clear" w:color="auto" w:fill="auto"/>
            <w:vAlign w:val="center"/>
            <w:hideMark/>
          </w:tcPr>
          <w:p w14:paraId="4470840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163 477 819</w:t>
            </w:r>
          </w:p>
        </w:tc>
        <w:tc>
          <w:tcPr>
            <w:tcW w:w="1180" w:type="dxa"/>
            <w:tcBorders>
              <w:top w:val="nil"/>
              <w:left w:val="nil"/>
              <w:bottom w:val="single" w:sz="4" w:space="0" w:color="auto"/>
              <w:right w:val="single" w:sz="4" w:space="0" w:color="auto"/>
            </w:tcBorders>
            <w:shd w:val="clear" w:color="auto" w:fill="auto"/>
            <w:noWrap/>
            <w:vAlign w:val="center"/>
            <w:hideMark/>
          </w:tcPr>
          <w:p w14:paraId="2B8715FB"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-2 294 198</w:t>
            </w:r>
          </w:p>
        </w:tc>
      </w:tr>
      <w:tr w:rsidR="0093441E" w:rsidRPr="002A7673" w14:paraId="4EF4D697"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BCB994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productos químicos y conexos</w:t>
            </w:r>
          </w:p>
        </w:tc>
        <w:tc>
          <w:tcPr>
            <w:tcW w:w="1240" w:type="dxa"/>
            <w:tcBorders>
              <w:top w:val="nil"/>
              <w:left w:val="nil"/>
              <w:bottom w:val="single" w:sz="4" w:space="0" w:color="auto"/>
              <w:right w:val="single" w:sz="4" w:space="0" w:color="auto"/>
            </w:tcBorders>
            <w:shd w:val="clear" w:color="auto" w:fill="auto"/>
            <w:vAlign w:val="center"/>
            <w:hideMark/>
          </w:tcPr>
          <w:p w14:paraId="1CC4A5A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12 833 283</w:t>
            </w:r>
          </w:p>
        </w:tc>
        <w:tc>
          <w:tcPr>
            <w:tcW w:w="1240" w:type="dxa"/>
            <w:tcBorders>
              <w:top w:val="nil"/>
              <w:left w:val="nil"/>
              <w:bottom w:val="single" w:sz="4" w:space="0" w:color="auto"/>
              <w:right w:val="single" w:sz="4" w:space="0" w:color="auto"/>
            </w:tcBorders>
            <w:shd w:val="clear" w:color="auto" w:fill="auto"/>
            <w:vAlign w:val="center"/>
            <w:hideMark/>
          </w:tcPr>
          <w:p w14:paraId="3F1364C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12 294 178</w:t>
            </w:r>
          </w:p>
        </w:tc>
        <w:tc>
          <w:tcPr>
            <w:tcW w:w="1180" w:type="dxa"/>
            <w:tcBorders>
              <w:top w:val="nil"/>
              <w:left w:val="nil"/>
              <w:bottom w:val="single" w:sz="4" w:space="0" w:color="auto"/>
              <w:right w:val="single" w:sz="4" w:space="0" w:color="auto"/>
            </w:tcBorders>
            <w:shd w:val="clear" w:color="auto" w:fill="auto"/>
            <w:noWrap/>
            <w:vAlign w:val="center"/>
            <w:hideMark/>
          </w:tcPr>
          <w:p w14:paraId="660E558C"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-539 105</w:t>
            </w:r>
          </w:p>
        </w:tc>
      </w:tr>
      <w:tr w:rsidR="0093441E" w:rsidRPr="002A7673" w14:paraId="455E5BA6"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1D94CED"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Productos agroforestales</w:t>
            </w:r>
          </w:p>
        </w:tc>
        <w:tc>
          <w:tcPr>
            <w:tcW w:w="1240" w:type="dxa"/>
            <w:tcBorders>
              <w:top w:val="nil"/>
              <w:left w:val="nil"/>
              <w:bottom w:val="single" w:sz="4" w:space="0" w:color="auto"/>
              <w:right w:val="single" w:sz="4" w:space="0" w:color="auto"/>
            </w:tcBorders>
            <w:shd w:val="clear" w:color="auto" w:fill="auto"/>
            <w:vAlign w:val="center"/>
            <w:hideMark/>
          </w:tcPr>
          <w:p w14:paraId="2868F36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2 628 252</w:t>
            </w:r>
          </w:p>
        </w:tc>
        <w:tc>
          <w:tcPr>
            <w:tcW w:w="1240" w:type="dxa"/>
            <w:tcBorders>
              <w:top w:val="nil"/>
              <w:left w:val="nil"/>
              <w:bottom w:val="single" w:sz="4" w:space="0" w:color="auto"/>
              <w:right w:val="single" w:sz="4" w:space="0" w:color="auto"/>
            </w:tcBorders>
            <w:shd w:val="clear" w:color="auto" w:fill="auto"/>
            <w:vAlign w:val="center"/>
            <w:hideMark/>
          </w:tcPr>
          <w:p w14:paraId="5D4F291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1 672 252</w:t>
            </w:r>
          </w:p>
        </w:tc>
        <w:tc>
          <w:tcPr>
            <w:tcW w:w="1180" w:type="dxa"/>
            <w:tcBorders>
              <w:top w:val="nil"/>
              <w:left w:val="nil"/>
              <w:bottom w:val="single" w:sz="4" w:space="0" w:color="auto"/>
              <w:right w:val="single" w:sz="4" w:space="0" w:color="auto"/>
            </w:tcBorders>
            <w:shd w:val="clear" w:color="auto" w:fill="auto"/>
            <w:noWrap/>
            <w:vAlign w:val="center"/>
            <w:hideMark/>
          </w:tcPr>
          <w:p w14:paraId="40E8FDD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-956 000</w:t>
            </w:r>
          </w:p>
        </w:tc>
      </w:tr>
      <w:tr w:rsidR="0093441E" w:rsidRPr="002A7673" w14:paraId="17D05BF4"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4FEEBA8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Alimentos y bebidas</w:t>
            </w:r>
          </w:p>
        </w:tc>
        <w:tc>
          <w:tcPr>
            <w:tcW w:w="1240" w:type="dxa"/>
            <w:tcBorders>
              <w:top w:val="nil"/>
              <w:left w:val="nil"/>
              <w:bottom w:val="single" w:sz="4" w:space="0" w:color="auto"/>
              <w:right w:val="single" w:sz="4" w:space="0" w:color="auto"/>
            </w:tcBorders>
            <w:shd w:val="clear" w:color="auto" w:fill="auto"/>
            <w:vAlign w:val="center"/>
            <w:hideMark/>
          </w:tcPr>
          <w:p w14:paraId="1476DB5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70 248 430</w:t>
            </w:r>
          </w:p>
        </w:tc>
        <w:tc>
          <w:tcPr>
            <w:tcW w:w="1240" w:type="dxa"/>
            <w:tcBorders>
              <w:top w:val="nil"/>
              <w:left w:val="nil"/>
              <w:bottom w:val="single" w:sz="4" w:space="0" w:color="auto"/>
              <w:right w:val="single" w:sz="4" w:space="0" w:color="auto"/>
            </w:tcBorders>
            <w:shd w:val="clear" w:color="auto" w:fill="auto"/>
            <w:vAlign w:val="center"/>
            <w:hideMark/>
          </w:tcPr>
          <w:p w14:paraId="2EC9233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49 275 023</w:t>
            </w:r>
          </w:p>
        </w:tc>
        <w:tc>
          <w:tcPr>
            <w:tcW w:w="1180" w:type="dxa"/>
            <w:tcBorders>
              <w:top w:val="nil"/>
              <w:left w:val="nil"/>
              <w:bottom w:val="single" w:sz="4" w:space="0" w:color="auto"/>
              <w:right w:val="single" w:sz="4" w:space="0" w:color="auto"/>
            </w:tcBorders>
            <w:shd w:val="clear" w:color="auto" w:fill="auto"/>
            <w:noWrap/>
            <w:vAlign w:val="center"/>
            <w:hideMark/>
          </w:tcPr>
          <w:p w14:paraId="7559F9C8"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-20 973 407</w:t>
            </w:r>
          </w:p>
        </w:tc>
      </w:tr>
      <w:tr w:rsidR="0093441E" w:rsidRPr="002A7673" w14:paraId="6A0EC309"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F646181"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Alimentos para animales</w:t>
            </w:r>
          </w:p>
        </w:tc>
        <w:tc>
          <w:tcPr>
            <w:tcW w:w="1240" w:type="dxa"/>
            <w:tcBorders>
              <w:top w:val="nil"/>
              <w:left w:val="nil"/>
              <w:bottom w:val="single" w:sz="4" w:space="0" w:color="auto"/>
              <w:right w:val="single" w:sz="4" w:space="0" w:color="auto"/>
            </w:tcBorders>
            <w:shd w:val="clear" w:color="auto" w:fill="auto"/>
            <w:vAlign w:val="center"/>
            <w:hideMark/>
          </w:tcPr>
          <w:p w14:paraId="38FD5EB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2 695</w:t>
            </w:r>
          </w:p>
        </w:tc>
        <w:tc>
          <w:tcPr>
            <w:tcW w:w="1240" w:type="dxa"/>
            <w:tcBorders>
              <w:top w:val="nil"/>
              <w:left w:val="nil"/>
              <w:bottom w:val="single" w:sz="4" w:space="0" w:color="auto"/>
              <w:right w:val="single" w:sz="4" w:space="0" w:color="auto"/>
            </w:tcBorders>
            <w:shd w:val="clear" w:color="auto" w:fill="auto"/>
            <w:vAlign w:val="center"/>
            <w:hideMark/>
          </w:tcPr>
          <w:p w14:paraId="6B28606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2 500</w:t>
            </w:r>
          </w:p>
        </w:tc>
        <w:tc>
          <w:tcPr>
            <w:tcW w:w="1180" w:type="dxa"/>
            <w:tcBorders>
              <w:top w:val="nil"/>
              <w:left w:val="nil"/>
              <w:bottom w:val="single" w:sz="4" w:space="0" w:color="auto"/>
              <w:right w:val="single" w:sz="4" w:space="0" w:color="auto"/>
            </w:tcBorders>
            <w:shd w:val="clear" w:color="auto" w:fill="auto"/>
            <w:noWrap/>
            <w:vAlign w:val="center"/>
            <w:hideMark/>
          </w:tcPr>
          <w:p w14:paraId="0708721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-195</w:t>
            </w:r>
          </w:p>
        </w:tc>
      </w:tr>
      <w:tr w:rsidR="0093441E" w:rsidRPr="002A7673" w14:paraId="5F18159A"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35D1DD0"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metálicos</w:t>
            </w:r>
          </w:p>
        </w:tc>
        <w:tc>
          <w:tcPr>
            <w:tcW w:w="1240" w:type="dxa"/>
            <w:tcBorders>
              <w:top w:val="nil"/>
              <w:left w:val="nil"/>
              <w:bottom w:val="single" w:sz="4" w:space="0" w:color="auto"/>
              <w:right w:val="single" w:sz="4" w:space="0" w:color="auto"/>
            </w:tcBorders>
            <w:shd w:val="clear" w:color="auto" w:fill="auto"/>
            <w:vAlign w:val="center"/>
            <w:hideMark/>
          </w:tcPr>
          <w:p w14:paraId="364DA3D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62 516 267</w:t>
            </w:r>
          </w:p>
        </w:tc>
        <w:tc>
          <w:tcPr>
            <w:tcW w:w="1240" w:type="dxa"/>
            <w:tcBorders>
              <w:top w:val="nil"/>
              <w:left w:val="nil"/>
              <w:bottom w:val="single" w:sz="4" w:space="0" w:color="auto"/>
              <w:right w:val="single" w:sz="4" w:space="0" w:color="auto"/>
            </w:tcBorders>
            <w:shd w:val="clear" w:color="auto" w:fill="auto"/>
            <w:vAlign w:val="center"/>
            <w:hideMark/>
          </w:tcPr>
          <w:p w14:paraId="5B92F21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61 785 929</w:t>
            </w:r>
          </w:p>
        </w:tc>
        <w:tc>
          <w:tcPr>
            <w:tcW w:w="1180" w:type="dxa"/>
            <w:tcBorders>
              <w:top w:val="nil"/>
              <w:left w:val="nil"/>
              <w:bottom w:val="single" w:sz="4" w:space="0" w:color="auto"/>
              <w:right w:val="single" w:sz="4" w:space="0" w:color="auto"/>
            </w:tcBorders>
            <w:shd w:val="clear" w:color="auto" w:fill="auto"/>
            <w:noWrap/>
            <w:vAlign w:val="center"/>
            <w:hideMark/>
          </w:tcPr>
          <w:p w14:paraId="2F5EB37A"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-730 338</w:t>
            </w:r>
          </w:p>
        </w:tc>
      </w:tr>
      <w:tr w:rsidR="0093441E" w:rsidRPr="002A7673" w14:paraId="3792D54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A019D5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minerales y asfálticos</w:t>
            </w:r>
          </w:p>
        </w:tc>
        <w:tc>
          <w:tcPr>
            <w:tcW w:w="1240" w:type="dxa"/>
            <w:tcBorders>
              <w:top w:val="nil"/>
              <w:left w:val="nil"/>
              <w:bottom w:val="single" w:sz="4" w:space="0" w:color="auto"/>
              <w:right w:val="single" w:sz="4" w:space="0" w:color="auto"/>
            </w:tcBorders>
            <w:shd w:val="clear" w:color="auto" w:fill="auto"/>
            <w:vAlign w:val="center"/>
            <w:hideMark/>
          </w:tcPr>
          <w:p w14:paraId="6AFD2D9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7 776 560</w:t>
            </w:r>
          </w:p>
        </w:tc>
        <w:tc>
          <w:tcPr>
            <w:tcW w:w="1240" w:type="dxa"/>
            <w:tcBorders>
              <w:top w:val="nil"/>
              <w:left w:val="nil"/>
              <w:bottom w:val="single" w:sz="4" w:space="0" w:color="auto"/>
              <w:right w:val="single" w:sz="4" w:space="0" w:color="auto"/>
            </w:tcBorders>
            <w:shd w:val="clear" w:color="auto" w:fill="auto"/>
            <w:vAlign w:val="center"/>
            <w:hideMark/>
          </w:tcPr>
          <w:p w14:paraId="0DCB4C7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7 147 460</w:t>
            </w:r>
          </w:p>
        </w:tc>
        <w:tc>
          <w:tcPr>
            <w:tcW w:w="1180" w:type="dxa"/>
            <w:tcBorders>
              <w:top w:val="nil"/>
              <w:left w:val="nil"/>
              <w:bottom w:val="single" w:sz="4" w:space="0" w:color="auto"/>
              <w:right w:val="single" w:sz="4" w:space="0" w:color="auto"/>
            </w:tcBorders>
            <w:shd w:val="clear" w:color="auto" w:fill="auto"/>
            <w:noWrap/>
            <w:vAlign w:val="center"/>
            <w:hideMark/>
          </w:tcPr>
          <w:p w14:paraId="4B41D4F0"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-629 100</w:t>
            </w:r>
          </w:p>
        </w:tc>
      </w:tr>
      <w:tr w:rsidR="0093441E" w:rsidRPr="002A7673" w14:paraId="0FB11935"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70BDED4"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Madera y sus derivados</w:t>
            </w:r>
          </w:p>
        </w:tc>
        <w:tc>
          <w:tcPr>
            <w:tcW w:w="1240" w:type="dxa"/>
            <w:tcBorders>
              <w:top w:val="nil"/>
              <w:left w:val="nil"/>
              <w:bottom w:val="single" w:sz="4" w:space="0" w:color="auto"/>
              <w:right w:val="single" w:sz="4" w:space="0" w:color="auto"/>
            </w:tcBorders>
            <w:shd w:val="clear" w:color="auto" w:fill="auto"/>
            <w:vAlign w:val="center"/>
            <w:hideMark/>
          </w:tcPr>
          <w:p w14:paraId="3D70380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9 455 265</w:t>
            </w:r>
          </w:p>
        </w:tc>
        <w:tc>
          <w:tcPr>
            <w:tcW w:w="1240" w:type="dxa"/>
            <w:tcBorders>
              <w:top w:val="nil"/>
              <w:left w:val="nil"/>
              <w:bottom w:val="single" w:sz="4" w:space="0" w:color="auto"/>
              <w:right w:val="single" w:sz="4" w:space="0" w:color="auto"/>
            </w:tcBorders>
            <w:shd w:val="clear" w:color="auto" w:fill="auto"/>
            <w:vAlign w:val="center"/>
            <w:hideMark/>
          </w:tcPr>
          <w:p w14:paraId="1522CD5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7 441 179</w:t>
            </w:r>
          </w:p>
        </w:tc>
        <w:tc>
          <w:tcPr>
            <w:tcW w:w="1180" w:type="dxa"/>
            <w:tcBorders>
              <w:top w:val="nil"/>
              <w:left w:val="nil"/>
              <w:bottom w:val="single" w:sz="4" w:space="0" w:color="auto"/>
              <w:right w:val="single" w:sz="4" w:space="0" w:color="auto"/>
            </w:tcBorders>
            <w:shd w:val="clear" w:color="auto" w:fill="auto"/>
            <w:noWrap/>
            <w:vAlign w:val="center"/>
            <w:hideMark/>
          </w:tcPr>
          <w:p w14:paraId="732C9084"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-2 014 086</w:t>
            </w:r>
          </w:p>
        </w:tc>
      </w:tr>
      <w:tr w:rsidR="0093441E" w:rsidRPr="002A7673" w14:paraId="01753219"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820C67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eléctricos, telefónicos y de cómputo</w:t>
            </w:r>
          </w:p>
        </w:tc>
        <w:tc>
          <w:tcPr>
            <w:tcW w:w="1240" w:type="dxa"/>
            <w:tcBorders>
              <w:top w:val="nil"/>
              <w:left w:val="nil"/>
              <w:bottom w:val="single" w:sz="4" w:space="0" w:color="auto"/>
              <w:right w:val="single" w:sz="4" w:space="0" w:color="auto"/>
            </w:tcBorders>
            <w:shd w:val="clear" w:color="auto" w:fill="auto"/>
            <w:vAlign w:val="center"/>
            <w:hideMark/>
          </w:tcPr>
          <w:p w14:paraId="3C6AB69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223 653 807</w:t>
            </w:r>
          </w:p>
        </w:tc>
        <w:tc>
          <w:tcPr>
            <w:tcW w:w="1240" w:type="dxa"/>
            <w:tcBorders>
              <w:top w:val="nil"/>
              <w:left w:val="nil"/>
              <w:bottom w:val="single" w:sz="4" w:space="0" w:color="auto"/>
              <w:right w:val="single" w:sz="4" w:space="0" w:color="auto"/>
            </w:tcBorders>
            <w:shd w:val="clear" w:color="auto" w:fill="auto"/>
            <w:vAlign w:val="center"/>
            <w:hideMark/>
          </w:tcPr>
          <w:p w14:paraId="64ECC11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409 011 272</w:t>
            </w:r>
          </w:p>
        </w:tc>
        <w:tc>
          <w:tcPr>
            <w:tcW w:w="1180" w:type="dxa"/>
            <w:tcBorders>
              <w:top w:val="nil"/>
              <w:left w:val="nil"/>
              <w:bottom w:val="single" w:sz="4" w:space="0" w:color="auto"/>
              <w:right w:val="single" w:sz="4" w:space="0" w:color="auto"/>
            </w:tcBorders>
            <w:shd w:val="clear" w:color="auto" w:fill="auto"/>
            <w:noWrap/>
            <w:vAlign w:val="center"/>
            <w:hideMark/>
          </w:tcPr>
          <w:p w14:paraId="69B936B8"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185 357 465</w:t>
            </w:r>
          </w:p>
        </w:tc>
      </w:tr>
      <w:tr w:rsidR="0093441E" w:rsidRPr="002A7673" w14:paraId="3DD5E416"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80FA93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de vidrio</w:t>
            </w:r>
          </w:p>
        </w:tc>
        <w:tc>
          <w:tcPr>
            <w:tcW w:w="1240" w:type="dxa"/>
            <w:tcBorders>
              <w:top w:val="nil"/>
              <w:left w:val="nil"/>
              <w:bottom w:val="single" w:sz="4" w:space="0" w:color="auto"/>
              <w:right w:val="single" w:sz="4" w:space="0" w:color="auto"/>
            </w:tcBorders>
            <w:shd w:val="clear" w:color="auto" w:fill="auto"/>
            <w:vAlign w:val="center"/>
            <w:hideMark/>
          </w:tcPr>
          <w:p w14:paraId="5BDBB5C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4 361 381</w:t>
            </w:r>
          </w:p>
        </w:tc>
        <w:tc>
          <w:tcPr>
            <w:tcW w:w="1240" w:type="dxa"/>
            <w:tcBorders>
              <w:top w:val="nil"/>
              <w:left w:val="nil"/>
              <w:bottom w:val="single" w:sz="4" w:space="0" w:color="auto"/>
              <w:right w:val="single" w:sz="4" w:space="0" w:color="auto"/>
            </w:tcBorders>
            <w:shd w:val="clear" w:color="auto" w:fill="auto"/>
            <w:vAlign w:val="center"/>
            <w:hideMark/>
          </w:tcPr>
          <w:p w14:paraId="16D8FF2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5 337 882</w:t>
            </w:r>
          </w:p>
        </w:tc>
        <w:tc>
          <w:tcPr>
            <w:tcW w:w="1180" w:type="dxa"/>
            <w:tcBorders>
              <w:top w:val="nil"/>
              <w:left w:val="nil"/>
              <w:bottom w:val="single" w:sz="4" w:space="0" w:color="auto"/>
              <w:right w:val="single" w:sz="4" w:space="0" w:color="auto"/>
            </w:tcBorders>
            <w:shd w:val="clear" w:color="auto" w:fill="auto"/>
            <w:noWrap/>
            <w:vAlign w:val="center"/>
            <w:hideMark/>
          </w:tcPr>
          <w:p w14:paraId="1DC230C6"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976 501</w:t>
            </w:r>
          </w:p>
        </w:tc>
      </w:tr>
      <w:tr w:rsidR="0093441E" w:rsidRPr="002A7673" w14:paraId="0F8D7A8B"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19BF6C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de plástico</w:t>
            </w:r>
          </w:p>
        </w:tc>
        <w:tc>
          <w:tcPr>
            <w:tcW w:w="1240" w:type="dxa"/>
            <w:tcBorders>
              <w:top w:val="nil"/>
              <w:left w:val="nil"/>
              <w:bottom w:val="single" w:sz="4" w:space="0" w:color="auto"/>
              <w:right w:val="single" w:sz="4" w:space="0" w:color="auto"/>
            </w:tcBorders>
            <w:shd w:val="clear" w:color="auto" w:fill="auto"/>
            <w:vAlign w:val="center"/>
            <w:hideMark/>
          </w:tcPr>
          <w:p w14:paraId="6756575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20 336 462</w:t>
            </w:r>
          </w:p>
        </w:tc>
        <w:tc>
          <w:tcPr>
            <w:tcW w:w="1240" w:type="dxa"/>
            <w:tcBorders>
              <w:top w:val="nil"/>
              <w:left w:val="nil"/>
              <w:bottom w:val="single" w:sz="4" w:space="0" w:color="auto"/>
              <w:right w:val="single" w:sz="4" w:space="0" w:color="auto"/>
            </w:tcBorders>
            <w:shd w:val="clear" w:color="auto" w:fill="auto"/>
            <w:vAlign w:val="center"/>
            <w:hideMark/>
          </w:tcPr>
          <w:p w14:paraId="7662009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14 359 173</w:t>
            </w:r>
          </w:p>
        </w:tc>
        <w:tc>
          <w:tcPr>
            <w:tcW w:w="1180" w:type="dxa"/>
            <w:tcBorders>
              <w:top w:val="nil"/>
              <w:left w:val="nil"/>
              <w:bottom w:val="single" w:sz="4" w:space="0" w:color="auto"/>
              <w:right w:val="single" w:sz="4" w:space="0" w:color="auto"/>
            </w:tcBorders>
            <w:shd w:val="clear" w:color="auto" w:fill="auto"/>
            <w:noWrap/>
            <w:vAlign w:val="center"/>
            <w:hideMark/>
          </w:tcPr>
          <w:p w14:paraId="28BDAC7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-5 977 289</w:t>
            </w:r>
          </w:p>
        </w:tc>
      </w:tr>
      <w:tr w:rsidR="0093441E" w:rsidRPr="002A7673" w14:paraId="36B74D18"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41A2D3E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materiales y productos de uso en la construcción</w:t>
            </w:r>
          </w:p>
        </w:tc>
        <w:tc>
          <w:tcPr>
            <w:tcW w:w="1240" w:type="dxa"/>
            <w:tcBorders>
              <w:top w:val="nil"/>
              <w:left w:val="nil"/>
              <w:bottom w:val="single" w:sz="4" w:space="0" w:color="auto"/>
              <w:right w:val="single" w:sz="4" w:space="0" w:color="auto"/>
            </w:tcBorders>
            <w:shd w:val="clear" w:color="auto" w:fill="auto"/>
            <w:vAlign w:val="center"/>
            <w:hideMark/>
          </w:tcPr>
          <w:p w14:paraId="1EA8219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30 613 273</w:t>
            </w:r>
          </w:p>
        </w:tc>
        <w:tc>
          <w:tcPr>
            <w:tcW w:w="1240" w:type="dxa"/>
            <w:tcBorders>
              <w:top w:val="nil"/>
              <w:left w:val="nil"/>
              <w:bottom w:val="single" w:sz="4" w:space="0" w:color="auto"/>
              <w:right w:val="single" w:sz="4" w:space="0" w:color="auto"/>
            </w:tcBorders>
            <w:shd w:val="clear" w:color="auto" w:fill="auto"/>
            <w:vAlign w:val="center"/>
            <w:hideMark/>
          </w:tcPr>
          <w:p w14:paraId="331E053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21 718 745</w:t>
            </w:r>
          </w:p>
        </w:tc>
        <w:tc>
          <w:tcPr>
            <w:tcW w:w="1180" w:type="dxa"/>
            <w:tcBorders>
              <w:top w:val="nil"/>
              <w:left w:val="nil"/>
              <w:bottom w:val="single" w:sz="4" w:space="0" w:color="auto"/>
              <w:right w:val="single" w:sz="4" w:space="0" w:color="auto"/>
            </w:tcBorders>
            <w:shd w:val="clear" w:color="auto" w:fill="auto"/>
            <w:noWrap/>
            <w:vAlign w:val="center"/>
            <w:hideMark/>
          </w:tcPr>
          <w:p w14:paraId="21BBA50B"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-8 894 528</w:t>
            </w:r>
          </w:p>
        </w:tc>
      </w:tr>
      <w:tr w:rsidR="0093441E" w:rsidRPr="002A7673" w14:paraId="5CF5E8C0"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115711B"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Herramientas e instrumentos</w:t>
            </w:r>
          </w:p>
        </w:tc>
        <w:tc>
          <w:tcPr>
            <w:tcW w:w="1240" w:type="dxa"/>
            <w:tcBorders>
              <w:top w:val="nil"/>
              <w:left w:val="nil"/>
              <w:bottom w:val="single" w:sz="4" w:space="0" w:color="auto"/>
              <w:right w:val="single" w:sz="4" w:space="0" w:color="auto"/>
            </w:tcBorders>
            <w:shd w:val="clear" w:color="auto" w:fill="auto"/>
            <w:vAlign w:val="center"/>
            <w:hideMark/>
          </w:tcPr>
          <w:p w14:paraId="1EA0D50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38 575 494</w:t>
            </w:r>
          </w:p>
        </w:tc>
        <w:tc>
          <w:tcPr>
            <w:tcW w:w="1240" w:type="dxa"/>
            <w:tcBorders>
              <w:top w:val="nil"/>
              <w:left w:val="nil"/>
              <w:bottom w:val="single" w:sz="4" w:space="0" w:color="auto"/>
              <w:right w:val="single" w:sz="4" w:space="0" w:color="auto"/>
            </w:tcBorders>
            <w:shd w:val="clear" w:color="auto" w:fill="auto"/>
            <w:vAlign w:val="center"/>
            <w:hideMark/>
          </w:tcPr>
          <w:p w14:paraId="1B1A2F1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35 293 815</w:t>
            </w:r>
          </w:p>
        </w:tc>
        <w:tc>
          <w:tcPr>
            <w:tcW w:w="1180" w:type="dxa"/>
            <w:tcBorders>
              <w:top w:val="nil"/>
              <w:left w:val="nil"/>
              <w:bottom w:val="single" w:sz="4" w:space="0" w:color="auto"/>
              <w:right w:val="single" w:sz="4" w:space="0" w:color="auto"/>
            </w:tcBorders>
            <w:shd w:val="clear" w:color="auto" w:fill="auto"/>
            <w:noWrap/>
            <w:vAlign w:val="center"/>
            <w:hideMark/>
          </w:tcPr>
          <w:p w14:paraId="568C3C66"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-3 281 679</w:t>
            </w:r>
          </w:p>
        </w:tc>
      </w:tr>
      <w:tr w:rsidR="0093441E" w:rsidRPr="002A7673" w14:paraId="5C5EDCAE"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0EEE37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Repuestos y accesorios</w:t>
            </w:r>
          </w:p>
        </w:tc>
        <w:tc>
          <w:tcPr>
            <w:tcW w:w="1240" w:type="dxa"/>
            <w:tcBorders>
              <w:top w:val="nil"/>
              <w:left w:val="nil"/>
              <w:bottom w:val="single" w:sz="4" w:space="0" w:color="auto"/>
              <w:right w:val="single" w:sz="4" w:space="0" w:color="auto"/>
            </w:tcBorders>
            <w:shd w:val="clear" w:color="auto" w:fill="auto"/>
            <w:vAlign w:val="center"/>
            <w:hideMark/>
          </w:tcPr>
          <w:p w14:paraId="479944A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228 942 272</w:t>
            </w:r>
          </w:p>
        </w:tc>
        <w:tc>
          <w:tcPr>
            <w:tcW w:w="1240" w:type="dxa"/>
            <w:tcBorders>
              <w:top w:val="nil"/>
              <w:left w:val="nil"/>
              <w:bottom w:val="single" w:sz="4" w:space="0" w:color="auto"/>
              <w:right w:val="single" w:sz="4" w:space="0" w:color="auto"/>
            </w:tcBorders>
            <w:shd w:val="clear" w:color="auto" w:fill="auto"/>
            <w:vAlign w:val="center"/>
            <w:hideMark/>
          </w:tcPr>
          <w:p w14:paraId="5DEB1D7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201 038 819</w:t>
            </w:r>
          </w:p>
        </w:tc>
        <w:tc>
          <w:tcPr>
            <w:tcW w:w="1180" w:type="dxa"/>
            <w:tcBorders>
              <w:top w:val="nil"/>
              <w:left w:val="nil"/>
              <w:bottom w:val="single" w:sz="4" w:space="0" w:color="auto"/>
              <w:right w:val="single" w:sz="4" w:space="0" w:color="auto"/>
            </w:tcBorders>
            <w:shd w:val="clear" w:color="auto" w:fill="auto"/>
            <w:noWrap/>
            <w:vAlign w:val="center"/>
            <w:hideMark/>
          </w:tcPr>
          <w:p w14:paraId="1FD57E66"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-27 903 453</w:t>
            </w:r>
          </w:p>
        </w:tc>
      </w:tr>
      <w:tr w:rsidR="0093441E" w:rsidRPr="002A7673" w14:paraId="6BCE032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E44DFF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Útiles y materiales de oficina y cómputo</w:t>
            </w:r>
          </w:p>
        </w:tc>
        <w:tc>
          <w:tcPr>
            <w:tcW w:w="1240" w:type="dxa"/>
            <w:tcBorders>
              <w:top w:val="nil"/>
              <w:left w:val="nil"/>
              <w:bottom w:val="single" w:sz="4" w:space="0" w:color="auto"/>
              <w:right w:val="single" w:sz="4" w:space="0" w:color="auto"/>
            </w:tcBorders>
            <w:shd w:val="clear" w:color="auto" w:fill="auto"/>
            <w:vAlign w:val="center"/>
            <w:hideMark/>
          </w:tcPr>
          <w:p w14:paraId="73500D7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69 148 054</w:t>
            </w:r>
          </w:p>
        </w:tc>
        <w:tc>
          <w:tcPr>
            <w:tcW w:w="1240" w:type="dxa"/>
            <w:tcBorders>
              <w:top w:val="nil"/>
              <w:left w:val="nil"/>
              <w:bottom w:val="single" w:sz="4" w:space="0" w:color="auto"/>
              <w:right w:val="single" w:sz="4" w:space="0" w:color="auto"/>
            </w:tcBorders>
            <w:shd w:val="clear" w:color="auto" w:fill="auto"/>
            <w:vAlign w:val="center"/>
            <w:hideMark/>
          </w:tcPr>
          <w:p w14:paraId="61229F0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122 352 944</w:t>
            </w:r>
          </w:p>
        </w:tc>
        <w:tc>
          <w:tcPr>
            <w:tcW w:w="1180" w:type="dxa"/>
            <w:tcBorders>
              <w:top w:val="nil"/>
              <w:left w:val="nil"/>
              <w:bottom w:val="single" w:sz="4" w:space="0" w:color="auto"/>
              <w:right w:val="single" w:sz="4" w:space="0" w:color="auto"/>
            </w:tcBorders>
            <w:shd w:val="clear" w:color="auto" w:fill="auto"/>
            <w:noWrap/>
            <w:vAlign w:val="center"/>
            <w:hideMark/>
          </w:tcPr>
          <w:p w14:paraId="083B7396"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53 204 890</w:t>
            </w:r>
          </w:p>
        </w:tc>
      </w:tr>
      <w:tr w:rsidR="0093441E" w:rsidRPr="002A7673" w14:paraId="5A49941E"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95AE75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Útiles y </w:t>
            </w:r>
            <w:proofErr w:type="gramStart"/>
            <w:r w:rsidRPr="002A7673">
              <w:rPr>
                <w:rFonts w:ascii="Times New Roman" w:hAnsi="Times New Roman" w:cs="Times New Roman"/>
                <w:color w:val="000000"/>
                <w:sz w:val="16"/>
                <w:szCs w:val="16"/>
                <w:lang w:eastAsia="es-CR"/>
              </w:rPr>
              <w:t>materiales médico</w:t>
            </w:r>
            <w:proofErr w:type="gramEnd"/>
            <w:r w:rsidRPr="002A7673">
              <w:rPr>
                <w:rFonts w:ascii="Times New Roman" w:hAnsi="Times New Roman" w:cs="Times New Roman"/>
                <w:color w:val="000000"/>
                <w:sz w:val="16"/>
                <w:szCs w:val="16"/>
                <w:lang w:eastAsia="es-CR"/>
              </w:rPr>
              <w:t>, hospitalario y de investigación</w:t>
            </w:r>
          </w:p>
        </w:tc>
        <w:tc>
          <w:tcPr>
            <w:tcW w:w="1240" w:type="dxa"/>
            <w:tcBorders>
              <w:top w:val="nil"/>
              <w:left w:val="nil"/>
              <w:bottom w:val="single" w:sz="4" w:space="0" w:color="auto"/>
              <w:right w:val="single" w:sz="4" w:space="0" w:color="auto"/>
            </w:tcBorders>
            <w:shd w:val="clear" w:color="auto" w:fill="auto"/>
            <w:vAlign w:val="center"/>
            <w:hideMark/>
          </w:tcPr>
          <w:p w14:paraId="0F69290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46 664 193</w:t>
            </w:r>
          </w:p>
        </w:tc>
        <w:tc>
          <w:tcPr>
            <w:tcW w:w="1240" w:type="dxa"/>
            <w:tcBorders>
              <w:top w:val="nil"/>
              <w:left w:val="nil"/>
              <w:bottom w:val="single" w:sz="4" w:space="0" w:color="auto"/>
              <w:right w:val="single" w:sz="4" w:space="0" w:color="auto"/>
            </w:tcBorders>
            <w:shd w:val="clear" w:color="auto" w:fill="auto"/>
            <w:vAlign w:val="center"/>
            <w:hideMark/>
          </w:tcPr>
          <w:p w14:paraId="5056DAA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43 118 530</w:t>
            </w:r>
          </w:p>
        </w:tc>
        <w:tc>
          <w:tcPr>
            <w:tcW w:w="1180" w:type="dxa"/>
            <w:tcBorders>
              <w:top w:val="nil"/>
              <w:left w:val="nil"/>
              <w:bottom w:val="single" w:sz="4" w:space="0" w:color="auto"/>
              <w:right w:val="single" w:sz="4" w:space="0" w:color="auto"/>
            </w:tcBorders>
            <w:shd w:val="clear" w:color="auto" w:fill="auto"/>
            <w:noWrap/>
            <w:vAlign w:val="center"/>
            <w:hideMark/>
          </w:tcPr>
          <w:p w14:paraId="2F0E7FCC"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-3 545 663</w:t>
            </w:r>
          </w:p>
        </w:tc>
      </w:tr>
      <w:tr w:rsidR="0093441E" w:rsidRPr="002A7673" w14:paraId="5829C883"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3C4290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Productos de papel, cartón e impresos</w:t>
            </w:r>
          </w:p>
        </w:tc>
        <w:tc>
          <w:tcPr>
            <w:tcW w:w="1240" w:type="dxa"/>
            <w:tcBorders>
              <w:top w:val="nil"/>
              <w:left w:val="nil"/>
              <w:bottom w:val="single" w:sz="4" w:space="0" w:color="auto"/>
              <w:right w:val="single" w:sz="4" w:space="0" w:color="auto"/>
            </w:tcBorders>
            <w:shd w:val="clear" w:color="auto" w:fill="auto"/>
            <w:vAlign w:val="center"/>
            <w:hideMark/>
          </w:tcPr>
          <w:p w14:paraId="2766BB2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159 084 647</w:t>
            </w:r>
          </w:p>
        </w:tc>
        <w:tc>
          <w:tcPr>
            <w:tcW w:w="1240" w:type="dxa"/>
            <w:tcBorders>
              <w:top w:val="nil"/>
              <w:left w:val="nil"/>
              <w:bottom w:val="single" w:sz="4" w:space="0" w:color="auto"/>
              <w:right w:val="single" w:sz="4" w:space="0" w:color="auto"/>
            </w:tcBorders>
            <w:shd w:val="clear" w:color="auto" w:fill="auto"/>
            <w:vAlign w:val="center"/>
            <w:hideMark/>
          </w:tcPr>
          <w:p w14:paraId="2B257C5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146 909 273</w:t>
            </w:r>
          </w:p>
        </w:tc>
        <w:tc>
          <w:tcPr>
            <w:tcW w:w="1180" w:type="dxa"/>
            <w:tcBorders>
              <w:top w:val="nil"/>
              <w:left w:val="nil"/>
              <w:bottom w:val="single" w:sz="4" w:space="0" w:color="auto"/>
              <w:right w:val="single" w:sz="4" w:space="0" w:color="auto"/>
            </w:tcBorders>
            <w:shd w:val="clear" w:color="auto" w:fill="auto"/>
            <w:noWrap/>
            <w:vAlign w:val="center"/>
            <w:hideMark/>
          </w:tcPr>
          <w:p w14:paraId="581FD48B"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-12 175 374</w:t>
            </w:r>
          </w:p>
        </w:tc>
      </w:tr>
      <w:tr w:rsidR="0093441E" w:rsidRPr="002A7673" w14:paraId="5D9E9300"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5FE38A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Textiles y vestuario</w:t>
            </w:r>
          </w:p>
        </w:tc>
        <w:tc>
          <w:tcPr>
            <w:tcW w:w="1240" w:type="dxa"/>
            <w:tcBorders>
              <w:top w:val="nil"/>
              <w:left w:val="nil"/>
              <w:bottom w:val="single" w:sz="4" w:space="0" w:color="auto"/>
              <w:right w:val="single" w:sz="4" w:space="0" w:color="auto"/>
            </w:tcBorders>
            <w:shd w:val="clear" w:color="auto" w:fill="auto"/>
            <w:vAlign w:val="center"/>
            <w:hideMark/>
          </w:tcPr>
          <w:p w14:paraId="14CF800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79 183 140</w:t>
            </w:r>
          </w:p>
        </w:tc>
        <w:tc>
          <w:tcPr>
            <w:tcW w:w="1240" w:type="dxa"/>
            <w:tcBorders>
              <w:top w:val="nil"/>
              <w:left w:val="nil"/>
              <w:bottom w:val="single" w:sz="4" w:space="0" w:color="auto"/>
              <w:right w:val="single" w:sz="4" w:space="0" w:color="auto"/>
            </w:tcBorders>
            <w:shd w:val="clear" w:color="auto" w:fill="auto"/>
            <w:vAlign w:val="center"/>
            <w:hideMark/>
          </w:tcPr>
          <w:p w14:paraId="776FA34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75 757 233</w:t>
            </w:r>
          </w:p>
        </w:tc>
        <w:tc>
          <w:tcPr>
            <w:tcW w:w="1180" w:type="dxa"/>
            <w:tcBorders>
              <w:top w:val="nil"/>
              <w:left w:val="nil"/>
              <w:bottom w:val="single" w:sz="4" w:space="0" w:color="auto"/>
              <w:right w:val="single" w:sz="4" w:space="0" w:color="auto"/>
            </w:tcBorders>
            <w:shd w:val="clear" w:color="auto" w:fill="auto"/>
            <w:noWrap/>
            <w:vAlign w:val="center"/>
            <w:hideMark/>
          </w:tcPr>
          <w:p w14:paraId="10D88622"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-3 425 907</w:t>
            </w:r>
          </w:p>
        </w:tc>
      </w:tr>
      <w:tr w:rsidR="0093441E" w:rsidRPr="002A7673" w14:paraId="12DA3ED6"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77A603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Útiles y materiales de limpieza</w:t>
            </w:r>
          </w:p>
        </w:tc>
        <w:tc>
          <w:tcPr>
            <w:tcW w:w="1240" w:type="dxa"/>
            <w:tcBorders>
              <w:top w:val="nil"/>
              <w:left w:val="nil"/>
              <w:bottom w:val="single" w:sz="4" w:space="0" w:color="auto"/>
              <w:right w:val="single" w:sz="4" w:space="0" w:color="auto"/>
            </w:tcBorders>
            <w:shd w:val="clear" w:color="auto" w:fill="auto"/>
            <w:vAlign w:val="center"/>
            <w:hideMark/>
          </w:tcPr>
          <w:p w14:paraId="1CCAB39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194 707 875</w:t>
            </w:r>
          </w:p>
        </w:tc>
        <w:tc>
          <w:tcPr>
            <w:tcW w:w="1240" w:type="dxa"/>
            <w:tcBorders>
              <w:top w:val="nil"/>
              <w:left w:val="nil"/>
              <w:bottom w:val="single" w:sz="4" w:space="0" w:color="auto"/>
              <w:right w:val="single" w:sz="4" w:space="0" w:color="auto"/>
            </w:tcBorders>
            <w:shd w:val="clear" w:color="auto" w:fill="auto"/>
            <w:vAlign w:val="center"/>
            <w:hideMark/>
          </w:tcPr>
          <w:p w14:paraId="275880D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216 133 402</w:t>
            </w:r>
          </w:p>
        </w:tc>
        <w:tc>
          <w:tcPr>
            <w:tcW w:w="1180" w:type="dxa"/>
            <w:tcBorders>
              <w:top w:val="nil"/>
              <w:left w:val="nil"/>
              <w:bottom w:val="single" w:sz="4" w:space="0" w:color="auto"/>
              <w:right w:val="single" w:sz="4" w:space="0" w:color="auto"/>
            </w:tcBorders>
            <w:shd w:val="clear" w:color="auto" w:fill="auto"/>
            <w:noWrap/>
            <w:vAlign w:val="center"/>
            <w:hideMark/>
          </w:tcPr>
          <w:p w14:paraId="0954BCC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21 425 527</w:t>
            </w:r>
          </w:p>
        </w:tc>
      </w:tr>
      <w:tr w:rsidR="0093441E" w:rsidRPr="002A7673" w14:paraId="058C50DB"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9A961D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Útiles y materiales de resguardo y seguridad</w:t>
            </w:r>
          </w:p>
        </w:tc>
        <w:tc>
          <w:tcPr>
            <w:tcW w:w="1240" w:type="dxa"/>
            <w:tcBorders>
              <w:top w:val="nil"/>
              <w:left w:val="nil"/>
              <w:bottom w:val="single" w:sz="4" w:space="0" w:color="auto"/>
              <w:right w:val="single" w:sz="4" w:space="0" w:color="auto"/>
            </w:tcBorders>
            <w:shd w:val="clear" w:color="auto" w:fill="auto"/>
            <w:vAlign w:val="center"/>
            <w:hideMark/>
          </w:tcPr>
          <w:p w14:paraId="521B8DF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91 825 163</w:t>
            </w:r>
          </w:p>
        </w:tc>
        <w:tc>
          <w:tcPr>
            <w:tcW w:w="1240" w:type="dxa"/>
            <w:tcBorders>
              <w:top w:val="nil"/>
              <w:left w:val="nil"/>
              <w:bottom w:val="single" w:sz="4" w:space="0" w:color="auto"/>
              <w:right w:val="single" w:sz="4" w:space="0" w:color="auto"/>
            </w:tcBorders>
            <w:shd w:val="clear" w:color="auto" w:fill="auto"/>
            <w:vAlign w:val="center"/>
            <w:hideMark/>
          </w:tcPr>
          <w:p w14:paraId="0621DED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125 923 338</w:t>
            </w:r>
          </w:p>
        </w:tc>
        <w:tc>
          <w:tcPr>
            <w:tcW w:w="1180" w:type="dxa"/>
            <w:tcBorders>
              <w:top w:val="nil"/>
              <w:left w:val="nil"/>
              <w:bottom w:val="single" w:sz="4" w:space="0" w:color="auto"/>
              <w:right w:val="single" w:sz="4" w:space="0" w:color="auto"/>
            </w:tcBorders>
            <w:shd w:val="clear" w:color="auto" w:fill="auto"/>
            <w:noWrap/>
            <w:vAlign w:val="center"/>
            <w:hideMark/>
          </w:tcPr>
          <w:p w14:paraId="5C6E10EE"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34 098 175</w:t>
            </w:r>
          </w:p>
        </w:tc>
      </w:tr>
      <w:tr w:rsidR="0093441E" w:rsidRPr="002A7673" w14:paraId="536AF07C"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306A59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Útiles y materiales de cocina y comedor</w:t>
            </w:r>
          </w:p>
        </w:tc>
        <w:tc>
          <w:tcPr>
            <w:tcW w:w="1240" w:type="dxa"/>
            <w:tcBorders>
              <w:top w:val="nil"/>
              <w:left w:val="nil"/>
              <w:bottom w:val="single" w:sz="4" w:space="0" w:color="auto"/>
              <w:right w:val="single" w:sz="4" w:space="0" w:color="auto"/>
            </w:tcBorders>
            <w:shd w:val="clear" w:color="auto" w:fill="auto"/>
            <w:vAlign w:val="center"/>
            <w:hideMark/>
          </w:tcPr>
          <w:p w14:paraId="610B8F5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2 066 362</w:t>
            </w:r>
          </w:p>
        </w:tc>
        <w:tc>
          <w:tcPr>
            <w:tcW w:w="1240" w:type="dxa"/>
            <w:tcBorders>
              <w:top w:val="nil"/>
              <w:left w:val="nil"/>
              <w:bottom w:val="single" w:sz="4" w:space="0" w:color="auto"/>
              <w:right w:val="single" w:sz="4" w:space="0" w:color="auto"/>
            </w:tcBorders>
            <w:shd w:val="clear" w:color="auto" w:fill="auto"/>
            <w:vAlign w:val="center"/>
            <w:hideMark/>
          </w:tcPr>
          <w:p w14:paraId="13879FD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1 462 944</w:t>
            </w:r>
          </w:p>
        </w:tc>
        <w:tc>
          <w:tcPr>
            <w:tcW w:w="1180" w:type="dxa"/>
            <w:tcBorders>
              <w:top w:val="nil"/>
              <w:left w:val="nil"/>
              <w:bottom w:val="single" w:sz="4" w:space="0" w:color="auto"/>
              <w:right w:val="single" w:sz="4" w:space="0" w:color="auto"/>
            </w:tcBorders>
            <w:shd w:val="clear" w:color="auto" w:fill="auto"/>
            <w:noWrap/>
            <w:vAlign w:val="center"/>
            <w:hideMark/>
          </w:tcPr>
          <w:p w14:paraId="550C4975"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-603 418</w:t>
            </w:r>
          </w:p>
        </w:tc>
      </w:tr>
      <w:tr w:rsidR="0093441E" w:rsidRPr="002A7673" w14:paraId="2FC4A40F"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48989CDD"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útiles, materiales y suministros diversos</w:t>
            </w:r>
          </w:p>
        </w:tc>
        <w:tc>
          <w:tcPr>
            <w:tcW w:w="1240" w:type="dxa"/>
            <w:tcBorders>
              <w:top w:val="nil"/>
              <w:left w:val="nil"/>
              <w:bottom w:val="single" w:sz="4" w:space="0" w:color="auto"/>
              <w:right w:val="single" w:sz="4" w:space="0" w:color="auto"/>
            </w:tcBorders>
            <w:shd w:val="clear" w:color="auto" w:fill="auto"/>
            <w:vAlign w:val="center"/>
            <w:hideMark/>
          </w:tcPr>
          <w:p w14:paraId="21C69FA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68 571 130</w:t>
            </w:r>
          </w:p>
        </w:tc>
        <w:tc>
          <w:tcPr>
            <w:tcW w:w="1240" w:type="dxa"/>
            <w:tcBorders>
              <w:top w:val="nil"/>
              <w:left w:val="nil"/>
              <w:bottom w:val="single" w:sz="4" w:space="0" w:color="auto"/>
              <w:right w:val="single" w:sz="4" w:space="0" w:color="auto"/>
            </w:tcBorders>
            <w:shd w:val="clear" w:color="auto" w:fill="auto"/>
            <w:vAlign w:val="center"/>
            <w:hideMark/>
          </w:tcPr>
          <w:p w14:paraId="5BE6B90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64 150 640</w:t>
            </w:r>
          </w:p>
        </w:tc>
        <w:tc>
          <w:tcPr>
            <w:tcW w:w="1180" w:type="dxa"/>
            <w:tcBorders>
              <w:top w:val="nil"/>
              <w:left w:val="nil"/>
              <w:bottom w:val="single" w:sz="4" w:space="0" w:color="auto"/>
              <w:right w:val="single" w:sz="4" w:space="0" w:color="auto"/>
            </w:tcBorders>
            <w:shd w:val="clear" w:color="auto" w:fill="auto"/>
            <w:noWrap/>
            <w:vAlign w:val="center"/>
            <w:hideMark/>
          </w:tcPr>
          <w:p w14:paraId="3D56388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-4 420 490</w:t>
            </w:r>
          </w:p>
        </w:tc>
      </w:tr>
      <w:tr w:rsidR="0093441E" w:rsidRPr="002A7673" w14:paraId="7FCD20AD"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25D6B2A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Maquinaria y equipo para la producción</w:t>
            </w:r>
          </w:p>
        </w:tc>
        <w:tc>
          <w:tcPr>
            <w:tcW w:w="1240" w:type="dxa"/>
            <w:tcBorders>
              <w:top w:val="nil"/>
              <w:left w:val="nil"/>
              <w:bottom w:val="single" w:sz="4" w:space="0" w:color="auto"/>
              <w:right w:val="single" w:sz="4" w:space="0" w:color="auto"/>
            </w:tcBorders>
            <w:shd w:val="clear" w:color="auto" w:fill="auto"/>
            <w:vAlign w:val="center"/>
            <w:hideMark/>
          </w:tcPr>
          <w:p w14:paraId="3891B83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22 154 017</w:t>
            </w:r>
          </w:p>
        </w:tc>
        <w:tc>
          <w:tcPr>
            <w:tcW w:w="1240" w:type="dxa"/>
            <w:tcBorders>
              <w:top w:val="nil"/>
              <w:left w:val="nil"/>
              <w:bottom w:val="single" w:sz="4" w:space="0" w:color="auto"/>
              <w:right w:val="single" w:sz="4" w:space="0" w:color="auto"/>
            </w:tcBorders>
            <w:shd w:val="clear" w:color="auto" w:fill="auto"/>
            <w:vAlign w:val="center"/>
            <w:hideMark/>
          </w:tcPr>
          <w:p w14:paraId="4956061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59 246 461</w:t>
            </w:r>
          </w:p>
        </w:tc>
        <w:tc>
          <w:tcPr>
            <w:tcW w:w="1180" w:type="dxa"/>
            <w:tcBorders>
              <w:top w:val="nil"/>
              <w:left w:val="nil"/>
              <w:bottom w:val="single" w:sz="4" w:space="0" w:color="auto"/>
              <w:right w:val="single" w:sz="4" w:space="0" w:color="auto"/>
            </w:tcBorders>
            <w:shd w:val="clear" w:color="auto" w:fill="auto"/>
            <w:noWrap/>
            <w:vAlign w:val="center"/>
            <w:hideMark/>
          </w:tcPr>
          <w:p w14:paraId="0434FCA6"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37 092 444</w:t>
            </w:r>
          </w:p>
        </w:tc>
      </w:tr>
      <w:tr w:rsidR="0093441E" w:rsidRPr="002A7673" w14:paraId="0D336E56"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B6B8BC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de transporte</w:t>
            </w:r>
          </w:p>
        </w:tc>
        <w:tc>
          <w:tcPr>
            <w:tcW w:w="1240" w:type="dxa"/>
            <w:tcBorders>
              <w:top w:val="nil"/>
              <w:left w:val="nil"/>
              <w:bottom w:val="single" w:sz="4" w:space="0" w:color="auto"/>
              <w:right w:val="single" w:sz="4" w:space="0" w:color="auto"/>
            </w:tcBorders>
            <w:shd w:val="clear" w:color="auto" w:fill="auto"/>
            <w:vAlign w:val="center"/>
            <w:hideMark/>
          </w:tcPr>
          <w:p w14:paraId="67DE1FB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26 390 225</w:t>
            </w:r>
          </w:p>
        </w:tc>
        <w:tc>
          <w:tcPr>
            <w:tcW w:w="1240" w:type="dxa"/>
            <w:tcBorders>
              <w:top w:val="nil"/>
              <w:left w:val="nil"/>
              <w:bottom w:val="single" w:sz="4" w:space="0" w:color="auto"/>
              <w:right w:val="single" w:sz="4" w:space="0" w:color="auto"/>
            </w:tcBorders>
            <w:shd w:val="clear" w:color="auto" w:fill="auto"/>
            <w:vAlign w:val="center"/>
            <w:hideMark/>
          </w:tcPr>
          <w:p w14:paraId="4F749CC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207 595 357</w:t>
            </w:r>
          </w:p>
        </w:tc>
        <w:tc>
          <w:tcPr>
            <w:tcW w:w="1180" w:type="dxa"/>
            <w:tcBorders>
              <w:top w:val="nil"/>
              <w:left w:val="nil"/>
              <w:bottom w:val="single" w:sz="4" w:space="0" w:color="auto"/>
              <w:right w:val="single" w:sz="4" w:space="0" w:color="auto"/>
            </w:tcBorders>
            <w:shd w:val="clear" w:color="auto" w:fill="auto"/>
            <w:noWrap/>
            <w:vAlign w:val="center"/>
            <w:hideMark/>
          </w:tcPr>
          <w:p w14:paraId="47AE850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181 205 132</w:t>
            </w:r>
          </w:p>
        </w:tc>
      </w:tr>
      <w:tr w:rsidR="0093441E" w:rsidRPr="002A7673" w14:paraId="25E1D076"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091CA393"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de comunicación</w:t>
            </w:r>
          </w:p>
        </w:tc>
        <w:tc>
          <w:tcPr>
            <w:tcW w:w="1240" w:type="dxa"/>
            <w:tcBorders>
              <w:top w:val="nil"/>
              <w:left w:val="nil"/>
              <w:bottom w:val="single" w:sz="4" w:space="0" w:color="auto"/>
              <w:right w:val="single" w:sz="4" w:space="0" w:color="auto"/>
            </w:tcBorders>
            <w:shd w:val="clear" w:color="auto" w:fill="auto"/>
            <w:vAlign w:val="center"/>
            <w:hideMark/>
          </w:tcPr>
          <w:p w14:paraId="2ABBF91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705 387 862</w:t>
            </w:r>
          </w:p>
        </w:tc>
        <w:tc>
          <w:tcPr>
            <w:tcW w:w="1240" w:type="dxa"/>
            <w:tcBorders>
              <w:top w:val="nil"/>
              <w:left w:val="nil"/>
              <w:bottom w:val="single" w:sz="4" w:space="0" w:color="auto"/>
              <w:right w:val="single" w:sz="4" w:space="0" w:color="auto"/>
            </w:tcBorders>
            <w:shd w:val="clear" w:color="auto" w:fill="auto"/>
            <w:vAlign w:val="center"/>
            <w:hideMark/>
          </w:tcPr>
          <w:p w14:paraId="084F0A0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585 668 618</w:t>
            </w:r>
          </w:p>
        </w:tc>
        <w:tc>
          <w:tcPr>
            <w:tcW w:w="1180" w:type="dxa"/>
            <w:tcBorders>
              <w:top w:val="nil"/>
              <w:left w:val="nil"/>
              <w:bottom w:val="single" w:sz="4" w:space="0" w:color="auto"/>
              <w:right w:val="single" w:sz="4" w:space="0" w:color="auto"/>
            </w:tcBorders>
            <w:shd w:val="clear" w:color="auto" w:fill="auto"/>
            <w:noWrap/>
            <w:vAlign w:val="center"/>
            <w:hideMark/>
          </w:tcPr>
          <w:p w14:paraId="5B3F4909"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-119 719 244</w:t>
            </w:r>
          </w:p>
        </w:tc>
      </w:tr>
      <w:tr w:rsidR="0093441E" w:rsidRPr="002A7673" w14:paraId="5B62E785"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30711D0"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y mobiliario de oficina</w:t>
            </w:r>
          </w:p>
        </w:tc>
        <w:tc>
          <w:tcPr>
            <w:tcW w:w="1240" w:type="dxa"/>
            <w:tcBorders>
              <w:top w:val="nil"/>
              <w:left w:val="nil"/>
              <w:bottom w:val="single" w:sz="4" w:space="0" w:color="auto"/>
              <w:right w:val="single" w:sz="4" w:space="0" w:color="auto"/>
            </w:tcBorders>
            <w:shd w:val="clear" w:color="auto" w:fill="auto"/>
            <w:vAlign w:val="center"/>
            <w:hideMark/>
          </w:tcPr>
          <w:p w14:paraId="2143355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438 835 033</w:t>
            </w:r>
          </w:p>
        </w:tc>
        <w:tc>
          <w:tcPr>
            <w:tcW w:w="1240" w:type="dxa"/>
            <w:tcBorders>
              <w:top w:val="nil"/>
              <w:left w:val="nil"/>
              <w:bottom w:val="single" w:sz="4" w:space="0" w:color="auto"/>
              <w:right w:val="single" w:sz="4" w:space="0" w:color="auto"/>
            </w:tcBorders>
            <w:shd w:val="clear" w:color="auto" w:fill="auto"/>
            <w:vAlign w:val="center"/>
            <w:hideMark/>
          </w:tcPr>
          <w:p w14:paraId="2A61860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499 660 168</w:t>
            </w:r>
          </w:p>
        </w:tc>
        <w:tc>
          <w:tcPr>
            <w:tcW w:w="1180" w:type="dxa"/>
            <w:tcBorders>
              <w:top w:val="nil"/>
              <w:left w:val="nil"/>
              <w:bottom w:val="single" w:sz="4" w:space="0" w:color="auto"/>
              <w:right w:val="single" w:sz="4" w:space="0" w:color="auto"/>
            </w:tcBorders>
            <w:shd w:val="clear" w:color="auto" w:fill="auto"/>
            <w:noWrap/>
            <w:vAlign w:val="center"/>
            <w:hideMark/>
          </w:tcPr>
          <w:p w14:paraId="7A604C7A"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60 825 135</w:t>
            </w:r>
          </w:p>
        </w:tc>
      </w:tr>
      <w:tr w:rsidR="0093441E" w:rsidRPr="002A7673" w14:paraId="23FAEC6A"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C58B540"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de cómputo</w:t>
            </w:r>
          </w:p>
        </w:tc>
        <w:tc>
          <w:tcPr>
            <w:tcW w:w="1240" w:type="dxa"/>
            <w:tcBorders>
              <w:top w:val="nil"/>
              <w:left w:val="nil"/>
              <w:bottom w:val="single" w:sz="4" w:space="0" w:color="auto"/>
              <w:right w:val="single" w:sz="4" w:space="0" w:color="auto"/>
            </w:tcBorders>
            <w:shd w:val="clear" w:color="auto" w:fill="auto"/>
            <w:vAlign w:val="center"/>
            <w:hideMark/>
          </w:tcPr>
          <w:p w14:paraId="722E539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1 951 754 577</w:t>
            </w:r>
          </w:p>
        </w:tc>
        <w:tc>
          <w:tcPr>
            <w:tcW w:w="1240" w:type="dxa"/>
            <w:tcBorders>
              <w:top w:val="nil"/>
              <w:left w:val="nil"/>
              <w:bottom w:val="single" w:sz="4" w:space="0" w:color="auto"/>
              <w:right w:val="single" w:sz="4" w:space="0" w:color="auto"/>
            </w:tcBorders>
            <w:shd w:val="clear" w:color="auto" w:fill="auto"/>
            <w:vAlign w:val="center"/>
            <w:hideMark/>
          </w:tcPr>
          <w:p w14:paraId="7649545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2 047 128 055</w:t>
            </w:r>
          </w:p>
        </w:tc>
        <w:tc>
          <w:tcPr>
            <w:tcW w:w="1180" w:type="dxa"/>
            <w:tcBorders>
              <w:top w:val="nil"/>
              <w:left w:val="nil"/>
              <w:bottom w:val="single" w:sz="4" w:space="0" w:color="auto"/>
              <w:right w:val="single" w:sz="4" w:space="0" w:color="auto"/>
            </w:tcBorders>
            <w:shd w:val="clear" w:color="auto" w:fill="auto"/>
            <w:noWrap/>
            <w:vAlign w:val="center"/>
            <w:hideMark/>
          </w:tcPr>
          <w:p w14:paraId="763680D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95 373 478</w:t>
            </w:r>
          </w:p>
        </w:tc>
      </w:tr>
      <w:tr w:rsidR="0093441E" w:rsidRPr="002A7673" w14:paraId="3157F494"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C4C6CA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sanitario, de laboratorio e investigación</w:t>
            </w:r>
          </w:p>
        </w:tc>
        <w:tc>
          <w:tcPr>
            <w:tcW w:w="1240" w:type="dxa"/>
            <w:tcBorders>
              <w:top w:val="nil"/>
              <w:left w:val="nil"/>
              <w:bottom w:val="single" w:sz="4" w:space="0" w:color="auto"/>
              <w:right w:val="single" w:sz="4" w:space="0" w:color="auto"/>
            </w:tcBorders>
            <w:shd w:val="clear" w:color="auto" w:fill="auto"/>
            <w:vAlign w:val="center"/>
            <w:hideMark/>
          </w:tcPr>
          <w:p w14:paraId="4AF1542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27 907 002</w:t>
            </w:r>
          </w:p>
        </w:tc>
        <w:tc>
          <w:tcPr>
            <w:tcW w:w="1240" w:type="dxa"/>
            <w:tcBorders>
              <w:top w:val="nil"/>
              <w:left w:val="nil"/>
              <w:bottom w:val="single" w:sz="4" w:space="0" w:color="auto"/>
              <w:right w:val="single" w:sz="4" w:space="0" w:color="auto"/>
            </w:tcBorders>
            <w:shd w:val="clear" w:color="auto" w:fill="auto"/>
            <w:vAlign w:val="center"/>
            <w:hideMark/>
          </w:tcPr>
          <w:p w14:paraId="273738F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25 399 818</w:t>
            </w:r>
          </w:p>
        </w:tc>
        <w:tc>
          <w:tcPr>
            <w:tcW w:w="1180" w:type="dxa"/>
            <w:tcBorders>
              <w:top w:val="nil"/>
              <w:left w:val="nil"/>
              <w:bottom w:val="single" w:sz="4" w:space="0" w:color="auto"/>
              <w:right w:val="single" w:sz="4" w:space="0" w:color="auto"/>
            </w:tcBorders>
            <w:shd w:val="clear" w:color="auto" w:fill="auto"/>
            <w:noWrap/>
            <w:vAlign w:val="center"/>
            <w:hideMark/>
          </w:tcPr>
          <w:p w14:paraId="0C90FD74"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-2 507 184</w:t>
            </w:r>
          </w:p>
        </w:tc>
      </w:tr>
      <w:tr w:rsidR="0093441E" w:rsidRPr="002A7673" w14:paraId="72ABAFD0"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64E966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y mobiliario educacional, deportivo y recreativo</w:t>
            </w:r>
          </w:p>
        </w:tc>
        <w:tc>
          <w:tcPr>
            <w:tcW w:w="1240" w:type="dxa"/>
            <w:tcBorders>
              <w:top w:val="nil"/>
              <w:left w:val="nil"/>
              <w:bottom w:val="single" w:sz="4" w:space="0" w:color="auto"/>
              <w:right w:val="single" w:sz="4" w:space="0" w:color="auto"/>
            </w:tcBorders>
            <w:shd w:val="clear" w:color="auto" w:fill="auto"/>
            <w:vAlign w:val="center"/>
            <w:hideMark/>
          </w:tcPr>
          <w:p w14:paraId="5FECAF9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39 003 768</w:t>
            </w:r>
          </w:p>
        </w:tc>
        <w:tc>
          <w:tcPr>
            <w:tcW w:w="1240" w:type="dxa"/>
            <w:tcBorders>
              <w:top w:val="nil"/>
              <w:left w:val="nil"/>
              <w:bottom w:val="single" w:sz="4" w:space="0" w:color="auto"/>
              <w:right w:val="single" w:sz="4" w:space="0" w:color="auto"/>
            </w:tcBorders>
            <w:shd w:val="clear" w:color="auto" w:fill="auto"/>
            <w:vAlign w:val="center"/>
            <w:hideMark/>
          </w:tcPr>
          <w:p w14:paraId="1618A98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78 827 584</w:t>
            </w:r>
          </w:p>
        </w:tc>
        <w:tc>
          <w:tcPr>
            <w:tcW w:w="1180" w:type="dxa"/>
            <w:tcBorders>
              <w:top w:val="nil"/>
              <w:left w:val="nil"/>
              <w:bottom w:val="single" w:sz="4" w:space="0" w:color="auto"/>
              <w:right w:val="single" w:sz="4" w:space="0" w:color="auto"/>
            </w:tcBorders>
            <w:shd w:val="clear" w:color="auto" w:fill="auto"/>
            <w:noWrap/>
            <w:vAlign w:val="center"/>
            <w:hideMark/>
          </w:tcPr>
          <w:p w14:paraId="4B2C043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39 823 816</w:t>
            </w:r>
          </w:p>
        </w:tc>
      </w:tr>
      <w:tr w:rsidR="0093441E" w:rsidRPr="002A7673" w14:paraId="3EA66D05"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F84B0FA"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Maquinaria y equipo diverso</w:t>
            </w:r>
          </w:p>
        </w:tc>
        <w:tc>
          <w:tcPr>
            <w:tcW w:w="1240" w:type="dxa"/>
            <w:tcBorders>
              <w:top w:val="nil"/>
              <w:left w:val="nil"/>
              <w:bottom w:val="single" w:sz="4" w:space="0" w:color="auto"/>
              <w:right w:val="single" w:sz="4" w:space="0" w:color="auto"/>
            </w:tcBorders>
            <w:shd w:val="clear" w:color="auto" w:fill="auto"/>
            <w:vAlign w:val="center"/>
            <w:hideMark/>
          </w:tcPr>
          <w:p w14:paraId="60864EB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1 109 799 715</w:t>
            </w:r>
          </w:p>
        </w:tc>
        <w:tc>
          <w:tcPr>
            <w:tcW w:w="1240" w:type="dxa"/>
            <w:tcBorders>
              <w:top w:val="nil"/>
              <w:left w:val="nil"/>
              <w:bottom w:val="single" w:sz="4" w:space="0" w:color="auto"/>
              <w:right w:val="single" w:sz="4" w:space="0" w:color="auto"/>
            </w:tcBorders>
            <w:shd w:val="clear" w:color="auto" w:fill="auto"/>
            <w:vAlign w:val="center"/>
            <w:hideMark/>
          </w:tcPr>
          <w:p w14:paraId="1B87CCC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470 437 202</w:t>
            </w:r>
          </w:p>
        </w:tc>
        <w:tc>
          <w:tcPr>
            <w:tcW w:w="1180" w:type="dxa"/>
            <w:tcBorders>
              <w:top w:val="nil"/>
              <w:left w:val="nil"/>
              <w:bottom w:val="single" w:sz="4" w:space="0" w:color="auto"/>
              <w:right w:val="single" w:sz="4" w:space="0" w:color="auto"/>
            </w:tcBorders>
            <w:shd w:val="clear" w:color="auto" w:fill="auto"/>
            <w:noWrap/>
            <w:vAlign w:val="center"/>
            <w:hideMark/>
          </w:tcPr>
          <w:p w14:paraId="43C6DA0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-639 362 513</w:t>
            </w:r>
          </w:p>
        </w:tc>
      </w:tr>
      <w:tr w:rsidR="0093441E" w:rsidRPr="002A7673" w14:paraId="3F01C8B4"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1B1410B"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Edificios</w:t>
            </w:r>
          </w:p>
        </w:tc>
        <w:tc>
          <w:tcPr>
            <w:tcW w:w="1240" w:type="dxa"/>
            <w:tcBorders>
              <w:top w:val="nil"/>
              <w:left w:val="nil"/>
              <w:bottom w:val="single" w:sz="4" w:space="0" w:color="auto"/>
              <w:right w:val="single" w:sz="4" w:space="0" w:color="auto"/>
            </w:tcBorders>
            <w:shd w:val="clear" w:color="auto" w:fill="auto"/>
            <w:vAlign w:val="center"/>
            <w:hideMark/>
          </w:tcPr>
          <w:p w14:paraId="58190FD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3 306 693 008</w:t>
            </w:r>
          </w:p>
        </w:tc>
        <w:tc>
          <w:tcPr>
            <w:tcW w:w="1240" w:type="dxa"/>
            <w:tcBorders>
              <w:top w:val="nil"/>
              <w:left w:val="nil"/>
              <w:bottom w:val="single" w:sz="4" w:space="0" w:color="auto"/>
              <w:right w:val="single" w:sz="4" w:space="0" w:color="auto"/>
            </w:tcBorders>
            <w:shd w:val="clear" w:color="auto" w:fill="auto"/>
            <w:vAlign w:val="center"/>
            <w:hideMark/>
          </w:tcPr>
          <w:p w14:paraId="5482C5C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4 632 833 194</w:t>
            </w:r>
          </w:p>
        </w:tc>
        <w:tc>
          <w:tcPr>
            <w:tcW w:w="1180" w:type="dxa"/>
            <w:tcBorders>
              <w:top w:val="nil"/>
              <w:left w:val="nil"/>
              <w:bottom w:val="single" w:sz="4" w:space="0" w:color="auto"/>
              <w:right w:val="single" w:sz="4" w:space="0" w:color="auto"/>
            </w:tcBorders>
            <w:shd w:val="clear" w:color="auto" w:fill="auto"/>
            <w:noWrap/>
            <w:vAlign w:val="center"/>
            <w:hideMark/>
          </w:tcPr>
          <w:p w14:paraId="37EA9FD0"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1 326 140 186</w:t>
            </w:r>
          </w:p>
        </w:tc>
      </w:tr>
      <w:tr w:rsidR="0093441E" w:rsidRPr="002A7673" w14:paraId="7FC92BFB"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427D6893"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Vías de comunicación terrestre</w:t>
            </w:r>
          </w:p>
        </w:tc>
        <w:tc>
          <w:tcPr>
            <w:tcW w:w="1240" w:type="dxa"/>
            <w:tcBorders>
              <w:top w:val="nil"/>
              <w:left w:val="nil"/>
              <w:bottom w:val="single" w:sz="4" w:space="0" w:color="auto"/>
              <w:right w:val="single" w:sz="4" w:space="0" w:color="auto"/>
            </w:tcBorders>
            <w:shd w:val="clear" w:color="auto" w:fill="auto"/>
            <w:vAlign w:val="center"/>
            <w:hideMark/>
          </w:tcPr>
          <w:p w14:paraId="6021984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40" w:type="dxa"/>
            <w:tcBorders>
              <w:top w:val="nil"/>
              <w:left w:val="nil"/>
              <w:bottom w:val="single" w:sz="4" w:space="0" w:color="auto"/>
              <w:right w:val="single" w:sz="4" w:space="0" w:color="auto"/>
            </w:tcBorders>
            <w:shd w:val="clear" w:color="auto" w:fill="auto"/>
            <w:vAlign w:val="center"/>
            <w:hideMark/>
          </w:tcPr>
          <w:p w14:paraId="03DCDE6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92 026 485</w:t>
            </w:r>
          </w:p>
        </w:tc>
        <w:tc>
          <w:tcPr>
            <w:tcW w:w="1180" w:type="dxa"/>
            <w:tcBorders>
              <w:top w:val="nil"/>
              <w:left w:val="nil"/>
              <w:bottom w:val="single" w:sz="4" w:space="0" w:color="auto"/>
              <w:right w:val="single" w:sz="4" w:space="0" w:color="auto"/>
            </w:tcBorders>
            <w:shd w:val="clear" w:color="auto" w:fill="auto"/>
            <w:noWrap/>
            <w:vAlign w:val="center"/>
            <w:hideMark/>
          </w:tcPr>
          <w:p w14:paraId="4B4DB94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92 026 485</w:t>
            </w:r>
          </w:p>
        </w:tc>
      </w:tr>
      <w:tr w:rsidR="0093441E" w:rsidRPr="002A7673" w14:paraId="23D9F650"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3A94AE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Instalaciones</w:t>
            </w:r>
          </w:p>
        </w:tc>
        <w:tc>
          <w:tcPr>
            <w:tcW w:w="1240" w:type="dxa"/>
            <w:tcBorders>
              <w:top w:val="nil"/>
              <w:left w:val="nil"/>
              <w:bottom w:val="single" w:sz="4" w:space="0" w:color="auto"/>
              <w:right w:val="single" w:sz="4" w:space="0" w:color="auto"/>
            </w:tcBorders>
            <w:shd w:val="clear" w:color="auto" w:fill="auto"/>
            <w:vAlign w:val="center"/>
            <w:hideMark/>
          </w:tcPr>
          <w:p w14:paraId="70AC1A9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294 000 000</w:t>
            </w:r>
          </w:p>
        </w:tc>
        <w:tc>
          <w:tcPr>
            <w:tcW w:w="1240" w:type="dxa"/>
            <w:tcBorders>
              <w:top w:val="nil"/>
              <w:left w:val="nil"/>
              <w:bottom w:val="single" w:sz="4" w:space="0" w:color="auto"/>
              <w:right w:val="single" w:sz="4" w:space="0" w:color="auto"/>
            </w:tcBorders>
            <w:shd w:val="clear" w:color="auto" w:fill="auto"/>
            <w:vAlign w:val="center"/>
            <w:hideMark/>
          </w:tcPr>
          <w:p w14:paraId="15862C4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180" w:type="dxa"/>
            <w:tcBorders>
              <w:top w:val="nil"/>
              <w:left w:val="nil"/>
              <w:bottom w:val="single" w:sz="4" w:space="0" w:color="auto"/>
              <w:right w:val="single" w:sz="4" w:space="0" w:color="auto"/>
            </w:tcBorders>
            <w:shd w:val="clear" w:color="auto" w:fill="auto"/>
            <w:noWrap/>
            <w:vAlign w:val="center"/>
            <w:hideMark/>
          </w:tcPr>
          <w:p w14:paraId="575CF2C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-294 000 000</w:t>
            </w:r>
          </w:p>
        </w:tc>
      </w:tr>
      <w:tr w:rsidR="0093441E" w:rsidRPr="002A7673" w14:paraId="060A730C"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BCB1BD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Bienes intangibles</w:t>
            </w:r>
          </w:p>
        </w:tc>
        <w:tc>
          <w:tcPr>
            <w:tcW w:w="1240" w:type="dxa"/>
            <w:tcBorders>
              <w:top w:val="nil"/>
              <w:left w:val="nil"/>
              <w:bottom w:val="single" w:sz="4" w:space="0" w:color="auto"/>
              <w:right w:val="single" w:sz="4" w:space="0" w:color="auto"/>
            </w:tcBorders>
            <w:shd w:val="clear" w:color="auto" w:fill="auto"/>
            <w:vAlign w:val="center"/>
            <w:hideMark/>
          </w:tcPr>
          <w:p w14:paraId="39F93EC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4 331 310 271</w:t>
            </w:r>
          </w:p>
        </w:tc>
        <w:tc>
          <w:tcPr>
            <w:tcW w:w="1240" w:type="dxa"/>
            <w:tcBorders>
              <w:top w:val="nil"/>
              <w:left w:val="nil"/>
              <w:bottom w:val="single" w:sz="4" w:space="0" w:color="auto"/>
              <w:right w:val="single" w:sz="4" w:space="0" w:color="auto"/>
            </w:tcBorders>
            <w:shd w:val="clear" w:color="auto" w:fill="auto"/>
            <w:vAlign w:val="center"/>
            <w:hideMark/>
          </w:tcPr>
          <w:p w14:paraId="29EA79C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4 648 222 464</w:t>
            </w:r>
          </w:p>
        </w:tc>
        <w:tc>
          <w:tcPr>
            <w:tcW w:w="1180" w:type="dxa"/>
            <w:tcBorders>
              <w:top w:val="nil"/>
              <w:left w:val="nil"/>
              <w:bottom w:val="single" w:sz="4" w:space="0" w:color="auto"/>
              <w:right w:val="single" w:sz="4" w:space="0" w:color="auto"/>
            </w:tcBorders>
            <w:shd w:val="clear" w:color="auto" w:fill="auto"/>
            <w:noWrap/>
            <w:vAlign w:val="center"/>
            <w:hideMark/>
          </w:tcPr>
          <w:p w14:paraId="234E1864"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316 912 193</w:t>
            </w:r>
          </w:p>
        </w:tc>
      </w:tr>
      <w:tr w:rsidR="0093441E" w:rsidRPr="002A7673" w14:paraId="61288AAE"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9EC481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bienes duraderos</w:t>
            </w:r>
          </w:p>
        </w:tc>
        <w:tc>
          <w:tcPr>
            <w:tcW w:w="1240" w:type="dxa"/>
            <w:tcBorders>
              <w:top w:val="nil"/>
              <w:left w:val="nil"/>
              <w:bottom w:val="single" w:sz="4" w:space="0" w:color="auto"/>
              <w:right w:val="single" w:sz="4" w:space="0" w:color="auto"/>
            </w:tcBorders>
            <w:shd w:val="clear" w:color="auto" w:fill="auto"/>
            <w:vAlign w:val="center"/>
            <w:hideMark/>
          </w:tcPr>
          <w:p w14:paraId="58972F3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2 777 359</w:t>
            </w:r>
          </w:p>
        </w:tc>
        <w:tc>
          <w:tcPr>
            <w:tcW w:w="1240" w:type="dxa"/>
            <w:tcBorders>
              <w:top w:val="nil"/>
              <w:left w:val="nil"/>
              <w:bottom w:val="single" w:sz="4" w:space="0" w:color="auto"/>
              <w:right w:val="single" w:sz="4" w:space="0" w:color="auto"/>
            </w:tcBorders>
            <w:shd w:val="clear" w:color="auto" w:fill="auto"/>
            <w:vAlign w:val="center"/>
            <w:hideMark/>
          </w:tcPr>
          <w:p w14:paraId="3AFB310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2 061 120</w:t>
            </w:r>
          </w:p>
        </w:tc>
        <w:tc>
          <w:tcPr>
            <w:tcW w:w="1180" w:type="dxa"/>
            <w:tcBorders>
              <w:top w:val="nil"/>
              <w:left w:val="nil"/>
              <w:bottom w:val="single" w:sz="4" w:space="0" w:color="auto"/>
              <w:right w:val="single" w:sz="4" w:space="0" w:color="auto"/>
            </w:tcBorders>
            <w:shd w:val="clear" w:color="auto" w:fill="auto"/>
            <w:noWrap/>
            <w:vAlign w:val="center"/>
            <w:hideMark/>
          </w:tcPr>
          <w:p w14:paraId="5195213A"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-716 239</w:t>
            </w:r>
          </w:p>
        </w:tc>
      </w:tr>
      <w:tr w:rsidR="0093441E" w:rsidRPr="002A7673" w14:paraId="706642E6" w14:textId="77777777" w:rsidTr="0048334E">
        <w:trPr>
          <w:trHeight w:val="21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6B5D228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Transferencias corrientes a Instituciones Desc. </w:t>
            </w:r>
            <w:proofErr w:type="gramStart"/>
            <w:r w:rsidRPr="002A7673">
              <w:rPr>
                <w:rFonts w:ascii="Times New Roman" w:hAnsi="Times New Roman" w:cs="Times New Roman"/>
                <w:color w:val="000000"/>
                <w:sz w:val="16"/>
                <w:szCs w:val="16"/>
                <w:lang w:eastAsia="es-CR"/>
              </w:rPr>
              <w:t>no  Empresariales</w:t>
            </w:r>
            <w:proofErr w:type="gramEnd"/>
          </w:p>
        </w:tc>
        <w:tc>
          <w:tcPr>
            <w:tcW w:w="1240" w:type="dxa"/>
            <w:tcBorders>
              <w:top w:val="nil"/>
              <w:left w:val="nil"/>
              <w:bottom w:val="single" w:sz="4" w:space="0" w:color="auto"/>
              <w:right w:val="single" w:sz="4" w:space="0" w:color="auto"/>
            </w:tcBorders>
            <w:shd w:val="clear" w:color="auto" w:fill="auto"/>
            <w:vAlign w:val="center"/>
            <w:hideMark/>
          </w:tcPr>
          <w:p w14:paraId="6F0295C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110 620 685</w:t>
            </w:r>
          </w:p>
        </w:tc>
        <w:tc>
          <w:tcPr>
            <w:tcW w:w="1240" w:type="dxa"/>
            <w:tcBorders>
              <w:top w:val="nil"/>
              <w:left w:val="nil"/>
              <w:bottom w:val="single" w:sz="4" w:space="0" w:color="auto"/>
              <w:right w:val="single" w:sz="4" w:space="0" w:color="auto"/>
            </w:tcBorders>
            <w:shd w:val="clear" w:color="auto" w:fill="auto"/>
            <w:vAlign w:val="center"/>
            <w:hideMark/>
          </w:tcPr>
          <w:p w14:paraId="513882C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32 650 000</w:t>
            </w:r>
          </w:p>
        </w:tc>
        <w:tc>
          <w:tcPr>
            <w:tcW w:w="1180" w:type="dxa"/>
            <w:tcBorders>
              <w:top w:val="nil"/>
              <w:left w:val="nil"/>
              <w:bottom w:val="single" w:sz="4" w:space="0" w:color="auto"/>
              <w:right w:val="single" w:sz="4" w:space="0" w:color="auto"/>
            </w:tcBorders>
            <w:shd w:val="clear" w:color="auto" w:fill="auto"/>
            <w:noWrap/>
            <w:vAlign w:val="center"/>
            <w:hideMark/>
          </w:tcPr>
          <w:p w14:paraId="7FFEE36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-77 970 685</w:t>
            </w:r>
          </w:p>
        </w:tc>
      </w:tr>
      <w:tr w:rsidR="0093441E" w:rsidRPr="002A7673" w14:paraId="3CCB2A92"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E216E2A"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Becas a funcionarios </w:t>
            </w:r>
          </w:p>
        </w:tc>
        <w:tc>
          <w:tcPr>
            <w:tcW w:w="1240" w:type="dxa"/>
            <w:tcBorders>
              <w:top w:val="nil"/>
              <w:left w:val="nil"/>
              <w:bottom w:val="single" w:sz="4" w:space="0" w:color="auto"/>
              <w:right w:val="single" w:sz="4" w:space="0" w:color="auto"/>
            </w:tcBorders>
            <w:shd w:val="clear" w:color="auto" w:fill="auto"/>
            <w:vAlign w:val="center"/>
            <w:hideMark/>
          </w:tcPr>
          <w:p w14:paraId="038BF76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40" w:type="dxa"/>
            <w:tcBorders>
              <w:top w:val="nil"/>
              <w:left w:val="nil"/>
              <w:bottom w:val="single" w:sz="4" w:space="0" w:color="auto"/>
              <w:right w:val="single" w:sz="4" w:space="0" w:color="auto"/>
            </w:tcBorders>
            <w:shd w:val="clear" w:color="auto" w:fill="auto"/>
            <w:vAlign w:val="center"/>
            <w:hideMark/>
          </w:tcPr>
          <w:p w14:paraId="2BA01D5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2 128 008</w:t>
            </w:r>
          </w:p>
        </w:tc>
        <w:tc>
          <w:tcPr>
            <w:tcW w:w="1180" w:type="dxa"/>
            <w:tcBorders>
              <w:top w:val="nil"/>
              <w:left w:val="nil"/>
              <w:bottom w:val="single" w:sz="4" w:space="0" w:color="auto"/>
              <w:right w:val="single" w:sz="4" w:space="0" w:color="auto"/>
            </w:tcBorders>
            <w:shd w:val="clear" w:color="auto" w:fill="auto"/>
            <w:noWrap/>
            <w:vAlign w:val="center"/>
            <w:hideMark/>
          </w:tcPr>
          <w:p w14:paraId="3891648C"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2 128 008</w:t>
            </w:r>
          </w:p>
        </w:tc>
      </w:tr>
      <w:tr w:rsidR="0093441E" w:rsidRPr="002A7673" w14:paraId="05FA9F62"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92D097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Ayudas a funcionarios </w:t>
            </w:r>
          </w:p>
        </w:tc>
        <w:tc>
          <w:tcPr>
            <w:tcW w:w="1240" w:type="dxa"/>
            <w:tcBorders>
              <w:top w:val="nil"/>
              <w:left w:val="nil"/>
              <w:bottom w:val="single" w:sz="4" w:space="0" w:color="auto"/>
              <w:right w:val="single" w:sz="4" w:space="0" w:color="auto"/>
            </w:tcBorders>
            <w:shd w:val="clear" w:color="auto" w:fill="auto"/>
            <w:vAlign w:val="center"/>
            <w:hideMark/>
          </w:tcPr>
          <w:p w14:paraId="2FD0FFA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120 000 000</w:t>
            </w:r>
          </w:p>
        </w:tc>
        <w:tc>
          <w:tcPr>
            <w:tcW w:w="1240" w:type="dxa"/>
            <w:tcBorders>
              <w:top w:val="nil"/>
              <w:left w:val="nil"/>
              <w:bottom w:val="single" w:sz="4" w:space="0" w:color="auto"/>
              <w:right w:val="single" w:sz="4" w:space="0" w:color="auto"/>
            </w:tcBorders>
            <w:shd w:val="clear" w:color="auto" w:fill="auto"/>
            <w:vAlign w:val="center"/>
            <w:hideMark/>
          </w:tcPr>
          <w:p w14:paraId="7FEDB42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180 000 000</w:t>
            </w:r>
          </w:p>
        </w:tc>
        <w:tc>
          <w:tcPr>
            <w:tcW w:w="1180" w:type="dxa"/>
            <w:tcBorders>
              <w:top w:val="nil"/>
              <w:left w:val="nil"/>
              <w:bottom w:val="single" w:sz="4" w:space="0" w:color="auto"/>
              <w:right w:val="single" w:sz="4" w:space="0" w:color="auto"/>
            </w:tcBorders>
            <w:shd w:val="clear" w:color="auto" w:fill="auto"/>
            <w:noWrap/>
            <w:vAlign w:val="center"/>
            <w:hideMark/>
          </w:tcPr>
          <w:p w14:paraId="5D25960F"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60 000 000</w:t>
            </w:r>
          </w:p>
        </w:tc>
      </w:tr>
      <w:tr w:rsidR="0093441E" w:rsidRPr="002A7673" w14:paraId="052B004D"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7AC1359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Prestaciones legales</w:t>
            </w:r>
          </w:p>
        </w:tc>
        <w:tc>
          <w:tcPr>
            <w:tcW w:w="1240" w:type="dxa"/>
            <w:tcBorders>
              <w:top w:val="nil"/>
              <w:left w:val="nil"/>
              <w:bottom w:val="single" w:sz="4" w:space="0" w:color="auto"/>
              <w:right w:val="single" w:sz="4" w:space="0" w:color="auto"/>
            </w:tcBorders>
            <w:shd w:val="clear" w:color="auto" w:fill="auto"/>
            <w:vAlign w:val="center"/>
            <w:hideMark/>
          </w:tcPr>
          <w:p w14:paraId="6131A42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392 529 247</w:t>
            </w:r>
          </w:p>
        </w:tc>
        <w:tc>
          <w:tcPr>
            <w:tcW w:w="1240" w:type="dxa"/>
            <w:tcBorders>
              <w:top w:val="nil"/>
              <w:left w:val="nil"/>
              <w:bottom w:val="single" w:sz="4" w:space="0" w:color="auto"/>
              <w:right w:val="single" w:sz="4" w:space="0" w:color="auto"/>
            </w:tcBorders>
            <w:shd w:val="clear" w:color="auto" w:fill="auto"/>
            <w:vAlign w:val="center"/>
            <w:hideMark/>
          </w:tcPr>
          <w:p w14:paraId="4873D60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262 950 000</w:t>
            </w:r>
          </w:p>
        </w:tc>
        <w:tc>
          <w:tcPr>
            <w:tcW w:w="1180" w:type="dxa"/>
            <w:tcBorders>
              <w:top w:val="nil"/>
              <w:left w:val="nil"/>
              <w:bottom w:val="single" w:sz="4" w:space="0" w:color="auto"/>
              <w:right w:val="single" w:sz="4" w:space="0" w:color="auto"/>
            </w:tcBorders>
            <w:shd w:val="clear" w:color="auto" w:fill="auto"/>
            <w:noWrap/>
            <w:vAlign w:val="center"/>
            <w:hideMark/>
          </w:tcPr>
          <w:p w14:paraId="1EE653D6"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-129 579 247</w:t>
            </w:r>
          </w:p>
        </w:tc>
      </w:tr>
      <w:tr w:rsidR="0093441E" w:rsidRPr="002A7673" w14:paraId="3CAFCFC6"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DB74F5B"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lastRenderedPageBreak/>
              <w:t>Transferencias corrientes a asociaciones</w:t>
            </w:r>
          </w:p>
        </w:tc>
        <w:tc>
          <w:tcPr>
            <w:tcW w:w="1240" w:type="dxa"/>
            <w:tcBorders>
              <w:top w:val="nil"/>
              <w:left w:val="nil"/>
              <w:bottom w:val="single" w:sz="4" w:space="0" w:color="auto"/>
              <w:right w:val="single" w:sz="4" w:space="0" w:color="auto"/>
            </w:tcBorders>
            <w:shd w:val="clear" w:color="auto" w:fill="auto"/>
            <w:vAlign w:val="center"/>
            <w:hideMark/>
          </w:tcPr>
          <w:p w14:paraId="5C6C378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21 560 000</w:t>
            </w:r>
          </w:p>
        </w:tc>
        <w:tc>
          <w:tcPr>
            <w:tcW w:w="1240" w:type="dxa"/>
            <w:tcBorders>
              <w:top w:val="nil"/>
              <w:left w:val="nil"/>
              <w:bottom w:val="single" w:sz="4" w:space="0" w:color="auto"/>
              <w:right w:val="single" w:sz="4" w:space="0" w:color="auto"/>
            </w:tcBorders>
            <w:shd w:val="clear" w:color="auto" w:fill="auto"/>
            <w:vAlign w:val="center"/>
            <w:hideMark/>
          </w:tcPr>
          <w:p w14:paraId="3E9B8F0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20 500 000</w:t>
            </w:r>
          </w:p>
        </w:tc>
        <w:tc>
          <w:tcPr>
            <w:tcW w:w="1180" w:type="dxa"/>
            <w:tcBorders>
              <w:top w:val="nil"/>
              <w:left w:val="nil"/>
              <w:bottom w:val="single" w:sz="4" w:space="0" w:color="auto"/>
              <w:right w:val="single" w:sz="4" w:space="0" w:color="auto"/>
            </w:tcBorders>
            <w:shd w:val="clear" w:color="auto" w:fill="auto"/>
            <w:noWrap/>
            <w:vAlign w:val="center"/>
            <w:hideMark/>
          </w:tcPr>
          <w:p w14:paraId="70CB274E"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-1 060 000</w:t>
            </w:r>
          </w:p>
        </w:tc>
      </w:tr>
      <w:tr w:rsidR="0093441E" w:rsidRPr="002A7673" w14:paraId="19BA3231"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3FC2C34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Indemnizaciones</w:t>
            </w:r>
          </w:p>
        </w:tc>
        <w:tc>
          <w:tcPr>
            <w:tcW w:w="1240" w:type="dxa"/>
            <w:tcBorders>
              <w:top w:val="nil"/>
              <w:left w:val="nil"/>
              <w:bottom w:val="single" w:sz="4" w:space="0" w:color="auto"/>
              <w:right w:val="single" w:sz="4" w:space="0" w:color="auto"/>
            </w:tcBorders>
            <w:shd w:val="clear" w:color="auto" w:fill="auto"/>
            <w:vAlign w:val="center"/>
            <w:hideMark/>
          </w:tcPr>
          <w:p w14:paraId="2DC99D2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278 548 442</w:t>
            </w:r>
          </w:p>
        </w:tc>
        <w:tc>
          <w:tcPr>
            <w:tcW w:w="1240" w:type="dxa"/>
            <w:tcBorders>
              <w:top w:val="nil"/>
              <w:left w:val="nil"/>
              <w:bottom w:val="single" w:sz="4" w:space="0" w:color="auto"/>
              <w:right w:val="single" w:sz="4" w:space="0" w:color="auto"/>
            </w:tcBorders>
            <w:shd w:val="clear" w:color="auto" w:fill="auto"/>
            <w:vAlign w:val="center"/>
            <w:hideMark/>
          </w:tcPr>
          <w:p w14:paraId="2A9DF93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267 406 504</w:t>
            </w:r>
          </w:p>
        </w:tc>
        <w:tc>
          <w:tcPr>
            <w:tcW w:w="1180" w:type="dxa"/>
            <w:tcBorders>
              <w:top w:val="nil"/>
              <w:left w:val="nil"/>
              <w:bottom w:val="single" w:sz="4" w:space="0" w:color="auto"/>
              <w:right w:val="single" w:sz="4" w:space="0" w:color="auto"/>
            </w:tcBorders>
            <w:shd w:val="clear" w:color="auto" w:fill="auto"/>
            <w:noWrap/>
            <w:vAlign w:val="center"/>
            <w:hideMark/>
          </w:tcPr>
          <w:p w14:paraId="096F9BD7"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-11 141 938</w:t>
            </w:r>
          </w:p>
        </w:tc>
      </w:tr>
      <w:tr w:rsidR="0093441E" w:rsidRPr="002A7673" w14:paraId="6B52576C"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1724464A"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Transferencias corrientes a organismos internacionales</w:t>
            </w:r>
          </w:p>
        </w:tc>
        <w:tc>
          <w:tcPr>
            <w:tcW w:w="1240" w:type="dxa"/>
            <w:tcBorders>
              <w:top w:val="nil"/>
              <w:left w:val="nil"/>
              <w:bottom w:val="single" w:sz="4" w:space="0" w:color="auto"/>
              <w:right w:val="single" w:sz="4" w:space="0" w:color="auto"/>
            </w:tcBorders>
            <w:shd w:val="clear" w:color="auto" w:fill="auto"/>
            <w:vAlign w:val="center"/>
            <w:hideMark/>
          </w:tcPr>
          <w:p w14:paraId="65A9391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712 607</w:t>
            </w:r>
          </w:p>
        </w:tc>
        <w:tc>
          <w:tcPr>
            <w:tcW w:w="1240" w:type="dxa"/>
            <w:tcBorders>
              <w:top w:val="nil"/>
              <w:left w:val="nil"/>
              <w:bottom w:val="single" w:sz="4" w:space="0" w:color="auto"/>
              <w:right w:val="single" w:sz="4" w:space="0" w:color="auto"/>
            </w:tcBorders>
            <w:shd w:val="clear" w:color="auto" w:fill="auto"/>
            <w:vAlign w:val="center"/>
            <w:hideMark/>
          </w:tcPr>
          <w:p w14:paraId="2800B1C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684 102</w:t>
            </w:r>
          </w:p>
        </w:tc>
        <w:tc>
          <w:tcPr>
            <w:tcW w:w="1180" w:type="dxa"/>
            <w:tcBorders>
              <w:top w:val="nil"/>
              <w:left w:val="nil"/>
              <w:bottom w:val="single" w:sz="4" w:space="0" w:color="auto"/>
              <w:right w:val="single" w:sz="4" w:space="0" w:color="auto"/>
            </w:tcBorders>
            <w:shd w:val="clear" w:color="auto" w:fill="auto"/>
            <w:noWrap/>
            <w:vAlign w:val="center"/>
            <w:hideMark/>
          </w:tcPr>
          <w:p w14:paraId="3DB1DC04"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-28 505</w:t>
            </w:r>
          </w:p>
        </w:tc>
      </w:tr>
      <w:tr w:rsidR="0093441E" w:rsidRPr="002A7673" w14:paraId="57EE208A" w14:textId="77777777" w:rsidTr="0048334E">
        <w:trPr>
          <w:trHeight w:val="290"/>
          <w:jc w:val="center"/>
        </w:trPr>
        <w:tc>
          <w:tcPr>
            <w:tcW w:w="5080" w:type="dxa"/>
            <w:tcBorders>
              <w:top w:val="nil"/>
              <w:left w:val="single" w:sz="4" w:space="0" w:color="auto"/>
              <w:bottom w:val="single" w:sz="4" w:space="0" w:color="auto"/>
              <w:right w:val="single" w:sz="4" w:space="0" w:color="auto"/>
            </w:tcBorders>
            <w:shd w:val="clear" w:color="auto" w:fill="auto"/>
            <w:vAlign w:val="center"/>
            <w:hideMark/>
          </w:tcPr>
          <w:p w14:paraId="50F0BF7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Transferencias de Capital a Órganos Desconcentrados</w:t>
            </w:r>
          </w:p>
        </w:tc>
        <w:tc>
          <w:tcPr>
            <w:tcW w:w="1240" w:type="dxa"/>
            <w:tcBorders>
              <w:top w:val="nil"/>
              <w:left w:val="nil"/>
              <w:bottom w:val="single" w:sz="4" w:space="0" w:color="auto"/>
              <w:right w:val="single" w:sz="4" w:space="0" w:color="auto"/>
            </w:tcBorders>
            <w:shd w:val="clear" w:color="auto" w:fill="auto"/>
            <w:vAlign w:val="center"/>
            <w:hideMark/>
          </w:tcPr>
          <w:p w14:paraId="3EEF4F5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10 000 000</w:t>
            </w:r>
          </w:p>
        </w:tc>
        <w:tc>
          <w:tcPr>
            <w:tcW w:w="1240" w:type="dxa"/>
            <w:tcBorders>
              <w:top w:val="nil"/>
              <w:left w:val="nil"/>
              <w:bottom w:val="single" w:sz="4" w:space="0" w:color="auto"/>
              <w:right w:val="single" w:sz="4" w:space="0" w:color="auto"/>
            </w:tcBorders>
            <w:shd w:val="clear" w:color="auto" w:fill="auto"/>
            <w:vAlign w:val="center"/>
            <w:hideMark/>
          </w:tcPr>
          <w:p w14:paraId="7DC2AAA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10 000 000</w:t>
            </w:r>
          </w:p>
        </w:tc>
        <w:tc>
          <w:tcPr>
            <w:tcW w:w="1180" w:type="dxa"/>
            <w:tcBorders>
              <w:top w:val="nil"/>
              <w:left w:val="nil"/>
              <w:bottom w:val="single" w:sz="4" w:space="0" w:color="auto"/>
              <w:right w:val="single" w:sz="4" w:space="0" w:color="auto"/>
            </w:tcBorders>
            <w:shd w:val="clear" w:color="auto" w:fill="auto"/>
            <w:noWrap/>
            <w:vAlign w:val="center"/>
            <w:hideMark/>
          </w:tcPr>
          <w:p w14:paraId="30195C13" w14:textId="77777777" w:rsidR="0093441E" w:rsidRPr="002A7673" w:rsidRDefault="0093441E" w:rsidP="0048334E">
            <w:pPr>
              <w:spacing w:after="0" w:line="240" w:lineRule="auto"/>
              <w:jc w:val="right"/>
              <w:rPr>
                <w:rFonts w:ascii="Times New Roman" w:hAnsi="Times New Roman" w:cs="Times New Roman"/>
                <w:sz w:val="16"/>
                <w:szCs w:val="16"/>
                <w:lang w:eastAsia="es-CR"/>
              </w:rPr>
            </w:pPr>
            <w:r w:rsidRPr="002A7673">
              <w:rPr>
                <w:rFonts w:ascii="Times New Roman" w:hAnsi="Times New Roman" w:cs="Times New Roman"/>
                <w:sz w:val="16"/>
                <w:szCs w:val="16"/>
                <w:lang w:eastAsia="es-CR"/>
              </w:rPr>
              <w:t>0</w:t>
            </w:r>
          </w:p>
        </w:tc>
      </w:tr>
      <w:tr w:rsidR="0093441E" w:rsidRPr="002A7673" w14:paraId="101C38A9" w14:textId="77777777" w:rsidTr="0048334E">
        <w:trPr>
          <w:trHeight w:val="220"/>
          <w:jc w:val="center"/>
        </w:trPr>
        <w:tc>
          <w:tcPr>
            <w:tcW w:w="5080" w:type="dxa"/>
            <w:tcBorders>
              <w:top w:val="nil"/>
              <w:left w:val="single" w:sz="4" w:space="0" w:color="auto"/>
              <w:bottom w:val="single" w:sz="4" w:space="0" w:color="auto"/>
              <w:right w:val="single" w:sz="4" w:space="0" w:color="auto"/>
            </w:tcBorders>
            <w:shd w:val="clear" w:color="000000" w:fill="95B3D7"/>
            <w:vAlign w:val="center"/>
            <w:hideMark/>
          </w:tcPr>
          <w:p w14:paraId="65632D97" w14:textId="77777777" w:rsidR="0093441E" w:rsidRPr="002A7673" w:rsidRDefault="0093441E" w:rsidP="0048334E">
            <w:pPr>
              <w:spacing w:after="0" w:line="240" w:lineRule="auto"/>
              <w:jc w:val="center"/>
              <w:rPr>
                <w:rFonts w:ascii="Times New Roman" w:hAnsi="Times New Roman" w:cs="Times New Roman"/>
                <w:b/>
                <w:color w:val="000000"/>
                <w:sz w:val="16"/>
                <w:szCs w:val="16"/>
                <w:lang w:eastAsia="es-CR"/>
              </w:rPr>
            </w:pPr>
            <w:r w:rsidRPr="002A7673">
              <w:rPr>
                <w:rFonts w:ascii="Times New Roman" w:hAnsi="Times New Roman" w:cs="Times New Roman"/>
                <w:b/>
                <w:color w:val="000000"/>
                <w:sz w:val="16"/>
                <w:szCs w:val="16"/>
                <w:lang w:eastAsia="es-CR"/>
              </w:rPr>
              <w:t>TOTAL</w:t>
            </w:r>
          </w:p>
        </w:tc>
        <w:tc>
          <w:tcPr>
            <w:tcW w:w="1240" w:type="dxa"/>
            <w:tcBorders>
              <w:top w:val="nil"/>
              <w:left w:val="nil"/>
              <w:bottom w:val="single" w:sz="4" w:space="0" w:color="auto"/>
              <w:right w:val="single" w:sz="4" w:space="0" w:color="auto"/>
            </w:tcBorders>
            <w:shd w:val="clear" w:color="000000" w:fill="95B3D7"/>
            <w:vAlign w:val="center"/>
            <w:hideMark/>
          </w:tcPr>
          <w:p w14:paraId="28D8E36E" w14:textId="77777777" w:rsidR="0093441E" w:rsidRPr="002A7673" w:rsidRDefault="0093441E" w:rsidP="0048334E">
            <w:pPr>
              <w:spacing w:after="0" w:line="240" w:lineRule="auto"/>
              <w:jc w:val="right"/>
              <w:rPr>
                <w:rFonts w:ascii="Times New Roman" w:hAnsi="Times New Roman" w:cs="Times New Roman"/>
                <w:b/>
                <w:color w:val="000000"/>
                <w:sz w:val="16"/>
                <w:szCs w:val="16"/>
                <w:lang w:eastAsia="es-CR"/>
              </w:rPr>
            </w:pPr>
            <w:r w:rsidRPr="002A7673">
              <w:rPr>
                <w:rFonts w:ascii="Times New Roman" w:hAnsi="Times New Roman" w:cs="Times New Roman"/>
                <w:b/>
                <w:color w:val="000000"/>
                <w:sz w:val="16"/>
                <w:szCs w:val="16"/>
                <w:lang w:eastAsia="es-CR"/>
              </w:rPr>
              <w:t>30 534 762 127</w:t>
            </w:r>
          </w:p>
        </w:tc>
        <w:tc>
          <w:tcPr>
            <w:tcW w:w="1240" w:type="dxa"/>
            <w:tcBorders>
              <w:top w:val="nil"/>
              <w:left w:val="nil"/>
              <w:bottom w:val="single" w:sz="4" w:space="0" w:color="auto"/>
              <w:right w:val="single" w:sz="4" w:space="0" w:color="auto"/>
            </w:tcBorders>
            <w:shd w:val="clear" w:color="000000" w:fill="95B3D7"/>
            <w:vAlign w:val="center"/>
            <w:hideMark/>
          </w:tcPr>
          <w:p w14:paraId="2399CA2E" w14:textId="77777777" w:rsidR="0093441E" w:rsidRPr="002A7673" w:rsidRDefault="0093441E" w:rsidP="0048334E">
            <w:pPr>
              <w:spacing w:after="0" w:line="240" w:lineRule="auto"/>
              <w:jc w:val="right"/>
              <w:rPr>
                <w:rFonts w:ascii="Times New Roman" w:hAnsi="Times New Roman" w:cs="Times New Roman"/>
                <w:b/>
                <w:color w:val="000000"/>
                <w:sz w:val="16"/>
                <w:szCs w:val="16"/>
                <w:lang w:eastAsia="es-CR"/>
              </w:rPr>
            </w:pPr>
            <w:r w:rsidRPr="002A7673">
              <w:rPr>
                <w:rFonts w:ascii="Times New Roman" w:hAnsi="Times New Roman" w:cs="Times New Roman"/>
                <w:b/>
                <w:color w:val="000000"/>
                <w:sz w:val="16"/>
                <w:szCs w:val="16"/>
                <w:lang w:eastAsia="es-CR"/>
              </w:rPr>
              <w:t>32 855 208 017</w:t>
            </w:r>
          </w:p>
        </w:tc>
        <w:tc>
          <w:tcPr>
            <w:tcW w:w="1180" w:type="dxa"/>
            <w:tcBorders>
              <w:top w:val="nil"/>
              <w:left w:val="nil"/>
              <w:bottom w:val="single" w:sz="4" w:space="0" w:color="auto"/>
              <w:right w:val="single" w:sz="4" w:space="0" w:color="auto"/>
            </w:tcBorders>
            <w:shd w:val="clear" w:color="000000" w:fill="95B3D7"/>
            <w:vAlign w:val="center"/>
            <w:hideMark/>
          </w:tcPr>
          <w:p w14:paraId="5DEE0AAB" w14:textId="77777777" w:rsidR="0093441E" w:rsidRPr="002A7673" w:rsidRDefault="0093441E" w:rsidP="0048334E">
            <w:pPr>
              <w:spacing w:after="0" w:line="240" w:lineRule="auto"/>
              <w:jc w:val="right"/>
              <w:rPr>
                <w:rFonts w:ascii="Times New Roman" w:hAnsi="Times New Roman" w:cs="Times New Roman"/>
                <w:b/>
                <w:color w:val="000000"/>
                <w:sz w:val="16"/>
                <w:szCs w:val="16"/>
                <w:lang w:eastAsia="es-CR"/>
              </w:rPr>
            </w:pPr>
            <w:r w:rsidRPr="002A7673">
              <w:rPr>
                <w:rFonts w:ascii="Times New Roman" w:hAnsi="Times New Roman" w:cs="Times New Roman"/>
                <w:b/>
                <w:color w:val="000000"/>
                <w:sz w:val="16"/>
                <w:szCs w:val="16"/>
                <w:lang w:eastAsia="es-CR"/>
              </w:rPr>
              <w:t>2 320 445 890</w:t>
            </w:r>
          </w:p>
        </w:tc>
      </w:tr>
    </w:tbl>
    <w:p w14:paraId="25B66C82" w14:textId="77777777" w:rsidR="0093441E" w:rsidRPr="002A7673" w:rsidRDefault="0093441E" w:rsidP="0093441E">
      <w:pPr>
        <w:spacing w:after="0" w:line="360" w:lineRule="auto"/>
        <w:rPr>
          <w:rFonts w:ascii="Times New Roman" w:hAnsi="Times New Roman" w:cs="Times New Roman"/>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626D8B25" w14:textId="77777777" w:rsidR="0093441E" w:rsidRPr="002A7673" w:rsidRDefault="0093441E" w:rsidP="0093441E">
      <w:pPr>
        <w:spacing w:after="0" w:line="360" w:lineRule="auto"/>
        <w:rPr>
          <w:rFonts w:ascii="Times New Roman" w:hAnsi="Times New Roman" w:cs="Times New Roman"/>
        </w:rPr>
      </w:pPr>
    </w:p>
    <w:p w14:paraId="1F7FF511" w14:textId="77777777" w:rsidR="0093441E" w:rsidRPr="002A7673" w:rsidRDefault="0093441E" w:rsidP="0093441E">
      <w:pPr>
        <w:rPr>
          <w:rFonts w:ascii="Times New Roman" w:hAnsi="Times New Roman" w:cs="Times New Roman"/>
        </w:rPr>
      </w:pPr>
      <w:r w:rsidRPr="002A7673">
        <w:rPr>
          <w:rFonts w:ascii="Times New Roman" w:hAnsi="Times New Roman" w:cs="Times New Roman"/>
        </w:rPr>
        <w:br w:type="page"/>
      </w:r>
    </w:p>
    <w:p w14:paraId="0AE952DD"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En el siguiente gráfico se muestran las subpartidas con más recursos formulados en el anteproyecto de presupuesto 2022 para el programa presupuestario 926 Dirección, Administración y Otros Órganos de Apoyo.</w:t>
      </w:r>
    </w:p>
    <w:p w14:paraId="341C98EA" w14:textId="77777777" w:rsidR="0093441E" w:rsidRPr="002A7673" w:rsidRDefault="0093441E" w:rsidP="0093441E">
      <w:pPr>
        <w:spacing w:after="0" w:line="360" w:lineRule="auto"/>
        <w:rPr>
          <w:rFonts w:ascii="Times New Roman" w:hAnsi="Times New Roman" w:cs="Times New Roman"/>
        </w:rPr>
      </w:pPr>
    </w:p>
    <w:p w14:paraId="48231E6D"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drawing>
          <wp:inline distT="0" distB="0" distL="0" distR="0" wp14:anchorId="3A8931C6" wp14:editId="3C4750AC">
            <wp:extent cx="4740276" cy="4076700"/>
            <wp:effectExtent l="0" t="0" r="3175" b="0"/>
            <wp:docPr id="52" name="Gráfico 52">
              <a:extLst xmlns:a="http://schemas.openxmlformats.org/drawingml/2006/main">
                <a:ext uri="{FF2B5EF4-FFF2-40B4-BE49-F238E27FC236}">
                  <a16:creationId xmlns:a16="http://schemas.microsoft.com/office/drawing/2014/main" id="{49434243-80E7-4467-88C9-CBE0994A8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06531823" w14:textId="77777777" w:rsidR="0093441E" w:rsidRPr="002A7673" w:rsidRDefault="0093441E" w:rsidP="0093441E">
      <w:pPr>
        <w:spacing w:after="0" w:line="360" w:lineRule="auto"/>
        <w:ind w:firstLine="708"/>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3CD1B6B4" w14:textId="77777777" w:rsidR="0093441E" w:rsidRPr="002A7673" w:rsidRDefault="0093441E" w:rsidP="0093441E">
      <w:pPr>
        <w:spacing w:after="0" w:line="360" w:lineRule="auto"/>
        <w:rPr>
          <w:rFonts w:ascii="Times New Roman" w:hAnsi="Times New Roman" w:cs="Times New Roman"/>
        </w:rPr>
      </w:pPr>
    </w:p>
    <w:p w14:paraId="545AF5E0"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En la subpartida Servicios Generales se concentra la mayor cantidad de recursos, por esta subpartida se incluyen los recursos para los servicios de vigilancia y limpieza. Seguidamente se encuentra la subpartida Bienes Intangibles en donde se encuentran las licencias informáticas, luego le siguen: Edificios, Seguros, Equipo de Cómputo, </w:t>
      </w:r>
      <w:r w:rsidRPr="002A7673">
        <w:rPr>
          <w:rFonts w:ascii="Times New Roman" w:hAnsi="Times New Roman" w:cs="Times New Roman"/>
          <w:sz w:val="28"/>
          <w:szCs w:val="28"/>
        </w:rPr>
        <w:lastRenderedPageBreak/>
        <w:t>Mantenimiento de Locales, Servicio de Telecomunicaciones y Servicio de Energía Eléctrica.</w:t>
      </w:r>
    </w:p>
    <w:p w14:paraId="40976E1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el programa 926 Dirección, Administración y Otros Órganos de Apoyo se presentan subpartidas que incrementaron considerablemente, en el siguiente cuadro se muestran las más relevantes.</w:t>
      </w:r>
    </w:p>
    <w:p w14:paraId="0C67286C"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drawing>
          <wp:inline distT="0" distB="0" distL="0" distR="0" wp14:anchorId="16EEA4DD" wp14:editId="5C37659C">
            <wp:extent cx="5612130" cy="2778125"/>
            <wp:effectExtent l="0" t="0" r="7620" b="31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12130" cy="2778125"/>
                    </a:xfrm>
                    <a:prstGeom prst="rect">
                      <a:avLst/>
                    </a:prstGeom>
                    <a:noFill/>
                    <a:ln>
                      <a:noFill/>
                    </a:ln>
                  </pic:spPr>
                </pic:pic>
              </a:graphicData>
            </a:graphic>
          </wp:inline>
        </w:drawing>
      </w:r>
    </w:p>
    <w:p w14:paraId="6C867652" w14:textId="77777777" w:rsidR="0093441E" w:rsidRPr="002A7673" w:rsidRDefault="0093441E" w:rsidP="0093441E">
      <w:pPr>
        <w:spacing w:after="0" w:line="360" w:lineRule="auto"/>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7D7625BD"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el siguiente cuadro se muestran las subpartidas que más decrecen en el programa 926 Dirección, Administración y Otros Órganos de Apoyo.</w:t>
      </w:r>
    </w:p>
    <w:p w14:paraId="3892D0E7" w14:textId="77777777" w:rsidR="0093441E" w:rsidRPr="002A7673" w:rsidRDefault="0093441E" w:rsidP="0093441E">
      <w:pPr>
        <w:jc w:val="center"/>
        <w:rPr>
          <w:rFonts w:ascii="Times New Roman" w:hAnsi="Times New Roman" w:cs="Times New Roman"/>
        </w:rPr>
      </w:pPr>
      <w:r w:rsidRPr="002A7673">
        <w:rPr>
          <w:rFonts w:ascii="Times New Roman" w:hAnsi="Times New Roman" w:cs="Times New Roman"/>
          <w:noProof/>
        </w:rPr>
        <w:lastRenderedPageBreak/>
        <w:drawing>
          <wp:inline distT="0" distB="0" distL="0" distR="0" wp14:anchorId="5441FBC5" wp14:editId="02649634">
            <wp:extent cx="5612130" cy="2201545"/>
            <wp:effectExtent l="0" t="0" r="762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2130" cy="2201545"/>
                    </a:xfrm>
                    <a:prstGeom prst="rect">
                      <a:avLst/>
                    </a:prstGeom>
                    <a:noFill/>
                    <a:ln>
                      <a:noFill/>
                    </a:ln>
                  </pic:spPr>
                </pic:pic>
              </a:graphicData>
            </a:graphic>
          </wp:inline>
        </w:drawing>
      </w:r>
      <w:r w:rsidRPr="002A7673">
        <w:rPr>
          <w:rFonts w:ascii="Times New Roman" w:hAnsi="Times New Roman" w:cs="Times New Roman"/>
        </w:rPr>
        <w:t xml:space="preserve"> </w:t>
      </w:r>
    </w:p>
    <w:p w14:paraId="7364F087" w14:textId="77777777" w:rsidR="0093441E" w:rsidRPr="002A7673" w:rsidRDefault="0093441E" w:rsidP="0093441E">
      <w:pPr>
        <w:spacing w:after="0" w:line="360" w:lineRule="auto"/>
        <w:rPr>
          <w:rFonts w:ascii="Times New Roman" w:hAnsi="Times New Roman" w:cs="Times New Roman"/>
          <w:sz w:val="28"/>
          <w:szCs w:val="28"/>
        </w:rPr>
      </w:pPr>
      <w:r w:rsidRPr="002A7673">
        <w:rPr>
          <w:rFonts w:ascii="Times New Roman" w:hAnsi="Times New Roman" w:cs="Times New Roman"/>
          <w:b/>
          <w:bCs/>
          <w:sz w:val="28"/>
          <w:szCs w:val="28"/>
        </w:rPr>
        <w:t xml:space="preserve">Fuente: </w:t>
      </w:r>
      <w:r w:rsidRPr="002A7673">
        <w:rPr>
          <w:rFonts w:ascii="Times New Roman" w:hAnsi="Times New Roman" w:cs="Times New Roman"/>
          <w:sz w:val="28"/>
          <w:szCs w:val="28"/>
        </w:rPr>
        <w:t>Elaboración propia con información del Sistema SIGA-PJ.</w:t>
      </w:r>
    </w:p>
    <w:p w14:paraId="026C573E" w14:textId="77777777" w:rsidR="0093441E" w:rsidRPr="002A7673" w:rsidRDefault="0093441E" w:rsidP="0093441E">
      <w:pPr>
        <w:spacing w:after="0" w:line="360" w:lineRule="auto"/>
        <w:rPr>
          <w:rFonts w:ascii="Times New Roman" w:hAnsi="Times New Roman" w:cs="Times New Roman"/>
          <w:sz w:val="28"/>
          <w:szCs w:val="28"/>
        </w:rPr>
      </w:pPr>
    </w:p>
    <w:p w14:paraId="115BA417" w14:textId="77777777" w:rsidR="0093441E" w:rsidRPr="002A7673" w:rsidRDefault="0093441E" w:rsidP="00FF3FAC">
      <w:pPr>
        <w:numPr>
          <w:ilvl w:val="0"/>
          <w:numId w:val="36"/>
        </w:numPr>
        <w:spacing w:after="0" w:line="360" w:lineRule="auto"/>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Programa 927 Servicio Jurisdiccional</w:t>
      </w:r>
    </w:p>
    <w:p w14:paraId="03B2D38A" w14:textId="77777777" w:rsidR="0093441E" w:rsidRPr="002A7673" w:rsidRDefault="0093441E" w:rsidP="0093441E">
      <w:pPr>
        <w:rPr>
          <w:rFonts w:ascii="Times New Roman" w:hAnsi="Times New Roman" w:cs="Times New Roman"/>
          <w:sz w:val="28"/>
          <w:szCs w:val="28"/>
        </w:rPr>
      </w:pPr>
    </w:p>
    <w:p w14:paraId="7E69FCB1" w14:textId="77777777" w:rsidR="0093441E" w:rsidRPr="002A7673" w:rsidRDefault="0093441E" w:rsidP="0093441E">
      <w:pPr>
        <w:spacing w:after="0" w:line="360" w:lineRule="auto"/>
        <w:rPr>
          <w:rFonts w:ascii="Times New Roman" w:hAnsi="Times New Roman" w:cs="Times New Roman"/>
          <w:sz w:val="28"/>
          <w:szCs w:val="28"/>
        </w:rPr>
      </w:pPr>
      <w:r w:rsidRPr="002A7673">
        <w:rPr>
          <w:rFonts w:ascii="Times New Roman" w:hAnsi="Times New Roman" w:cs="Times New Roman"/>
          <w:sz w:val="28"/>
          <w:szCs w:val="28"/>
        </w:rPr>
        <w:t>En el siguiente cuadro se muestran las subpartidas para el programa presupuestario 927 Servicio Jurisdiccional, comparando los recursos aprobados para el 2021 y los formulados en el anteproyecto de presupuesto 2022.</w:t>
      </w:r>
    </w:p>
    <w:p w14:paraId="43100EE8" w14:textId="77777777" w:rsidR="0093441E" w:rsidRPr="002A7673" w:rsidRDefault="0093441E" w:rsidP="0093441E">
      <w:pPr>
        <w:spacing w:after="0" w:line="360" w:lineRule="auto"/>
        <w:rPr>
          <w:rFonts w:ascii="Times New Roman" w:hAnsi="Times New Roman" w:cs="Times New Roman"/>
        </w:rPr>
      </w:pPr>
    </w:p>
    <w:tbl>
      <w:tblPr>
        <w:tblW w:w="8260" w:type="dxa"/>
        <w:jc w:val="center"/>
        <w:tblCellMar>
          <w:left w:w="70" w:type="dxa"/>
          <w:right w:w="70" w:type="dxa"/>
        </w:tblCellMar>
        <w:tblLook w:val="04A0" w:firstRow="1" w:lastRow="0" w:firstColumn="1" w:lastColumn="0" w:noHBand="0" w:noVBand="1"/>
      </w:tblPr>
      <w:tblGrid>
        <w:gridCol w:w="4580"/>
        <w:gridCol w:w="1240"/>
        <w:gridCol w:w="1240"/>
        <w:gridCol w:w="1200"/>
      </w:tblGrid>
      <w:tr w:rsidR="0093441E" w:rsidRPr="002A7673" w14:paraId="012A5648" w14:textId="77777777" w:rsidTr="0048334E">
        <w:trPr>
          <w:trHeight w:val="470"/>
          <w:jc w:val="center"/>
        </w:trPr>
        <w:tc>
          <w:tcPr>
            <w:tcW w:w="8260" w:type="dxa"/>
            <w:gridSpan w:val="4"/>
            <w:tcBorders>
              <w:top w:val="single" w:sz="4" w:space="0" w:color="auto"/>
              <w:left w:val="single" w:sz="4" w:space="0" w:color="auto"/>
              <w:bottom w:val="single" w:sz="4" w:space="0" w:color="auto"/>
              <w:right w:val="single" w:sz="4" w:space="0" w:color="auto"/>
            </w:tcBorders>
            <w:shd w:val="clear" w:color="000000" w:fill="95B3D7"/>
            <w:vAlign w:val="center"/>
            <w:hideMark/>
          </w:tcPr>
          <w:p w14:paraId="5A18B6D1" w14:textId="77777777" w:rsidR="0093441E" w:rsidRPr="002A7673" w:rsidRDefault="0093441E" w:rsidP="0048334E">
            <w:pPr>
              <w:spacing w:after="0" w:line="240" w:lineRule="auto"/>
              <w:jc w:val="center"/>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COMPARATIVO 2021-2022 POR SUBPARTIDA</w:t>
            </w:r>
            <w:r w:rsidRPr="002A7673">
              <w:rPr>
                <w:rFonts w:ascii="Times New Roman" w:hAnsi="Times New Roman" w:cs="Times New Roman"/>
                <w:b/>
                <w:sz w:val="16"/>
                <w:szCs w:val="16"/>
                <w:lang w:eastAsia="es-CR"/>
              </w:rPr>
              <w:br/>
              <w:t>PROGRAMA 927 SERVICIO JURISDICCIONAL</w:t>
            </w:r>
          </w:p>
        </w:tc>
      </w:tr>
      <w:tr w:rsidR="0093441E" w:rsidRPr="002A7673" w14:paraId="09B11E1C" w14:textId="77777777" w:rsidTr="0048334E">
        <w:trPr>
          <w:trHeight w:val="220"/>
          <w:jc w:val="center"/>
        </w:trPr>
        <w:tc>
          <w:tcPr>
            <w:tcW w:w="4580" w:type="dxa"/>
            <w:tcBorders>
              <w:top w:val="nil"/>
              <w:left w:val="single" w:sz="4" w:space="0" w:color="auto"/>
              <w:bottom w:val="single" w:sz="4" w:space="0" w:color="auto"/>
              <w:right w:val="single" w:sz="4" w:space="0" w:color="auto"/>
            </w:tcBorders>
            <w:shd w:val="clear" w:color="000000" w:fill="B8CCE4"/>
            <w:noWrap/>
            <w:vAlign w:val="center"/>
            <w:hideMark/>
          </w:tcPr>
          <w:p w14:paraId="503CC047" w14:textId="77777777" w:rsidR="0093441E" w:rsidRPr="002A7673" w:rsidRDefault="0093441E" w:rsidP="0048334E">
            <w:pPr>
              <w:spacing w:after="0" w:line="240" w:lineRule="auto"/>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Subpartida</w:t>
            </w:r>
          </w:p>
        </w:tc>
        <w:tc>
          <w:tcPr>
            <w:tcW w:w="1240" w:type="dxa"/>
            <w:tcBorders>
              <w:top w:val="nil"/>
              <w:left w:val="nil"/>
              <w:bottom w:val="single" w:sz="4" w:space="0" w:color="auto"/>
              <w:right w:val="single" w:sz="4" w:space="0" w:color="auto"/>
            </w:tcBorders>
            <w:shd w:val="clear" w:color="000000" w:fill="B8CCE4"/>
            <w:noWrap/>
            <w:vAlign w:val="center"/>
            <w:hideMark/>
          </w:tcPr>
          <w:p w14:paraId="45A93F82" w14:textId="77777777" w:rsidR="0093441E" w:rsidRPr="002A7673" w:rsidRDefault="0093441E" w:rsidP="0048334E">
            <w:pPr>
              <w:spacing w:after="0" w:line="240" w:lineRule="auto"/>
              <w:jc w:val="center"/>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2021</w:t>
            </w:r>
          </w:p>
        </w:tc>
        <w:tc>
          <w:tcPr>
            <w:tcW w:w="1240" w:type="dxa"/>
            <w:tcBorders>
              <w:top w:val="nil"/>
              <w:left w:val="nil"/>
              <w:bottom w:val="single" w:sz="4" w:space="0" w:color="auto"/>
              <w:right w:val="single" w:sz="4" w:space="0" w:color="auto"/>
            </w:tcBorders>
            <w:shd w:val="clear" w:color="000000" w:fill="B8CCE4"/>
            <w:noWrap/>
            <w:vAlign w:val="center"/>
            <w:hideMark/>
          </w:tcPr>
          <w:p w14:paraId="08F629C2" w14:textId="77777777" w:rsidR="0093441E" w:rsidRPr="002A7673" w:rsidRDefault="0093441E" w:rsidP="0048334E">
            <w:pPr>
              <w:spacing w:after="0" w:line="240" w:lineRule="auto"/>
              <w:jc w:val="center"/>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2022</w:t>
            </w:r>
          </w:p>
        </w:tc>
        <w:tc>
          <w:tcPr>
            <w:tcW w:w="1200" w:type="dxa"/>
            <w:tcBorders>
              <w:top w:val="nil"/>
              <w:left w:val="nil"/>
              <w:bottom w:val="single" w:sz="4" w:space="0" w:color="auto"/>
              <w:right w:val="single" w:sz="4" w:space="0" w:color="auto"/>
            </w:tcBorders>
            <w:shd w:val="clear" w:color="000000" w:fill="B8CCE4"/>
            <w:noWrap/>
            <w:vAlign w:val="center"/>
            <w:hideMark/>
          </w:tcPr>
          <w:p w14:paraId="66ACAE8C" w14:textId="77777777" w:rsidR="0093441E" w:rsidRPr="002A7673" w:rsidRDefault="0093441E" w:rsidP="0048334E">
            <w:pPr>
              <w:spacing w:after="0" w:line="240" w:lineRule="auto"/>
              <w:jc w:val="center"/>
              <w:rPr>
                <w:rFonts w:ascii="Times New Roman" w:hAnsi="Times New Roman" w:cs="Times New Roman"/>
                <w:b/>
                <w:sz w:val="16"/>
                <w:szCs w:val="16"/>
                <w:lang w:eastAsia="es-CR"/>
              </w:rPr>
            </w:pPr>
            <w:r w:rsidRPr="002A7673">
              <w:rPr>
                <w:rFonts w:ascii="Times New Roman" w:hAnsi="Times New Roman" w:cs="Times New Roman"/>
                <w:b/>
                <w:sz w:val="16"/>
                <w:szCs w:val="16"/>
                <w:lang w:eastAsia="es-CR"/>
              </w:rPr>
              <w:t>Diferencia</w:t>
            </w:r>
          </w:p>
        </w:tc>
      </w:tr>
      <w:tr w:rsidR="0093441E" w:rsidRPr="002A7673" w14:paraId="523E017D"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ADCC534"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Alquiler de edificios, locales y terrenos</w:t>
            </w:r>
          </w:p>
        </w:tc>
        <w:tc>
          <w:tcPr>
            <w:tcW w:w="1240" w:type="dxa"/>
            <w:tcBorders>
              <w:top w:val="nil"/>
              <w:left w:val="nil"/>
              <w:bottom w:val="single" w:sz="4" w:space="0" w:color="auto"/>
              <w:right w:val="single" w:sz="4" w:space="0" w:color="auto"/>
            </w:tcBorders>
            <w:shd w:val="clear" w:color="auto" w:fill="auto"/>
            <w:hideMark/>
          </w:tcPr>
          <w:p w14:paraId="32863C1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6 709 940 930</w:t>
            </w:r>
          </w:p>
        </w:tc>
        <w:tc>
          <w:tcPr>
            <w:tcW w:w="1240" w:type="dxa"/>
            <w:tcBorders>
              <w:top w:val="nil"/>
              <w:left w:val="nil"/>
              <w:bottom w:val="single" w:sz="4" w:space="0" w:color="auto"/>
              <w:right w:val="single" w:sz="4" w:space="0" w:color="auto"/>
            </w:tcBorders>
            <w:shd w:val="clear" w:color="auto" w:fill="auto"/>
            <w:hideMark/>
          </w:tcPr>
          <w:p w14:paraId="62BC6D9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6 367 874 712</w:t>
            </w:r>
          </w:p>
        </w:tc>
        <w:tc>
          <w:tcPr>
            <w:tcW w:w="1200" w:type="dxa"/>
            <w:tcBorders>
              <w:top w:val="nil"/>
              <w:left w:val="nil"/>
              <w:bottom w:val="single" w:sz="4" w:space="0" w:color="auto"/>
              <w:right w:val="single" w:sz="4" w:space="0" w:color="auto"/>
            </w:tcBorders>
            <w:shd w:val="clear" w:color="auto" w:fill="auto"/>
            <w:hideMark/>
          </w:tcPr>
          <w:p w14:paraId="71C5F46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-342 066 218</w:t>
            </w:r>
          </w:p>
        </w:tc>
      </w:tr>
      <w:tr w:rsidR="0093441E" w:rsidRPr="002A7673" w14:paraId="62447B36"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2FCBEBC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Alquiler de equipo de cómputo</w:t>
            </w:r>
          </w:p>
        </w:tc>
        <w:tc>
          <w:tcPr>
            <w:tcW w:w="1240" w:type="dxa"/>
            <w:tcBorders>
              <w:top w:val="nil"/>
              <w:left w:val="nil"/>
              <w:bottom w:val="single" w:sz="4" w:space="0" w:color="auto"/>
              <w:right w:val="single" w:sz="4" w:space="0" w:color="auto"/>
            </w:tcBorders>
            <w:shd w:val="clear" w:color="auto" w:fill="auto"/>
            <w:hideMark/>
          </w:tcPr>
          <w:p w14:paraId="3D221E0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643 906 515</w:t>
            </w:r>
          </w:p>
        </w:tc>
        <w:tc>
          <w:tcPr>
            <w:tcW w:w="1240" w:type="dxa"/>
            <w:tcBorders>
              <w:top w:val="nil"/>
              <w:left w:val="nil"/>
              <w:bottom w:val="single" w:sz="4" w:space="0" w:color="auto"/>
              <w:right w:val="single" w:sz="4" w:space="0" w:color="auto"/>
            </w:tcBorders>
            <w:shd w:val="clear" w:color="auto" w:fill="auto"/>
            <w:hideMark/>
          </w:tcPr>
          <w:p w14:paraId="60E76E8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545 673 100</w:t>
            </w:r>
          </w:p>
        </w:tc>
        <w:tc>
          <w:tcPr>
            <w:tcW w:w="1200" w:type="dxa"/>
            <w:tcBorders>
              <w:top w:val="nil"/>
              <w:left w:val="nil"/>
              <w:bottom w:val="single" w:sz="4" w:space="0" w:color="auto"/>
              <w:right w:val="single" w:sz="4" w:space="0" w:color="auto"/>
            </w:tcBorders>
            <w:shd w:val="clear" w:color="auto" w:fill="auto"/>
            <w:hideMark/>
          </w:tcPr>
          <w:p w14:paraId="2988056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-98 233 415</w:t>
            </w:r>
          </w:p>
        </w:tc>
      </w:tr>
      <w:tr w:rsidR="0093441E" w:rsidRPr="002A7673" w14:paraId="57B956EE"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837C04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Servicio de agua y alcantarillado </w:t>
            </w:r>
          </w:p>
        </w:tc>
        <w:tc>
          <w:tcPr>
            <w:tcW w:w="1240" w:type="dxa"/>
            <w:tcBorders>
              <w:top w:val="nil"/>
              <w:left w:val="nil"/>
              <w:bottom w:val="single" w:sz="4" w:space="0" w:color="auto"/>
              <w:right w:val="single" w:sz="4" w:space="0" w:color="auto"/>
            </w:tcBorders>
            <w:shd w:val="clear" w:color="auto" w:fill="auto"/>
            <w:hideMark/>
          </w:tcPr>
          <w:p w14:paraId="0DD9233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331 766 723</w:t>
            </w:r>
          </w:p>
        </w:tc>
        <w:tc>
          <w:tcPr>
            <w:tcW w:w="1240" w:type="dxa"/>
            <w:tcBorders>
              <w:top w:val="nil"/>
              <w:left w:val="nil"/>
              <w:bottom w:val="single" w:sz="4" w:space="0" w:color="auto"/>
              <w:right w:val="single" w:sz="4" w:space="0" w:color="auto"/>
            </w:tcBorders>
            <w:shd w:val="clear" w:color="auto" w:fill="auto"/>
            <w:hideMark/>
          </w:tcPr>
          <w:p w14:paraId="5E28B55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339 405 102</w:t>
            </w:r>
          </w:p>
        </w:tc>
        <w:tc>
          <w:tcPr>
            <w:tcW w:w="1200" w:type="dxa"/>
            <w:tcBorders>
              <w:top w:val="nil"/>
              <w:left w:val="nil"/>
              <w:bottom w:val="single" w:sz="4" w:space="0" w:color="auto"/>
              <w:right w:val="single" w:sz="4" w:space="0" w:color="auto"/>
            </w:tcBorders>
            <w:shd w:val="clear" w:color="auto" w:fill="auto"/>
            <w:hideMark/>
          </w:tcPr>
          <w:p w14:paraId="5AC1CBE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7 638 379</w:t>
            </w:r>
          </w:p>
        </w:tc>
      </w:tr>
      <w:tr w:rsidR="0093441E" w:rsidRPr="002A7673" w14:paraId="7390B2AA"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C48D0C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 de energía eléctrica</w:t>
            </w:r>
          </w:p>
        </w:tc>
        <w:tc>
          <w:tcPr>
            <w:tcW w:w="1240" w:type="dxa"/>
            <w:tcBorders>
              <w:top w:val="nil"/>
              <w:left w:val="nil"/>
              <w:bottom w:val="single" w:sz="4" w:space="0" w:color="auto"/>
              <w:right w:val="single" w:sz="4" w:space="0" w:color="auto"/>
            </w:tcBorders>
            <w:shd w:val="clear" w:color="auto" w:fill="auto"/>
            <w:hideMark/>
          </w:tcPr>
          <w:p w14:paraId="107D9CB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1 121 492 577</w:t>
            </w:r>
          </w:p>
        </w:tc>
        <w:tc>
          <w:tcPr>
            <w:tcW w:w="1240" w:type="dxa"/>
            <w:tcBorders>
              <w:top w:val="nil"/>
              <w:left w:val="nil"/>
              <w:bottom w:val="single" w:sz="4" w:space="0" w:color="auto"/>
              <w:right w:val="single" w:sz="4" w:space="0" w:color="auto"/>
            </w:tcBorders>
            <w:shd w:val="clear" w:color="auto" w:fill="auto"/>
            <w:hideMark/>
          </w:tcPr>
          <w:p w14:paraId="3DF0C94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1 138 571 038</w:t>
            </w:r>
          </w:p>
        </w:tc>
        <w:tc>
          <w:tcPr>
            <w:tcW w:w="1200" w:type="dxa"/>
            <w:tcBorders>
              <w:top w:val="nil"/>
              <w:left w:val="nil"/>
              <w:bottom w:val="single" w:sz="4" w:space="0" w:color="auto"/>
              <w:right w:val="single" w:sz="4" w:space="0" w:color="auto"/>
            </w:tcBorders>
            <w:shd w:val="clear" w:color="auto" w:fill="auto"/>
            <w:hideMark/>
          </w:tcPr>
          <w:p w14:paraId="5967861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17 078 461</w:t>
            </w:r>
          </w:p>
        </w:tc>
      </w:tr>
      <w:tr w:rsidR="0093441E" w:rsidRPr="002A7673" w14:paraId="1CD6C0F4"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11232370"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 de correo</w:t>
            </w:r>
          </w:p>
        </w:tc>
        <w:tc>
          <w:tcPr>
            <w:tcW w:w="1240" w:type="dxa"/>
            <w:tcBorders>
              <w:top w:val="nil"/>
              <w:left w:val="nil"/>
              <w:bottom w:val="single" w:sz="4" w:space="0" w:color="auto"/>
              <w:right w:val="single" w:sz="4" w:space="0" w:color="auto"/>
            </w:tcBorders>
            <w:shd w:val="clear" w:color="auto" w:fill="auto"/>
            <w:hideMark/>
          </w:tcPr>
          <w:p w14:paraId="0C1346F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12 167 422</w:t>
            </w:r>
          </w:p>
        </w:tc>
        <w:tc>
          <w:tcPr>
            <w:tcW w:w="1240" w:type="dxa"/>
            <w:tcBorders>
              <w:top w:val="nil"/>
              <w:left w:val="nil"/>
              <w:bottom w:val="single" w:sz="4" w:space="0" w:color="auto"/>
              <w:right w:val="single" w:sz="4" w:space="0" w:color="auto"/>
            </w:tcBorders>
            <w:shd w:val="clear" w:color="auto" w:fill="auto"/>
            <w:hideMark/>
          </w:tcPr>
          <w:p w14:paraId="5A9581C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12 352 713</w:t>
            </w:r>
          </w:p>
        </w:tc>
        <w:tc>
          <w:tcPr>
            <w:tcW w:w="1200" w:type="dxa"/>
            <w:tcBorders>
              <w:top w:val="nil"/>
              <w:left w:val="nil"/>
              <w:bottom w:val="single" w:sz="4" w:space="0" w:color="auto"/>
              <w:right w:val="single" w:sz="4" w:space="0" w:color="auto"/>
            </w:tcBorders>
            <w:shd w:val="clear" w:color="auto" w:fill="auto"/>
            <w:hideMark/>
          </w:tcPr>
          <w:p w14:paraId="34A0EDF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185 291</w:t>
            </w:r>
          </w:p>
        </w:tc>
      </w:tr>
      <w:tr w:rsidR="0093441E" w:rsidRPr="002A7673" w14:paraId="153D3066"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5B5136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 de telecomunicaciones</w:t>
            </w:r>
          </w:p>
        </w:tc>
        <w:tc>
          <w:tcPr>
            <w:tcW w:w="1240" w:type="dxa"/>
            <w:tcBorders>
              <w:top w:val="nil"/>
              <w:left w:val="nil"/>
              <w:bottom w:val="single" w:sz="4" w:space="0" w:color="auto"/>
              <w:right w:val="single" w:sz="4" w:space="0" w:color="auto"/>
            </w:tcBorders>
            <w:shd w:val="clear" w:color="auto" w:fill="auto"/>
            <w:hideMark/>
          </w:tcPr>
          <w:p w14:paraId="3EB62A3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1 313 760 550</w:t>
            </w:r>
          </w:p>
        </w:tc>
        <w:tc>
          <w:tcPr>
            <w:tcW w:w="1240" w:type="dxa"/>
            <w:tcBorders>
              <w:top w:val="nil"/>
              <w:left w:val="nil"/>
              <w:bottom w:val="single" w:sz="4" w:space="0" w:color="auto"/>
              <w:right w:val="single" w:sz="4" w:space="0" w:color="auto"/>
            </w:tcBorders>
            <w:shd w:val="clear" w:color="auto" w:fill="auto"/>
            <w:hideMark/>
          </w:tcPr>
          <w:p w14:paraId="6D7D504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1 333 717 214</w:t>
            </w:r>
          </w:p>
        </w:tc>
        <w:tc>
          <w:tcPr>
            <w:tcW w:w="1200" w:type="dxa"/>
            <w:tcBorders>
              <w:top w:val="nil"/>
              <w:left w:val="nil"/>
              <w:bottom w:val="single" w:sz="4" w:space="0" w:color="auto"/>
              <w:right w:val="single" w:sz="4" w:space="0" w:color="auto"/>
            </w:tcBorders>
            <w:shd w:val="clear" w:color="auto" w:fill="auto"/>
            <w:hideMark/>
          </w:tcPr>
          <w:p w14:paraId="7B7D694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19 956 664</w:t>
            </w:r>
          </w:p>
        </w:tc>
      </w:tr>
      <w:tr w:rsidR="0093441E" w:rsidRPr="002A7673" w14:paraId="5470CF56"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7767DE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Otros servicios básicos </w:t>
            </w:r>
          </w:p>
        </w:tc>
        <w:tc>
          <w:tcPr>
            <w:tcW w:w="1240" w:type="dxa"/>
            <w:tcBorders>
              <w:top w:val="nil"/>
              <w:left w:val="nil"/>
              <w:bottom w:val="single" w:sz="4" w:space="0" w:color="auto"/>
              <w:right w:val="single" w:sz="4" w:space="0" w:color="auto"/>
            </w:tcBorders>
            <w:shd w:val="clear" w:color="auto" w:fill="auto"/>
            <w:hideMark/>
          </w:tcPr>
          <w:p w14:paraId="47C9511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4 590 245</w:t>
            </w:r>
          </w:p>
        </w:tc>
        <w:tc>
          <w:tcPr>
            <w:tcW w:w="1240" w:type="dxa"/>
            <w:tcBorders>
              <w:top w:val="nil"/>
              <w:left w:val="nil"/>
              <w:bottom w:val="single" w:sz="4" w:space="0" w:color="auto"/>
              <w:right w:val="single" w:sz="4" w:space="0" w:color="auto"/>
            </w:tcBorders>
            <w:shd w:val="clear" w:color="auto" w:fill="auto"/>
            <w:hideMark/>
          </w:tcPr>
          <w:p w14:paraId="1138224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5 231 227</w:t>
            </w:r>
          </w:p>
        </w:tc>
        <w:tc>
          <w:tcPr>
            <w:tcW w:w="1200" w:type="dxa"/>
            <w:tcBorders>
              <w:top w:val="nil"/>
              <w:left w:val="nil"/>
              <w:bottom w:val="single" w:sz="4" w:space="0" w:color="auto"/>
              <w:right w:val="single" w:sz="4" w:space="0" w:color="auto"/>
            </w:tcBorders>
            <w:shd w:val="clear" w:color="auto" w:fill="auto"/>
            <w:hideMark/>
          </w:tcPr>
          <w:p w14:paraId="3188494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640 982</w:t>
            </w:r>
          </w:p>
        </w:tc>
      </w:tr>
      <w:tr w:rsidR="0093441E" w:rsidRPr="002A7673" w14:paraId="5A6B6173"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06CEF135"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Información </w:t>
            </w:r>
          </w:p>
        </w:tc>
        <w:tc>
          <w:tcPr>
            <w:tcW w:w="1240" w:type="dxa"/>
            <w:tcBorders>
              <w:top w:val="nil"/>
              <w:left w:val="nil"/>
              <w:bottom w:val="single" w:sz="4" w:space="0" w:color="auto"/>
              <w:right w:val="single" w:sz="4" w:space="0" w:color="auto"/>
            </w:tcBorders>
            <w:shd w:val="clear" w:color="auto" w:fill="auto"/>
            <w:hideMark/>
          </w:tcPr>
          <w:p w14:paraId="4C08455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47 468 378</w:t>
            </w:r>
          </w:p>
        </w:tc>
        <w:tc>
          <w:tcPr>
            <w:tcW w:w="1240" w:type="dxa"/>
            <w:tcBorders>
              <w:top w:val="nil"/>
              <w:left w:val="nil"/>
              <w:bottom w:val="single" w:sz="4" w:space="0" w:color="auto"/>
              <w:right w:val="single" w:sz="4" w:space="0" w:color="auto"/>
            </w:tcBorders>
            <w:shd w:val="clear" w:color="auto" w:fill="auto"/>
            <w:hideMark/>
          </w:tcPr>
          <w:p w14:paraId="7459C2B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47 468 377</w:t>
            </w:r>
          </w:p>
        </w:tc>
        <w:tc>
          <w:tcPr>
            <w:tcW w:w="1200" w:type="dxa"/>
            <w:tcBorders>
              <w:top w:val="nil"/>
              <w:left w:val="nil"/>
              <w:bottom w:val="single" w:sz="4" w:space="0" w:color="auto"/>
              <w:right w:val="single" w:sz="4" w:space="0" w:color="auto"/>
            </w:tcBorders>
            <w:shd w:val="clear" w:color="auto" w:fill="auto"/>
            <w:hideMark/>
          </w:tcPr>
          <w:p w14:paraId="3290070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w:t>
            </w:r>
          </w:p>
        </w:tc>
      </w:tr>
      <w:tr w:rsidR="0093441E" w:rsidRPr="002A7673" w14:paraId="4FA444F7"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4866FE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Impresión, encuadernación y otros</w:t>
            </w:r>
          </w:p>
        </w:tc>
        <w:tc>
          <w:tcPr>
            <w:tcW w:w="1240" w:type="dxa"/>
            <w:tcBorders>
              <w:top w:val="nil"/>
              <w:left w:val="nil"/>
              <w:bottom w:val="single" w:sz="4" w:space="0" w:color="auto"/>
              <w:right w:val="single" w:sz="4" w:space="0" w:color="auto"/>
            </w:tcBorders>
            <w:shd w:val="clear" w:color="auto" w:fill="auto"/>
            <w:hideMark/>
          </w:tcPr>
          <w:p w14:paraId="1480368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32 635 326</w:t>
            </w:r>
          </w:p>
        </w:tc>
        <w:tc>
          <w:tcPr>
            <w:tcW w:w="1240" w:type="dxa"/>
            <w:tcBorders>
              <w:top w:val="nil"/>
              <w:left w:val="nil"/>
              <w:bottom w:val="single" w:sz="4" w:space="0" w:color="auto"/>
              <w:right w:val="single" w:sz="4" w:space="0" w:color="auto"/>
            </w:tcBorders>
            <w:shd w:val="clear" w:color="auto" w:fill="auto"/>
            <w:hideMark/>
          </w:tcPr>
          <w:p w14:paraId="15B7CC2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24 641 880</w:t>
            </w:r>
          </w:p>
        </w:tc>
        <w:tc>
          <w:tcPr>
            <w:tcW w:w="1200" w:type="dxa"/>
            <w:tcBorders>
              <w:top w:val="nil"/>
              <w:left w:val="nil"/>
              <w:bottom w:val="single" w:sz="4" w:space="0" w:color="auto"/>
              <w:right w:val="single" w:sz="4" w:space="0" w:color="auto"/>
            </w:tcBorders>
            <w:shd w:val="clear" w:color="auto" w:fill="auto"/>
            <w:hideMark/>
          </w:tcPr>
          <w:p w14:paraId="4720C7F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-7 993 446</w:t>
            </w:r>
          </w:p>
        </w:tc>
      </w:tr>
      <w:tr w:rsidR="0093441E" w:rsidRPr="002A7673" w14:paraId="7AC4A994"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BF6A9B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Transporte de bienes</w:t>
            </w:r>
          </w:p>
        </w:tc>
        <w:tc>
          <w:tcPr>
            <w:tcW w:w="1240" w:type="dxa"/>
            <w:tcBorders>
              <w:top w:val="nil"/>
              <w:left w:val="nil"/>
              <w:bottom w:val="single" w:sz="4" w:space="0" w:color="auto"/>
              <w:right w:val="single" w:sz="4" w:space="0" w:color="auto"/>
            </w:tcBorders>
            <w:shd w:val="clear" w:color="auto" w:fill="auto"/>
            <w:hideMark/>
          </w:tcPr>
          <w:p w14:paraId="70D8F61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612 500</w:t>
            </w:r>
          </w:p>
        </w:tc>
        <w:tc>
          <w:tcPr>
            <w:tcW w:w="1240" w:type="dxa"/>
            <w:tcBorders>
              <w:top w:val="nil"/>
              <w:left w:val="nil"/>
              <w:bottom w:val="single" w:sz="4" w:space="0" w:color="auto"/>
              <w:right w:val="single" w:sz="4" w:space="0" w:color="auto"/>
            </w:tcBorders>
            <w:shd w:val="clear" w:color="auto" w:fill="auto"/>
            <w:hideMark/>
          </w:tcPr>
          <w:p w14:paraId="4E64D34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500 000</w:t>
            </w:r>
          </w:p>
        </w:tc>
        <w:tc>
          <w:tcPr>
            <w:tcW w:w="1200" w:type="dxa"/>
            <w:tcBorders>
              <w:top w:val="nil"/>
              <w:left w:val="nil"/>
              <w:bottom w:val="single" w:sz="4" w:space="0" w:color="auto"/>
              <w:right w:val="single" w:sz="4" w:space="0" w:color="auto"/>
            </w:tcBorders>
            <w:shd w:val="clear" w:color="auto" w:fill="auto"/>
            <w:hideMark/>
          </w:tcPr>
          <w:p w14:paraId="0D0B04D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-112 500</w:t>
            </w:r>
          </w:p>
        </w:tc>
      </w:tr>
      <w:tr w:rsidR="0093441E" w:rsidRPr="002A7673" w14:paraId="55905A67"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5AA82EE"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Comisiones y gastos por servicios financieros y comerciales</w:t>
            </w:r>
          </w:p>
        </w:tc>
        <w:tc>
          <w:tcPr>
            <w:tcW w:w="1240" w:type="dxa"/>
            <w:tcBorders>
              <w:top w:val="nil"/>
              <w:left w:val="nil"/>
              <w:bottom w:val="single" w:sz="4" w:space="0" w:color="auto"/>
              <w:right w:val="single" w:sz="4" w:space="0" w:color="auto"/>
            </w:tcBorders>
            <w:shd w:val="clear" w:color="auto" w:fill="auto"/>
            <w:hideMark/>
          </w:tcPr>
          <w:p w14:paraId="596DE18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367 647</w:t>
            </w:r>
          </w:p>
        </w:tc>
        <w:tc>
          <w:tcPr>
            <w:tcW w:w="1240" w:type="dxa"/>
            <w:tcBorders>
              <w:top w:val="nil"/>
              <w:left w:val="nil"/>
              <w:bottom w:val="single" w:sz="4" w:space="0" w:color="auto"/>
              <w:right w:val="single" w:sz="4" w:space="0" w:color="auto"/>
            </w:tcBorders>
            <w:shd w:val="clear" w:color="auto" w:fill="auto"/>
            <w:hideMark/>
          </w:tcPr>
          <w:p w14:paraId="677164D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375 150</w:t>
            </w:r>
          </w:p>
        </w:tc>
        <w:tc>
          <w:tcPr>
            <w:tcW w:w="1200" w:type="dxa"/>
            <w:tcBorders>
              <w:top w:val="nil"/>
              <w:left w:val="nil"/>
              <w:bottom w:val="single" w:sz="4" w:space="0" w:color="auto"/>
              <w:right w:val="single" w:sz="4" w:space="0" w:color="auto"/>
            </w:tcBorders>
            <w:shd w:val="clear" w:color="auto" w:fill="auto"/>
            <w:hideMark/>
          </w:tcPr>
          <w:p w14:paraId="043738F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7 503</w:t>
            </w:r>
          </w:p>
        </w:tc>
      </w:tr>
      <w:tr w:rsidR="0093441E" w:rsidRPr="002A7673" w14:paraId="7AF34FD4"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1DE90DFE"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Servicios de tecnologías de información</w:t>
            </w:r>
          </w:p>
        </w:tc>
        <w:tc>
          <w:tcPr>
            <w:tcW w:w="1240" w:type="dxa"/>
            <w:tcBorders>
              <w:top w:val="nil"/>
              <w:left w:val="nil"/>
              <w:bottom w:val="single" w:sz="4" w:space="0" w:color="auto"/>
              <w:right w:val="single" w:sz="4" w:space="0" w:color="auto"/>
            </w:tcBorders>
            <w:shd w:val="clear" w:color="auto" w:fill="auto"/>
            <w:hideMark/>
          </w:tcPr>
          <w:p w14:paraId="10CA845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4 266 038</w:t>
            </w:r>
          </w:p>
        </w:tc>
        <w:tc>
          <w:tcPr>
            <w:tcW w:w="1240" w:type="dxa"/>
            <w:tcBorders>
              <w:top w:val="nil"/>
              <w:left w:val="nil"/>
              <w:bottom w:val="single" w:sz="4" w:space="0" w:color="auto"/>
              <w:right w:val="single" w:sz="4" w:space="0" w:color="auto"/>
            </w:tcBorders>
            <w:shd w:val="clear" w:color="auto" w:fill="auto"/>
            <w:hideMark/>
          </w:tcPr>
          <w:p w14:paraId="4442F65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3 660 080</w:t>
            </w:r>
          </w:p>
        </w:tc>
        <w:tc>
          <w:tcPr>
            <w:tcW w:w="1200" w:type="dxa"/>
            <w:tcBorders>
              <w:top w:val="nil"/>
              <w:left w:val="nil"/>
              <w:bottom w:val="single" w:sz="4" w:space="0" w:color="auto"/>
              <w:right w:val="single" w:sz="4" w:space="0" w:color="auto"/>
            </w:tcBorders>
            <w:shd w:val="clear" w:color="auto" w:fill="auto"/>
            <w:hideMark/>
          </w:tcPr>
          <w:p w14:paraId="57F2069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-605 958</w:t>
            </w:r>
          </w:p>
        </w:tc>
      </w:tr>
      <w:tr w:rsidR="0093441E" w:rsidRPr="002A7673" w14:paraId="120BE2C2"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34A5FB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Servicios en ciencias de la salud</w:t>
            </w:r>
          </w:p>
        </w:tc>
        <w:tc>
          <w:tcPr>
            <w:tcW w:w="1240" w:type="dxa"/>
            <w:tcBorders>
              <w:top w:val="nil"/>
              <w:left w:val="nil"/>
              <w:bottom w:val="single" w:sz="4" w:space="0" w:color="auto"/>
              <w:right w:val="single" w:sz="4" w:space="0" w:color="auto"/>
            </w:tcBorders>
            <w:shd w:val="clear" w:color="auto" w:fill="auto"/>
            <w:hideMark/>
          </w:tcPr>
          <w:p w14:paraId="3746D84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3 337 200</w:t>
            </w:r>
          </w:p>
        </w:tc>
        <w:tc>
          <w:tcPr>
            <w:tcW w:w="1240" w:type="dxa"/>
            <w:tcBorders>
              <w:top w:val="nil"/>
              <w:left w:val="nil"/>
              <w:bottom w:val="single" w:sz="4" w:space="0" w:color="auto"/>
              <w:right w:val="single" w:sz="4" w:space="0" w:color="auto"/>
            </w:tcBorders>
            <w:shd w:val="clear" w:color="auto" w:fill="auto"/>
            <w:hideMark/>
          </w:tcPr>
          <w:p w14:paraId="33E5069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00" w:type="dxa"/>
            <w:tcBorders>
              <w:top w:val="nil"/>
              <w:left w:val="nil"/>
              <w:bottom w:val="single" w:sz="4" w:space="0" w:color="auto"/>
              <w:right w:val="single" w:sz="4" w:space="0" w:color="auto"/>
            </w:tcBorders>
            <w:shd w:val="clear" w:color="auto" w:fill="auto"/>
            <w:hideMark/>
          </w:tcPr>
          <w:p w14:paraId="743AE26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-3 337 200</w:t>
            </w:r>
          </w:p>
        </w:tc>
      </w:tr>
      <w:tr w:rsidR="0093441E" w:rsidRPr="002A7673" w14:paraId="3C0EEC58"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D06EA71"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Servicios de ingeniería y arquitectura</w:t>
            </w:r>
          </w:p>
        </w:tc>
        <w:tc>
          <w:tcPr>
            <w:tcW w:w="1240" w:type="dxa"/>
            <w:tcBorders>
              <w:top w:val="nil"/>
              <w:left w:val="nil"/>
              <w:bottom w:val="single" w:sz="4" w:space="0" w:color="auto"/>
              <w:right w:val="single" w:sz="4" w:space="0" w:color="auto"/>
            </w:tcBorders>
            <w:shd w:val="clear" w:color="auto" w:fill="auto"/>
            <w:hideMark/>
          </w:tcPr>
          <w:p w14:paraId="3D5CD33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88 592</w:t>
            </w:r>
          </w:p>
        </w:tc>
        <w:tc>
          <w:tcPr>
            <w:tcW w:w="1240" w:type="dxa"/>
            <w:tcBorders>
              <w:top w:val="nil"/>
              <w:left w:val="nil"/>
              <w:bottom w:val="single" w:sz="4" w:space="0" w:color="auto"/>
              <w:right w:val="single" w:sz="4" w:space="0" w:color="auto"/>
            </w:tcBorders>
            <w:shd w:val="clear" w:color="auto" w:fill="auto"/>
            <w:hideMark/>
          </w:tcPr>
          <w:p w14:paraId="2D1F704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45 200</w:t>
            </w:r>
          </w:p>
        </w:tc>
        <w:tc>
          <w:tcPr>
            <w:tcW w:w="1200" w:type="dxa"/>
            <w:tcBorders>
              <w:top w:val="nil"/>
              <w:left w:val="nil"/>
              <w:bottom w:val="single" w:sz="4" w:space="0" w:color="auto"/>
              <w:right w:val="single" w:sz="4" w:space="0" w:color="auto"/>
            </w:tcBorders>
            <w:shd w:val="clear" w:color="auto" w:fill="auto"/>
            <w:hideMark/>
          </w:tcPr>
          <w:p w14:paraId="2A23D77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-43 392</w:t>
            </w:r>
          </w:p>
        </w:tc>
      </w:tr>
      <w:tr w:rsidR="0093441E" w:rsidRPr="002A7673" w14:paraId="1C41BB39"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238DB134"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Servicios generales </w:t>
            </w:r>
          </w:p>
        </w:tc>
        <w:tc>
          <w:tcPr>
            <w:tcW w:w="1240" w:type="dxa"/>
            <w:tcBorders>
              <w:top w:val="nil"/>
              <w:left w:val="nil"/>
              <w:bottom w:val="single" w:sz="4" w:space="0" w:color="auto"/>
              <w:right w:val="single" w:sz="4" w:space="0" w:color="auto"/>
            </w:tcBorders>
            <w:shd w:val="clear" w:color="auto" w:fill="auto"/>
            <w:hideMark/>
          </w:tcPr>
          <w:p w14:paraId="0DD3EB7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1 441 908 137</w:t>
            </w:r>
          </w:p>
        </w:tc>
        <w:tc>
          <w:tcPr>
            <w:tcW w:w="1240" w:type="dxa"/>
            <w:tcBorders>
              <w:top w:val="nil"/>
              <w:left w:val="nil"/>
              <w:bottom w:val="single" w:sz="4" w:space="0" w:color="auto"/>
              <w:right w:val="single" w:sz="4" w:space="0" w:color="auto"/>
            </w:tcBorders>
            <w:shd w:val="clear" w:color="auto" w:fill="auto"/>
            <w:hideMark/>
          </w:tcPr>
          <w:p w14:paraId="15FBEF7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1 288 341 814</w:t>
            </w:r>
          </w:p>
        </w:tc>
        <w:tc>
          <w:tcPr>
            <w:tcW w:w="1200" w:type="dxa"/>
            <w:tcBorders>
              <w:top w:val="nil"/>
              <w:left w:val="nil"/>
              <w:bottom w:val="single" w:sz="4" w:space="0" w:color="auto"/>
              <w:right w:val="single" w:sz="4" w:space="0" w:color="auto"/>
            </w:tcBorders>
            <w:shd w:val="clear" w:color="auto" w:fill="auto"/>
            <w:hideMark/>
          </w:tcPr>
          <w:p w14:paraId="7D1EA8E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-153 566 323</w:t>
            </w:r>
          </w:p>
        </w:tc>
      </w:tr>
      <w:tr w:rsidR="0093441E" w:rsidRPr="002A7673" w14:paraId="24D32C04"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20B83A5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servicios de gestión y apoyo</w:t>
            </w:r>
          </w:p>
        </w:tc>
        <w:tc>
          <w:tcPr>
            <w:tcW w:w="1240" w:type="dxa"/>
            <w:tcBorders>
              <w:top w:val="nil"/>
              <w:left w:val="nil"/>
              <w:bottom w:val="single" w:sz="4" w:space="0" w:color="auto"/>
              <w:right w:val="single" w:sz="4" w:space="0" w:color="auto"/>
            </w:tcBorders>
            <w:shd w:val="clear" w:color="auto" w:fill="auto"/>
            <w:hideMark/>
          </w:tcPr>
          <w:p w14:paraId="56A41EF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174 472 075</w:t>
            </w:r>
          </w:p>
        </w:tc>
        <w:tc>
          <w:tcPr>
            <w:tcW w:w="1240" w:type="dxa"/>
            <w:tcBorders>
              <w:top w:val="nil"/>
              <w:left w:val="nil"/>
              <w:bottom w:val="single" w:sz="4" w:space="0" w:color="auto"/>
              <w:right w:val="single" w:sz="4" w:space="0" w:color="auto"/>
            </w:tcBorders>
            <w:shd w:val="clear" w:color="auto" w:fill="auto"/>
            <w:hideMark/>
          </w:tcPr>
          <w:p w14:paraId="7145868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177 420 443</w:t>
            </w:r>
          </w:p>
        </w:tc>
        <w:tc>
          <w:tcPr>
            <w:tcW w:w="1200" w:type="dxa"/>
            <w:tcBorders>
              <w:top w:val="nil"/>
              <w:left w:val="nil"/>
              <w:bottom w:val="single" w:sz="4" w:space="0" w:color="auto"/>
              <w:right w:val="single" w:sz="4" w:space="0" w:color="auto"/>
            </w:tcBorders>
            <w:shd w:val="clear" w:color="auto" w:fill="auto"/>
            <w:hideMark/>
          </w:tcPr>
          <w:p w14:paraId="1346F93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2 948 368</w:t>
            </w:r>
          </w:p>
        </w:tc>
      </w:tr>
      <w:tr w:rsidR="0093441E" w:rsidRPr="002A7673" w14:paraId="7541E04B"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544C4D0D"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Transporte dentro del país</w:t>
            </w:r>
          </w:p>
        </w:tc>
        <w:tc>
          <w:tcPr>
            <w:tcW w:w="1240" w:type="dxa"/>
            <w:tcBorders>
              <w:top w:val="nil"/>
              <w:left w:val="nil"/>
              <w:bottom w:val="single" w:sz="4" w:space="0" w:color="auto"/>
              <w:right w:val="single" w:sz="4" w:space="0" w:color="auto"/>
            </w:tcBorders>
            <w:shd w:val="clear" w:color="auto" w:fill="auto"/>
            <w:hideMark/>
          </w:tcPr>
          <w:p w14:paraId="0E34BD0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31 060 803</w:t>
            </w:r>
          </w:p>
        </w:tc>
        <w:tc>
          <w:tcPr>
            <w:tcW w:w="1240" w:type="dxa"/>
            <w:tcBorders>
              <w:top w:val="nil"/>
              <w:left w:val="nil"/>
              <w:bottom w:val="single" w:sz="4" w:space="0" w:color="auto"/>
              <w:right w:val="single" w:sz="4" w:space="0" w:color="auto"/>
            </w:tcBorders>
            <w:shd w:val="clear" w:color="auto" w:fill="auto"/>
            <w:hideMark/>
          </w:tcPr>
          <w:p w14:paraId="184445B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22 737 021</w:t>
            </w:r>
          </w:p>
        </w:tc>
        <w:tc>
          <w:tcPr>
            <w:tcW w:w="1200" w:type="dxa"/>
            <w:tcBorders>
              <w:top w:val="nil"/>
              <w:left w:val="nil"/>
              <w:bottom w:val="single" w:sz="4" w:space="0" w:color="auto"/>
              <w:right w:val="single" w:sz="4" w:space="0" w:color="auto"/>
            </w:tcBorders>
            <w:shd w:val="clear" w:color="auto" w:fill="auto"/>
            <w:hideMark/>
          </w:tcPr>
          <w:p w14:paraId="0E33D36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-8 323 782</w:t>
            </w:r>
          </w:p>
        </w:tc>
      </w:tr>
      <w:tr w:rsidR="0093441E" w:rsidRPr="002A7673" w14:paraId="1B30E921"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B46A131"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lastRenderedPageBreak/>
              <w:t>Viáticos dentro del país</w:t>
            </w:r>
          </w:p>
        </w:tc>
        <w:tc>
          <w:tcPr>
            <w:tcW w:w="1240" w:type="dxa"/>
            <w:tcBorders>
              <w:top w:val="nil"/>
              <w:left w:val="nil"/>
              <w:bottom w:val="single" w:sz="4" w:space="0" w:color="auto"/>
              <w:right w:val="single" w:sz="4" w:space="0" w:color="auto"/>
            </w:tcBorders>
            <w:shd w:val="clear" w:color="auto" w:fill="auto"/>
            <w:hideMark/>
          </w:tcPr>
          <w:p w14:paraId="5FA2D00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155 148 284</w:t>
            </w:r>
          </w:p>
        </w:tc>
        <w:tc>
          <w:tcPr>
            <w:tcW w:w="1240" w:type="dxa"/>
            <w:tcBorders>
              <w:top w:val="nil"/>
              <w:left w:val="nil"/>
              <w:bottom w:val="single" w:sz="4" w:space="0" w:color="auto"/>
              <w:right w:val="single" w:sz="4" w:space="0" w:color="auto"/>
            </w:tcBorders>
            <w:shd w:val="clear" w:color="auto" w:fill="auto"/>
            <w:hideMark/>
          </w:tcPr>
          <w:p w14:paraId="0414A1A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123 154 928</w:t>
            </w:r>
          </w:p>
        </w:tc>
        <w:tc>
          <w:tcPr>
            <w:tcW w:w="1200" w:type="dxa"/>
            <w:tcBorders>
              <w:top w:val="nil"/>
              <w:left w:val="nil"/>
              <w:bottom w:val="single" w:sz="4" w:space="0" w:color="auto"/>
              <w:right w:val="single" w:sz="4" w:space="0" w:color="auto"/>
            </w:tcBorders>
            <w:shd w:val="clear" w:color="auto" w:fill="auto"/>
            <w:hideMark/>
          </w:tcPr>
          <w:p w14:paraId="268A1AB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-31 993 356</w:t>
            </w:r>
          </w:p>
        </w:tc>
      </w:tr>
      <w:tr w:rsidR="0093441E" w:rsidRPr="002A7673" w14:paraId="26A10052"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3E6C655D"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Transporte en el exterior</w:t>
            </w:r>
          </w:p>
        </w:tc>
        <w:tc>
          <w:tcPr>
            <w:tcW w:w="1240" w:type="dxa"/>
            <w:tcBorders>
              <w:top w:val="nil"/>
              <w:left w:val="nil"/>
              <w:bottom w:val="single" w:sz="4" w:space="0" w:color="auto"/>
              <w:right w:val="single" w:sz="4" w:space="0" w:color="auto"/>
            </w:tcBorders>
            <w:shd w:val="clear" w:color="auto" w:fill="auto"/>
            <w:hideMark/>
          </w:tcPr>
          <w:p w14:paraId="5F797A7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40" w:type="dxa"/>
            <w:tcBorders>
              <w:top w:val="nil"/>
              <w:left w:val="nil"/>
              <w:bottom w:val="single" w:sz="4" w:space="0" w:color="auto"/>
              <w:right w:val="single" w:sz="4" w:space="0" w:color="auto"/>
            </w:tcBorders>
            <w:shd w:val="clear" w:color="auto" w:fill="auto"/>
            <w:hideMark/>
          </w:tcPr>
          <w:p w14:paraId="525C5E0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2 000 000</w:t>
            </w:r>
          </w:p>
        </w:tc>
        <w:tc>
          <w:tcPr>
            <w:tcW w:w="1200" w:type="dxa"/>
            <w:tcBorders>
              <w:top w:val="nil"/>
              <w:left w:val="nil"/>
              <w:bottom w:val="single" w:sz="4" w:space="0" w:color="auto"/>
              <w:right w:val="single" w:sz="4" w:space="0" w:color="auto"/>
            </w:tcBorders>
            <w:shd w:val="clear" w:color="auto" w:fill="auto"/>
            <w:hideMark/>
          </w:tcPr>
          <w:p w14:paraId="3C9120B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2 000 000</w:t>
            </w:r>
          </w:p>
        </w:tc>
      </w:tr>
      <w:tr w:rsidR="0093441E" w:rsidRPr="002A7673" w14:paraId="49CE179A"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09961C97"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Viáticos en el exterior</w:t>
            </w:r>
          </w:p>
        </w:tc>
        <w:tc>
          <w:tcPr>
            <w:tcW w:w="1240" w:type="dxa"/>
            <w:tcBorders>
              <w:top w:val="nil"/>
              <w:left w:val="nil"/>
              <w:bottom w:val="single" w:sz="4" w:space="0" w:color="auto"/>
              <w:right w:val="single" w:sz="4" w:space="0" w:color="auto"/>
            </w:tcBorders>
            <w:shd w:val="clear" w:color="auto" w:fill="auto"/>
            <w:hideMark/>
          </w:tcPr>
          <w:p w14:paraId="5ED3755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40" w:type="dxa"/>
            <w:tcBorders>
              <w:top w:val="nil"/>
              <w:left w:val="nil"/>
              <w:bottom w:val="single" w:sz="4" w:space="0" w:color="auto"/>
              <w:right w:val="single" w:sz="4" w:space="0" w:color="auto"/>
            </w:tcBorders>
            <w:shd w:val="clear" w:color="auto" w:fill="auto"/>
            <w:hideMark/>
          </w:tcPr>
          <w:p w14:paraId="7148818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2 000 000</w:t>
            </w:r>
          </w:p>
        </w:tc>
        <w:tc>
          <w:tcPr>
            <w:tcW w:w="1200" w:type="dxa"/>
            <w:tcBorders>
              <w:top w:val="nil"/>
              <w:left w:val="nil"/>
              <w:bottom w:val="single" w:sz="4" w:space="0" w:color="auto"/>
              <w:right w:val="single" w:sz="4" w:space="0" w:color="auto"/>
            </w:tcBorders>
            <w:shd w:val="clear" w:color="auto" w:fill="auto"/>
            <w:hideMark/>
          </w:tcPr>
          <w:p w14:paraId="059F42B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2 000 000</w:t>
            </w:r>
          </w:p>
        </w:tc>
      </w:tr>
      <w:tr w:rsidR="0093441E" w:rsidRPr="002A7673" w14:paraId="04CA3BB7"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026C5B9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Actividades de capacitación</w:t>
            </w:r>
          </w:p>
        </w:tc>
        <w:tc>
          <w:tcPr>
            <w:tcW w:w="1240" w:type="dxa"/>
            <w:tcBorders>
              <w:top w:val="nil"/>
              <w:left w:val="nil"/>
              <w:bottom w:val="single" w:sz="4" w:space="0" w:color="auto"/>
              <w:right w:val="single" w:sz="4" w:space="0" w:color="auto"/>
            </w:tcBorders>
            <w:shd w:val="clear" w:color="auto" w:fill="auto"/>
            <w:hideMark/>
          </w:tcPr>
          <w:p w14:paraId="1202983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14 158 127</w:t>
            </w:r>
          </w:p>
        </w:tc>
        <w:tc>
          <w:tcPr>
            <w:tcW w:w="1240" w:type="dxa"/>
            <w:tcBorders>
              <w:top w:val="nil"/>
              <w:left w:val="nil"/>
              <w:bottom w:val="single" w:sz="4" w:space="0" w:color="auto"/>
              <w:right w:val="single" w:sz="4" w:space="0" w:color="auto"/>
            </w:tcBorders>
            <w:shd w:val="clear" w:color="auto" w:fill="auto"/>
            <w:hideMark/>
          </w:tcPr>
          <w:p w14:paraId="0896EA4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14 087 526</w:t>
            </w:r>
          </w:p>
        </w:tc>
        <w:tc>
          <w:tcPr>
            <w:tcW w:w="1200" w:type="dxa"/>
            <w:tcBorders>
              <w:top w:val="nil"/>
              <w:left w:val="nil"/>
              <w:bottom w:val="single" w:sz="4" w:space="0" w:color="auto"/>
              <w:right w:val="single" w:sz="4" w:space="0" w:color="auto"/>
            </w:tcBorders>
            <w:shd w:val="clear" w:color="auto" w:fill="auto"/>
            <w:hideMark/>
          </w:tcPr>
          <w:p w14:paraId="20A5696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-70 601</w:t>
            </w:r>
          </w:p>
        </w:tc>
      </w:tr>
      <w:tr w:rsidR="0093441E" w:rsidRPr="002A7673" w14:paraId="62FC3891"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5D61890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Actividades protocolarias y sociales </w:t>
            </w:r>
          </w:p>
        </w:tc>
        <w:tc>
          <w:tcPr>
            <w:tcW w:w="1240" w:type="dxa"/>
            <w:tcBorders>
              <w:top w:val="nil"/>
              <w:left w:val="nil"/>
              <w:bottom w:val="single" w:sz="4" w:space="0" w:color="auto"/>
              <w:right w:val="single" w:sz="4" w:space="0" w:color="auto"/>
            </w:tcBorders>
            <w:shd w:val="clear" w:color="auto" w:fill="auto"/>
            <w:hideMark/>
          </w:tcPr>
          <w:p w14:paraId="01D308E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907 553</w:t>
            </w:r>
          </w:p>
        </w:tc>
        <w:tc>
          <w:tcPr>
            <w:tcW w:w="1240" w:type="dxa"/>
            <w:tcBorders>
              <w:top w:val="nil"/>
              <w:left w:val="nil"/>
              <w:bottom w:val="single" w:sz="4" w:space="0" w:color="auto"/>
              <w:right w:val="single" w:sz="4" w:space="0" w:color="auto"/>
            </w:tcBorders>
            <w:shd w:val="clear" w:color="auto" w:fill="auto"/>
            <w:hideMark/>
          </w:tcPr>
          <w:p w14:paraId="1808FEE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907 551</w:t>
            </w:r>
          </w:p>
        </w:tc>
        <w:tc>
          <w:tcPr>
            <w:tcW w:w="1200" w:type="dxa"/>
            <w:tcBorders>
              <w:top w:val="nil"/>
              <w:left w:val="nil"/>
              <w:bottom w:val="single" w:sz="4" w:space="0" w:color="auto"/>
              <w:right w:val="single" w:sz="4" w:space="0" w:color="auto"/>
            </w:tcBorders>
            <w:shd w:val="clear" w:color="auto" w:fill="auto"/>
            <w:hideMark/>
          </w:tcPr>
          <w:p w14:paraId="2C26AE5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w:t>
            </w:r>
          </w:p>
        </w:tc>
      </w:tr>
      <w:tr w:rsidR="0093441E" w:rsidRPr="002A7673" w14:paraId="606F893C"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01130C83"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de edificios y locales</w:t>
            </w:r>
          </w:p>
        </w:tc>
        <w:tc>
          <w:tcPr>
            <w:tcW w:w="1240" w:type="dxa"/>
            <w:tcBorders>
              <w:top w:val="nil"/>
              <w:left w:val="nil"/>
              <w:bottom w:val="single" w:sz="4" w:space="0" w:color="auto"/>
              <w:right w:val="single" w:sz="4" w:space="0" w:color="auto"/>
            </w:tcBorders>
            <w:shd w:val="clear" w:color="auto" w:fill="auto"/>
            <w:hideMark/>
          </w:tcPr>
          <w:p w14:paraId="52D3BE6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134 967 390</w:t>
            </w:r>
          </w:p>
        </w:tc>
        <w:tc>
          <w:tcPr>
            <w:tcW w:w="1240" w:type="dxa"/>
            <w:tcBorders>
              <w:top w:val="nil"/>
              <w:left w:val="nil"/>
              <w:bottom w:val="single" w:sz="4" w:space="0" w:color="auto"/>
              <w:right w:val="single" w:sz="4" w:space="0" w:color="auto"/>
            </w:tcBorders>
            <w:shd w:val="clear" w:color="auto" w:fill="auto"/>
            <w:hideMark/>
          </w:tcPr>
          <w:p w14:paraId="203C53D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78 719 197</w:t>
            </w:r>
          </w:p>
        </w:tc>
        <w:tc>
          <w:tcPr>
            <w:tcW w:w="1200" w:type="dxa"/>
            <w:tcBorders>
              <w:top w:val="nil"/>
              <w:left w:val="nil"/>
              <w:bottom w:val="single" w:sz="4" w:space="0" w:color="auto"/>
              <w:right w:val="single" w:sz="4" w:space="0" w:color="auto"/>
            </w:tcBorders>
            <w:shd w:val="clear" w:color="auto" w:fill="auto"/>
            <w:hideMark/>
          </w:tcPr>
          <w:p w14:paraId="4568CC3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-56 248 193</w:t>
            </w:r>
          </w:p>
        </w:tc>
      </w:tr>
      <w:tr w:rsidR="0093441E" w:rsidRPr="002A7673" w14:paraId="407B17C3"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31F0BD8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Mantenimiento y </w:t>
            </w:r>
            <w:proofErr w:type="spellStart"/>
            <w:r w:rsidRPr="002A7673">
              <w:rPr>
                <w:rFonts w:ascii="Times New Roman" w:hAnsi="Times New Roman" w:cs="Times New Roman"/>
                <w:color w:val="000000"/>
                <w:sz w:val="16"/>
                <w:szCs w:val="16"/>
                <w:lang w:eastAsia="es-CR"/>
              </w:rPr>
              <w:t>rep.</w:t>
            </w:r>
            <w:proofErr w:type="spellEnd"/>
            <w:r w:rsidRPr="002A7673">
              <w:rPr>
                <w:rFonts w:ascii="Times New Roman" w:hAnsi="Times New Roman" w:cs="Times New Roman"/>
                <w:color w:val="000000"/>
                <w:sz w:val="16"/>
                <w:szCs w:val="16"/>
                <w:lang w:eastAsia="es-CR"/>
              </w:rPr>
              <w:t xml:space="preserve"> maquinaria y equipo producción</w:t>
            </w:r>
          </w:p>
        </w:tc>
        <w:tc>
          <w:tcPr>
            <w:tcW w:w="1240" w:type="dxa"/>
            <w:tcBorders>
              <w:top w:val="nil"/>
              <w:left w:val="nil"/>
              <w:bottom w:val="single" w:sz="4" w:space="0" w:color="auto"/>
              <w:right w:val="single" w:sz="4" w:space="0" w:color="auto"/>
            </w:tcBorders>
            <w:shd w:val="clear" w:color="auto" w:fill="auto"/>
            <w:hideMark/>
          </w:tcPr>
          <w:p w14:paraId="7BA3D21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5 217 029</w:t>
            </w:r>
          </w:p>
        </w:tc>
        <w:tc>
          <w:tcPr>
            <w:tcW w:w="1240" w:type="dxa"/>
            <w:tcBorders>
              <w:top w:val="nil"/>
              <w:left w:val="nil"/>
              <w:bottom w:val="single" w:sz="4" w:space="0" w:color="auto"/>
              <w:right w:val="single" w:sz="4" w:space="0" w:color="auto"/>
            </w:tcBorders>
            <w:shd w:val="clear" w:color="auto" w:fill="auto"/>
            <w:hideMark/>
          </w:tcPr>
          <w:p w14:paraId="56C075D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3 634 794</w:t>
            </w:r>
          </w:p>
        </w:tc>
        <w:tc>
          <w:tcPr>
            <w:tcW w:w="1200" w:type="dxa"/>
            <w:tcBorders>
              <w:top w:val="nil"/>
              <w:left w:val="nil"/>
              <w:bottom w:val="single" w:sz="4" w:space="0" w:color="auto"/>
              <w:right w:val="single" w:sz="4" w:space="0" w:color="auto"/>
            </w:tcBorders>
            <w:shd w:val="clear" w:color="auto" w:fill="auto"/>
            <w:hideMark/>
          </w:tcPr>
          <w:p w14:paraId="30762BC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-1 582 235</w:t>
            </w:r>
          </w:p>
        </w:tc>
      </w:tr>
      <w:tr w:rsidR="0093441E" w:rsidRPr="002A7673" w14:paraId="6BC83CF8"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4D4B67D5"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y reparación de equipo de transporte</w:t>
            </w:r>
          </w:p>
        </w:tc>
        <w:tc>
          <w:tcPr>
            <w:tcW w:w="1240" w:type="dxa"/>
            <w:tcBorders>
              <w:top w:val="nil"/>
              <w:left w:val="nil"/>
              <w:bottom w:val="single" w:sz="4" w:space="0" w:color="auto"/>
              <w:right w:val="single" w:sz="4" w:space="0" w:color="auto"/>
            </w:tcBorders>
            <w:shd w:val="clear" w:color="auto" w:fill="auto"/>
            <w:hideMark/>
          </w:tcPr>
          <w:p w14:paraId="60DB47F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31 861 442</w:t>
            </w:r>
          </w:p>
        </w:tc>
        <w:tc>
          <w:tcPr>
            <w:tcW w:w="1240" w:type="dxa"/>
            <w:tcBorders>
              <w:top w:val="nil"/>
              <w:left w:val="nil"/>
              <w:bottom w:val="single" w:sz="4" w:space="0" w:color="auto"/>
              <w:right w:val="single" w:sz="4" w:space="0" w:color="auto"/>
            </w:tcBorders>
            <w:shd w:val="clear" w:color="auto" w:fill="auto"/>
            <w:hideMark/>
          </w:tcPr>
          <w:p w14:paraId="5764DD0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30 408 188</w:t>
            </w:r>
          </w:p>
        </w:tc>
        <w:tc>
          <w:tcPr>
            <w:tcW w:w="1200" w:type="dxa"/>
            <w:tcBorders>
              <w:top w:val="nil"/>
              <w:left w:val="nil"/>
              <w:bottom w:val="single" w:sz="4" w:space="0" w:color="auto"/>
              <w:right w:val="single" w:sz="4" w:space="0" w:color="auto"/>
            </w:tcBorders>
            <w:shd w:val="clear" w:color="auto" w:fill="auto"/>
            <w:hideMark/>
          </w:tcPr>
          <w:p w14:paraId="537FE02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-1 453 254</w:t>
            </w:r>
          </w:p>
        </w:tc>
      </w:tr>
      <w:tr w:rsidR="0093441E" w:rsidRPr="002A7673" w14:paraId="6D5A4F71"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BD7E463"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y reparación de equipo de comunicación</w:t>
            </w:r>
          </w:p>
        </w:tc>
        <w:tc>
          <w:tcPr>
            <w:tcW w:w="1240" w:type="dxa"/>
            <w:tcBorders>
              <w:top w:val="nil"/>
              <w:left w:val="nil"/>
              <w:bottom w:val="single" w:sz="4" w:space="0" w:color="auto"/>
              <w:right w:val="single" w:sz="4" w:space="0" w:color="auto"/>
            </w:tcBorders>
            <w:shd w:val="clear" w:color="auto" w:fill="auto"/>
            <w:hideMark/>
          </w:tcPr>
          <w:p w14:paraId="2461923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12 169 654</w:t>
            </w:r>
          </w:p>
        </w:tc>
        <w:tc>
          <w:tcPr>
            <w:tcW w:w="1240" w:type="dxa"/>
            <w:tcBorders>
              <w:top w:val="nil"/>
              <w:left w:val="nil"/>
              <w:bottom w:val="single" w:sz="4" w:space="0" w:color="auto"/>
              <w:right w:val="single" w:sz="4" w:space="0" w:color="auto"/>
            </w:tcBorders>
            <w:shd w:val="clear" w:color="auto" w:fill="auto"/>
            <w:hideMark/>
          </w:tcPr>
          <w:p w14:paraId="4E322EC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10 243 661</w:t>
            </w:r>
          </w:p>
        </w:tc>
        <w:tc>
          <w:tcPr>
            <w:tcW w:w="1200" w:type="dxa"/>
            <w:tcBorders>
              <w:top w:val="nil"/>
              <w:left w:val="nil"/>
              <w:bottom w:val="single" w:sz="4" w:space="0" w:color="auto"/>
              <w:right w:val="single" w:sz="4" w:space="0" w:color="auto"/>
            </w:tcBorders>
            <w:shd w:val="clear" w:color="auto" w:fill="auto"/>
            <w:hideMark/>
          </w:tcPr>
          <w:p w14:paraId="76386A7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-1 925 993</w:t>
            </w:r>
          </w:p>
        </w:tc>
      </w:tr>
      <w:tr w:rsidR="0093441E" w:rsidRPr="002A7673" w14:paraId="75DBA6A7"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3CA6A301"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y reparación equipo y mobiliario de oficina</w:t>
            </w:r>
          </w:p>
        </w:tc>
        <w:tc>
          <w:tcPr>
            <w:tcW w:w="1240" w:type="dxa"/>
            <w:tcBorders>
              <w:top w:val="nil"/>
              <w:left w:val="nil"/>
              <w:bottom w:val="single" w:sz="4" w:space="0" w:color="auto"/>
              <w:right w:val="single" w:sz="4" w:space="0" w:color="auto"/>
            </w:tcBorders>
            <w:shd w:val="clear" w:color="auto" w:fill="auto"/>
            <w:hideMark/>
          </w:tcPr>
          <w:p w14:paraId="5FC8281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74 022 791</w:t>
            </w:r>
          </w:p>
        </w:tc>
        <w:tc>
          <w:tcPr>
            <w:tcW w:w="1240" w:type="dxa"/>
            <w:tcBorders>
              <w:top w:val="nil"/>
              <w:left w:val="nil"/>
              <w:bottom w:val="single" w:sz="4" w:space="0" w:color="auto"/>
              <w:right w:val="single" w:sz="4" w:space="0" w:color="auto"/>
            </w:tcBorders>
            <w:shd w:val="clear" w:color="auto" w:fill="auto"/>
            <w:hideMark/>
          </w:tcPr>
          <w:p w14:paraId="1CB5F1B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58 400 366</w:t>
            </w:r>
          </w:p>
        </w:tc>
        <w:tc>
          <w:tcPr>
            <w:tcW w:w="1200" w:type="dxa"/>
            <w:tcBorders>
              <w:top w:val="nil"/>
              <w:left w:val="nil"/>
              <w:bottom w:val="single" w:sz="4" w:space="0" w:color="auto"/>
              <w:right w:val="single" w:sz="4" w:space="0" w:color="auto"/>
            </w:tcBorders>
            <w:shd w:val="clear" w:color="auto" w:fill="auto"/>
            <w:hideMark/>
          </w:tcPr>
          <w:p w14:paraId="0B05BAC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-15 622 425</w:t>
            </w:r>
          </w:p>
        </w:tc>
      </w:tr>
      <w:tr w:rsidR="0093441E" w:rsidRPr="002A7673" w14:paraId="609C592B"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06955B9E"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Mantenimiento y </w:t>
            </w:r>
            <w:proofErr w:type="spellStart"/>
            <w:r w:rsidRPr="002A7673">
              <w:rPr>
                <w:rFonts w:ascii="Times New Roman" w:hAnsi="Times New Roman" w:cs="Times New Roman"/>
                <w:color w:val="000000"/>
                <w:sz w:val="16"/>
                <w:szCs w:val="16"/>
                <w:lang w:eastAsia="es-CR"/>
              </w:rPr>
              <w:t>rep.</w:t>
            </w:r>
            <w:proofErr w:type="spellEnd"/>
            <w:r w:rsidRPr="002A7673">
              <w:rPr>
                <w:rFonts w:ascii="Times New Roman" w:hAnsi="Times New Roman" w:cs="Times New Roman"/>
                <w:color w:val="000000"/>
                <w:sz w:val="16"/>
                <w:szCs w:val="16"/>
                <w:lang w:eastAsia="es-CR"/>
              </w:rPr>
              <w:t xml:space="preserve"> equipo cómputo </w:t>
            </w:r>
            <w:proofErr w:type="gramStart"/>
            <w:r w:rsidRPr="002A7673">
              <w:rPr>
                <w:rFonts w:ascii="Times New Roman" w:hAnsi="Times New Roman" w:cs="Times New Roman"/>
                <w:color w:val="000000"/>
                <w:sz w:val="16"/>
                <w:szCs w:val="16"/>
                <w:lang w:eastAsia="es-CR"/>
              </w:rPr>
              <w:t>y  sistemas</w:t>
            </w:r>
            <w:proofErr w:type="gramEnd"/>
            <w:r w:rsidRPr="002A7673">
              <w:rPr>
                <w:rFonts w:ascii="Times New Roman" w:hAnsi="Times New Roman" w:cs="Times New Roman"/>
                <w:color w:val="000000"/>
                <w:sz w:val="16"/>
                <w:szCs w:val="16"/>
                <w:lang w:eastAsia="es-CR"/>
              </w:rPr>
              <w:t xml:space="preserve"> </w:t>
            </w:r>
            <w:proofErr w:type="spellStart"/>
            <w:r w:rsidRPr="002A7673">
              <w:rPr>
                <w:rFonts w:ascii="Times New Roman" w:hAnsi="Times New Roman" w:cs="Times New Roman"/>
                <w:color w:val="000000"/>
                <w:sz w:val="16"/>
                <w:szCs w:val="16"/>
                <w:lang w:eastAsia="es-CR"/>
              </w:rPr>
              <w:t>inf</w:t>
            </w:r>
            <w:proofErr w:type="spellEnd"/>
            <w:r w:rsidRPr="002A7673">
              <w:rPr>
                <w:rFonts w:ascii="Times New Roman" w:hAnsi="Times New Roman" w:cs="Times New Roman"/>
                <w:color w:val="000000"/>
                <w:sz w:val="16"/>
                <w:szCs w:val="16"/>
                <w:lang w:eastAsia="es-CR"/>
              </w:rPr>
              <w:t>.</w:t>
            </w:r>
          </w:p>
        </w:tc>
        <w:tc>
          <w:tcPr>
            <w:tcW w:w="1240" w:type="dxa"/>
            <w:tcBorders>
              <w:top w:val="nil"/>
              <w:left w:val="nil"/>
              <w:bottom w:val="single" w:sz="4" w:space="0" w:color="auto"/>
              <w:right w:val="single" w:sz="4" w:space="0" w:color="auto"/>
            </w:tcBorders>
            <w:shd w:val="clear" w:color="auto" w:fill="auto"/>
            <w:hideMark/>
          </w:tcPr>
          <w:p w14:paraId="2AE8751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34 137 282</w:t>
            </w:r>
          </w:p>
        </w:tc>
        <w:tc>
          <w:tcPr>
            <w:tcW w:w="1240" w:type="dxa"/>
            <w:tcBorders>
              <w:top w:val="nil"/>
              <w:left w:val="nil"/>
              <w:bottom w:val="single" w:sz="4" w:space="0" w:color="auto"/>
              <w:right w:val="single" w:sz="4" w:space="0" w:color="auto"/>
            </w:tcBorders>
            <w:shd w:val="clear" w:color="auto" w:fill="auto"/>
            <w:hideMark/>
          </w:tcPr>
          <w:p w14:paraId="32E1ECF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31 970 562</w:t>
            </w:r>
          </w:p>
        </w:tc>
        <w:tc>
          <w:tcPr>
            <w:tcW w:w="1200" w:type="dxa"/>
            <w:tcBorders>
              <w:top w:val="nil"/>
              <w:left w:val="nil"/>
              <w:bottom w:val="single" w:sz="4" w:space="0" w:color="auto"/>
              <w:right w:val="single" w:sz="4" w:space="0" w:color="auto"/>
            </w:tcBorders>
            <w:shd w:val="clear" w:color="auto" w:fill="auto"/>
            <w:hideMark/>
          </w:tcPr>
          <w:p w14:paraId="204DB81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-2 166 720</w:t>
            </w:r>
          </w:p>
        </w:tc>
      </w:tr>
      <w:tr w:rsidR="0093441E" w:rsidRPr="002A7673" w14:paraId="36E7D618"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915A86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Mantenimiento y reparación de otros equipos</w:t>
            </w:r>
          </w:p>
        </w:tc>
        <w:tc>
          <w:tcPr>
            <w:tcW w:w="1240" w:type="dxa"/>
            <w:tcBorders>
              <w:top w:val="nil"/>
              <w:left w:val="nil"/>
              <w:bottom w:val="single" w:sz="4" w:space="0" w:color="auto"/>
              <w:right w:val="single" w:sz="4" w:space="0" w:color="auto"/>
            </w:tcBorders>
            <w:shd w:val="clear" w:color="auto" w:fill="auto"/>
            <w:hideMark/>
          </w:tcPr>
          <w:p w14:paraId="7EEA52D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6 817 178</w:t>
            </w:r>
          </w:p>
        </w:tc>
        <w:tc>
          <w:tcPr>
            <w:tcW w:w="1240" w:type="dxa"/>
            <w:tcBorders>
              <w:top w:val="nil"/>
              <w:left w:val="nil"/>
              <w:bottom w:val="single" w:sz="4" w:space="0" w:color="auto"/>
              <w:right w:val="single" w:sz="4" w:space="0" w:color="auto"/>
            </w:tcBorders>
            <w:shd w:val="clear" w:color="auto" w:fill="auto"/>
            <w:hideMark/>
          </w:tcPr>
          <w:p w14:paraId="7E787FE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4 908 356</w:t>
            </w:r>
          </w:p>
        </w:tc>
        <w:tc>
          <w:tcPr>
            <w:tcW w:w="1200" w:type="dxa"/>
            <w:tcBorders>
              <w:top w:val="nil"/>
              <w:left w:val="nil"/>
              <w:bottom w:val="single" w:sz="4" w:space="0" w:color="auto"/>
              <w:right w:val="single" w:sz="4" w:space="0" w:color="auto"/>
            </w:tcBorders>
            <w:shd w:val="clear" w:color="auto" w:fill="auto"/>
            <w:hideMark/>
          </w:tcPr>
          <w:p w14:paraId="6FD0C37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-1 908 822</w:t>
            </w:r>
          </w:p>
        </w:tc>
      </w:tr>
      <w:tr w:rsidR="0093441E" w:rsidRPr="002A7673" w14:paraId="583116E6"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70D282A"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Combustibles y lubricantes</w:t>
            </w:r>
          </w:p>
        </w:tc>
        <w:tc>
          <w:tcPr>
            <w:tcW w:w="1240" w:type="dxa"/>
            <w:tcBorders>
              <w:top w:val="nil"/>
              <w:left w:val="nil"/>
              <w:bottom w:val="single" w:sz="4" w:space="0" w:color="auto"/>
              <w:right w:val="single" w:sz="4" w:space="0" w:color="auto"/>
            </w:tcBorders>
            <w:shd w:val="clear" w:color="auto" w:fill="auto"/>
            <w:hideMark/>
          </w:tcPr>
          <w:p w14:paraId="4ECABE1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53 572 887</w:t>
            </w:r>
          </w:p>
        </w:tc>
        <w:tc>
          <w:tcPr>
            <w:tcW w:w="1240" w:type="dxa"/>
            <w:tcBorders>
              <w:top w:val="nil"/>
              <w:left w:val="nil"/>
              <w:bottom w:val="single" w:sz="4" w:space="0" w:color="auto"/>
              <w:right w:val="single" w:sz="4" w:space="0" w:color="auto"/>
            </w:tcBorders>
            <w:shd w:val="clear" w:color="auto" w:fill="auto"/>
            <w:hideMark/>
          </w:tcPr>
          <w:p w14:paraId="52EBEC8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52 473 267</w:t>
            </w:r>
          </w:p>
        </w:tc>
        <w:tc>
          <w:tcPr>
            <w:tcW w:w="1200" w:type="dxa"/>
            <w:tcBorders>
              <w:top w:val="nil"/>
              <w:left w:val="nil"/>
              <w:bottom w:val="single" w:sz="4" w:space="0" w:color="auto"/>
              <w:right w:val="single" w:sz="4" w:space="0" w:color="auto"/>
            </w:tcBorders>
            <w:shd w:val="clear" w:color="auto" w:fill="auto"/>
            <w:hideMark/>
          </w:tcPr>
          <w:p w14:paraId="3FDE8F6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-1 099 620</w:t>
            </w:r>
          </w:p>
        </w:tc>
      </w:tr>
      <w:tr w:rsidR="0093441E" w:rsidRPr="002A7673" w14:paraId="510540FD"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E48484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Productos farmacéuticos y medicinales</w:t>
            </w:r>
          </w:p>
        </w:tc>
        <w:tc>
          <w:tcPr>
            <w:tcW w:w="1240" w:type="dxa"/>
            <w:tcBorders>
              <w:top w:val="nil"/>
              <w:left w:val="nil"/>
              <w:bottom w:val="single" w:sz="4" w:space="0" w:color="auto"/>
              <w:right w:val="single" w:sz="4" w:space="0" w:color="auto"/>
            </w:tcBorders>
            <w:shd w:val="clear" w:color="auto" w:fill="auto"/>
            <w:hideMark/>
          </w:tcPr>
          <w:p w14:paraId="660993A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6 941 549</w:t>
            </w:r>
          </w:p>
        </w:tc>
        <w:tc>
          <w:tcPr>
            <w:tcW w:w="1240" w:type="dxa"/>
            <w:tcBorders>
              <w:top w:val="nil"/>
              <w:left w:val="nil"/>
              <w:bottom w:val="single" w:sz="4" w:space="0" w:color="auto"/>
              <w:right w:val="single" w:sz="4" w:space="0" w:color="auto"/>
            </w:tcBorders>
            <w:shd w:val="clear" w:color="auto" w:fill="auto"/>
            <w:hideMark/>
          </w:tcPr>
          <w:p w14:paraId="187228A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12 982 513</w:t>
            </w:r>
          </w:p>
        </w:tc>
        <w:tc>
          <w:tcPr>
            <w:tcW w:w="1200" w:type="dxa"/>
            <w:tcBorders>
              <w:top w:val="nil"/>
              <w:left w:val="nil"/>
              <w:bottom w:val="single" w:sz="4" w:space="0" w:color="auto"/>
              <w:right w:val="single" w:sz="4" w:space="0" w:color="auto"/>
            </w:tcBorders>
            <w:shd w:val="clear" w:color="auto" w:fill="auto"/>
            <w:hideMark/>
          </w:tcPr>
          <w:p w14:paraId="6E8DCD2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6 040 964</w:t>
            </w:r>
          </w:p>
        </w:tc>
      </w:tr>
      <w:tr w:rsidR="0093441E" w:rsidRPr="002A7673" w14:paraId="6BC7B445"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519B1DA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Tintas, pinturas y diluyentes </w:t>
            </w:r>
          </w:p>
        </w:tc>
        <w:tc>
          <w:tcPr>
            <w:tcW w:w="1240" w:type="dxa"/>
            <w:tcBorders>
              <w:top w:val="nil"/>
              <w:left w:val="nil"/>
              <w:bottom w:val="single" w:sz="4" w:space="0" w:color="auto"/>
              <w:right w:val="single" w:sz="4" w:space="0" w:color="auto"/>
            </w:tcBorders>
            <w:shd w:val="clear" w:color="auto" w:fill="auto"/>
            <w:hideMark/>
          </w:tcPr>
          <w:p w14:paraId="46CE41A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188 936 282</w:t>
            </w:r>
          </w:p>
        </w:tc>
        <w:tc>
          <w:tcPr>
            <w:tcW w:w="1240" w:type="dxa"/>
            <w:tcBorders>
              <w:top w:val="nil"/>
              <w:left w:val="nil"/>
              <w:bottom w:val="single" w:sz="4" w:space="0" w:color="auto"/>
              <w:right w:val="single" w:sz="4" w:space="0" w:color="auto"/>
            </w:tcBorders>
            <w:shd w:val="clear" w:color="auto" w:fill="auto"/>
            <w:hideMark/>
          </w:tcPr>
          <w:p w14:paraId="71BA5CC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170 899 192</w:t>
            </w:r>
          </w:p>
        </w:tc>
        <w:tc>
          <w:tcPr>
            <w:tcW w:w="1200" w:type="dxa"/>
            <w:tcBorders>
              <w:top w:val="nil"/>
              <w:left w:val="nil"/>
              <w:bottom w:val="single" w:sz="4" w:space="0" w:color="auto"/>
              <w:right w:val="single" w:sz="4" w:space="0" w:color="auto"/>
            </w:tcBorders>
            <w:shd w:val="clear" w:color="auto" w:fill="auto"/>
            <w:hideMark/>
          </w:tcPr>
          <w:p w14:paraId="1586B48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-18 037 090</w:t>
            </w:r>
          </w:p>
        </w:tc>
      </w:tr>
      <w:tr w:rsidR="0093441E" w:rsidRPr="002A7673" w14:paraId="58C0AC36"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75B9B1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productos químicos y conexos</w:t>
            </w:r>
          </w:p>
        </w:tc>
        <w:tc>
          <w:tcPr>
            <w:tcW w:w="1240" w:type="dxa"/>
            <w:tcBorders>
              <w:top w:val="nil"/>
              <w:left w:val="nil"/>
              <w:bottom w:val="single" w:sz="4" w:space="0" w:color="auto"/>
              <w:right w:val="single" w:sz="4" w:space="0" w:color="auto"/>
            </w:tcBorders>
            <w:shd w:val="clear" w:color="auto" w:fill="auto"/>
            <w:hideMark/>
          </w:tcPr>
          <w:p w14:paraId="405AEF5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853 848</w:t>
            </w:r>
          </w:p>
        </w:tc>
        <w:tc>
          <w:tcPr>
            <w:tcW w:w="1240" w:type="dxa"/>
            <w:tcBorders>
              <w:top w:val="nil"/>
              <w:left w:val="nil"/>
              <w:bottom w:val="single" w:sz="4" w:space="0" w:color="auto"/>
              <w:right w:val="single" w:sz="4" w:space="0" w:color="auto"/>
            </w:tcBorders>
            <w:shd w:val="clear" w:color="auto" w:fill="auto"/>
            <w:hideMark/>
          </w:tcPr>
          <w:p w14:paraId="7B9DD3B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1 013 714</w:t>
            </w:r>
          </w:p>
        </w:tc>
        <w:tc>
          <w:tcPr>
            <w:tcW w:w="1200" w:type="dxa"/>
            <w:tcBorders>
              <w:top w:val="nil"/>
              <w:left w:val="nil"/>
              <w:bottom w:val="single" w:sz="4" w:space="0" w:color="auto"/>
              <w:right w:val="single" w:sz="4" w:space="0" w:color="auto"/>
            </w:tcBorders>
            <w:shd w:val="clear" w:color="auto" w:fill="auto"/>
            <w:hideMark/>
          </w:tcPr>
          <w:p w14:paraId="70CF38B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159 866</w:t>
            </w:r>
          </w:p>
        </w:tc>
      </w:tr>
      <w:tr w:rsidR="0093441E" w:rsidRPr="002A7673" w14:paraId="623BFB6F"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29B6FB4"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Productos agroforestales</w:t>
            </w:r>
          </w:p>
        </w:tc>
        <w:tc>
          <w:tcPr>
            <w:tcW w:w="1240" w:type="dxa"/>
            <w:tcBorders>
              <w:top w:val="nil"/>
              <w:left w:val="nil"/>
              <w:bottom w:val="single" w:sz="4" w:space="0" w:color="auto"/>
              <w:right w:val="single" w:sz="4" w:space="0" w:color="auto"/>
            </w:tcBorders>
            <w:shd w:val="clear" w:color="auto" w:fill="auto"/>
            <w:hideMark/>
          </w:tcPr>
          <w:p w14:paraId="50192F4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112 700</w:t>
            </w:r>
          </w:p>
        </w:tc>
        <w:tc>
          <w:tcPr>
            <w:tcW w:w="1240" w:type="dxa"/>
            <w:tcBorders>
              <w:top w:val="nil"/>
              <w:left w:val="nil"/>
              <w:bottom w:val="single" w:sz="4" w:space="0" w:color="auto"/>
              <w:right w:val="single" w:sz="4" w:space="0" w:color="auto"/>
            </w:tcBorders>
            <w:shd w:val="clear" w:color="auto" w:fill="auto"/>
            <w:hideMark/>
          </w:tcPr>
          <w:p w14:paraId="7138477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100 000</w:t>
            </w:r>
          </w:p>
        </w:tc>
        <w:tc>
          <w:tcPr>
            <w:tcW w:w="1200" w:type="dxa"/>
            <w:tcBorders>
              <w:top w:val="nil"/>
              <w:left w:val="nil"/>
              <w:bottom w:val="single" w:sz="4" w:space="0" w:color="auto"/>
              <w:right w:val="single" w:sz="4" w:space="0" w:color="auto"/>
            </w:tcBorders>
            <w:shd w:val="clear" w:color="auto" w:fill="auto"/>
            <w:hideMark/>
          </w:tcPr>
          <w:p w14:paraId="171A2CF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-12 700</w:t>
            </w:r>
          </w:p>
        </w:tc>
      </w:tr>
      <w:tr w:rsidR="0093441E" w:rsidRPr="002A7673" w14:paraId="0A55BAE2"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3229CD4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Alimentos y bebidas</w:t>
            </w:r>
          </w:p>
        </w:tc>
        <w:tc>
          <w:tcPr>
            <w:tcW w:w="1240" w:type="dxa"/>
            <w:tcBorders>
              <w:top w:val="nil"/>
              <w:left w:val="nil"/>
              <w:bottom w:val="single" w:sz="4" w:space="0" w:color="auto"/>
              <w:right w:val="single" w:sz="4" w:space="0" w:color="auto"/>
            </w:tcBorders>
            <w:shd w:val="clear" w:color="auto" w:fill="auto"/>
            <w:hideMark/>
          </w:tcPr>
          <w:p w14:paraId="08B4211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2 455 678</w:t>
            </w:r>
          </w:p>
        </w:tc>
        <w:tc>
          <w:tcPr>
            <w:tcW w:w="1240" w:type="dxa"/>
            <w:tcBorders>
              <w:top w:val="nil"/>
              <w:left w:val="nil"/>
              <w:bottom w:val="single" w:sz="4" w:space="0" w:color="auto"/>
              <w:right w:val="single" w:sz="4" w:space="0" w:color="auto"/>
            </w:tcBorders>
            <w:shd w:val="clear" w:color="auto" w:fill="auto"/>
            <w:hideMark/>
          </w:tcPr>
          <w:p w14:paraId="0166271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1 077 173</w:t>
            </w:r>
          </w:p>
        </w:tc>
        <w:tc>
          <w:tcPr>
            <w:tcW w:w="1200" w:type="dxa"/>
            <w:tcBorders>
              <w:top w:val="nil"/>
              <w:left w:val="nil"/>
              <w:bottom w:val="single" w:sz="4" w:space="0" w:color="auto"/>
              <w:right w:val="single" w:sz="4" w:space="0" w:color="auto"/>
            </w:tcBorders>
            <w:shd w:val="clear" w:color="auto" w:fill="auto"/>
            <w:hideMark/>
          </w:tcPr>
          <w:p w14:paraId="46F6EFA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-1 378 505</w:t>
            </w:r>
          </w:p>
        </w:tc>
      </w:tr>
      <w:tr w:rsidR="0093441E" w:rsidRPr="002A7673" w14:paraId="302EFC07"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15EF38C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metálicos</w:t>
            </w:r>
          </w:p>
        </w:tc>
        <w:tc>
          <w:tcPr>
            <w:tcW w:w="1240" w:type="dxa"/>
            <w:tcBorders>
              <w:top w:val="nil"/>
              <w:left w:val="nil"/>
              <w:bottom w:val="single" w:sz="4" w:space="0" w:color="auto"/>
              <w:right w:val="single" w:sz="4" w:space="0" w:color="auto"/>
            </w:tcBorders>
            <w:shd w:val="clear" w:color="auto" w:fill="auto"/>
            <w:hideMark/>
          </w:tcPr>
          <w:p w14:paraId="156231D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2 663 058</w:t>
            </w:r>
          </w:p>
        </w:tc>
        <w:tc>
          <w:tcPr>
            <w:tcW w:w="1240" w:type="dxa"/>
            <w:tcBorders>
              <w:top w:val="nil"/>
              <w:left w:val="nil"/>
              <w:bottom w:val="single" w:sz="4" w:space="0" w:color="auto"/>
              <w:right w:val="single" w:sz="4" w:space="0" w:color="auto"/>
            </w:tcBorders>
            <w:shd w:val="clear" w:color="auto" w:fill="auto"/>
            <w:hideMark/>
          </w:tcPr>
          <w:p w14:paraId="731ECF2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2 600 025</w:t>
            </w:r>
          </w:p>
        </w:tc>
        <w:tc>
          <w:tcPr>
            <w:tcW w:w="1200" w:type="dxa"/>
            <w:tcBorders>
              <w:top w:val="nil"/>
              <w:left w:val="nil"/>
              <w:bottom w:val="single" w:sz="4" w:space="0" w:color="auto"/>
              <w:right w:val="single" w:sz="4" w:space="0" w:color="auto"/>
            </w:tcBorders>
            <w:shd w:val="clear" w:color="auto" w:fill="auto"/>
            <w:hideMark/>
          </w:tcPr>
          <w:p w14:paraId="7FFD36D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-63 033</w:t>
            </w:r>
          </w:p>
        </w:tc>
      </w:tr>
      <w:tr w:rsidR="0093441E" w:rsidRPr="002A7673" w14:paraId="7E60B8C1"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15876B7E"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minerales y asfálticos</w:t>
            </w:r>
          </w:p>
        </w:tc>
        <w:tc>
          <w:tcPr>
            <w:tcW w:w="1240" w:type="dxa"/>
            <w:tcBorders>
              <w:top w:val="nil"/>
              <w:left w:val="nil"/>
              <w:bottom w:val="single" w:sz="4" w:space="0" w:color="auto"/>
              <w:right w:val="single" w:sz="4" w:space="0" w:color="auto"/>
            </w:tcBorders>
            <w:shd w:val="clear" w:color="auto" w:fill="auto"/>
            <w:hideMark/>
          </w:tcPr>
          <w:p w14:paraId="0733772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1 794 607</w:t>
            </w:r>
          </w:p>
        </w:tc>
        <w:tc>
          <w:tcPr>
            <w:tcW w:w="1240" w:type="dxa"/>
            <w:tcBorders>
              <w:top w:val="nil"/>
              <w:left w:val="nil"/>
              <w:bottom w:val="single" w:sz="4" w:space="0" w:color="auto"/>
              <w:right w:val="single" w:sz="4" w:space="0" w:color="auto"/>
            </w:tcBorders>
            <w:shd w:val="clear" w:color="auto" w:fill="auto"/>
            <w:hideMark/>
          </w:tcPr>
          <w:p w14:paraId="5C6FA7E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129 277</w:t>
            </w:r>
          </w:p>
        </w:tc>
        <w:tc>
          <w:tcPr>
            <w:tcW w:w="1200" w:type="dxa"/>
            <w:tcBorders>
              <w:top w:val="nil"/>
              <w:left w:val="nil"/>
              <w:bottom w:val="single" w:sz="4" w:space="0" w:color="auto"/>
              <w:right w:val="single" w:sz="4" w:space="0" w:color="auto"/>
            </w:tcBorders>
            <w:shd w:val="clear" w:color="auto" w:fill="auto"/>
            <w:hideMark/>
          </w:tcPr>
          <w:p w14:paraId="428834D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-1 665 330</w:t>
            </w:r>
          </w:p>
        </w:tc>
      </w:tr>
      <w:tr w:rsidR="0093441E" w:rsidRPr="002A7673" w14:paraId="467C8332"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5F9CC65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Madera y sus derivados</w:t>
            </w:r>
          </w:p>
        </w:tc>
        <w:tc>
          <w:tcPr>
            <w:tcW w:w="1240" w:type="dxa"/>
            <w:tcBorders>
              <w:top w:val="nil"/>
              <w:left w:val="nil"/>
              <w:bottom w:val="single" w:sz="4" w:space="0" w:color="auto"/>
              <w:right w:val="single" w:sz="4" w:space="0" w:color="auto"/>
            </w:tcBorders>
            <w:shd w:val="clear" w:color="auto" w:fill="auto"/>
            <w:hideMark/>
          </w:tcPr>
          <w:p w14:paraId="1C71C5C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226 111</w:t>
            </w:r>
          </w:p>
        </w:tc>
        <w:tc>
          <w:tcPr>
            <w:tcW w:w="1240" w:type="dxa"/>
            <w:tcBorders>
              <w:top w:val="nil"/>
              <w:left w:val="nil"/>
              <w:bottom w:val="single" w:sz="4" w:space="0" w:color="auto"/>
              <w:right w:val="single" w:sz="4" w:space="0" w:color="auto"/>
            </w:tcBorders>
            <w:shd w:val="clear" w:color="auto" w:fill="auto"/>
            <w:hideMark/>
          </w:tcPr>
          <w:p w14:paraId="53BC684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128 111</w:t>
            </w:r>
          </w:p>
        </w:tc>
        <w:tc>
          <w:tcPr>
            <w:tcW w:w="1200" w:type="dxa"/>
            <w:tcBorders>
              <w:top w:val="nil"/>
              <w:left w:val="nil"/>
              <w:bottom w:val="single" w:sz="4" w:space="0" w:color="auto"/>
              <w:right w:val="single" w:sz="4" w:space="0" w:color="auto"/>
            </w:tcBorders>
            <w:shd w:val="clear" w:color="auto" w:fill="auto"/>
            <w:hideMark/>
          </w:tcPr>
          <w:p w14:paraId="7DF8A26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-98 000</w:t>
            </w:r>
          </w:p>
        </w:tc>
      </w:tr>
      <w:tr w:rsidR="0093441E" w:rsidRPr="002A7673" w14:paraId="20608488"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31C1ED35"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eléctricos, telefónicos y de cómputo</w:t>
            </w:r>
          </w:p>
        </w:tc>
        <w:tc>
          <w:tcPr>
            <w:tcW w:w="1240" w:type="dxa"/>
            <w:tcBorders>
              <w:top w:val="nil"/>
              <w:left w:val="nil"/>
              <w:bottom w:val="single" w:sz="4" w:space="0" w:color="auto"/>
              <w:right w:val="single" w:sz="4" w:space="0" w:color="auto"/>
            </w:tcBorders>
            <w:shd w:val="clear" w:color="auto" w:fill="auto"/>
            <w:hideMark/>
          </w:tcPr>
          <w:p w14:paraId="77B5CE2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61 873 782</w:t>
            </w:r>
          </w:p>
        </w:tc>
        <w:tc>
          <w:tcPr>
            <w:tcW w:w="1240" w:type="dxa"/>
            <w:tcBorders>
              <w:top w:val="nil"/>
              <w:left w:val="nil"/>
              <w:bottom w:val="single" w:sz="4" w:space="0" w:color="auto"/>
              <w:right w:val="single" w:sz="4" w:space="0" w:color="auto"/>
            </w:tcBorders>
            <w:shd w:val="clear" w:color="auto" w:fill="auto"/>
            <w:hideMark/>
          </w:tcPr>
          <w:p w14:paraId="14B20449"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54 052 585</w:t>
            </w:r>
          </w:p>
        </w:tc>
        <w:tc>
          <w:tcPr>
            <w:tcW w:w="1200" w:type="dxa"/>
            <w:tcBorders>
              <w:top w:val="nil"/>
              <w:left w:val="nil"/>
              <w:bottom w:val="single" w:sz="4" w:space="0" w:color="auto"/>
              <w:right w:val="single" w:sz="4" w:space="0" w:color="auto"/>
            </w:tcBorders>
            <w:shd w:val="clear" w:color="auto" w:fill="auto"/>
            <w:hideMark/>
          </w:tcPr>
          <w:p w14:paraId="0C5B29D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-7 821 197</w:t>
            </w:r>
          </w:p>
        </w:tc>
      </w:tr>
      <w:tr w:rsidR="0093441E" w:rsidRPr="002A7673" w14:paraId="7CFD34E8"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31C91911"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de vidrio</w:t>
            </w:r>
          </w:p>
        </w:tc>
        <w:tc>
          <w:tcPr>
            <w:tcW w:w="1240" w:type="dxa"/>
            <w:tcBorders>
              <w:top w:val="nil"/>
              <w:left w:val="nil"/>
              <w:bottom w:val="single" w:sz="4" w:space="0" w:color="auto"/>
              <w:right w:val="single" w:sz="4" w:space="0" w:color="auto"/>
            </w:tcBorders>
            <w:shd w:val="clear" w:color="auto" w:fill="auto"/>
            <w:hideMark/>
          </w:tcPr>
          <w:p w14:paraId="0AD37BD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24 040</w:t>
            </w:r>
          </w:p>
        </w:tc>
        <w:tc>
          <w:tcPr>
            <w:tcW w:w="1240" w:type="dxa"/>
            <w:tcBorders>
              <w:top w:val="nil"/>
              <w:left w:val="nil"/>
              <w:bottom w:val="single" w:sz="4" w:space="0" w:color="auto"/>
              <w:right w:val="single" w:sz="4" w:space="0" w:color="auto"/>
            </w:tcBorders>
            <w:shd w:val="clear" w:color="auto" w:fill="auto"/>
            <w:hideMark/>
          </w:tcPr>
          <w:p w14:paraId="6E42B8B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00" w:type="dxa"/>
            <w:tcBorders>
              <w:top w:val="nil"/>
              <w:left w:val="nil"/>
              <w:bottom w:val="single" w:sz="4" w:space="0" w:color="auto"/>
              <w:right w:val="single" w:sz="4" w:space="0" w:color="auto"/>
            </w:tcBorders>
            <w:shd w:val="clear" w:color="auto" w:fill="auto"/>
            <w:hideMark/>
          </w:tcPr>
          <w:p w14:paraId="10B4A3D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-24 040</w:t>
            </w:r>
          </w:p>
        </w:tc>
      </w:tr>
      <w:tr w:rsidR="0093441E" w:rsidRPr="002A7673" w14:paraId="7FD6C1EF"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18E39A0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Materiales y productos de plástico</w:t>
            </w:r>
          </w:p>
        </w:tc>
        <w:tc>
          <w:tcPr>
            <w:tcW w:w="1240" w:type="dxa"/>
            <w:tcBorders>
              <w:top w:val="nil"/>
              <w:left w:val="nil"/>
              <w:bottom w:val="single" w:sz="4" w:space="0" w:color="auto"/>
              <w:right w:val="single" w:sz="4" w:space="0" w:color="auto"/>
            </w:tcBorders>
            <w:shd w:val="clear" w:color="auto" w:fill="auto"/>
            <w:hideMark/>
          </w:tcPr>
          <w:p w14:paraId="6E98A7D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49 944</w:t>
            </w:r>
          </w:p>
        </w:tc>
        <w:tc>
          <w:tcPr>
            <w:tcW w:w="1240" w:type="dxa"/>
            <w:tcBorders>
              <w:top w:val="nil"/>
              <w:left w:val="nil"/>
              <w:bottom w:val="single" w:sz="4" w:space="0" w:color="auto"/>
              <w:right w:val="single" w:sz="4" w:space="0" w:color="auto"/>
            </w:tcBorders>
            <w:shd w:val="clear" w:color="auto" w:fill="auto"/>
            <w:hideMark/>
          </w:tcPr>
          <w:p w14:paraId="716B4D1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408 402</w:t>
            </w:r>
          </w:p>
        </w:tc>
        <w:tc>
          <w:tcPr>
            <w:tcW w:w="1200" w:type="dxa"/>
            <w:tcBorders>
              <w:top w:val="nil"/>
              <w:left w:val="nil"/>
              <w:bottom w:val="single" w:sz="4" w:space="0" w:color="auto"/>
              <w:right w:val="single" w:sz="4" w:space="0" w:color="auto"/>
            </w:tcBorders>
            <w:shd w:val="clear" w:color="auto" w:fill="auto"/>
            <w:hideMark/>
          </w:tcPr>
          <w:p w14:paraId="3C78C2D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358 458</w:t>
            </w:r>
          </w:p>
        </w:tc>
      </w:tr>
      <w:tr w:rsidR="0093441E" w:rsidRPr="002A7673" w14:paraId="1318AA94"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CDAF13F"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materiales y productos de uso en la construcción</w:t>
            </w:r>
          </w:p>
        </w:tc>
        <w:tc>
          <w:tcPr>
            <w:tcW w:w="1240" w:type="dxa"/>
            <w:tcBorders>
              <w:top w:val="nil"/>
              <w:left w:val="nil"/>
              <w:bottom w:val="single" w:sz="4" w:space="0" w:color="auto"/>
              <w:right w:val="single" w:sz="4" w:space="0" w:color="auto"/>
            </w:tcBorders>
            <w:shd w:val="clear" w:color="auto" w:fill="auto"/>
            <w:hideMark/>
          </w:tcPr>
          <w:p w14:paraId="2665EEC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113 702</w:t>
            </w:r>
          </w:p>
        </w:tc>
        <w:tc>
          <w:tcPr>
            <w:tcW w:w="1240" w:type="dxa"/>
            <w:tcBorders>
              <w:top w:val="nil"/>
              <w:left w:val="nil"/>
              <w:bottom w:val="single" w:sz="4" w:space="0" w:color="auto"/>
              <w:right w:val="single" w:sz="4" w:space="0" w:color="auto"/>
            </w:tcBorders>
            <w:shd w:val="clear" w:color="auto" w:fill="auto"/>
            <w:hideMark/>
          </w:tcPr>
          <w:p w14:paraId="2F87247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668 258</w:t>
            </w:r>
          </w:p>
        </w:tc>
        <w:tc>
          <w:tcPr>
            <w:tcW w:w="1200" w:type="dxa"/>
            <w:tcBorders>
              <w:top w:val="nil"/>
              <w:left w:val="nil"/>
              <w:bottom w:val="single" w:sz="4" w:space="0" w:color="auto"/>
              <w:right w:val="single" w:sz="4" w:space="0" w:color="auto"/>
            </w:tcBorders>
            <w:shd w:val="clear" w:color="auto" w:fill="auto"/>
            <w:hideMark/>
          </w:tcPr>
          <w:p w14:paraId="6E8F861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554 556</w:t>
            </w:r>
          </w:p>
        </w:tc>
      </w:tr>
      <w:tr w:rsidR="0093441E" w:rsidRPr="002A7673" w14:paraId="293B5E6D"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3454B17B"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Herramientas e instrumentos</w:t>
            </w:r>
          </w:p>
        </w:tc>
        <w:tc>
          <w:tcPr>
            <w:tcW w:w="1240" w:type="dxa"/>
            <w:tcBorders>
              <w:top w:val="nil"/>
              <w:left w:val="nil"/>
              <w:bottom w:val="single" w:sz="4" w:space="0" w:color="auto"/>
              <w:right w:val="single" w:sz="4" w:space="0" w:color="auto"/>
            </w:tcBorders>
            <w:shd w:val="clear" w:color="auto" w:fill="auto"/>
            <w:hideMark/>
          </w:tcPr>
          <w:p w14:paraId="30297AA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2 678 663</w:t>
            </w:r>
          </w:p>
        </w:tc>
        <w:tc>
          <w:tcPr>
            <w:tcW w:w="1240" w:type="dxa"/>
            <w:tcBorders>
              <w:top w:val="nil"/>
              <w:left w:val="nil"/>
              <w:bottom w:val="single" w:sz="4" w:space="0" w:color="auto"/>
              <w:right w:val="single" w:sz="4" w:space="0" w:color="auto"/>
            </w:tcBorders>
            <w:shd w:val="clear" w:color="auto" w:fill="auto"/>
            <w:hideMark/>
          </w:tcPr>
          <w:p w14:paraId="425215C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2 639 283</w:t>
            </w:r>
          </w:p>
        </w:tc>
        <w:tc>
          <w:tcPr>
            <w:tcW w:w="1200" w:type="dxa"/>
            <w:tcBorders>
              <w:top w:val="nil"/>
              <w:left w:val="nil"/>
              <w:bottom w:val="single" w:sz="4" w:space="0" w:color="auto"/>
              <w:right w:val="single" w:sz="4" w:space="0" w:color="auto"/>
            </w:tcBorders>
            <w:shd w:val="clear" w:color="auto" w:fill="auto"/>
            <w:hideMark/>
          </w:tcPr>
          <w:p w14:paraId="621A625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-39 380</w:t>
            </w:r>
          </w:p>
        </w:tc>
      </w:tr>
      <w:tr w:rsidR="0093441E" w:rsidRPr="002A7673" w14:paraId="59AA9C47"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5A245A0"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Repuestos y accesorios</w:t>
            </w:r>
          </w:p>
        </w:tc>
        <w:tc>
          <w:tcPr>
            <w:tcW w:w="1240" w:type="dxa"/>
            <w:tcBorders>
              <w:top w:val="nil"/>
              <w:left w:val="nil"/>
              <w:bottom w:val="single" w:sz="4" w:space="0" w:color="auto"/>
              <w:right w:val="single" w:sz="4" w:space="0" w:color="auto"/>
            </w:tcBorders>
            <w:shd w:val="clear" w:color="auto" w:fill="auto"/>
            <w:hideMark/>
          </w:tcPr>
          <w:p w14:paraId="1D55F6A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70 048 852</w:t>
            </w:r>
          </w:p>
        </w:tc>
        <w:tc>
          <w:tcPr>
            <w:tcW w:w="1240" w:type="dxa"/>
            <w:tcBorders>
              <w:top w:val="nil"/>
              <w:left w:val="nil"/>
              <w:bottom w:val="single" w:sz="4" w:space="0" w:color="auto"/>
              <w:right w:val="single" w:sz="4" w:space="0" w:color="auto"/>
            </w:tcBorders>
            <w:shd w:val="clear" w:color="auto" w:fill="auto"/>
            <w:hideMark/>
          </w:tcPr>
          <w:p w14:paraId="05E40AE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56 120 421</w:t>
            </w:r>
          </w:p>
        </w:tc>
        <w:tc>
          <w:tcPr>
            <w:tcW w:w="1200" w:type="dxa"/>
            <w:tcBorders>
              <w:top w:val="nil"/>
              <w:left w:val="nil"/>
              <w:bottom w:val="single" w:sz="4" w:space="0" w:color="auto"/>
              <w:right w:val="single" w:sz="4" w:space="0" w:color="auto"/>
            </w:tcBorders>
            <w:shd w:val="clear" w:color="auto" w:fill="auto"/>
            <w:hideMark/>
          </w:tcPr>
          <w:p w14:paraId="18824C0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-13 928 431</w:t>
            </w:r>
          </w:p>
        </w:tc>
      </w:tr>
      <w:tr w:rsidR="0093441E" w:rsidRPr="002A7673" w14:paraId="547C4033"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013A2870"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Útiles y materiales de oficina y cómputo</w:t>
            </w:r>
          </w:p>
        </w:tc>
        <w:tc>
          <w:tcPr>
            <w:tcW w:w="1240" w:type="dxa"/>
            <w:tcBorders>
              <w:top w:val="nil"/>
              <w:left w:val="nil"/>
              <w:bottom w:val="single" w:sz="4" w:space="0" w:color="auto"/>
              <w:right w:val="single" w:sz="4" w:space="0" w:color="auto"/>
            </w:tcBorders>
            <w:shd w:val="clear" w:color="auto" w:fill="auto"/>
            <w:hideMark/>
          </w:tcPr>
          <w:p w14:paraId="2F2DFF9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55 258 908</w:t>
            </w:r>
          </w:p>
        </w:tc>
        <w:tc>
          <w:tcPr>
            <w:tcW w:w="1240" w:type="dxa"/>
            <w:tcBorders>
              <w:top w:val="nil"/>
              <w:left w:val="nil"/>
              <w:bottom w:val="single" w:sz="4" w:space="0" w:color="auto"/>
              <w:right w:val="single" w:sz="4" w:space="0" w:color="auto"/>
            </w:tcBorders>
            <w:shd w:val="clear" w:color="auto" w:fill="auto"/>
            <w:hideMark/>
          </w:tcPr>
          <w:p w14:paraId="12B338D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49 852 636</w:t>
            </w:r>
          </w:p>
        </w:tc>
        <w:tc>
          <w:tcPr>
            <w:tcW w:w="1200" w:type="dxa"/>
            <w:tcBorders>
              <w:top w:val="nil"/>
              <w:left w:val="nil"/>
              <w:bottom w:val="single" w:sz="4" w:space="0" w:color="auto"/>
              <w:right w:val="single" w:sz="4" w:space="0" w:color="auto"/>
            </w:tcBorders>
            <w:shd w:val="clear" w:color="auto" w:fill="auto"/>
            <w:hideMark/>
          </w:tcPr>
          <w:p w14:paraId="0097A40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-5 406 272</w:t>
            </w:r>
          </w:p>
        </w:tc>
      </w:tr>
      <w:tr w:rsidR="0093441E" w:rsidRPr="002A7673" w14:paraId="2F296002"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3DB7C7B2"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 xml:space="preserve">Útiles y </w:t>
            </w:r>
            <w:proofErr w:type="gramStart"/>
            <w:r w:rsidRPr="002A7673">
              <w:rPr>
                <w:rFonts w:ascii="Times New Roman" w:hAnsi="Times New Roman" w:cs="Times New Roman"/>
                <w:color w:val="000000"/>
                <w:sz w:val="16"/>
                <w:szCs w:val="16"/>
                <w:lang w:eastAsia="es-CR"/>
              </w:rPr>
              <w:t>materiales médico</w:t>
            </w:r>
            <w:proofErr w:type="gramEnd"/>
            <w:r w:rsidRPr="002A7673">
              <w:rPr>
                <w:rFonts w:ascii="Times New Roman" w:hAnsi="Times New Roman" w:cs="Times New Roman"/>
                <w:color w:val="000000"/>
                <w:sz w:val="16"/>
                <w:szCs w:val="16"/>
                <w:lang w:eastAsia="es-CR"/>
              </w:rPr>
              <w:t>, hospitalario y de investigación</w:t>
            </w:r>
          </w:p>
        </w:tc>
        <w:tc>
          <w:tcPr>
            <w:tcW w:w="1240" w:type="dxa"/>
            <w:tcBorders>
              <w:top w:val="nil"/>
              <w:left w:val="nil"/>
              <w:bottom w:val="single" w:sz="4" w:space="0" w:color="auto"/>
              <w:right w:val="single" w:sz="4" w:space="0" w:color="auto"/>
            </w:tcBorders>
            <w:shd w:val="clear" w:color="auto" w:fill="auto"/>
            <w:hideMark/>
          </w:tcPr>
          <w:p w14:paraId="4E74D93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377 023</w:t>
            </w:r>
          </w:p>
        </w:tc>
        <w:tc>
          <w:tcPr>
            <w:tcW w:w="1240" w:type="dxa"/>
            <w:tcBorders>
              <w:top w:val="nil"/>
              <w:left w:val="nil"/>
              <w:bottom w:val="single" w:sz="4" w:space="0" w:color="auto"/>
              <w:right w:val="single" w:sz="4" w:space="0" w:color="auto"/>
            </w:tcBorders>
            <w:shd w:val="clear" w:color="auto" w:fill="auto"/>
            <w:hideMark/>
          </w:tcPr>
          <w:p w14:paraId="73BE263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571 245</w:t>
            </w:r>
          </w:p>
        </w:tc>
        <w:tc>
          <w:tcPr>
            <w:tcW w:w="1200" w:type="dxa"/>
            <w:tcBorders>
              <w:top w:val="nil"/>
              <w:left w:val="nil"/>
              <w:bottom w:val="single" w:sz="4" w:space="0" w:color="auto"/>
              <w:right w:val="single" w:sz="4" w:space="0" w:color="auto"/>
            </w:tcBorders>
            <w:shd w:val="clear" w:color="auto" w:fill="auto"/>
            <w:hideMark/>
          </w:tcPr>
          <w:p w14:paraId="60CCE2E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194 222</w:t>
            </w:r>
          </w:p>
        </w:tc>
      </w:tr>
      <w:tr w:rsidR="0093441E" w:rsidRPr="002A7673" w14:paraId="1880D3BB"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154E705"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Productos de papel, cartón e impresos</w:t>
            </w:r>
          </w:p>
        </w:tc>
        <w:tc>
          <w:tcPr>
            <w:tcW w:w="1240" w:type="dxa"/>
            <w:tcBorders>
              <w:top w:val="nil"/>
              <w:left w:val="nil"/>
              <w:bottom w:val="single" w:sz="4" w:space="0" w:color="auto"/>
              <w:right w:val="single" w:sz="4" w:space="0" w:color="auto"/>
            </w:tcBorders>
            <w:shd w:val="clear" w:color="auto" w:fill="auto"/>
            <w:hideMark/>
          </w:tcPr>
          <w:p w14:paraId="112F90C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112 070 606</w:t>
            </w:r>
          </w:p>
        </w:tc>
        <w:tc>
          <w:tcPr>
            <w:tcW w:w="1240" w:type="dxa"/>
            <w:tcBorders>
              <w:top w:val="nil"/>
              <w:left w:val="nil"/>
              <w:bottom w:val="single" w:sz="4" w:space="0" w:color="auto"/>
              <w:right w:val="single" w:sz="4" w:space="0" w:color="auto"/>
            </w:tcBorders>
            <w:shd w:val="clear" w:color="auto" w:fill="auto"/>
            <w:hideMark/>
          </w:tcPr>
          <w:p w14:paraId="68D29DC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101 109 328</w:t>
            </w:r>
          </w:p>
        </w:tc>
        <w:tc>
          <w:tcPr>
            <w:tcW w:w="1200" w:type="dxa"/>
            <w:tcBorders>
              <w:top w:val="nil"/>
              <w:left w:val="nil"/>
              <w:bottom w:val="single" w:sz="4" w:space="0" w:color="auto"/>
              <w:right w:val="single" w:sz="4" w:space="0" w:color="auto"/>
            </w:tcBorders>
            <w:shd w:val="clear" w:color="auto" w:fill="auto"/>
            <w:hideMark/>
          </w:tcPr>
          <w:p w14:paraId="72FABF1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-10 961 278</w:t>
            </w:r>
          </w:p>
        </w:tc>
      </w:tr>
      <w:tr w:rsidR="0093441E" w:rsidRPr="002A7673" w14:paraId="434E0C12"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21477DC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Textiles y vestuario</w:t>
            </w:r>
          </w:p>
        </w:tc>
        <w:tc>
          <w:tcPr>
            <w:tcW w:w="1240" w:type="dxa"/>
            <w:tcBorders>
              <w:top w:val="nil"/>
              <w:left w:val="nil"/>
              <w:bottom w:val="single" w:sz="4" w:space="0" w:color="auto"/>
              <w:right w:val="single" w:sz="4" w:space="0" w:color="auto"/>
            </w:tcBorders>
            <w:shd w:val="clear" w:color="auto" w:fill="auto"/>
            <w:hideMark/>
          </w:tcPr>
          <w:p w14:paraId="4EB13B1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26 058 589</w:t>
            </w:r>
          </w:p>
        </w:tc>
        <w:tc>
          <w:tcPr>
            <w:tcW w:w="1240" w:type="dxa"/>
            <w:tcBorders>
              <w:top w:val="nil"/>
              <w:left w:val="nil"/>
              <w:bottom w:val="single" w:sz="4" w:space="0" w:color="auto"/>
              <w:right w:val="single" w:sz="4" w:space="0" w:color="auto"/>
            </w:tcBorders>
            <w:shd w:val="clear" w:color="auto" w:fill="auto"/>
            <w:hideMark/>
          </w:tcPr>
          <w:p w14:paraId="0035E97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20 314 465</w:t>
            </w:r>
          </w:p>
        </w:tc>
        <w:tc>
          <w:tcPr>
            <w:tcW w:w="1200" w:type="dxa"/>
            <w:tcBorders>
              <w:top w:val="nil"/>
              <w:left w:val="nil"/>
              <w:bottom w:val="single" w:sz="4" w:space="0" w:color="auto"/>
              <w:right w:val="single" w:sz="4" w:space="0" w:color="auto"/>
            </w:tcBorders>
            <w:shd w:val="clear" w:color="auto" w:fill="auto"/>
            <w:hideMark/>
          </w:tcPr>
          <w:p w14:paraId="2F49F52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-5 744 124</w:t>
            </w:r>
          </w:p>
        </w:tc>
      </w:tr>
      <w:tr w:rsidR="0093441E" w:rsidRPr="002A7673" w14:paraId="04AC6128"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2431D3ED"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Útiles y materiales de limpieza</w:t>
            </w:r>
          </w:p>
        </w:tc>
        <w:tc>
          <w:tcPr>
            <w:tcW w:w="1240" w:type="dxa"/>
            <w:tcBorders>
              <w:top w:val="nil"/>
              <w:left w:val="nil"/>
              <w:bottom w:val="single" w:sz="4" w:space="0" w:color="auto"/>
              <w:right w:val="single" w:sz="4" w:space="0" w:color="auto"/>
            </w:tcBorders>
            <w:shd w:val="clear" w:color="auto" w:fill="auto"/>
            <w:hideMark/>
          </w:tcPr>
          <w:p w14:paraId="269BE63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59 858 129</w:t>
            </w:r>
          </w:p>
        </w:tc>
        <w:tc>
          <w:tcPr>
            <w:tcW w:w="1240" w:type="dxa"/>
            <w:tcBorders>
              <w:top w:val="nil"/>
              <w:left w:val="nil"/>
              <w:bottom w:val="single" w:sz="4" w:space="0" w:color="auto"/>
              <w:right w:val="single" w:sz="4" w:space="0" w:color="auto"/>
            </w:tcBorders>
            <w:shd w:val="clear" w:color="auto" w:fill="auto"/>
            <w:hideMark/>
          </w:tcPr>
          <w:p w14:paraId="45DBB1E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63 873 185</w:t>
            </w:r>
          </w:p>
        </w:tc>
        <w:tc>
          <w:tcPr>
            <w:tcW w:w="1200" w:type="dxa"/>
            <w:tcBorders>
              <w:top w:val="nil"/>
              <w:left w:val="nil"/>
              <w:bottom w:val="single" w:sz="4" w:space="0" w:color="auto"/>
              <w:right w:val="single" w:sz="4" w:space="0" w:color="auto"/>
            </w:tcBorders>
            <w:shd w:val="clear" w:color="auto" w:fill="auto"/>
            <w:hideMark/>
          </w:tcPr>
          <w:p w14:paraId="1844062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4 015 056</w:t>
            </w:r>
          </w:p>
        </w:tc>
      </w:tr>
      <w:tr w:rsidR="0093441E" w:rsidRPr="002A7673" w14:paraId="1CFC5641"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417F95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Útiles y materiales de resguardo y seguridad</w:t>
            </w:r>
          </w:p>
        </w:tc>
        <w:tc>
          <w:tcPr>
            <w:tcW w:w="1240" w:type="dxa"/>
            <w:tcBorders>
              <w:top w:val="nil"/>
              <w:left w:val="nil"/>
              <w:bottom w:val="single" w:sz="4" w:space="0" w:color="auto"/>
              <w:right w:val="single" w:sz="4" w:space="0" w:color="auto"/>
            </w:tcBorders>
            <w:shd w:val="clear" w:color="auto" w:fill="auto"/>
            <w:hideMark/>
          </w:tcPr>
          <w:p w14:paraId="06C59F8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12 981 064</w:t>
            </w:r>
          </w:p>
        </w:tc>
        <w:tc>
          <w:tcPr>
            <w:tcW w:w="1240" w:type="dxa"/>
            <w:tcBorders>
              <w:top w:val="nil"/>
              <w:left w:val="nil"/>
              <w:bottom w:val="single" w:sz="4" w:space="0" w:color="auto"/>
              <w:right w:val="single" w:sz="4" w:space="0" w:color="auto"/>
            </w:tcBorders>
            <w:shd w:val="clear" w:color="auto" w:fill="auto"/>
            <w:hideMark/>
          </w:tcPr>
          <w:p w14:paraId="6686C45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14 893 780</w:t>
            </w:r>
          </w:p>
        </w:tc>
        <w:tc>
          <w:tcPr>
            <w:tcW w:w="1200" w:type="dxa"/>
            <w:tcBorders>
              <w:top w:val="nil"/>
              <w:left w:val="nil"/>
              <w:bottom w:val="single" w:sz="4" w:space="0" w:color="auto"/>
              <w:right w:val="single" w:sz="4" w:space="0" w:color="auto"/>
            </w:tcBorders>
            <w:shd w:val="clear" w:color="auto" w:fill="auto"/>
            <w:hideMark/>
          </w:tcPr>
          <w:p w14:paraId="5B27B29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1 912 716</w:t>
            </w:r>
          </w:p>
        </w:tc>
      </w:tr>
      <w:tr w:rsidR="0093441E" w:rsidRPr="002A7673" w14:paraId="10C97DBA"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1785C2F3"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Útiles y materiales de cocina y comedor</w:t>
            </w:r>
          </w:p>
        </w:tc>
        <w:tc>
          <w:tcPr>
            <w:tcW w:w="1240" w:type="dxa"/>
            <w:tcBorders>
              <w:top w:val="nil"/>
              <w:left w:val="nil"/>
              <w:bottom w:val="single" w:sz="4" w:space="0" w:color="auto"/>
              <w:right w:val="single" w:sz="4" w:space="0" w:color="auto"/>
            </w:tcBorders>
            <w:shd w:val="clear" w:color="auto" w:fill="auto"/>
            <w:hideMark/>
          </w:tcPr>
          <w:p w14:paraId="019494C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223 856</w:t>
            </w:r>
          </w:p>
        </w:tc>
        <w:tc>
          <w:tcPr>
            <w:tcW w:w="1240" w:type="dxa"/>
            <w:tcBorders>
              <w:top w:val="nil"/>
              <w:left w:val="nil"/>
              <w:bottom w:val="single" w:sz="4" w:space="0" w:color="auto"/>
              <w:right w:val="single" w:sz="4" w:space="0" w:color="auto"/>
            </w:tcBorders>
            <w:shd w:val="clear" w:color="auto" w:fill="auto"/>
            <w:hideMark/>
          </w:tcPr>
          <w:p w14:paraId="3C1B9DF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228 425</w:t>
            </w:r>
          </w:p>
        </w:tc>
        <w:tc>
          <w:tcPr>
            <w:tcW w:w="1200" w:type="dxa"/>
            <w:tcBorders>
              <w:top w:val="nil"/>
              <w:left w:val="nil"/>
              <w:bottom w:val="single" w:sz="4" w:space="0" w:color="auto"/>
              <w:right w:val="single" w:sz="4" w:space="0" w:color="auto"/>
            </w:tcBorders>
            <w:shd w:val="clear" w:color="auto" w:fill="auto"/>
            <w:hideMark/>
          </w:tcPr>
          <w:p w14:paraId="0A87A4C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4 569</w:t>
            </w:r>
          </w:p>
        </w:tc>
      </w:tr>
      <w:tr w:rsidR="0093441E" w:rsidRPr="002A7673" w14:paraId="643C21A6"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1CE8FFB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útiles, materiales y suministros diversos</w:t>
            </w:r>
          </w:p>
        </w:tc>
        <w:tc>
          <w:tcPr>
            <w:tcW w:w="1240" w:type="dxa"/>
            <w:tcBorders>
              <w:top w:val="nil"/>
              <w:left w:val="nil"/>
              <w:bottom w:val="single" w:sz="4" w:space="0" w:color="auto"/>
              <w:right w:val="single" w:sz="4" w:space="0" w:color="auto"/>
            </w:tcBorders>
            <w:shd w:val="clear" w:color="auto" w:fill="auto"/>
            <w:hideMark/>
          </w:tcPr>
          <w:p w14:paraId="31A703B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6 788 437</w:t>
            </w:r>
          </w:p>
        </w:tc>
        <w:tc>
          <w:tcPr>
            <w:tcW w:w="1240" w:type="dxa"/>
            <w:tcBorders>
              <w:top w:val="nil"/>
              <w:left w:val="nil"/>
              <w:bottom w:val="single" w:sz="4" w:space="0" w:color="auto"/>
              <w:right w:val="single" w:sz="4" w:space="0" w:color="auto"/>
            </w:tcBorders>
            <w:shd w:val="clear" w:color="auto" w:fill="auto"/>
            <w:hideMark/>
          </w:tcPr>
          <w:p w14:paraId="6F4592F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4 914 243</w:t>
            </w:r>
          </w:p>
        </w:tc>
        <w:tc>
          <w:tcPr>
            <w:tcW w:w="1200" w:type="dxa"/>
            <w:tcBorders>
              <w:top w:val="nil"/>
              <w:left w:val="nil"/>
              <w:bottom w:val="single" w:sz="4" w:space="0" w:color="auto"/>
              <w:right w:val="single" w:sz="4" w:space="0" w:color="auto"/>
            </w:tcBorders>
            <w:shd w:val="clear" w:color="auto" w:fill="auto"/>
            <w:hideMark/>
          </w:tcPr>
          <w:p w14:paraId="5B22E1C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-1 874 194</w:t>
            </w:r>
          </w:p>
        </w:tc>
      </w:tr>
      <w:tr w:rsidR="0093441E" w:rsidRPr="002A7673" w14:paraId="3ECB56C7"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1E3CA6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Maquinaria y equipo para la producción</w:t>
            </w:r>
          </w:p>
        </w:tc>
        <w:tc>
          <w:tcPr>
            <w:tcW w:w="1240" w:type="dxa"/>
            <w:tcBorders>
              <w:top w:val="nil"/>
              <w:left w:val="nil"/>
              <w:bottom w:val="single" w:sz="4" w:space="0" w:color="auto"/>
              <w:right w:val="single" w:sz="4" w:space="0" w:color="auto"/>
            </w:tcBorders>
            <w:shd w:val="clear" w:color="auto" w:fill="auto"/>
            <w:hideMark/>
          </w:tcPr>
          <w:p w14:paraId="4AD896E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40" w:type="dxa"/>
            <w:tcBorders>
              <w:top w:val="nil"/>
              <w:left w:val="nil"/>
              <w:bottom w:val="single" w:sz="4" w:space="0" w:color="auto"/>
              <w:right w:val="single" w:sz="4" w:space="0" w:color="auto"/>
            </w:tcBorders>
            <w:shd w:val="clear" w:color="auto" w:fill="auto"/>
            <w:hideMark/>
          </w:tcPr>
          <w:p w14:paraId="7220F7E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580 647</w:t>
            </w:r>
          </w:p>
        </w:tc>
        <w:tc>
          <w:tcPr>
            <w:tcW w:w="1200" w:type="dxa"/>
            <w:tcBorders>
              <w:top w:val="nil"/>
              <w:left w:val="nil"/>
              <w:bottom w:val="single" w:sz="4" w:space="0" w:color="auto"/>
              <w:right w:val="single" w:sz="4" w:space="0" w:color="auto"/>
            </w:tcBorders>
            <w:shd w:val="clear" w:color="auto" w:fill="auto"/>
            <w:hideMark/>
          </w:tcPr>
          <w:p w14:paraId="75D31B4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580 647</w:t>
            </w:r>
          </w:p>
        </w:tc>
      </w:tr>
      <w:tr w:rsidR="0093441E" w:rsidRPr="002A7673" w14:paraId="58890A07"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19CCE93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de transporte</w:t>
            </w:r>
          </w:p>
        </w:tc>
        <w:tc>
          <w:tcPr>
            <w:tcW w:w="1240" w:type="dxa"/>
            <w:tcBorders>
              <w:top w:val="nil"/>
              <w:left w:val="nil"/>
              <w:bottom w:val="single" w:sz="4" w:space="0" w:color="auto"/>
              <w:right w:val="single" w:sz="4" w:space="0" w:color="auto"/>
            </w:tcBorders>
            <w:shd w:val="clear" w:color="auto" w:fill="auto"/>
            <w:hideMark/>
          </w:tcPr>
          <w:p w14:paraId="651C6D9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205 321</w:t>
            </w:r>
          </w:p>
        </w:tc>
        <w:tc>
          <w:tcPr>
            <w:tcW w:w="1240" w:type="dxa"/>
            <w:tcBorders>
              <w:top w:val="nil"/>
              <w:left w:val="nil"/>
              <w:bottom w:val="single" w:sz="4" w:space="0" w:color="auto"/>
              <w:right w:val="single" w:sz="4" w:space="0" w:color="auto"/>
            </w:tcBorders>
            <w:shd w:val="clear" w:color="auto" w:fill="auto"/>
            <w:hideMark/>
          </w:tcPr>
          <w:p w14:paraId="0EA484E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235 081 427</w:t>
            </w:r>
          </w:p>
        </w:tc>
        <w:tc>
          <w:tcPr>
            <w:tcW w:w="1200" w:type="dxa"/>
            <w:tcBorders>
              <w:top w:val="nil"/>
              <w:left w:val="nil"/>
              <w:bottom w:val="single" w:sz="4" w:space="0" w:color="auto"/>
              <w:right w:val="single" w:sz="4" w:space="0" w:color="auto"/>
            </w:tcBorders>
            <w:shd w:val="clear" w:color="auto" w:fill="auto"/>
            <w:hideMark/>
          </w:tcPr>
          <w:p w14:paraId="588A9BD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234 876 106</w:t>
            </w:r>
          </w:p>
        </w:tc>
      </w:tr>
      <w:tr w:rsidR="0093441E" w:rsidRPr="002A7673" w14:paraId="7ED94192"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1C528B9B"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de comunicación</w:t>
            </w:r>
          </w:p>
        </w:tc>
        <w:tc>
          <w:tcPr>
            <w:tcW w:w="1240" w:type="dxa"/>
            <w:tcBorders>
              <w:top w:val="nil"/>
              <w:left w:val="nil"/>
              <w:bottom w:val="single" w:sz="4" w:space="0" w:color="auto"/>
              <w:right w:val="single" w:sz="4" w:space="0" w:color="auto"/>
            </w:tcBorders>
            <w:shd w:val="clear" w:color="auto" w:fill="auto"/>
            <w:hideMark/>
          </w:tcPr>
          <w:p w14:paraId="25C283B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109 098 178</w:t>
            </w:r>
          </w:p>
        </w:tc>
        <w:tc>
          <w:tcPr>
            <w:tcW w:w="1240" w:type="dxa"/>
            <w:tcBorders>
              <w:top w:val="nil"/>
              <w:left w:val="nil"/>
              <w:bottom w:val="single" w:sz="4" w:space="0" w:color="auto"/>
              <w:right w:val="single" w:sz="4" w:space="0" w:color="auto"/>
            </w:tcBorders>
            <w:shd w:val="clear" w:color="auto" w:fill="auto"/>
            <w:hideMark/>
          </w:tcPr>
          <w:p w14:paraId="3243C51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124 089 829</w:t>
            </w:r>
          </w:p>
        </w:tc>
        <w:tc>
          <w:tcPr>
            <w:tcW w:w="1200" w:type="dxa"/>
            <w:tcBorders>
              <w:top w:val="nil"/>
              <w:left w:val="nil"/>
              <w:bottom w:val="single" w:sz="4" w:space="0" w:color="auto"/>
              <w:right w:val="single" w:sz="4" w:space="0" w:color="auto"/>
            </w:tcBorders>
            <w:shd w:val="clear" w:color="auto" w:fill="auto"/>
            <w:hideMark/>
          </w:tcPr>
          <w:p w14:paraId="6CEDEE3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14 991 651</w:t>
            </w:r>
          </w:p>
        </w:tc>
      </w:tr>
      <w:tr w:rsidR="0093441E" w:rsidRPr="002A7673" w14:paraId="7FDADDF3"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FB56CDB"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y mobiliario de oficina</w:t>
            </w:r>
          </w:p>
        </w:tc>
        <w:tc>
          <w:tcPr>
            <w:tcW w:w="1240" w:type="dxa"/>
            <w:tcBorders>
              <w:top w:val="nil"/>
              <w:left w:val="nil"/>
              <w:bottom w:val="single" w:sz="4" w:space="0" w:color="auto"/>
              <w:right w:val="single" w:sz="4" w:space="0" w:color="auto"/>
            </w:tcBorders>
            <w:shd w:val="clear" w:color="auto" w:fill="auto"/>
            <w:hideMark/>
          </w:tcPr>
          <w:p w14:paraId="1E1E004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250 764 089</w:t>
            </w:r>
          </w:p>
        </w:tc>
        <w:tc>
          <w:tcPr>
            <w:tcW w:w="1240" w:type="dxa"/>
            <w:tcBorders>
              <w:top w:val="nil"/>
              <w:left w:val="nil"/>
              <w:bottom w:val="single" w:sz="4" w:space="0" w:color="auto"/>
              <w:right w:val="single" w:sz="4" w:space="0" w:color="auto"/>
            </w:tcBorders>
            <w:shd w:val="clear" w:color="auto" w:fill="auto"/>
            <w:hideMark/>
          </w:tcPr>
          <w:p w14:paraId="7FFD5AD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157 629 715</w:t>
            </w:r>
          </w:p>
        </w:tc>
        <w:tc>
          <w:tcPr>
            <w:tcW w:w="1200" w:type="dxa"/>
            <w:tcBorders>
              <w:top w:val="nil"/>
              <w:left w:val="nil"/>
              <w:bottom w:val="single" w:sz="4" w:space="0" w:color="auto"/>
              <w:right w:val="single" w:sz="4" w:space="0" w:color="auto"/>
            </w:tcBorders>
            <w:shd w:val="clear" w:color="auto" w:fill="auto"/>
            <w:hideMark/>
          </w:tcPr>
          <w:p w14:paraId="3593BD8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-93 134 374</w:t>
            </w:r>
          </w:p>
        </w:tc>
      </w:tr>
      <w:tr w:rsidR="0093441E" w:rsidRPr="002A7673" w14:paraId="617C3397"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0A81A16D"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de cómputo</w:t>
            </w:r>
          </w:p>
        </w:tc>
        <w:tc>
          <w:tcPr>
            <w:tcW w:w="1240" w:type="dxa"/>
            <w:tcBorders>
              <w:top w:val="nil"/>
              <w:left w:val="nil"/>
              <w:bottom w:val="single" w:sz="4" w:space="0" w:color="auto"/>
              <w:right w:val="single" w:sz="4" w:space="0" w:color="auto"/>
            </w:tcBorders>
            <w:shd w:val="clear" w:color="auto" w:fill="auto"/>
            <w:hideMark/>
          </w:tcPr>
          <w:p w14:paraId="2A1A86A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371 944 064</w:t>
            </w:r>
          </w:p>
        </w:tc>
        <w:tc>
          <w:tcPr>
            <w:tcW w:w="1240" w:type="dxa"/>
            <w:tcBorders>
              <w:top w:val="nil"/>
              <w:left w:val="nil"/>
              <w:bottom w:val="single" w:sz="4" w:space="0" w:color="auto"/>
              <w:right w:val="single" w:sz="4" w:space="0" w:color="auto"/>
            </w:tcBorders>
            <w:shd w:val="clear" w:color="auto" w:fill="auto"/>
            <w:hideMark/>
          </w:tcPr>
          <w:p w14:paraId="56AD578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114 691 620</w:t>
            </w:r>
          </w:p>
        </w:tc>
        <w:tc>
          <w:tcPr>
            <w:tcW w:w="1200" w:type="dxa"/>
            <w:tcBorders>
              <w:top w:val="nil"/>
              <w:left w:val="nil"/>
              <w:bottom w:val="single" w:sz="4" w:space="0" w:color="auto"/>
              <w:right w:val="single" w:sz="4" w:space="0" w:color="auto"/>
            </w:tcBorders>
            <w:shd w:val="clear" w:color="auto" w:fill="auto"/>
            <w:hideMark/>
          </w:tcPr>
          <w:p w14:paraId="530427E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-257 252 444</w:t>
            </w:r>
          </w:p>
        </w:tc>
      </w:tr>
      <w:tr w:rsidR="0093441E" w:rsidRPr="002A7673" w14:paraId="52E820B0"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4D42429"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Equipo y mobiliario educacional, deportivo y recreativo</w:t>
            </w:r>
          </w:p>
        </w:tc>
        <w:tc>
          <w:tcPr>
            <w:tcW w:w="1240" w:type="dxa"/>
            <w:tcBorders>
              <w:top w:val="nil"/>
              <w:left w:val="nil"/>
              <w:bottom w:val="single" w:sz="4" w:space="0" w:color="auto"/>
              <w:right w:val="single" w:sz="4" w:space="0" w:color="auto"/>
            </w:tcBorders>
            <w:shd w:val="clear" w:color="auto" w:fill="auto"/>
            <w:hideMark/>
          </w:tcPr>
          <w:p w14:paraId="097C1FDA"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7 008 647</w:t>
            </w:r>
          </w:p>
        </w:tc>
        <w:tc>
          <w:tcPr>
            <w:tcW w:w="1240" w:type="dxa"/>
            <w:tcBorders>
              <w:top w:val="nil"/>
              <w:left w:val="nil"/>
              <w:bottom w:val="single" w:sz="4" w:space="0" w:color="auto"/>
              <w:right w:val="single" w:sz="4" w:space="0" w:color="auto"/>
            </w:tcBorders>
            <w:shd w:val="clear" w:color="auto" w:fill="auto"/>
            <w:hideMark/>
          </w:tcPr>
          <w:p w14:paraId="79DE917C"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2 584 020</w:t>
            </w:r>
          </w:p>
        </w:tc>
        <w:tc>
          <w:tcPr>
            <w:tcW w:w="1200" w:type="dxa"/>
            <w:tcBorders>
              <w:top w:val="nil"/>
              <w:left w:val="nil"/>
              <w:bottom w:val="single" w:sz="4" w:space="0" w:color="auto"/>
              <w:right w:val="single" w:sz="4" w:space="0" w:color="auto"/>
            </w:tcBorders>
            <w:shd w:val="clear" w:color="auto" w:fill="auto"/>
            <w:hideMark/>
          </w:tcPr>
          <w:p w14:paraId="6A80311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-4 424 627</w:t>
            </w:r>
          </w:p>
        </w:tc>
      </w:tr>
      <w:tr w:rsidR="0093441E" w:rsidRPr="002A7673" w14:paraId="2AAA22F0"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2E3AD7E8"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Maquinaria y equipo diverso</w:t>
            </w:r>
          </w:p>
        </w:tc>
        <w:tc>
          <w:tcPr>
            <w:tcW w:w="1240" w:type="dxa"/>
            <w:tcBorders>
              <w:top w:val="nil"/>
              <w:left w:val="nil"/>
              <w:bottom w:val="single" w:sz="4" w:space="0" w:color="auto"/>
              <w:right w:val="single" w:sz="4" w:space="0" w:color="auto"/>
            </w:tcBorders>
            <w:shd w:val="clear" w:color="auto" w:fill="auto"/>
            <w:hideMark/>
          </w:tcPr>
          <w:p w14:paraId="22799C3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4 128 210</w:t>
            </w:r>
          </w:p>
        </w:tc>
        <w:tc>
          <w:tcPr>
            <w:tcW w:w="1240" w:type="dxa"/>
            <w:tcBorders>
              <w:top w:val="nil"/>
              <w:left w:val="nil"/>
              <w:bottom w:val="single" w:sz="4" w:space="0" w:color="auto"/>
              <w:right w:val="single" w:sz="4" w:space="0" w:color="auto"/>
            </w:tcBorders>
            <w:shd w:val="clear" w:color="auto" w:fill="auto"/>
            <w:hideMark/>
          </w:tcPr>
          <w:p w14:paraId="2E6A1DD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3 948 853</w:t>
            </w:r>
          </w:p>
        </w:tc>
        <w:tc>
          <w:tcPr>
            <w:tcW w:w="1200" w:type="dxa"/>
            <w:tcBorders>
              <w:top w:val="nil"/>
              <w:left w:val="nil"/>
              <w:bottom w:val="single" w:sz="4" w:space="0" w:color="auto"/>
              <w:right w:val="single" w:sz="4" w:space="0" w:color="auto"/>
            </w:tcBorders>
            <w:shd w:val="clear" w:color="auto" w:fill="auto"/>
            <w:hideMark/>
          </w:tcPr>
          <w:p w14:paraId="38081F6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-179 357</w:t>
            </w:r>
          </w:p>
        </w:tc>
      </w:tr>
      <w:tr w:rsidR="0093441E" w:rsidRPr="002A7673" w14:paraId="317EDAF6"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5C0B2D93"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Edificios</w:t>
            </w:r>
          </w:p>
        </w:tc>
        <w:tc>
          <w:tcPr>
            <w:tcW w:w="1240" w:type="dxa"/>
            <w:tcBorders>
              <w:top w:val="nil"/>
              <w:left w:val="nil"/>
              <w:bottom w:val="single" w:sz="4" w:space="0" w:color="auto"/>
              <w:right w:val="single" w:sz="4" w:space="0" w:color="auto"/>
            </w:tcBorders>
            <w:shd w:val="clear" w:color="auto" w:fill="auto"/>
            <w:hideMark/>
          </w:tcPr>
          <w:p w14:paraId="33E038D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1 470 000</w:t>
            </w:r>
          </w:p>
        </w:tc>
        <w:tc>
          <w:tcPr>
            <w:tcW w:w="1240" w:type="dxa"/>
            <w:tcBorders>
              <w:top w:val="nil"/>
              <w:left w:val="nil"/>
              <w:bottom w:val="single" w:sz="4" w:space="0" w:color="auto"/>
              <w:right w:val="single" w:sz="4" w:space="0" w:color="auto"/>
            </w:tcBorders>
            <w:shd w:val="clear" w:color="auto" w:fill="auto"/>
            <w:hideMark/>
          </w:tcPr>
          <w:p w14:paraId="3BF090A7"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11 000 000</w:t>
            </w:r>
          </w:p>
        </w:tc>
        <w:tc>
          <w:tcPr>
            <w:tcW w:w="1200" w:type="dxa"/>
            <w:tcBorders>
              <w:top w:val="nil"/>
              <w:left w:val="nil"/>
              <w:bottom w:val="single" w:sz="4" w:space="0" w:color="auto"/>
              <w:right w:val="single" w:sz="4" w:space="0" w:color="auto"/>
            </w:tcBorders>
            <w:shd w:val="clear" w:color="auto" w:fill="auto"/>
            <w:hideMark/>
          </w:tcPr>
          <w:p w14:paraId="16EA31A2"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9 530 000</w:t>
            </w:r>
          </w:p>
        </w:tc>
      </w:tr>
      <w:tr w:rsidR="0093441E" w:rsidRPr="002A7673" w14:paraId="31DCBE43"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6AA2D14D"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Bienes intangibles</w:t>
            </w:r>
          </w:p>
        </w:tc>
        <w:tc>
          <w:tcPr>
            <w:tcW w:w="1240" w:type="dxa"/>
            <w:tcBorders>
              <w:top w:val="nil"/>
              <w:left w:val="nil"/>
              <w:bottom w:val="single" w:sz="4" w:space="0" w:color="auto"/>
              <w:right w:val="single" w:sz="4" w:space="0" w:color="auto"/>
            </w:tcBorders>
            <w:shd w:val="clear" w:color="auto" w:fill="auto"/>
            <w:hideMark/>
          </w:tcPr>
          <w:p w14:paraId="0344712F"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196 000</w:t>
            </w:r>
          </w:p>
        </w:tc>
        <w:tc>
          <w:tcPr>
            <w:tcW w:w="1240" w:type="dxa"/>
            <w:tcBorders>
              <w:top w:val="nil"/>
              <w:left w:val="nil"/>
              <w:bottom w:val="single" w:sz="4" w:space="0" w:color="auto"/>
              <w:right w:val="single" w:sz="4" w:space="0" w:color="auto"/>
            </w:tcBorders>
            <w:shd w:val="clear" w:color="auto" w:fill="auto"/>
            <w:hideMark/>
          </w:tcPr>
          <w:p w14:paraId="73B6D55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840 000</w:t>
            </w:r>
          </w:p>
        </w:tc>
        <w:tc>
          <w:tcPr>
            <w:tcW w:w="1200" w:type="dxa"/>
            <w:tcBorders>
              <w:top w:val="nil"/>
              <w:left w:val="nil"/>
              <w:bottom w:val="single" w:sz="4" w:space="0" w:color="auto"/>
              <w:right w:val="single" w:sz="4" w:space="0" w:color="auto"/>
            </w:tcBorders>
            <w:shd w:val="clear" w:color="auto" w:fill="auto"/>
            <w:hideMark/>
          </w:tcPr>
          <w:p w14:paraId="482440F4"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644 000</w:t>
            </w:r>
          </w:p>
        </w:tc>
      </w:tr>
      <w:tr w:rsidR="0093441E" w:rsidRPr="002A7673" w14:paraId="462D8611"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7C7BE036"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Otros bienes duraderos</w:t>
            </w:r>
          </w:p>
        </w:tc>
        <w:tc>
          <w:tcPr>
            <w:tcW w:w="1240" w:type="dxa"/>
            <w:tcBorders>
              <w:top w:val="nil"/>
              <w:left w:val="nil"/>
              <w:bottom w:val="single" w:sz="4" w:space="0" w:color="auto"/>
              <w:right w:val="single" w:sz="4" w:space="0" w:color="auto"/>
            </w:tcBorders>
            <w:shd w:val="clear" w:color="auto" w:fill="auto"/>
            <w:hideMark/>
          </w:tcPr>
          <w:p w14:paraId="37556995"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0</w:t>
            </w:r>
          </w:p>
        </w:tc>
        <w:tc>
          <w:tcPr>
            <w:tcW w:w="1240" w:type="dxa"/>
            <w:tcBorders>
              <w:top w:val="nil"/>
              <w:left w:val="nil"/>
              <w:bottom w:val="single" w:sz="4" w:space="0" w:color="auto"/>
              <w:right w:val="single" w:sz="4" w:space="0" w:color="auto"/>
            </w:tcBorders>
            <w:shd w:val="clear" w:color="auto" w:fill="auto"/>
            <w:hideMark/>
          </w:tcPr>
          <w:p w14:paraId="62C05D9B"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64 410</w:t>
            </w:r>
          </w:p>
        </w:tc>
        <w:tc>
          <w:tcPr>
            <w:tcW w:w="1200" w:type="dxa"/>
            <w:tcBorders>
              <w:top w:val="nil"/>
              <w:left w:val="nil"/>
              <w:bottom w:val="single" w:sz="4" w:space="0" w:color="auto"/>
              <w:right w:val="single" w:sz="4" w:space="0" w:color="auto"/>
            </w:tcBorders>
            <w:shd w:val="clear" w:color="auto" w:fill="auto"/>
            <w:hideMark/>
          </w:tcPr>
          <w:p w14:paraId="08D3F368"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64 410</w:t>
            </w:r>
          </w:p>
        </w:tc>
      </w:tr>
      <w:tr w:rsidR="0093441E" w:rsidRPr="002A7673" w14:paraId="24036ED5"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5B7D173C"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Becas a funcionarios</w:t>
            </w:r>
          </w:p>
        </w:tc>
        <w:tc>
          <w:tcPr>
            <w:tcW w:w="1240" w:type="dxa"/>
            <w:tcBorders>
              <w:top w:val="nil"/>
              <w:left w:val="nil"/>
              <w:bottom w:val="single" w:sz="4" w:space="0" w:color="auto"/>
              <w:right w:val="single" w:sz="4" w:space="0" w:color="auto"/>
            </w:tcBorders>
            <w:shd w:val="clear" w:color="auto" w:fill="auto"/>
            <w:hideMark/>
          </w:tcPr>
          <w:p w14:paraId="68F14990"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5 636 560</w:t>
            </w:r>
          </w:p>
        </w:tc>
        <w:tc>
          <w:tcPr>
            <w:tcW w:w="1240" w:type="dxa"/>
            <w:tcBorders>
              <w:top w:val="nil"/>
              <w:left w:val="nil"/>
              <w:bottom w:val="single" w:sz="4" w:space="0" w:color="auto"/>
              <w:right w:val="single" w:sz="4" w:space="0" w:color="auto"/>
            </w:tcBorders>
            <w:shd w:val="clear" w:color="auto" w:fill="auto"/>
            <w:hideMark/>
          </w:tcPr>
          <w:p w14:paraId="0BA00151"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8 608 078</w:t>
            </w:r>
          </w:p>
        </w:tc>
        <w:tc>
          <w:tcPr>
            <w:tcW w:w="1200" w:type="dxa"/>
            <w:tcBorders>
              <w:top w:val="nil"/>
              <w:left w:val="nil"/>
              <w:bottom w:val="single" w:sz="4" w:space="0" w:color="auto"/>
              <w:right w:val="single" w:sz="4" w:space="0" w:color="auto"/>
            </w:tcBorders>
            <w:shd w:val="clear" w:color="auto" w:fill="auto"/>
            <w:hideMark/>
          </w:tcPr>
          <w:p w14:paraId="145F386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2 971 518</w:t>
            </w:r>
          </w:p>
        </w:tc>
      </w:tr>
      <w:tr w:rsidR="0093441E" w:rsidRPr="002A7673" w14:paraId="672DB2F1"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32BFA9B0"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Prestaciones legales</w:t>
            </w:r>
          </w:p>
        </w:tc>
        <w:tc>
          <w:tcPr>
            <w:tcW w:w="1240" w:type="dxa"/>
            <w:tcBorders>
              <w:top w:val="nil"/>
              <w:left w:val="nil"/>
              <w:bottom w:val="single" w:sz="4" w:space="0" w:color="auto"/>
              <w:right w:val="single" w:sz="4" w:space="0" w:color="auto"/>
            </w:tcBorders>
            <w:shd w:val="clear" w:color="auto" w:fill="auto"/>
            <w:hideMark/>
          </w:tcPr>
          <w:p w14:paraId="7DDD834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1 386 503 765</w:t>
            </w:r>
          </w:p>
        </w:tc>
        <w:tc>
          <w:tcPr>
            <w:tcW w:w="1240" w:type="dxa"/>
            <w:tcBorders>
              <w:top w:val="nil"/>
              <w:left w:val="nil"/>
              <w:bottom w:val="single" w:sz="4" w:space="0" w:color="auto"/>
              <w:right w:val="single" w:sz="4" w:space="0" w:color="auto"/>
            </w:tcBorders>
            <w:shd w:val="clear" w:color="auto" w:fill="auto"/>
            <w:hideMark/>
          </w:tcPr>
          <w:p w14:paraId="3602196E"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928 800 000</w:t>
            </w:r>
          </w:p>
        </w:tc>
        <w:tc>
          <w:tcPr>
            <w:tcW w:w="1200" w:type="dxa"/>
            <w:tcBorders>
              <w:top w:val="nil"/>
              <w:left w:val="nil"/>
              <w:bottom w:val="single" w:sz="4" w:space="0" w:color="auto"/>
              <w:right w:val="single" w:sz="4" w:space="0" w:color="auto"/>
            </w:tcBorders>
            <w:shd w:val="clear" w:color="auto" w:fill="auto"/>
            <w:hideMark/>
          </w:tcPr>
          <w:p w14:paraId="09965453"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-457 703 765</w:t>
            </w:r>
          </w:p>
        </w:tc>
      </w:tr>
      <w:tr w:rsidR="0093441E" w:rsidRPr="002A7673" w14:paraId="6E79D7ED" w14:textId="77777777" w:rsidTr="0048334E">
        <w:trPr>
          <w:trHeight w:val="210"/>
          <w:jc w:val="center"/>
        </w:trPr>
        <w:tc>
          <w:tcPr>
            <w:tcW w:w="4580" w:type="dxa"/>
            <w:tcBorders>
              <w:top w:val="nil"/>
              <w:left w:val="single" w:sz="4" w:space="0" w:color="auto"/>
              <w:bottom w:val="single" w:sz="4" w:space="0" w:color="auto"/>
              <w:right w:val="single" w:sz="4" w:space="0" w:color="auto"/>
            </w:tcBorders>
            <w:shd w:val="clear" w:color="auto" w:fill="auto"/>
            <w:hideMark/>
          </w:tcPr>
          <w:p w14:paraId="5F36A9A1" w14:textId="77777777" w:rsidR="0093441E" w:rsidRPr="002A7673" w:rsidRDefault="0093441E" w:rsidP="0048334E">
            <w:pPr>
              <w:spacing w:after="0" w:line="240" w:lineRule="auto"/>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Transferencias corrientes a organismos internacionales</w:t>
            </w:r>
          </w:p>
        </w:tc>
        <w:tc>
          <w:tcPr>
            <w:tcW w:w="1240" w:type="dxa"/>
            <w:tcBorders>
              <w:top w:val="nil"/>
              <w:left w:val="nil"/>
              <w:bottom w:val="single" w:sz="4" w:space="0" w:color="auto"/>
              <w:right w:val="single" w:sz="4" w:space="0" w:color="auto"/>
            </w:tcBorders>
            <w:shd w:val="clear" w:color="auto" w:fill="auto"/>
            <w:hideMark/>
          </w:tcPr>
          <w:p w14:paraId="4F167CC6"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1 960 000</w:t>
            </w:r>
          </w:p>
        </w:tc>
        <w:tc>
          <w:tcPr>
            <w:tcW w:w="1240" w:type="dxa"/>
            <w:tcBorders>
              <w:top w:val="nil"/>
              <w:left w:val="nil"/>
              <w:bottom w:val="single" w:sz="4" w:space="0" w:color="auto"/>
              <w:right w:val="single" w:sz="4" w:space="0" w:color="auto"/>
            </w:tcBorders>
            <w:shd w:val="clear" w:color="auto" w:fill="auto"/>
            <w:hideMark/>
          </w:tcPr>
          <w:p w14:paraId="2CBD985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3 000 000</w:t>
            </w:r>
          </w:p>
        </w:tc>
        <w:tc>
          <w:tcPr>
            <w:tcW w:w="1200" w:type="dxa"/>
            <w:tcBorders>
              <w:top w:val="nil"/>
              <w:left w:val="nil"/>
              <w:bottom w:val="single" w:sz="4" w:space="0" w:color="auto"/>
              <w:right w:val="single" w:sz="4" w:space="0" w:color="auto"/>
            </w:tcBorders>
            <w:shd w:val="clear" w:color="auto" w:fill="auto"/>
            <w:hideMark/>
          </w:tcPr>
          <w:p w14:paraId="008AF8DD" w14:textId="77777777" w:rsidR="0093441E" w:rsidRPr="002A7673" w:rsidRDefault="0093441E" w:rsidP="0048334E">
            <w:pPr>
              <w:spacing w:after="0" w:line="240" w:lineRule="auto"/>
              <w:jc w:val="right"/>
              <w:rPr>
                <w:rFonts w:ascii="Times New Roman" w:hAnsi="Times New Roman" w:cs="Times New Roman"/>
                <w:color w:val="000000"/>
                <w:sz w:val="16"/>
                <w:szCs w:val="16"/>
                <w:lang w:eastAsia="es-CR"/>
              </w:rPr>
            </w:pPr>
            <w:r w:rsidRPr="002A7673">
              <w:rPr>
                <w:rFonts w:ascii="Times New Roman" w:hAnsi="Times New Roman" w:cs="Times New Roman"/>
                <w:color w:val="000000"/>
                <w:sz w:val="16"/>
                <w:szCs w:val="16"/>
                <w:lang w:eastAsia="es-CR"/>
              </w:rPr>
              <w:t>1 040 000</w:t>
            </w:r>
          </w:p>
        </w:tc>
      </w:tr>
      <w:tr w:rsidR="0093441E" w:rsidRPr="002A7673" w14:paraId="3E449E1A" w14:textId="77777777" w:rsidTr="0048334E">
        <w:trPr>
          <w:trHeight w:val="220"/>
          <w:jc w:val="center"/>
        </w:trPr>
        <w:tc>
          <w:tcPr>
            <w:tcW w:w="4580" w:type="dxa"/>
            <w:tcBorders>
              <w:top w:val="nil"/>
              <w:left w:val="single" w:sz="4" w:space="0" w:color="auto"/>
              <w:bottom w:val="single" w:sz="4" w:space="0" w:color="auto"/>
              <w:right w:val="single" w:sz="4" w:space="0" w:color="auto"/>
            </w:tcBorders>
            <w:shd w:val="clear" w:color="000000" w:fill="95B3D7"/>
            <w:vAlign w:val="center"/>
            <w:hideMark/>
          </w:tcPr>
          <w:p w14:paraId="535D8E4B" w14:textId="77777777" w:rsidR="0093441E" w:rsidRPr="002A7673" w:rsidRDefault="0093441E" w:rsidP="0048334E">
            <w:pPr>
              <w:spacing w:after="0" w:line="240" w:lineRule="auto"/>
              <w:jc w:val="center"/>
              <w:rPr>
                <w:rFonts w:ascii="Times New Roman" w:hAnsi="Times New Roman" w:cs="Times New Roman"/>
                <w:b/>
                <w:color w:val="000000"/>
                <w:sz w:val="16"/>
                <w:szCs w:val="16"/>
                <w:lang w:eastAsia="es-CR"/>
              </w:rPr>
            </w:pPr>
            <w:r w:rsidRPr="002A7673">
              <w:rPr>
                <w:rFonts w:ascii="Times New Roman" w:hAnsi="Times New Roman" w:cs="Times New Roman"/>
                <w:b/>
                <w:color w:val="000000"/>
                <w:sz w:val="16"/>
                <w:szCs w:val="16"/>
                <w:lang w:eastAsia="es-CR"/>
              </w:rPr>
              <w:t>TOTAL</w:t>
            </w:r>
          </w:p>
        </w:tc>
        <w:tc>
          <w:tcPr>
            <w:tcW w:w="1240" w:type="dxa"/>
            <w:tcBorders>
              <w:top w:val="nil"/>
              <w:left w:val="nil"/>
              <w:bottom w:val="single" w:sz="4" w:space="0" w:color="auto"/>
              <w:right w:val="single" w:sz="4" w:space="0" w:color="auto"/>
            </w:tcBorders>
            <w:shd w:val="clear" w:color="000000" w:fill="95B3D7"/>
            <w:vAlign w:val="center"/>
            <w:hideMark/>
          </w:tcPr>
          <w:p w14:paraId="4728A78A" w14:textId="77777777" w:rsidR="0093441E" w:rsidRPr="002A7673" w:rsidRDefault="0093441E" w:rsidP="0048334E">
            <w:pPr>
              <w:spacing w:after="0" w:line="240" w:lineRule="auto"/>
              <w:jc w:val="right"/>
              <w:rPr>
                <w:rFonts w:ascii="Times New Roman" w:hAnsi="Times New Roman" w:cs="Times New Roman"/>
                <w:b/>
                <w:color w:val="000000"/>
                <w:sz w:val="16"/>
                <w:szCs w:val="16"/>
                <w:lang w:eastAsia="es-CR"/>
              </w:rPr>
            </w:pPr>
            <w:r w:rsidRPr="002A7673">
              <w:rPr>
                <w:rFonts w:ascii="Times New Roman" w:hAnsi="Times New Roman" w:cs="Times New Roman"/>
                <w:b/>
                <w:color w:val="000000"/>
                <w:sz w:val="16"/>
                <w:szCs w:val="16"/>
                <w:lang w:eastAsia="es-CR"/>
              </w:rPr>
              <w:t>15 148 125 537</w:t>
            </w:r>
          </w:p>
        </w:tc>
        <w:tc>
          <w:tcPr>
            <w:tcW w:w="1240" w:type="dxa"/>
            <w:tcBorders>
              <w:top w:val="nil"/>
              <w:left w:val="nil"/>
              <w:bottom w:val="single" w:sz="4" w:space="0" w:color="auto"/>
              <w:right w:val="single" w:sz="4" w:space="0" w:color="auto"/>
            </w:tcBorders>
            <w:shd w:val="clear" w:color="000000" w:fill="95B3D7"/>
            <w:vAlign w:val="center"/>
            <w:hideMark/>
          </w:tcPr>
          <w:p w14:paraId="7DB0403B" w14:textId="77777777" w:rsidR="0093441E" w:rsidRPr="002A7673" w:rsidRDefault="0093441E" w:rsidP="0048334E">
            <w:pPr>
              <w:spacing w:after="0" w:line="240" w:lineRule="auto"/>
              <w:jc w:val="right"/>
              <w:rPr>
                <w:rFonts w:ascii="Times New Roman" w:hAnsi="Times New Roman" w:cs="Times New Roman"/>
                <w:b/>
                <w:color w:val="000000"/>
                <w:sz w:val="16"/>
                <w:szCs w:val="16"/>
                <w:lang w:eastAsia="es-CR"/>
              </w:rPr>
            </w:pPr>
            <w:r w:rsidRPr="002A7673">
              <w:rPr>
                <w:rFonts w:ascii="Times New Roman" w:hAnsi="Times New Roman" w:cs="Times New Roman"/>
                <w:b/>
                <w:color w:val="000000"/>
                <w:sz w:val="16"/>
                <w:szCs w:val="16"/>
                <w:lang w:eastAsia="es-CR"/>
              </w:rPr>
              <w:t>13 870 418 327</w:t>
            </w:r>
          </w:p>
        </w:tc>
        <w:tc>
          <w:tcPr>
            <w:tcW w:w="1200" w:type="dxa"/>
            <w:tcBorders>
              <w:top w:val="nil"/>
              <w:left w:val="nil"/>
              <w:bottom w:val="single" w:sz="4" w:space="0" w:color="auto"/>
              <w:right w:val="single" w:sz="4" w:space="0" w:color="auto"/>
            </w:tcBorders>
            <w:shd w:val="clear" w:color="000000" w:fill="95B3D7"/>
            <w:vAlign w:val="center"/>
            <w:hideMark/>
          </w:tcPr>
          <w:p w14:paraId="6D9D153C" w14:textId="77777777" w:rsidR="0093441E" w:rsidRPr="002A7673" w:rsidRDefault="0093441E" w:rsidP="0048334E">
            <w:pPr>
              <w:spacing w:after="0" w:line="240" w:lineRule="auto"/>
              <w:jc w:val="right"/>
              <w:rPr>
                <w:rFonts w:ascii="Times New Roman" w:hAnsi="Times New Roman" w:cs="Times New Roman"/>
                <w:b/>
                <w:color w:val="000000"/>
                <w:sz w:val="16"/>
                <w:szCs w:val="16"/>
                <w:lang w:eastAsia="es-CR"/>
              </w:rPr>
            </w:pPr>
            <w:r w:rsidRPr="002A7673">
              <w:rPr>
                <w:rFonts w:ascii="Times New Roman" w:hAnsi="Times New Roman" w:cs="Times New Roman"/>
                <w:b/>
                <w:color w:val="000000"/>
                <w:sz w:val="16"/>
                <w:szCs w:val="16"/>
                <w:lang w:eastAsia="es-CR"/>
              </w:rPr>
              <w:t>-1 277 707 210</w:t>
            </w:r>
          </w:p>
        </w:tc>
      </w:tr>
    </w:tbl>
    <w:p w14:paraId="6972164C" w14:textId="77777777" w:rsidR="0093441E" w:rsidRPr="002A7673" w:rsidRDefault="0093441E" w:rsidP="0093441E">
      <w:pPr>
        <w:spacing w:after="0" w:line="360" w:lineRule="auto"/>
        <w:rPr>
          <w:rFonts w:ascii="Times New Roman" w:hAnsi="Times New Roman" w:cs="Times New Roman"/>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58CE4D0E" w14:textId="77777777" w:rsidR="0093441E" w:rsidRPr="002A7673" w:rsidRDefault="0093441E" w:rsidP="0093441E">
      <w:pPr>
        <w:spacing w:after="0" w:line="360" w:lineRule="auto"/>
        <w:rPr>
          <w:rFonts w:ascii="Times New Roman" w:hAnsi="Times New Roman" w:cs="Times New Roman"/>
        </w:rPr>
      </w:pPr>
    </w:p>
    <w:p w14:paraId="7D6EFE0E"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En el siguiente gráfico se muestran las subpartidas con más recursos formulados en el anteproyecto de presupuesto 2022, para el programa presupuestario 927 Servicio Jurisdiccional.</w:t>
      </w:r>
    </w:p>
    <w:p w14:paraId="26155579" w14:textId="77777777" w:rsidR="0093441E" w:rsidRPr="002A7673" w:rsidRDefault="0093441E" w:rsidP="0093441E">
      <w:pPr>
        <w:spacing w:after="0" w:line="360" w:lineRule="auto"/>
        <w:rPr>
          <w:rFonts w:ascii="Times New Roman" w:hAnsi="Times New Roman" w:cs="Times New Roman"/>
          <w:noProof/>
        </w:rPr>
      </w:pPr>
    </w:p>
    <w:p w14:paraId="1B7CDC80"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drawing>
          <wp:inline distT="0" distB="0" distL="0" distR="0" wp14:anchorId="67E2F000" wp14:editId="081E292A">
            <wp:extent cx="5283201" cy="4340226"/>
            <wp:effectExtent l="0" t="0" r="12700" b="3175"/>
            <wp:docPr id="55" name="Gráfico 55">
              <a:extLst xmlns:a="http://schemas.openxmlformats.org/drawingml/2006/main">
                <a:ext uri="{FF2B5EF4-FFF2-40B4-BE49-F238E27FC236}">
                  <a16:creationId xmlns:a16="http://schemas.microsoft.com/office/drawing/2014/main" id="{0B8D5646-DF92-458F-B53A-2946739BDC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2023D04D" w14:textId="77777777" w:rsidR="0093441E" w:rsidRPr="002A7673" w:rsidRDefault="0093441E" w:rsidP="0093441E">
      <w:pPr>
        <w:spacing w:after="0" w:line="360" w:lineRule="auto"/>
        <w:ind w:firstLine="708"/>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18FADD7C" w14:textId="77777777" w:rsidR="0093441E" w:rsidRPr="002A7673" w:rsidRDefault="0093441E" w:rsidP="0093441E">
      <w:pPr>
        <w:spacing w:after="0" w:line="360" w:lineRule="auto"/>
        <w:rPr>
          <w:rFonts w:ascii="Times New Roman" w:hAnsi="Times New Roman" w:cs="Times New Roman"/>
        </w:rPr>
      </w:pPr>
    </w:p>
    <w:p w14:paraId="531747C5" w14:textId="328AABDB" w:rsidR="0093441E" w:rsidRPr="002A7673" w:rsidRDefault="0093441E" w:rsidP="0021131C">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Se observa en el gráfico que la subpartida de Alquiler de Edificios concentra la mayor cantidad de recursos, seguida de las subpartidas: Servicio de Telecomunicaciones, Servicios Generales (contratos de limpieza y seguridad), Servicio </w:t>
      </w:r>
      <w:r w:rsidRPr="002A7673">
        <w:rPr>
          <w:rFonts w:ascii="Times New Roman" w:hAnsi="Times New Roman" w:cs="Times New Roman"/>
          <w:sz w:val="28"/>
          <w:szCs w:val="28"/>
        </w:rPr>
        <w:lastRenderedPageBreak/>
        <w:t xml:space="preserve">de Energía Eléctrica, Prestaciones Legales, Alquiler de Equipo de Cómputo y Servicio de Agua. </w:t>
      </w:r>
    </w:p>
    <w:p w14:paraId="3F292250" w14:textId="77777777" w:rsidR="0093441E" w:rsidRPr="002A7673" w:rsidRDefault="0093441E" w:rsidP="0021131C">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el siguiente cuadro se muestran las subpartidas que más crecen en el programa 927 Servicio Jurisdiccional.</w:t>
      </w:r>
    </w:p>
    <w:p w14:paraId="2816376C" w14:textId="77777777" w:rsidR="0093441E" w:rsidRPr="002A7673" w:rsidRDefault="0093441E" w:rsidP="0093441E">
      <w:pPr>
        <w:spacing w:after="0" w:line="360" w:lineRule="auto"/>
        <w:rPr>
          <w:rFonts w:ascii="Times New Roman" w:hAnsi="Times New Roman" w:cs="Times New Roman"/>
        </w:rPr>
      </w:pPr>
    </w:p>
    <w:p w14:paraId="7758F456"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drawing>
          <wp:inline distT="0" distB="0" distL="0" distR="0" wp14:anchorId="081DEFBA" wp14:editId="7F826046">
            <wp:extent cx="5612130" cy="1965325"/>
            <wp:effectExtent l="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12130" cy="1965325"/>
                    </a:xfrm>
                    <a:prstGeom prst="rect">
                      <a:avLst/>
                    </a:prstGeom>
                    <a:noFill/>
                    <a:ln>
                      <a:noFill/>
                    </a:ln>
                  </pic:spPr>
                </pic:pic>
              </a:graphicData>
            </a:graphic>
          </wp:inline>
        </w:drawing>
      </w:r>
      <w:r w:rsidRPr="002A7673">
        <w:rPr>
          <w:rFonts w:ascii="Times New Roman" w:hAnsi="Times New Roman" w:cs="Times New Roman"/>
        </w:rPr>
        <w:t xml:space="preserve"> </w:t>
      </w:r>
    </w:p>
    <w:p w14:paraId="2AA279BC" w14:textId="77777777" w:rsidR="0093441E" w:rsidRPr="002A7673" w:rsidRDefault="0093441E" w:rsidP="0093441E">
      <w:pPr>
        <w:spacing w:after="0" w:line="360" w:lineRule="auto"/>
        <w:rPr>
          <w:rFonts w:ascii="Times New Roman" w:hAnsi="Times New Roman" w:cs="Times New Roman"/>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3624E9C1" w14:textId="77777777" w:rsidR="0093441E" w:rsidRPr="002A7673" w:rsidRDefault="0093441E" w:rsidP="0093441E">
      <w:pPr>
        <w:spacing w:after="0" w:line="360" w:lineRule="auto"/>
        <w:rPr>
          <w:rFonts w:ascii="Times New Roman" w:hAnsi="Times New Roman" w:cs="Times New Roman"/>
        </w:rPr>
      </w:pPr>
    </w:p>
    <w:p w14:paraId="41285D64"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el programa 927 Servicio Jurisdiccional se presentan subpartidas que decrecieron considerablemente, en el siguiente cuadro se muestran las más relevantes.</w:t>
      </w:r>
    </w:p>
    <w:p w14:paraId="44939BB8" w14:textId="77777777" w:rsidR="0093441E" w:rsidRPr="002A7673" w:rsidRDefault="0093441E" w:rsidP="0093441E">
      <w:pPr>
        <w:spacing w:after="0" w:line="360" w:lineRule="auto"/>
        <w:rPr>
          <w:rFonts w:ascii="Times New Roman" w:hAnsi="Times New Roman" w:cs="Times New Roman"/>
        </w:rPr>
      </w:pPr>
    </w:p>
    <w:p w14:paraId="6DC9CC3D"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lastRenderedPageBreak/>
        <w:drawing>
          <wp:inline distT="0" distB="0" distL="0" distR="0" wp14:anchorId="47B455FD" wp14:editId="6C53AECA">
            <wp:extent cx="5612130" cy="2486025"/>
            <wp:effectExtent l="0" t="0" r="762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2130" cy="2486025"/>
                    </a:xfrm>
                    <a:prstGeom prst="rect">
                      <a:avLst/>
                    </a:prstGeom>
                    <a:noFill/>
                    <a:ln>
                      <a:noFill/>
                    </a:ln>
                  </pic:spPr>
                </pic:pic>
              </a:graphicData>
            </a:graphic>
          </wp:inline>
        </w:drawing>
      </w:r>
    </w:p>
    <w:p w14:paraId="71AD3DAA" w14:textId="77777777" w:rsidR="0093441E" w:rsidRPr="002A7673" w:rsidRDefault="0093441E" w:rsidP="0093441E">
      <w:pPr>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1E238631" w14:textId="77777777" w:rsidR="0093441E" w:rsidRPr="002A7673" w:rsidRDefault="0093441E" w:rsidP="0093441E">
      <w:pPr>
        <w:rPr>
          <w:rFonts w:ascii="Times New Roman" w:hAnsi="Times New Roman" w:cs="Times New Roman"/>
          <w:sz w:val="20"/>
          <w:szCs w:val="20"/>
        </w:rPr>
      </w:pPr>
    </w:p>
    <w:p w14:paraId="490D27E1" w14:textId="7F71D8BA" w:rsidR="0093441E" w:rsidRPr="00980170" w:rsidRDefault="0093441E" w:rsidP="00980170">
      <w:pPr>
        <w:numPr>
          <w:ilvl w:val="0"/>
          <w:numId w:val="28"/>
        </w:numPr>
        <w:spacing w:after="0" w:line="480" w:lineRule="auto"/>
        <w:ind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Comportamiento del Gasto Corriente y Gasto de Capital Programas 926 Dirección, Administración y Otros Órganos de Apoyo y 927 Servicio Jurisdiccional</w:t>
      </w:r>
    </w:p>
    <w:p w14:paraId="18BFB670"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cuanto al comportamiento del gasto corriente y gasto de capital de los programas 926 Dirección, Administración y Otros Órganos de Apoyo y 927 Servicio Jurisdiccional, en el anteproyecto de presupuesto del 2022 se presenta incremento tanto en el gasto corriente (0,13%), como en el gasto de capital (7,68%). Según se muestra en el siguiente cuadro, la diferencia total absoluta es de ¢1.042.738.680.</w:t>
      </w:r>
    </w:p>
    <w:p w14:paraId="0DC6960C" w14:textId="77777777" w:rsidR="0093441E" w:rsidRPr="002A7673" w:rsidRDefault="0093441E" w:rsidP="0093441E">
      <w:pPr>
        <w:spacing w:after="0" w:line="360" w:lineRule="auto"/>
        <w:rPr>
          <w:rFonts w:ascii="Times New Roman" w:hAnsi="Times New Roman" w:cs="Times New Roman"/>
        </w:rPr>
      </w:pPr>
    </w:p>
    <w:p w14:paraId="1676F60C"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lastRenderedPageBreak/>
        <w:drawing>
          <wp:inline distT="0" distB="0" distL="0" distR="0" wp14:anchorId="61655A17" wp14:editId="083E14FA">
            <wp:extent cx="4902200" cy="11112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02200" cy="1111250"/>
                    </a:xfrm>
                    <a:prstGeom prst="rect">
                      <a:avLst/>
                    </a:prstGeom>
                    <a:noFill/>
                    <a:ln>
                      <a:noFill/>
                    </a:ln>
                  </pic:spPr>
                </pic:pic>
              </a:graphicData>
            </a:graphic>
          </wp:inline>
        </w:drawing>
      </w:r>
    </w:p>
    <w:p w14:paraId="6CC9D9DD" w14:textId="77777777" w:rsidR="0093441E" w:rsidRPr="002A7673" w:rsidRDefault="0093441E" w:rsidP="0093441E">
      <w:pPr>
        <w:spacing w:after="0" w:line="360" w:lineRule="auto"/>
        <w:rPr>
          <w:rFonts w:ascii="Times New Roman" w:hAnsi="Times New Roman" w:cs="Times New Roman"/>
        </w:rPr>
      </w:pPr>
      <w:r w:rsidRPr="002A7673">
        <w:rPr>
          <w:rFonts w:ascii="Times New Roman" w:hAnsi="Times New Roman" w:cs="Times New Roman"/>
        </w:rPr>
        <w:tab/>
      </w: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16B7D345" w14:textId="77777777" w:rsidR="0093441E" w:rsidRPr="002A7673" w:rsidRDefault="0093441E" w:rsidP="00885CDC">
      <w:pPr>
        <w:spacing w:after="0" w:line="480" w:lineRule="auto"/>
        <w:ind w:left="57" w:firstLine="709"/>
        <w:jc w:val="both"/>
        <w:rPr>
          <w:rFonts w:ascii="Times New Roman" w:hAnsi="Times New Roman" w:cs="Times New Roman"/>
          <w:sz w:val="28"/>
          <w:szCs w:val="28"/>
        </w:rPr>
      </w:pPr>
    </w:p>
    <w:p w14:paraId="2530CBC5" w14:textId="77777777" w:rsidR="0093441E" w:rsidRPr="002A7673" w:rsidRDefault="0093441E" w:rsidP="00FF3FAC">
      <w:pPr>
        <w:numPr>
          <w:ilvl w:val="0"/>
          <w:numId w:val="38"/>
        </w:numPr>
        <w:spacing w:after="0" w:line="480" w:lineRule="auto"/>
        <w:ind w:left="0"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Comportamiento del Gasto Corriente y Gasto de Capital Programa 926 Dirección, Administración y Otros Órganos de Apoyo</w:t>
      </w:r>
    </w:p>
    <w:p w14:paraId="5C0605E7" w14:textId="77777777" w:rsidR="0093441E" w:rsidRPr="002A7673" w:rsidRDefault="0093441E" w:rsidP="0093441E">
      <w:pPr>
        <w:spacing w:after="0" w:line="480" w:lineRule="auto"/>
        <w:ind w:firstLine="709"/>
        <w:jc w:val="both"/>
        <w:rPr>
          <w:rFonts w:ascii="Times New Roman" w:hAnsi="Times New Roman" w:cs="Times New Roman"/>
          <w:b/>
          <w:bCs/>
          <w:sz w:val="28"/>
          <w:szCs w:val="28"/>
        </w:rPr>
      </w:pPr>
    </w:p>
    <w:p w14:paraId="6E1D57BD" w14:textId="77777777" w:rsidR="0093441E" w:rsidRPr="002A7673" w:rsidRDefault="0093441E" w:rsidP="00885CDC">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el programa 926 Dirección, Administración y Otros Órganos de Apoyo, se presenta un incremento tanto en el gasto corriente (6,72%), como en el gasto de capital (8,91%). Según se muestra en el siguiente cuadro, la diferencia total absoluta es de ¢2.320.445.890 con respecto al aprobado para el año 2021.</w:t>
      </w:r>
    </w:p>
    <w:p w14:paraId="76BBF248"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234AA17B"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drawing>
          <wp:inline distT="0" distB="0" distL="0" distR="0" wp14:anchorId="50B76E85" wp14:editId="2817CAE5">
            <wp:extent cx="4978400" cy="927100"/>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978400" cy="927100"/>
                    </a:xfrm>
                    <a:prstGeom prst="rect">
                      <a:avLst/>
                    </a:prstGeom>
                    <a:noFill/>
                    <a:ln>
                      <a:noFill/>
                    </a:ln>
                  </pic:spPr>
                </pic:pic>
              </a:graphicData>
            </a:graphic>
          </wp:inline>
        </w:drawing>
      </w:r>
    </w:p>
    <w:p w14:paraId="01219FC3" w14:textId="77777777" w:rsidR="0093441E" w:rsidRPr="002A7673" w:rsidRDefault="0093441E" w:rsidP="0093441E">
      <w:pPr>
        <w:spacing w:after="0" w:line="360" w:lineRule="auto"/>
        <w:ind w:firstLine="708"/>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01FAB889" w14:textId="77777777" w:rsidR="0093441E" w:rsidRPr="002A7673" w:rsidRDefault="0093441E" w:rsidP="0093441E">
      <w:pPr>
        <w:spacing w:after="0" w:line="360" w:lineRule="auto"/>
        <w:rPr>
          <w:rFonts w:ascii="Times New Roman" w:hAnsi="Times New Roman" w:cs="Times New Roman"/>
        </w:rPr>
      </w:pPr>
    </w:p>
    <w:p w14:paraId="0A86183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cuanto al incremento en el gasto corriente del programa 926 Dirección, Administración y Otros Órganos de Apoyo, se presenta principalmente en las siguientes subpartidas:</w:t>
      </w:r>
    </w:p>
    <w:p w14:paraId="555AEC85" w14:textId="77777777" w:rsidR="0093441E" w:rsidRPr="002A7673" w:rsidRDefault="0093441E" w:rsidP="0093441E">
      <w:pPr>
        <w:numPr>
          <w:ilvl w:val="0"/>
          <w:numId w:val="28"/>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lastRenderedPageBreak/>
        <w:t>Subpartida 10406 Servicios Generales aumenta en ¢698.814.122</w:t>
      </w:r>
    </w:p>
    <w:p w14:paraId="1C309E48" w14:textId="77777777" w:rsidR="0093441E" w:rsidRPr="002A7673" w:rsidRDefault="0093441E" w:rsidP="0093441E">
      <w:pPr>
        <w:numPr>
          <w:ilvl w:val="0"/>
          <w:numId w:val="28"/>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10801 Mantenimiento de Edificios y Locales aumenta en ¢372.079.790</w:t>
      </w:r>
    </w:p>
    <w:p w14:paraId="1034E31C" w14:textId="77777777" w:rsidR="0093441E" w:rsidRPr="002A7673" w:rsidRDefault="0093441E" w:rsidP="0093441E">
      <w:pPr>
        <w:numPr>
          <w:ilvl w:val="0"/>
          <w:numId w:val="28"/>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10204 Servicio de Telecomunicaciones aumenta en ¢270.257.385</w:t>
      </w:r>
    </w:p>
    <w:p w14:paraId="57F9706D" w14:textId="77777777" w:rsidR="0093441E" w:rsidRPr="002A7673" w:rsidRDefault="0093441E" w:rsidP="0093441E">
      <w:pPr>
        <w:numPr>
          <w:ilvl w:val="0"/>
          <w:numId w:val="28"/>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10103 Alquiler de Equipo de Cómputo aumenta en ¢241.084.648</w:t>
      </w:r>
    </w:p>
    <w:p w14:paraId="175AFBD6"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187C0C59"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cuanto al incremento en el gasto de capital se presenta principalmente en las siguientes subpartidas:</w:t>
      </w:r>
    </w:p>
    <w:p w14:paraId="69F2705F" w14:textId="77777777" w:rsidR="0093441E" w:rsidRPr="002A7673" w:rsidRDefault="0093441E" w:rsidP="00FF3FAC">
      <w:pPr>
        <w:numPr>
          <w:ilvl w:val="0"/>
          <w:numId w:val="37"/>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50201 Edificios aumenta en ¢1.326.140.186</w:t>
      </w:r>
    </w:p>
    <w:p w14:paraId="14CDD5A4" w14:textId="77777777" w:rsidR="0093441E" w:rsidRPr="002A7673" w:rsidRDefault="0093441E" w:rsidP="00FF3FAC">
      <w:pPr>
        <w:numPr>
          <w:ilvl w:val="0"/>
          <w:numId w:val="37"/>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59903 Bienes Intangibles aumenta en ¢316.912.193</w:t>
      </w:r>
    </w:p>
    <w:p w14:paraId="3789A1FC" w14:textId="77777777" w:rsidR="0093441E" w:rsidRPr="002A7673" w:rsidRDefault="0093441E" w:rsidP="00FF3FAC">
      <w:pPr>
        <w:numPr>
          <w:ilvl w:val="0"/>
          <w:numId w:val="37"/>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50102 Equipo de Transporte aumenta en ¢181.205.132</w:t>
      </w:r>
    </w:p>
    <w:p w14:paraId="36181D3C" w14:textId="77777777" w:rsidR="0093441E" w:rsidRPr="002A7673" w:rsidRDefault="0093441E" w:rsidP="00FF3FAC">
      <w:pPr>
        <w:numPr>
          <w:ilvl w:val="0"/>
          <w:numId w:val="38"/>
        </w:numPr>
        <w:spacing w:after="0" w:line="480" w:lineRule="auto"/>
        <w:ind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Comportamiento del Gasto Corriente y Gasto de Capital Programa 927 Servicio Jurisdiccional</w:t>
      </w:r>
    </w:p>
    <w:p w14:paraId="562654B9"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En el programa 927 Servicio Jurisdiccional se presenta un decrecimiento tanto en el gasto corriente (-8,22%), como en el gasto de capital (-12,66%). Según se muestra </w:t>
      </w:r>
      <w:r w:rsidRPr="002A7673">
        <w:rPr>
          <w:rFonts w:ascii="Times New Roman" w:hAnsi="Times New Roman" w:cs="Times New Roman"/>
          <w:sz w:val="28"/>
          <w:szCs w:val="28"/>
        </w:rPr>
        <w:lastRenderedPageBreak/>
        <w:t>en el siguiente cuadro, la diferencia total absoluta es de menos ¢1.277.707.210 con respecto al aprobado para el año 2021.</w:t>
      </w:r>
    </w:p>
    <w:p w14:paraId="178D1374"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drawing>
          <wp:inline distT="0" distB="0" distL="0" distR="0" wp14:anchorId="33CF8038" wp14:editId="3A76B3B2">
            <wp:extent cx="4921250" cy="111125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21250" cy="1111250"/>
                    </a:xfrm>
                    <a:prstGeom prst="rect">
                      <a:avLst/>
                    </a:prstGeom>
                    <a:noFill/>
                    <a:ln>
                      <a:noFill/>
                    </a:ln>
                  </pic:spPr>
                </pic:pic>
              </a:graphicData>
            </a:graphic>
          </wp:inline>
        </w:drawing>
      </w:r>
    </w:p>
    <w:p w14:paraId="1A2FFF3E" w14:textId="77777777" w:rsidR="0093441E" w:rsidRPr="002A7673" w:rsidRDefault="0093441E" w:rsidP="0093441E">
      <w:pPr>
        <w:spacing w:after="0" w:line="360" w:lineRule="auto"/>
        <w:ind w:firstLine="708"/>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441215BD" w14:textId="77777777" w:rsidR="007D66BD" w:rsidRPr="002A7673" w:rsidRDefault="007D66BD" w:rsidP="0093441E">
      <w:pPr>
        <w:spacing w:after="0" w:line="480" w:lineRule="auto"/>
        <w:ind w:firstLine="709"/>
        <w:jc w:val="both"/>
        <w:rPr>
          <w:rFonts w:ascii="Times New Roman" w:hAnsi="Times New Roman" w:cs="Times New Roman"/>
          <w:sz w:val="28"/>
          <w:szCs w:val="28"/>
        </w:rPr>
      </w:pPr>
    </w:p>
    <w:p w14:paraId="3E5FA68B" w14:textId="3191DE83"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cuanto a la disminución del gasto corriente del programa 927 Servicio Jurisdiccional, se presenta principalmente en las siguientes subpartidas:</w:t>
      </w:r>
    </w:p>
    <w:p w14:paraId="76850519" w14:textId="77777777" w:rsidR="0093441E" w:rsidRPr="002A7673" w:rsidRDefault="0093441E" w:rsidP="00FF3FAC">
      <w:pPr>
        <w:numPr>
          <w:ilvl w:val="0"/>
          <w:numId w:val="39"/>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10101 Alquiler de Edificios, Locales y Terrenos ¢342.066.218</w:t>
      </w:r>
    </w:p>
    <w:p w14:paraId="682191C8" w14:textId="77777777" w:rsidR="0093441E" w:rsidRPr="002A7673" w:rsidRDefault="0093441E" w:rsidP="00FF3FAC">
      <w:pPr>
        <w:numPr>
          <w:ilvl w:val="0"/>
          <w:numId w:val="39"/>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10103 Alquiler de Equipo de Cómputo ¢98.233.415</w:t>
      </w:r>
    </w:p>
    <w:p w14:paraId="6AE28FAD" w14:textId="77777777" w:rsidR="0093441E" w:rsidRPr="002A7673" w:rsidRDefault="0093441E" w:rsidP="00FF3FAC">
      <w:pPr>
        <w:numPr>
          <w:ilvl w:val="0"/>
          <w:numId w:val="39"/>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10406 Servicios Generales ¢153.566.323</w:t>
      </w:r>
    </w:p>
    <w:p w14:paraId="10AEE0E1" w14:textId="77777777" w:rsidR="0093441E" w:rsidRPr="002A7673" w:rsidRDefault="0093441E" w:rsidP="00FF3FAC">
      <w:pPr>
        <w:numPr>
          <w:ilvl w:val="0"/>
          <w:numId w:val="39"/>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10502 Viáticos dentro del País ¢31.993.356</w:t>
      </w:r>
    </w:p>
    <w:p w14:paraId="1FF5C320" w14:textId="77777777" w:rsidR="0093441E" w:rsidRPr="002A7673" w:rsidRDefault="0093441E" w:rsidP="00FF3FAC">
      <w:pPr>
        <w:numPr>
          <w:ilvl w:val="0"/>
          <w:numId w:val="39"/>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10801 Mantenimiento de Edificios y Locales ¢56.248.193</w:t>
      </w:r>
    </w:p>
    <w:p w14:paraId="102D09DE" w14:textId="6C272723" w:rsidR="0093441E" w:rsidRPr="002A7673" w:rsidRDefault="0093441E" w:rsidP="00FF3FAC">
      <w:pPr>
        <w:numPr>
          <w:ilvl w:val="0"/>
          <w:numId w:val="39"/>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60301 Prestaciones Legales ¢457.703.765</w:t>
      </w:r>
    </w:p>
    <w:p w14:paraId="2AE055C7"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cuanto a la disminución del gasto de capital del programa 927 Servicio Jurisdiccional, se presenta principalmente en las siguientes subpartidas:</w:t>
      </w:r>
    </w:p>
    <w:p w14:paraId="7B477BBF" w14:textId="77777777" w:rsidR="0093441E" w:rsidRPr="002A7673" w:rsidRDefault="0093441E" w:rsidP="00FF3FAC">
      <w:pPr>
        <w:numPr>
          <w:ilvl w:val="0"/>
          <w:numId w:val="40"/>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lastRenderedPageBreak/>
        <w:t>Subpartida 50105 Equipo de Cómputo ¢257.252.444</w:t>
      </w:r>
    </w:p>
    <w:p w14:paraId="00634108" w14:textId="77777777" w:rsidR="0093441E" w:rsidRPr="002A7673" w:rsidRDefault="0093441E" w:rsidP="00FF3FAC">
      <w:pPr>
        <w:numPr>
          <w:ilvl w:val="0"/>
          <w:numId w:val="40"/>
        </w:num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Subpartida 50104 Equipo y Mobiliario de Oficina ¢93.134.374</w:t>
      </w:r>
    </w:p>
    <w:p w14:paraId="7A686679" w14:textId="3E56DEF2" w:rsidR="0093441E" w:rsidRPr="002A7673" w:rsidRDefault="0093441E" w:rsidP="007D66BD">
      <w:pPr>
        <w:numPr>
          <w:ilvl w:val="1"/>
          <w:numId w:val="23"/>
        </w:numPr>
        <w:spacing w:after="0" w:line="480" w:lineRule="auto"/>
        <w:ind w:left="851" w:right="851" w:firstLine="709"/>
        <w:contextualSpacing/>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Medidas para el Cumplimiento del Acuerdo de Corte Plena de una Disminución de -4% en lo Formulado para el 2022</w:t>
      </w:r>
    </w:p>
    <w:p w14:paraId="5E8BFD04" w14:textId="2A6D089D" w:rsidR="0093441E" w:rsidRPr="002A7673" w:rsidRDefault="0093441E" w:rsidP="00885CDC">
      <w:pPr>
        <w:numPr>
          <w:ilvl w:val="0"/>
          <w:numId w:val="24"/>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El Consejo Superior en la sesión Nº116-2020 celebrada el 03 de diciembre, artículo XLI, aprobó trasladar a la Corte Plena para su respectivo análisis el oficio número 1909-PLA-PP-2020 del 25 de noviembre de 2020, suscrito por la licenciada Nacira Valverde Bermúdez, Directora de Planificación, relacionado con la propuesta de porcentaje de crecimiento al Presupuesto 2022. Por su parte, la Corte Plena en la sesión del 11 de enero del año en curso, aprobó que para el Anteproyecto de Presupuesto del 2022 se formulará un -4% del monto aprobado para el 2021, respetando los montos asignados de gasto corriente (partidas 0, 1, 2, 6 y 9) y gasto de capital (partidas 5 y 7).</w:t>
      </w:r>
    </w:p>
    <w:p w14:paraId="48718764" w14:textId="28924DA1" w:rsidR="0093441E" w:rsidRPr="002A7673" w:rsidRDefault="0093441E" w:rsidP="00885CDC">
      <w:pPr>
        <w:numPr>
          <w:ilvl w:val="0"/>
          <w:numId w:val="24"/>
        </w:numPr>
        <w:spacing w:before="120" w:after="120" w:line="480" w:lineRule="auto"/>
        <w:ind w:left="0" w:firstLine="709"/>
        <w:jc w:val="both"/>
        <w:rPr>
          <w:rFonts w:ascii="Times New Roman" w:eastAsiaTheme="minorEastAsia"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Directriz N°16:</w:t>
      </w:r>
      <w:r w:rsidRPr="002A7673">
        <w:rPr>
          <w:rFonts w:ascii="Times New Roman" w:eastAsia="Times New Roman" w:hAnsi="Times New Roman" w:cs="Times New Roman"/>
          <w:sz w:val="28"/>
          <w:szCs w:val="28"/>
          <w:lang w:val="es-ES" w:eastAsia="es-ES"/>
        </w:rPr>
        <w:t xml:space="preserve"> La Ley 9635 Fortalecimiento de las Finanzas Públicas implicó limitaciones de crecimiento presupuestario desde el 2020, y bajo el supuesto de que se mantendrán las mismas medidas de contención del gasto y que nuevamente no habrá posibilidad de un incremento en el presupuesto solicitado por el Poder Judicial, los Centros de Responsabilidad deben ajustar el límite de sus solicitudes de </w:t>
      </w:r>
      <w:r w:rsidRPr="002A7673">
        <w:rPr>
          <w:rFonts w:ascii="Times New Roman" w:eastAsia="Times New Roman" w:hAnsi="Times New Roman" w:cs="Times New Roman"/>
          <w:sz w:val="28"/>
          <w:szCs w:val="28"/>
          <w:lang w:val="es-ES" w:eastAsia="es-ES"/>
        </w:rPr>
        <w:lastRenderedPageBreak/>
        <w:t xml:space="preserve">gasto. Para el 2022 los Centros de Responsabilidad en lo correspondiente a gasto corriente (Partidas 0, 1, 2, 6 y 9) y en cuanto a gasto de capital (Partida 5 y 7), deberán formular a lo sumo el monto que será comunicado por la Dirección de Planificación, conforme lo que establezca oportunamente el Consejo Superior.   </w:t>
      </w:r>
    </w:p>
    <w:p w14:paraId="7F6BEFAE" w14:textId="43A57DF9" w:rsidR="0093441E" w:rsidRPr="002A7673" w:rsidRDefault="0093441E" w:rsidP="00885CDC">
      <w:pPr>
        <w:numPr>
          <w:ilvl w:val="0"/>
          <w:numId w:val="24"/>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Directriz N°17:</w:t>
      </w:r>
      <w:r w:rsidRPr="002A7673">
        <w:rPr>
          <w:rFonts w:ascii="Times New Roman" w:eastAsia="Times New Roman" w:hAnsi="Times New Roman" w:cs="Times New Roman"/>
          <w:sz w:val="28"/>
          <w:szCs w:val="28"/>
          <w:lang w:val="es-ES" w:eastAsia="es-ES"/>
        </w:rPr>
        <w:t xml:space="preserve"> Aun cuando el presupuesto del Centro de Responsabilidad no sobrepase el monto máximo establecido, se podrán realizar recortes en las subpartidas considerando la información de la ejecución presupuestaria del 2020.</w:t>
      </w:r>
    </w:p>
    <w:p w14:paraId="5001F176" w14:textId="0D795B6C" w:rsidR="0093441E" w:rsidRPr="002A7673" w:rsidRDefault="0093441E" w:rsidP="00885CDC">
      <w:pPr>
        <w:numPr>
          <w:ilvl w:val="0"/>
          <w:numId w:val="25"/>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Directriz N°29:</w:t>
      </w:r>
      <w:r w:rsidRPr="002A7673">
        <w:rPr>
          <w:rFonts w:ascii="Times New Roman" w:eastAsia="Times New Roman" w:hAnsi="Times New Roman" w:cs="Times New Roman"/>
          <w:sz w:val="28"/>
          <w:szCs w:val="28"/>
          <w:lang w:val="es-ES" w:eastAsia="es-ES"/>
        </w:rPr>
        <w:t xml:space="preserve"> En cuanto a los alquileres de locales y parqueo como parte de las medidas tomadas a nivel institucional para controlar el crecimiento del gasto corriente, para los contratos que vencen en el 2020, 2021 o parte del 2022, en todos los casos se modificó en el Sistema la fecha de fin de vigencia, indicando 31/12/2022, con el objetivo de que se genere el año completo del servicio y no sea necesario agregar líneas adicionales al presupuesto por parte de los encargados de Centros de Responsabilidad.</w:t>
      </w:r>
    </w:p>
    <w:p w14:paraId="0C6F979A" w14:textId="288383F3" w:rsidR="0093441E" w:rsidRPr="002A7673" w:rsidRDefault="0093441E" w:rsidP="00885CDC">
      <w:pPr>
        <w:numPr>
          <w:ilvl w:val="0"/>
          <w:numId w:val="27"/>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 xml:space="preserve">Directriz N°30: </w:t>
      </w:r>
      <w:r w:rsidRPr="002A7673">
        <w:rPr>
          <w:rFonts w:ascii="Times New Roman" w:eastAsia="Times New Roman" w:hAnsi="Times New Roman" w:cs="Times New Roman"/>
          <w:sz w:val="28"/>
          <w:szCs w:val="28"/>
          <w:lang w:val="es-ES" w:eastAsia="es-ES"/>
        </w:rPr>
        <w:t xml:space="preserve">Debido a restricciones presupuestarias a raíz de la situación fiscal del país y comprometidos con las medidas de contención del gasto, no es permitido incluir nuevas contrataciones o ampliaciones de contratos de limpieza, jardinería o vigilancia, por lo que los artículos correspondientes se inactivarán en el </w:t>
      </w:r>
      <w:r w:rsidRPr="002A7673">
        <w:rPr>
          <w:rFonts w:ascii="Times New Roman" w:eastAsia="Times New Roman" w:hAnsi="Times New Roman" w:cs="Times New Roman"/>
          <w:sz w:val="28"/>
          <w:szCs w:val="28"/>
          <w:lang w:val="es-ES" w:eastAsia="es-ES"/>
        </w:rPr>
        <w:lastRenderedPageBreak/>
        <w:t>Catálogo de Bienes y Servicios del Sistema SIGAPJ y las necesidades de nuevos contratos o adendum a los ya existentes, deberán ser enviadas a la Dirección de Planificación para ser analizadas en conjunto con la Dirección Ejecutiva.</w:t>
      </w:r>
    </w:p>
    <w:p w14:paraId="176847C5" w14:textId="32567664" w:rsidR="0093441E" w:rsidRPr="002A7673" w:rsidRDefault="0093441E" w:rsidP="00885CDC">
      <w:pPr>
        <w:numPr>
          <w:ilvl w:val="0"/>
          <w:numId w:val="27"/>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 xml:space="preserve">Directriz N°30: </w:t>
      </w:r>
      <w:r w:rsidRPr="002A7673">
        <w:rPr>
          <w:rFonts w:ascii="Times New Roman" w:eastAsia="Times New Roman" w:hAnsi="Times New Roman" w:cs="Times New Roman"/>
          <w:sz w:val="28"/>
          <w:szCs w:val="28"/>
          <w:lang w:val="es-ES" w:eastAsia="es-ES"/>
        </w:rPr>
        <w:t>En los contratos de vigilancia y limpieza, se estima un incremento del 6% y 5% respectivamente. Por su parte, los procedimientos que actualmente se encuentren en trámite, igualmente serán analizados en forma conjunta entre la Dirección Ejecutiva y el Departamento de Proveeduría, para determinar su continuidad o no y posteriormente serán elevados para aprobación del Consejo Superior. En caso de ser aprobados, la inclusión la realizará directamente la Dirección de Planificación. Para las oficinas judiciales que cuentan con plazas de Auxiliar de Servicios Generales, no se autoriza la contratación del servicio de limpieza.</w:t>
      </w:r>
    </w:p>
    <w:p w14:paraId="14AA25B9" w14:textId="5DE27597" w:rsidR="0093441E" w:rsidRPr="002A7673" w:rsidRDefault="0093441E" w:rsidP="00885CDC">
      <w:pPr>
        <w:numPr>
          <w:ilvl w:val="0"/>
          <w:numId w:val="27"/>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 xml:space="preserve">Directriz N°30: </w:t>
      </w:r>
      <w:r w:rsidRPr="002A7673">
        <w:rPr>
          <w:rFonts w:ascii="Times New Roman" w:eastAsia="Times New Roman" w:hAnsi="Times New Roman" w:cs="Times New Roman"/>
          <w:sz w:val="28"/>
          <w:szCs w:val="28"/>
          <w:lang w:val="es-ES" w:eastAsia="es-ES"/>
        </w:rPr>
        <w:t>Con relación a los contratos de servicios médicos bajo la modalidad de hora profesional para los servidores judiciales, según lo acordado en la sesión extraordinaria de Corte Plena del 23 de octubre del 2020, con motivo de los recortes de gastos solicitados por el Ministerio de Hacienda al presupuesto 2021 y en atención a la situación fiscal que atraviesa el país, los mismos no serán prorrogados.</w:t>
      </w:r>
    </w:p>
    <w:p w14:paraId="6B0B5124" w14:textId="2A4850DE" w:rsidR="0093441E" w:rsidRPr="002A7673" w:rsidRDefault="0093441E" w:rsidP="00885CDC">
      <w:pPr>
        <w:numPr>
          <w:ilvl w:val="0"/>
          <w:numId w:val="26"/>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 xml:space="preserve">Directriz N°32: </w:t>
      </w:r>
      <w:r w:rsidRPr="002A7673">
        <w:rPr>
          <w:rFonts w:ascii="Times New Roman" w:eastAsia="Times New Roman" w:hAnsi="Times New Roman" w:cs="Times New Roman"/>
          <w:sz w:val="28"/>
          <w:szCs w:val="28"/>
          <w:lang w:val="es-ES" w:eastAsia="es-ES"/>
        </w:rPr>
        <w:t xml:space="preserve">En cuanto a la Subpartida 10303 Impresión, Encuadernación y Otros, específicamente para el contrato de servicio de fotocopiado, </w:t>
      </w:r>
      <w:r w:rsidRPr="002A7673">
        <w:rPr>
          <w:rFonts w:ascii="Times New Roman" w:eastAsia="Times New Roman" w:hAnsi="Times New Roman" w:cs="Times New Roman"/>
          <w:sz w:val="28"/>
          <w:szCs w:val="28"/>
          <w:lang w:val="es-ES" w:eastAsia="es-ES"/>
        </w:rPr>
        <w:lastRenderedPageBreak/>
        <w:t xml:space="preserve">como parte de las medidas tomadas a nivel institucional para controlar el crecimiento del gasto corriente, para los contratos que vencen en el 2020, 2021 o parte del 2022, en todos los casos se modificó en el Sistema la fecha de fin de vigencia, indicando 31/12/2022, con el objetivo de que se genere el año completo del servicio y no sea necesario agregar líneas adicionales al presupuesto por parte de los encargados de Centros de Responsabilidad. </w:t>
      </w:r>
    </w:p>
    <w:p w14:paraId="7E0FCCF5" w14:textId="6FE7303C" w:rsidR="0093441E" w:rsidRPr="002A7673" w:rsidRDefault="0093441E" w:rsidP="00885CDC">
      <w:pPr>
        <w:numPr>
          <w:ilvl w:val="0"/>
          <w:numId w:val="26"/>
        </w:numPr>
        <w:spacing w:before="120" w:after="120" w:line="480" w:lineRule="auto"/>
        <w:ind w:left="0" w:firstLine="709"/>
        <w:jc w:val="both"/>
        <w:rPr>
          <w:rFonts w:ascii="Times New Roman" w:eastAsiaTheme="minorEastAsia"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Directriz N°65:</w:t>
      </w:r>
      <w:r w:rsidRPr="002A7673">
        <w:rPr>
          <w:rFonts w:ascii="Times New Roman" w:eastAsia="Times New Roman" w:hAnsi="Times New Roman" w:cs="Times New Roman"/>
          <w:sz w:val="28"/>
          <w:szCs w:val="28"/>
          <w:lang w:val="es-ES" w:eastAsia="es-ES"/>
        </w:rPr>
        <w:t xml:space="preserve"> Como parte de las medidas de contención del gasto, se restringe la inclusión en el presupuesto de equipos tales como: televisores, pantallas, juegos de comedor, máquinas para gimnasio, dispensadores de agua, equipo de refrigeración, hornos de microondas, percoladores y </w:t>
      </w:r>
      <w:proofErr w:type="spellStart"/>
      <w:r w:rsidRPr="002A7673">
        <w:rPr>
          <w:rFonts w:ascii="Times New Roman" w:eastAsia="Times New Roman" w:hAnsi="Times New Roman" w:cs="Times New Roman"/>
          <w:sz w:val="28"/>
          <w:szCs w:val="28"/>
          <w:lang w:val="es-ES" w:eastAsia="es-ES"/>
        </w:rPr>
        <w:t>coffee</w:t>
      </w:r>
      <w:proofErr w:type="spellEnd"/>
      <w:r w:rsidRPr="002A7673">
        <w:rPr>
          <w:rFonts w:ascii="Times New Roman" w:eastAsia="Times New Roman" w:hAnsi="Times New Roman" w:cs="Times New Roman"/>
          <w:sz w:val="28"/>
          <w:szCs w:val="28"/>
          <w:lang w:val="es-ES" w:eastAsia="es-ES"/>
        </w:rPr>
        <w:t xml:space="preserve"> </w:t>
      </w:r>
      <w:proofErr w:type="spellStart"/>
      <w:r w:rsidRPr="002A7673">
        <w:rPr>
          <w:rFonts w:ascii="Times New Roman" w:eastAsia="Times New Roman" w:hAnsi="Times New Roman" w:cs="Times New Roman"/>
          <w:sz w:val="28"/>
          <w:szCs w:val="28"/>
          <w:lang w:val="es-ES" w:eastAsia="es-ES"/>
        </w:rPr>
        <w:t>maker</w:t>
      </w:r>
      <w:proofErr w:type="spellEnd"/>
      <w:r w:rsidRPr="002A7673">
        <w:rPr>
          <w:rFonts w:ascii="Times New Roman" w:eastAsia="Times New Roman" w:hAnsi="Times New Roman" w:cs="Times New Roman"/>
          <w:sz w:val="28"/>
          <w:szCs w:val="28"/>
          <w:lang w:val="es-ES" w:eastAsia="es-ES"/>
        </w:rPr>
        <w:t>, para uso específico en las áreas comunes de las oficinas judiciales. Solo se podrá incluir aquellos casos debidamente justificados, los cuales deben contar previamente con la autorización de la Dirección Ejecutiva.</w:t>
      </w:r>
    </w:p>
    <w:p w14:paraId="331563AA" w14:textId="2C43AFDE" w:rsidR="0093441E" w:rsidRPr="002A7673" w:rsidRDefault="0093441E" w:rsidP="00885CDC">
      <w:pPr>
        <w:numPr>
          <w:ilvl w:val="0"/>
          <w:numId w:val="26"/>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t>Directriz N°66:</w:t>
      </w:r>
      <w:r w:rsidRPr="002A7673">
        <w:rPr>
          <w:rFonts w:ascii="Times New Roman" w:eastAsia="Times New Roman" w:hAnsi="Times New Roman" w:cs="Times New Roman"/>
          <w:sz w:val="28"/>
          <w:szCs w:val="28"/>
          <w:lang w:val="es-ES" w:eastAsia="es-ES"/>
        </w:rPr>
        <w:t xml:space="preserve"> Las solicitudes para la compra de equipo educacional como video </w:t>
      </w:r>
      <w:proofErr w:type="spellStart"/>
      <w:r w:rsidRPr="002A7673">
        <w:rPr>
          <w:rFonts w:ascii="Times New Roman" w:eastAsia="Times New Roman" w:hAnsi="Times New Roman" w:cs="Times New Roman"/>
          <w:sz w:val="28"/>
          <w:szCs w:val="28"/>
          <w:lang w:val="es-ES" w:eastAsia="es-ES"/>
        </w:rPr>
        <w:t>beam</w:t>
      </w:r>
      <w:proofErr w:type="spellEnd"/>
      <w:r w:rsidRPr="002A7673">
        <w:rPr>
          <w:rFonts w:ascii="Times New Roman" w:eastAsia="Times New Roman" w:hAnsi="Times New Roman" w:cs="Times New Roman"/>
          <w:sz w:val="28"/>
          <w:szCs w:val="28"/>
          <w:lang w:val="es-ES" w:eastAsia="es-ES"/>
        </w:rPr>
        <w:t xml:space="preserve"> y proyectores, procede únicamente cuando vayan a ser instalados en áreas comunes de los edificios con el fin de que puedan ser utilizadas por varias oficinas.</w:t>
      </w:r>
    </w:p>
    <w:p w14:paraId="679D6B48" w14:textId="1516F2F1" w:rsidR="0093441E" w:rsidRPr="002A7673" w:rsidRDefault="0093441E" w:rsidP="00885CDC">
      <w:pPr>
        <w:numPr>
          <w:ilvl w:val="0"/>
          <w:numId w:val="26"/>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bCs/>
          <w:sz w:val="28"/>
          <w:szCs w:val="28"/>
          <w:lang w:val="es-ES" w:eastAsia="es-ES"/>
        </w:rPr>
        <w:lastRenderedPageBreak/>
        <w:t>Directriz N°112:</w:t>
      </w:r>
      <w:r w:rsidRPr="002A7673">
        <w:rPr>
          <w:rFonts w:ascii="Times New Roman" w:eastAsia="Times New Roman" w:hAnsi="Times New Roman" w:cs="Times New Roman"/>
          <w:sz w:val="28"/>
          <w:szCs w:val="28"/>
          <w:lang w:val="es-ES" w:eastAsia="es-ES"/>
        </w:rPr>
        <w:t xml:space="preserve"> En cuanto al alquiler de equipo de cómputo los recursos del contrato N°054118 “Arrendamiento de Microcomputadoras”, se generarán automáticamente en las oficinas hasta el 18/10/2022, la Dirección de Tecnología de la Información como administrador del contrato, incluirá en el presupuesto 2022 la estimación del faltante para completar el año. Las oficinas no pueden incluir líneas adicionales a las generadas automáticamente (tiene contrato) debido a que el artículo se inactivará.</w:t>
      </w:r>
    </w:p>
    <w:p w14:paraId="61C066B0" w14:textId="44324F32" w:rsidR="0093441E" w:rsidRPr="002A7673" w:rsidRDefault="0093441E" w:rsidP="00885CDC">
      <w:pPr>
        <w:numPr>
          <w:ilvl w:val="0"/>
          <w:numId w:val="26"/>
        </w:numPr>
        <w:spacing w:before="120" w:after="120" w:line="480" w:lineRule="auto"/>
        <w:ind w:left="0"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 xml:space="preserve">En lo que respecta a la creación de plazas, la Corte Plena aprobó en sesión N°54-2019 del 18 de diciembre de 2019, artículo único, no crear plazas nuevas y valorar únicamente la condición y continuidad de las plazas extraordinarias existentes. </w:t>
      </w:r>
    </w:p>
    <w:p w14:paraId="2D3059B0"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Es importante señalar </w:t>
      </w:r>
      <w:proofErr w:type="gramStart"/>
      <w:r w:rsidRPr="002A7673">
        <w:rPr>
          <w:rFonts w:ascii="Times New Roman" w:hAnsi="Times New Roman" w:cs="Times New Roman"/>
          <w:sz w:val="28"/>
          <w:szCs w:val="28"/>
        </w:rPr>
        <w:t>que</w:t>
      </w:r>
      <w:proofErr w:type="gramEnd"/>
      <w:r w:rsidRPr="002A7673">
        <w:rPr>
          <w:rFonts w:ascii="Times New Roman" w:hAnsi="Times New Roman" w:cs="Times New Roman"/>
          <w:sz w:val="28"/>
          <w:szCs w:val="28"/>
        </w:rPr>
        <w:t xml:space="preserve"> a pesar del esfuerzo realizado por los centros de responsabilidad, no se logra la disminución del -4% aprobado por Corte Plena, esto por cuanto existen gastos ineludibles que a nivel institucional no pueden ser rebajados, como: servicios públicos (agua, electricidad y telecomunicaciones), alquileres de edificios y terrenos, servicios de vigilancia y limpieza, alquiler de equipo de cómputo, licencias, seguros, honorarios, mantenimientos, contratos, entre otros.</w:t>
      </w:r>
    </w:p>
    <w:p w14:paraId="32ED700F" w14:textId="77777777" w:rsidR="0093441E" w:rsidRPr="002A7673" w:rsidRDefault="0093441E" w:rsidP="00885CDC">
      <w:pPr>
        <w:numPr>
          <w:ilvl w:val="1"/>
          <w:numId w:val="23"/>
        </w:numPr>
        <w:spacing w:after="0" w:line="480" w:lineRule="auto"/>
        <w:ind w:left="0" w:firstLine="709"/>
        <w:contextualSpacing/>
        <w:jc w:val="both"/>
        <w:rPr>
          <w:rFonts w:ascii="Times New Roman" w:eastAsia="Times New Roman" w:hAnsi="Times New Roman" w:cs="Times New Roman"/>
          <w:b/>
          <w:sz w:val="28"/>
          <w:szCs w:val="28"/>
          <w:lang w:val="es-ES" w:eastAsia="es-ES"/>
        </w:rPr>
      </w:pPr>
      <w:r w:rsidRPr="002A7673">
        <w:rPr>
          <w:rFonts w:ascii="Times New Roman" w:eastAsia="Times New Roman" w:hAnsi="Times New Roman" w:cs="Times New Roman"/>
          <w:b/>
          <w:sz w:val="28"/>
          <w:szCs w:val="28"/>
          <w:lang w:val="es-ES" w:eastAsia="es-ES"/>
        </w:rPr>
        <w:lastRenderedPageBreak/>
        <w:t>Distribución del Anteproyecto de Presupuesto 2022 por Centro de Responsabilidad de los Programas 926 Dirección, Administración y Otros Órganos de Apoyo y 927 Servicio Jurisdiccional</w:t>
      </w:r>
    </w:p>
    <w:p w14:paraId="59F0AEFD"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A continuación, se visualiza la información por cada uno de los centros de responsabilidad que componen los programas 926 Dirección, Administración y Otros Órganos de Apoyo y 927 Servicio Jurisdiccional. Para 2021 el dato que se muestra en cada caso corresponde al presupuesto depurado que se utilizó para estimar los límites máximos autorizados para la formulación del 2022 </w:t>
      </w:r>
      <w:proofErr w:type="gramStart"/>
      <w:r w:rsidRPr="002A7673">
        <w:rPr>
          <w:rFonts w:ascii="Times New Roman" w:hAnsi="Times New Roman" w:cs="Times New Roman"/>
          <w:sz w:val="28"/>
          <w:szCs w:val="28"/>
        </w:rPr>
        <w:t>y</w:t>
      </w:r>
      <w:proofErr w:type="gramEnd"/>
      <w:r w:rsidRPr="002A7673">
        <w:rPr>
          <w:rFonts w:ascii="Times New Roman" w:hAnsi="Times New Roman" w:cs="Times New Roman"/>
          <w:sz w:val="28"/>
          <w:szCs w:val="28"/>
        </w:rPr>
        <w:t xml:space="preserve"> por tanto, no incluye las Áreas (Construcciones, Informática, Vehículos y Seguridad), ni los otros rubros que se hayan agregado al presupuesto posterior a su aprobación inicial por parte del Consejo Superior. Para el 2022 el dato que se muestra es el que registra cada centro de responsabilidad en el Sistema SIGA-PJ actualmente y no considera los rubros que se analizan y presentan por separado al Consejo Superior y que se incorporan posteriormente.</w:t>
      </w:r>
    </w:p>
    <w:tbl>
      <w:tblPr>
        <w:tblW w:w="11330" w:type="dxa"/>
        <w:jc w:val="center"/>
        <w:tblLayout w:type="fixed"/>
        <w:tblCellMar>
          <w:left w:w="70" w:type="dxa"/>
          <w:right w:w="70" w:type="dxa"/>
        </w:tblCellMar>
        <w:tblLook w:val="04A0" w:firstRow="1" w:lastRow="0" w:firstColumn="1" w:lastColumn="0" w:noHBand="0" w:noVBand="1"/>
      </w:tblPr>
      <w:tblGrid>
        <w:gridCol w:w="4526"/>
        <w:gridCol w:w="1560"/>
        <w:gridCol w:w="1559"/>
        <w:gridCol w:w="1417"/>
        <w:gridCol w:w="1134"/>
        <w:gridCol w:w="1134"/>
      </w:tblGrid>
      <w:tr w:rsidR="0093441E" w:rsidRPr="002A7673" w14:paraId="5792858E" w14:textId="77777777" w:rsidTr="0048334E">
        <w:trPr>
          <w:trHeight w:val="449"/>
          <w:jc w:val="center"/>
        </w:trPr>
        <w:tc>
          <w:tcPr>
            <w:tcW w:w="4526"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0175FAF4" w14:textId="77777777" w:rsidR="0093441E" w:rsidRPr="002A7673" w:rsidRDefault="0093441E" w:rsidP="0048334E">
            <w:pPr>
              <w:spacing w:after="0" w:line="240" w:lineRule="auto"/>
              <w:jc w:val="center"/>
              <w:rPr>
                <w:rFonts w:ascii="Times New Roman" w:hAnsi="Times New Roman" w:cs="Times New Roman"/>
                <w:b/>
                <w:sz w:val="20"/>
                <w:szCs w:val="20"/>
                <w:lang w:eastAsia="es-CR"/>
              </w:rPr>
            </w:pPr>
            <w:bookmarkStart w:id="125" w:name="_Hlk69826805"/>
            <w:r w:rsidRPr="002A7673">
              <w:rPr>
                <w:rFonts w:ascii="Times New Roman" w:hAnsi="Times New Roman" w:cs="Times New Roman"/>
                <w:b/>
                <w:sz w:val="20"/>
                <w:szCs w:val="20"/>
                <w:lang w:eastAsia="es-CR"/>
              </w:rPr>
              <w:t>Centro de Responsabilidad</w:t>
            </w:r>
          </w:p>
        </w:tc>
        <w:tc>
          <w:tcPr>
            <w:tcW w:w="1560" w:type="dxa"/>
            <w:tcBorders>
              <w:top w:val="single" w:sz="8" w:space="0" w:color="auto"/>
              <w:left w:val="nil"/>
              <w:bottom w:val="single" w:sz="8" w:space="0" w:color="auto"/>
              <w:right w:val="single" w:sz="8" w:space="0" w:color="auto"/>
            </w:tcBorders>
            <w:shd w:val="clear" w:color="000000" w:fill="B4C6E7"/>
            <w:vAlign w:val="center"/>
            <w:hideMark/>
          </w:tcPr>
          <w:p w14:paraId="26290A5B"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sz w:val="20"/>
                <w:szCs w:val="20"/>
                <w:lang w:eastAsia="es-CR"/>
              </w:rPr>
              <w:t>2021</w:t>
            </w:r>
          </w:p>
        </w:tc>
        <w:tc>
          <w:tcPr>
            <w:tcW w:w="1559" w:type="dxa"/>
            <w:tcBorders>
              <w:top w:val="single" w:sz="8" w:space="0" w:color="auto"/>
              <w:left w:val="nil"/>
              <w:bottom w:val="single" w:sz="8" w:space="0" w:color="auto"/>
              <w:right w:val="single" w:sz="8" w:space="0" w:color="auto"/>
            </w:tcBorders>
            <w:shd w:val="clear" w:color="000000" w:fill="B4C6E7"/>
            <w:noWrap/>
            <w:vAlign w:val="center"/>
            <w:hideMark/>
          </w:tcPr>
          <w:p w14:paraId="0F7F02E1"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sz w:val="20"/>
                <w:szCs w:val="20"/>
                <w:lang w:eastAsia="es-CR"/>
              </w:rPr>
              <w:t>2022</w:t>
            </w:r>
          </w:p>
        </w:tc>
        <w:tc>
          <w:tcPr>
            <w:tcW w:w="1417" w:type="dxa"/>
            <w:tcBorders>
              <w:top w:val="single" w:sz="8" w:space="0" w:color="auto"/>
              <w:left w:val="nil"/>
              <w:bottom w:val="single" w:sz="8" w:space="0" w:color="auto"/>
              <w:right w:val="single" w:sz="8" w:space="0" w:color="auto"/>
            </w:tcBorders>
            <w:shd w:val="clear" w:color="000000" w:fill="B4C6E7"/>
            <w:vAlign w:val="center"/>
            <w:hideMark/>
          </w:tcPr>
          <w:p w14:paraId="169E2B19"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sz w:val="20"/>
                <w:szCs w:val="20"/>
                <w:lang w:eastAsia="es-CR"/>
              </w:rPr>
              <w:t>Diferencia</w:t>
            </w:r>
          </w:p>
        </w:tc>
        <w:tc>
          <w:tcPr>
            <w:tcW w:w="1134" w:type="dxa"/>
            <w:tcBorders>
              <w:top w:val="single" w:sz="8" w:space="0" w:color="auto"/>
              <w:left w:val="nil"/>
              <w:bottom w:val="single" w:sz="8" w:space="0" w:color="auto"/>
              <w:right w:val="single" w:sz="8" w:space="0" w:color="auto"/>
            </w:tcBorders>
            <w:shd w:val="clear" w:color="000000" w:fill="B4C6E7"/>
            <w:vAlign w:val="center"/>
            <w:hideMark/>
          </w:tcPr>
          <w:p w14:paraId="4CE82680"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sz w:val="20"/>
                <w:szCs w:val="20"/>
                <w:lang w:eastAsia="es-CR"/>
              </w:rPr>
              <w:t xml:space="preserve">Variación % </w:t>
            </w:r>
          </w:p>
        </w:tc>
        <w:tc>
          <w:tcPr>
            <w:tcW w:w="1134" w:type="dxa"/>
            <w:tcBorders>
              <w:top w:val="single" w:sz="8" w:space="0" w:color="auto"/>
              <w:left w:val="nil"/>
              <w:bottom w:val="single" w:sz="8" w:space="0" w:color="auto"/>
              <w:right w:val="single" w:sz="8" w:space="0" w:color="auto"/>
            </w:tcBorders>
            <w:shd w:val="clear" w:color="000000" w:fill="B4C6E7"/>
            <w:vAlign w:val="center"/>
            <w:hideMark/>
          </w:tcPr>
          <w:p w14:paraId="0119D87B"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sz w:val="20"/>
                <w:szCs w:val="20"/>
                <w:lang w:eastAsia="es-CR"/>
              </w:rPr>
              <w:t>Variación % con Áreas</w:t>
            </w:r>
          </w:p>
        </w:tc>
      </w:tr>
      <w:tr w:rsidR="0093441E" w:rsidRPr="002A7673" w14:paraId="0F50B4AE"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B1A6C22"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Contra el Hostigamiento Sexual</w:t>
            </w:r>
          </w:p>
        </w:tc>
        <w:tc>
          <w:tcPr>
            <w:tcW w:w="1560" w:type="dxa"/>
            <w:tcBorders>
              <w:top w:val="nil"/>
              <w:left w:val="nil"/>
              <w:bottom w:val="single" w:sz="8" w:space="0" w:color="auto"/>
              <w:right w:val="single" w:sz="8" w:space="0" w:color="auto"/>
            </w:tcBorders>
            <w:shd w:val="clear" w:color="auto" w:fill="auto"/>
            <w:vAlign w:val="center"/>
            <w:hideMark/>
          </w:tcPr>
          <w:p w14:paraId="2FB3279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₡1 096 283</w:t>
            </w:r>
          </w:p>
        </w:tc>
        <w:tc>
          <w:tcPr>
            <w:tcW w:w="1559" w:type="dxa"/>
            <w:tcBorders>
              <w:top w:val="nil"/>
              <w:left w:val="nil"/>
              <w:bottom w:val="single" w:sz="8" w:space="0" w:color="auto"/>
              <w:right w:val="single" w:sz="8" w:space="0" w:color="auto"/>
            </w:tcBorders>
            <w:shd w:val="clear" w:color="auto" w:fill="auto"/>
            <w:vAlign w:val="center"/>
            <w:hideMark/>
          </w:tcPr>
          <w:p w14:paraId="0702EAD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₡780 642</w:t>
            </w:r>
          </w:p>
        </w:tc>
        <w:tc>
          <w:tcPr>
            <w:tcW w:w="1417" w:type="dxa"/>
            <w:tcBorders>
              <w:top w:val="nil"/>
              <w:left w:val="nil"/>
              <w:bottom w:val="single" w:sz="8" w:space="0" w:color="auto"/>
              <w:right w:val="single" w:sz="8" w:space="0" w:color="auto"/>
            </w:tcBorders>
            <w:shd w:val="clear" w:color="auto" w:fill="auto"/>
            <w:vAlign w:val="center"/>
            <w:hideMark/>
          </w:tcPr>
          <w:p w14:paraId="15F897F9"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-₡315 641</w:t>
            </w:r>
          </w:p>
        </w:tc>
        <w:tc>
          <w:tcPr>
            <w:tcW w:w="1134" w:type="dxa"/>
            <w:tcBorders>
              <w:top w:val="nil"/>
              <w:left w:val="nil"/>
              <w:bottom w:val="single" w:sz="8" w:space="0" w:color="auto"/>
              <w:right w:val="single" w:sz="8" w:space="0" w:color="auto"/>
            </w:tcBorders>
            <w:shd w:val="clear" w:color="auto" w:fill="auto"/>
            <w:noWrap/>
            <w:vAlign w:val="center"/>
            <w:hideMark/>
          </w:tcPr>
          <w:p w14:paraId="7CEAD8B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-28,8%</w:t>
            </w:r>
          </w:p>
        </w:tc>
        <w:tc>
          <w:tcPr>
            <w:tcW w:w="1134" w:type="dxa"/>
            <w:tcBorders>
              <w:top w:val="nil"/>
              <w:left w:val="nil"/>
              <w:bottom w:val="single" w:sz="8" w:space="0" w:color="auto"/>
              <w:right w:val="single" w:sz="8" w:space="0" w:color="auto"/>
            </w:tcBorders>
            <w:shd w:val="clear" w:color="auto" w:fill="auto"/>
            <w:vAlign w:val="center"/>
            <w:hideMark/>
          </w:tcPr>
          <w:p w14:paraId="5888B33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-28,8%</w:t>
            </w:r>
          </w:p>
        </w:tc>
      </w:tr>
      <w:tr w:rsidR="0093441E" w:rsidRPr="002A7673" w14:paraId="4A7C78D7"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6302D50"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de Acceso a la Justicia</w:t>
            </w:r>
          </w:p>
        </w:tc>
        <w:tc>
          <w:tcPr>
            <w:tcW w:w="1560" w:type="dxa"/>
            <w:tcBorders>
              <w:top w:val="nil"/>
              <w:left w:val="nil"/>
              <w:bottom w:val="single" w:sz="8" w:space="0" w:color="auto"/>
              <w:right w:val="single" w:sz="8" w:space="0" w:color="auto"/>
            </w:tcBorders>
            <w:shd w:val="clear" w:color="auto" w:fill="auto"/>
            <w:vAlign w:val="center"/>
            <w:hideMark/>
          </w:tcPr>
          <w:p w14:paraId="21470F1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₡1 029 844</w:t>
            </w:r>
          </w:p>
        </w:tc>
        <w:tc>
          <w:tcPr>
            <w:tcW w:w="1559" w:type="dxa"/>
            <w:tcBorders>
              <w:top w:val="nil"/>
              <w:left w:val="nil"/>
              <w:bottom w:val="single" w:sz="8" w:space="0" w:color="auto"/>
              <w:right w:val="single" w:sz="8" w:space="0" w:color="auto"/>
            </w:tcBorders>
            <w:shd w:val="clear" w:color="auto" w:fill="auto"/>
            <w:vAlign w:val="center"/>
            <w:hideMark/>
          </w:tcPr>
          <w:p w14:paraId="3E1A7B3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₡988 650</w:t>
            </w:r>
          </w:p>
        </w:tc>
        <w:tc>
          <w:tcPr>
            <w:tcW w:w="1417" w:type="dxa"/>
            <w:tcBorders>
              <w:top w:val="nil"/>
              <w:left w:val="nil"/>
              <w:bottom w:val="single" w:sz="8" w:space="0" w:color="auto"/>
              <w:right w:val="single" w:sz="8" w:space="0" w:color="auto"/>
            </w:tcBorders>
            <w:shd w:val="clear" w:color="auto" w:fill="auto"/>
            <w:vAlign w:val="center"/>
            <w:hideMark/>
          </w:tcPr>
          <w:p w14:paraId="18F68823"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-₡41 194</w:t>
            </w:r>
          </w:p>
        </w:tc>
        <w:tc>
          <w:tcPr>
            <w:tcW w:w="1134" w:type="dxa"/>
            <w:tcBorders>
              <w:top w:val="nil"/>
              <w:left w:val="nil"/>
              <w:bottom w:val="single" w:sz="8" w:space="0" w:color="auto"/>
              <w:right w:val="single" w:sz="8" w:space="0" w:color="auto"/>
            </w:tcBorders>
            <w:shd w:val="clear" w:color="auto" w:fill="auto"/>
            <w:noWrap/>
            <w:vAlign w:val="center"/>
            <w:hideMark/>
          </w:tcPr>
          <w:p w14:paraId="44D16A4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30E7DFA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215830D1"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434A22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Comisión de Asuntos Penales </w:t>
            </w:r>
          </w:p>
        </w:tc>
        <w:tc>
          <w:tcPr>
            <w:tcW w:w="1560" w:type="dxa"/>
            <w:tcBorders>
              <w:top w:val="nil"/>
              <w:left w:val="nil"/>
              <w:bottom w:val="single" w:sz="8" w:space="0" w:color="auto"/>
              <w:right w:val="single" w:sz="8" w:space="0" w:color="auto"/>
            </w:tcBorders>
            <w:shd w:val="clear" w:color="auto" w:fill="auto"/>
            <w:vAlign w:val="center"/>
            <w:hideMark/>
          </w:tcPr>
          <w:p w14:paraId="123D880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₡1 117 572</w:t>
            </w:r>
          </w:p>
        </w:tc>
        <w:tc>
          <w:tcPr>
            <w:tcW w:w="1559" w:type="dxa"/>
            <w:tcBorders>
              <w:top w:val="nil"/>
              <w:left w:val="nil"/>
              <w:bottom w:val="single" w:sz="8" w:space="0" w:color="auto"/>
              <w:right w:val="single" w:sz="8" w:space="0" w:color="auto"/>
            </w:tcBorders>
            <w:shd w:val="clear" w:color="auto" w:fill="auto"/>
            <w:vAlign w:val="center"/>
            <w:hideMark/>
          </w:tcPr>
          <w:p w14:paraId="5D98A14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₡1 072 868</w:t>
            </w:r>
          </w:p>
        </w:tc>
        <w:tc>
          <w:tcPr>
            <w:tcW w:w="1417" w:type="dxa"/>
            <w:tcBorders>
              <w:top w:val="nil"/>
              <w:left w:val="nil"/>
              <w:bottom w:val="single" w:sz="8" w:space="0" w:color="auto"/>
              <w:right w:val="single" w:sz="8" w:space="0" w:color="auto"/>
            </w:tcBorders>
            <w:shd w:val="clear" w:color="auto" w:fill="auto"/>
            <w:vAlign w:val="center"/>
            <w:hideMark/>
          </w:tcPr>
          <w:p w14:paraId="436F083D"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-₡44 704</w:t>
            </w:r>
          </w:p>
        </w:tc>
        <w:tc>
          <w:tcPr>
            <w:tcW w:w="1134" w:type="dxa"/>
            <w:tcBorders>
              <w:top w:val="nil"/>
              <w:left w:val="nil"/>
              <w:bottom w:val="single" w:sz="8" w:space="0" w:color="auto"/>
              <w:right w:val="single" w:sz="8" w:space="0" w:color="auto"/>
            </w:tcBorders>
            <w:shd w:val="clear" w:color="auto" w:fill="auto"/>
            <w:noWrap/>
            <w:vAlign w:val="center"/>
            <w:hideMark/>
          </w:tcPr>
          <w:p w14:paraId="159BECE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19DBD3C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10CB1E6B"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F558C41"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Atención y Prevención de la Violencia Intrafamiliar</w:t>
            </w:r>
          </w:p>
        </w:tc>
        <w:tc>
          <w:tcPr>
            <w:tcW w:w="1560" w:type="dxa"/>
            <w:tcBorders>
              <w:top w:val="nil"/>
              <w:left w:val="nil"/>
              <w:bottom w:val="single" w:sz="8" w:space="0" w:color="auto"/>
              <w:right w:val="single" w:sz="8" w:space="0" w:color="auto"/>
            </w:tcBorders>
            <w:shd w:val="clear" w:color="auto" w:fill="auto"/>
            <w:vAlign w:val="center"/>
            <w:hideMark/>
          </w:tcPr>
          <w:p w14:paraId="1FF27AA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₡1 472 285</w:t>
            </w:r>
          </w:p>
        </w:tc>
        <w:tc>
          <w:tcPr>
            <w:tcW w:w="1559" w:type="dxa"/>
            <w:tcBorders>
              <w:top w:val="nil"/>
              <w:left w:val="nil"/>
              <w:bottom w:val="single" w:sz="8" w:space="0" w:color="auto"/>
              <w:right w:val="single" w:sz="8" w:space="0" w:color="auto"/>
            </w:tcBorders>
            <w:shd w:val="clear" w:color="auto" w:fill="auto"/>
            <w:vAlign w:val="center"/>
            <w:hideMark/>
          </w:tcPr>
          <w:p w14:paraId="3457EE6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₡1 412 903</w:t>
            </w:r>
          </w:p>
        </w:tc>
        <w:tc>
          <w:tcPr>
            <w:tcW w:w="1417" w:type="dxa"/>
            <w:tcBorders>
              <w:top w:val="nil"/>
              <w:left w:val="nil"/>
              <w:bottom w:val="single" w:sz="8" w:space="0" w:color="auto"/>
              <w:right w:val="single" w:sz="8" w:space="0" w:color="auto"/>
            </w:tcBorders>
            <w:shd w:val="clear" w:color="auto" w:fill="auto"/>
            <w:vAlign w:val="center"/>
            <w:hideMark/>
          </w:tcPr>
          <w:p w14:paraId="2C618C75"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-₡59 382</w:t>
            </w:r>
          </w:p>
        </w:tc>
        <w:tc>
          <w:tcPr>
            <w:tcW w:w="1134" w:type="dxa"/>
            <w:tcBorders>
              <w:top w:val="nil"/>
              <w:left w:val="nil"/>
              <w:bottom w:val="single" w:sz="8" w:space="0" w:color="auto"/>
              <w:right w:val="single" w:sz="8" w:space="0" w:color="auto"/>
            </w:tcBorders>
            <w:shd w:val="clear" w:color="auto" w:fill="auto"/>
            <w:noWrap/>
            <w:vAlign w:val="center"/>
            <w:hideMark/>
          </w:tcPr>
          <w:p w14:paraId="3556305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4688FFD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4478A8BE"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B5A9D66"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de Género</w:t>
            </w:r>
          </w:p>
        </w:tc>
        <w:tc>
          <w:tcPr>
            <w:tcW w:w="1560" w:type="dxa"/>
            <w:tcBorders>
              <w:top w:val="nil"/>
              <w:left w:val="nil"/>
              <w:bottom w:val="single" w:sz="8" w:space="0" w:color="auto"/>
              <w:right w:val="single" w:sz="8" w:space="0" w:color="auto"/>
            </w:tcBorders>
            <w:shd w:val="clear" w:color="auto" w:fill="auto"/>
            <w:vAlign w:val="center"/>
            <w:hideMark/>
          </w:tcPr>
          <w:p w14:paraId="3E554A8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₡2 125 468</w:t>
            </w:r>
          </w:p>
        </w:tc>
        <w:tc>
          <w:tcPr>
            <w:tcW w:w="1559" w:type="dxa"/>
            <w:tcBorders>
              <w:top w:val="nil"/>
              <w:left w:val="nil"/>
              <w:bottom w:val="single" w:sz="8" w:space="0" w:color="auto"/>
              <w:right w:val="single" w:sz="8" w:space="0" w:color="auto"/>
            </w:tcBorders>
            <w:shd w:val="clear" w:color="auto" w:fill="auto"/>
            <w:vAlign w:val="center"/>
            <w:hideMark/>
          </w:tcPr>
          <w:p w14:paraId="69196CF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₡1 963 372</w:t>
            </w:r>
          </w:p>
        </w:tc>
        <w:tc>
          <w:tcPr>
            <w:tcW w:w="1417" w:type="dxa"/>
            <w:tcBorders>
              <w:top w:val="nil"/>
              <w:left w:val="nil"/>
              <w:bottom w:val="single" w:sz="8" w:space="0" w:color="auto"/>
              <w:right w:val="single" w:sz="8" w:space="0" w:color="auto"/>
            </w:tcBorders>
            <w:shd w:val="clear" w:color="auto" w:fill="auto"/>
            <w:vAlign w:val="center"/>
            <w:hideMark/>
          </w:tcPr>
          <w:p w14:paraId="0F7641F6"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-₡162 096</w:t>
            </w:r>
          </w:p>
        </w:tc>
        <w:tc>
          <w:tcPr>
            <w:tcW w:w="1134" w:type="dxa"/>
            <w:tcBorders>
              <w:top w:val="nil"/>
              <w:left w:val="nil"/>
              <w:bottom w:val="single" w:sz="8" w:space="0" w:color="auto"/>
              <w:right w:val="single" w:sz="8" w:space="0" w:color="auto"/>
            </w:tcBorders>
            <w:shd w:val="clear" w:color="auto" w:fill="auto"/>
            <w:noWrap/>
            <w:vAlign w:val="center"/>
            <w:hideMark/>
          </w:tcPr>
          <w:p w14:paraId="46CD220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-7,6%</w:t>
            </w:r>
          </w:p>
        </w:tc>
        <w:tc>
          <w:tcPr>
            <w:tcW w:w="1134" w:type="dxa"/>
            <w:tcBorders>
              <w:top w:val="nil"/>
              <w:left w:val="nil"/>
              <w:bottom w:val="single" w:sz="8" w:space="0" w:color="auto"/>
              <w:right w:val="single" w:sz="8" w:space="0" w:color="auto"/>
            </w:tcBorders>
            <w:shd w:val="clear" w:color="auto" w:fill="auto"/>
            <w:vAlign w:val="center"/>
            <w:hideMark/>
          </w:tcPr>
          <w:p w14:paraId="469E5D9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-7,6%</w:t>
            </w:r>
          </w:p>
        </w:tc>
      </w:tr>
      <w:tr w:rsidR="0093441E" w:rsidRPr="002A7673" w14:paraId="6425C407"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63EE60C8"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Comisión de Gestión Ambiental Institucional </w:t>
            </w:r>
          </w:p>
        </w:tc>
        <w:tc>
          <w:tcPr>
            <w:tcW w:w="1560" w:type="dxa"/>
            <w:tcBorders>
              <w:top w:val="nil"/>
              <w:left w:val="nil"/>
              <w:bottom w:val="single" w:sz="8" w:space="0" w:color="auto"/>
              <w:right w:val="single" w:sz="8" w:space="0" w:color="auto"/>
            </w:tcBorders>
            <w:shd w:val="clear" w:color="auto" w:fill="auto"/>
            <w:vAlign w:val="center"/>
            <w:hideMark/>
          </w:tcPr>
          <w:p w14:paraId="4B03B7B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₡1 058 495</w:t>
            </w:r>
          </w:p>
        </w:tc>
        <w:tc>
          <w:tcPr>
            <w:tcW w:w="1559" w:type="dxa"/>
            <w:tcBorders>
              <w:top w:val="nil"/>
              <w:left w:val="nil"/>
              <w:bottom w:val="single" w:sz="8" w:space="0" w:color="auto"/>
              <w:right w:val="single" w:sz="8" w:space="0" w:color="auto"/>
            </w:tcBorders>
            <w:shd w:val="clear" w:color="auto" w:fill="auto"/>
            <w:vAlign w:val="center"/>
            <w:hideMark/>
          </w:tcPr>
          <w:p w14:paraId="68ACBAC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₡1 016 155</w:t>
            </w:r>
          </w:p>
        </w:tc>
        <w:tc>
          <w:tcPr>
            <w:tcW w:w="1417" w:type="dxa"/>
            <w:tcBorders>
              <w:top w:val="nil"/>
              <w:left w:val="nil"/>
              <w:bottom w:val="single" w:sz="8" w:space="0" w:color="auto"/>
              <w:right w:val="single" w:sz="8" w:space="0" w:color="auto"/>
            </w:tcBorders>
            <w:shd w:val="clear" w:color="auto" w:fill="auto"/>
            <w:vAlign w:val="center"/>
            <w:hideMark/>
          </w:tcPr>
          <w:p w14:paraId="458569EF"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-₡42 340</w:t>
            </w:r>
          </w:p>
        </w:tc>
        <w:tc>
          <w:tcPr>
            <w:tcW w:w="1134" w:type="dxa"/>
            <w:tcBorders>
              <w:top w:val="nil"/>
              <w:left w:val="nil"/>
              <w:bottom w:val="single" w:sz="8" w:space="0" w:color="auto"/>
              <w:right w:val="single" w:sz="8" w:space="0" w:color="auto"/>
            </w:tcBorders>
            <w:shd w:val="clear" w:color="auto" w:fill="auto"/>
            <w:noWrap/>
            <w:vAlign w:val="center"/>
            <w:hideMark/>
          </w:tcPr>
          <w:p w14:paraId="2A3DDE4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2285053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57D46B63"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7DE3176"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Gestión Integral de la Calidad de la Justicia (GICA)</w:t>
            </w:r>
          </w:p>
        </w:tc>
        <w:tc>
          <w:tcPr>
            <w:tcW w:w="1560" w:type="dxa"/>
            <w:tcBorders>
              <w:top w:val="nil"/>
              <w:left w:val="nil"/>
              <w:bottom w:val="single" w:sz="8" w:space="0" w:color="auto"/>
              <w:right w:val="single" w:sz="8" w:space="0" w:color="auto"/>
            </w:tcBorders>
            <w:shd w:val="clear" w:color="auto" w:fill="auto"/>
            <w:vAlign w:val="center"/>
            <w:hideMark/>
          </w:tcPr>
          <w:p w14:paraId="421C4B7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₡1 158 938</w:t>
            </w:r>
          </w:p>
        </w:tc>
        <w:tc>
          <w:tcPr>
            <w:tcW w:w="1559" w:type="dxa"/>
            <w:tcBorders>
              <w:top w:val="nil"/>
              <w:left w:val="nil"/>
              <w:bottom w:val="single" w:sz="8" w:space="0" w:color="auto"/>
              <w:right w:val="single" w:sz="8" w:space="0" w:color="auto"/>
            </w:tcBorders>
            <w:shd w:val="clear" w:color="auto" w:fill="auto"/>
            <w:vAlign w:val="center"/>
            <w:hideMark/>
          </w:tcPr>
          <w:p w14:paraId="5287042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₡980 011</w:t>
            </w:r>
          </w:p>
        </w:tc>
        <w:tc>
          <w:tcPr>
            <w:tcW w:w="1417" w:type="dxa"/>
            <w:tcBorders>
              <w:top w:val="nil"/>
              <w:left w:val="nil"/>
              <w:bottom w:val="single" w:sz="8" w:space="0" w:color="auto"/>
              <w:right w:val="single" w:sz="8" w:space="0" w:color="auto"/>
            </w:tcBorders>
            <w:shd w:val="clear" w:color="auto" w:fill="auto"/>
            <w:vAlign w:val="center"/>
            <w:hideMark/>
          </w:tcPr>
          <w:p w14:paraId="20B6CDF8"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-₡178 927</w:t>
            </w:r>
          </w:p>
        </w:tc>
        <w:tc>
          <w:tcPr>
            <w:tcW w:w="1134" w:type="dxa"/>
            <w:tcBorders>
              <w:top w:val="nil"/>
              <w:left w:val="nil"/>
              <w:bottom w:val="single" w:sz="8" w:space="0" w:color="auto"/>
              <w:right w:val="single" w:sz="8" w:space="0" w:color="auto"/>
            </w:tcBorders>
            <w:shd w:val="clear" w:color="auto" w:fill="auto"/>
            <w:noWrap/>
            <w:vAlign w:val="center"/>
            <w:hideMark/>
          </w:tcPr>
          <w:p w14:paraId="2008645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-15,4%</w:t>
            </w:r>
          </w:p>
        </w:tc>
        <w:tc>
          <w:tcPr>
            <w:tcW w:w="1134" w:type="dxa"/>
            <w:tcBorders>
              <w:top w:val="nil"/>
              <w:left w:val="nil"/>
              <w:bottom w:val="single" w:sz="8" w:space="0" w:color="auto"/>
              <w:right w:val="single" w:sz="8" w:space="0" w:color="auto"/>
            </w:tcBorders>
            <w:shd w:val="clear" w:color="auto" w:fill="auto"/>
            <w:vAlign w:val="center"/>
            <w:hideMark/>
          </w:tcPr>
          <w:p w14:paraId="7CFED8E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-15,4%</w:t>
            </w:r>
          </w:p>
        </w:tc>
      </w:tr>
      <w:bookmarkEnd w:id="125"/>
      <w:tr w:rsidR="0093441E" w:rsidRPr="002A7673" w14:paraId="2E6D0199"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B28A1D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lastRenderedPageBreak/>
              <w:t>Comisión de la Jurisdicción Agrario y Agroambiental</w:t>
            </w:r>
          </w:p>
        </w:tc>
        <w:tc>
          <w:tcPr>
            <w:tcW w:w="1560" w:type="dxa"/>
            <w:tcBorders>
              <w:top w:val="nil"/>
              <w:left w:val="nil"/>
              <w:bottom w:val="single" w:sz="8" w:space="0" w:color="auto"/>
              <w:right w:val="single" w:sz="8" w:space="0" w:color="auto"/>
            </w:tcBorders>
            <w:shd w:val="clear" w:color="auto" w:fill="auto"/>
            <w:vAlign w:val="center"/>
            <w:hideMark/>
          </w:tcPr>
          <w:p w14:paraId="30D565A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₡780 890</w:t>
            </w:r>
          </w:p>
        </w:tc>
        <w:tc>
          <w:tcPr>
            <w:tcW w:w="1559" w:type="dxa"/>
            <w:tcBorders>
              <w:top w:val="nil"/>
              <w:left w:val="nil"/>
              <w:bottom w:val="single" w:sz="8" w:space="0" w:color="auto"/>
              <w:right w:val="single" w:sz="8" w:space="0" w:color="auto"/>
            </w:tcBorders>
            <w:shd w:val="clear" w:color="auto" w:fill="auto"/>
            <w:vAlign w:val="center"/>
            <w:hideMark/>
          </w:tcPr>
          <w:p w14:paraId="05A9D2D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₡749 654</w:t>
            </w:r>
          </w:p>
        </w:tc>
        <w:tc>
          <w:tcPr>
            <w:tcW w:w="1417" w:type="dxa"/>
            <w:tcBorders>
              <w:top w:val="nil"/>
              <w:left w:val="nil"/>
              <w:bottom w:val="single" w:sz="8" w:space="0" w:color="auto"/>
              <w:right w:val="single" w:sz="8" w:space="0" w:color="auto"/>
            </w:tcBorders>
            <w:shd w:val="clear" w:color="auto" w:fill="auto"/>
            <w:vAlign w:val="center"/>
            <w:hideMark/>
          </w:tcPr>
          <w:p w14:paraId="5F0A8920"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-₡31 236</w:t>
            </w:r>
          </w:p>
        </w:tc>
        <w:tc>
          <w:tcPr>
            <w:tcW w:w="1134" w:type="dxa"/>
            <w:tcBorders>
              <w:top w:val="nil"/>
              <w:left w:val="nil"/>
              <w:bottom w:val="single" w:sz="8" w:space="0" w:color="auto"/>
              <w:right w:val="single" w:sz="8" w:space="0" w:color="auto"/>
            </w:tcBorders>
            <w:shd w:val="clear" w:color="auto" w:fill="auto"/>
            <w:noWrap/>
            <w:vAlign w:val="center"/>
            <w:hideMark/>
          </w:tcPr>
          <w:p w14:paraId="323B769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2E41D3F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18CC5DCD"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6E308C6"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de la Jurisdicción Civil</w:t>
            </w:r>
          </w:p>
        </w:tc>
        <w:tc>
          <w:tcPr>
            <w:tcW w:w="1560" w:type="dxa"/>
            <w:tcBorders>
              <w:top w:val="nil"/>
              <w:left w:val="nil"/>
              <w:bottom w:val="single" w:sz="8" w:space="0" w:color="auto"/>
              <w:right w:val="single" w:sz="8" w:space="0" w:color="auto"/>
            </w:tcBorders>
            <w:shd w:val="clear" w:color="auto" w:fill="auto"/>
            <w:vAlign w:val="center"/>
            <w:hideMark/>
          </w:tcPr>
          <w:p w14:paraId="6ED464A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₡929 578</w:t>
            </w:r>
          </w:p>
        </w:tc>
        <w:tc>
          <w:tcPr>
            <w:tcW w:w="1559" w:type="dxa"/>
            <w:tcBorders>
              <w:top w:val="nil"/>
              <w:left w:val="nil"/>
              <w:bottom w:val="single" w:sz="8" w:space="0" w:color="auto"/>
              <w:right w:val="single" w:sz="8" w:space="0" w:color="auto"/>
            </w:tcBorders>
            <w:shd w:val="clear" w:color="auto" w:fill="auto"/>
            <w:vAlign w:val="center"/>
            <w:hideMark/>
          </w:tcPr>
          <w:p w14:paraId="6525400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₡892 395</w:t>
            </w:r>
          </w:p>
        </w:tc>
        <w:tc>
          <w:tcPr>
            <w:tcW w:w="1417" w:type="dxa"/>
            <w:tcBorders>
              <w:top w:val="nil"/>
              <w:left w:val="nil"/>
              <w:bottom w:val="single" w:sz="8" w:space="0" w:color="auto"/>
              <w:right w:val="single" w:sz="8" w:space="0" w:color="auto"/>
            </w:tcBorders>
            <w:shd w:val="clear" w:color="auto" w:fill="auto"/>
            <w:vAlign w:val="center"/>
            <w:hideMark/>
          </w:tcPr>
          <w:p w14:paraId="6115B6E3"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-₡37 183</w:t>
            </w:r>
          </w:p>
        </w:tc>
        <w:tc>
          <w:tcPr>
            <w:tcW w:w="1134" w:type="dxa"/>
            <w:tcBorders>
              <w:top w:val="nil"/>
              <w:left w:val="nil"/>
              <w:bottom w:val="single" w:sz="8" w:space="0" w:color="auto"/>
              <w:right w:val="single" w:sz="8" w:space="0" w:color="auto"/>
            </w:tcBorders>
            <w:shd w:val="clear" w:color="auto" w:fill="auto"/>
            <w:noWrap/>
            <w:vAlign w:val="center"/>
            <w:hideMark/>
          </w:tcPr>
          <w:p w14:paraId="19160FB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7E658C8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402464A2"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3373DA3"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de la Jurisdicción Contencioso Administrativo</w:t>
            </w:r>
          </w:p>
        </w:tc>
        <w:tc>
          <w:tcPr>
            <w:tcW w:w="1560" w:type="dxa"/>
            <w:tcBorders>
              <w:top w:val="nil"/>
              <w:left w:val="nil"/>
              <w:bottom w:val="single" w:sz="8" w:space="0" w:color="auto"/>
              <w:right w:val="single" w:sz="8" w:space="0" w:color="auto"/>
            </w:tcBorders>
            <w:shd w:val="clear" w:color="auto" w:fill="auto"/>
            <w:vAlign w:val="center"/>
            <w:hideMark/>
          </w:tcPr>
          <w:p w14:paraId="294490F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₡945 139</w:t>
            </w:r>
          </w:p>
        </w:tc>
        <w:tc>
          <w:tcPr>
            <w:tcW w:w="1559" w:type="dxa"/>
            <w:tcBorders>
              <w:top w:val="nil"/>
              <w:left w:val="nil"/>
              <w:bottom w:val="single" w:sz="8" w:space="0" w:color="auto"/>
              <w:right w:val="single" w:sz="8" w:space="0" w:color="auto"/>
            </w:tcBorders>
            <w:shd w:val="clear" w:color="auto" w:fill="auto"/>
            <w:vAlign w:val="center"/>
            <w:hideMark/>
          </w:tcPr>
          <w:p w14:paraId="4679822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₡737 155</w:t>
            </w:r>
          </w:p>
        </w:tc>
        <w:tc>
          <w:tcPr>
            <w:tcW w:w="1417" w:type="dxa"/>
            <w:tcBorders>
              <w:top w:val="nil"/>
              <w:left w:val="nil"/>
              <w:bottom w:val="single" w:sz="8" w:space="0" w:color="auto"/>
              <w:right w:val="single" w:sz="8" w:space="0" w:color="auto"/>
            </w:tcBorders>
            <w:shd w:val="clear" w:color="auto" w:fill="auto"/>
            <w:vAlign w:val="center"/>
            <w:hideMark/>
          </w:tcPr>
          <w:p w14:paraId="3E82339C"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-₡207 984</w:t>
            </w:r>
          </w:p>
        </w:tc>
        <w:tc>
          <w:tcPr>
            <w:tcW w:w="1134" w:type="dxa"/>
            <w:tcBorders>
              <w:top w:val="nil"/>
              <w:left w:val="nil"/>
              <w:bottom w:val="single" w:sz="8" w:space="0" w:color="auto"/>
              <w:right w:val="single" w:sz="8" w:space="0" w:color="auto"/>
            </w:tcBorders>
            <w:shd w:val="clear" w:color="auto" w:fill="auto"/>
            <w:noWrap/>
            <w:vAlign w:val="center"/>
            <w:hideMark/>
          </w:tcPr>
          <w:p w14:paraId="2402B8A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-22,0%</w:t>
            </w:r>
          </w:p>
        </w:tc>
        <w:tc>
          <w:tcPr>
            <w:tcW w:w="1134" w:type="dxa"/>
            <w:tcBorders>
              <w:top w:val="nil"/>
              <w:left w:val="nil"/>
              <w:bottom w:val="single" w:sz="8" w:space="0" w:color="auto"/>
              <w:right w:val="single" w:sz="8" w:space="0" w:color="auto"/>
            </w:tcBorders>
            <w:shd w:val="clear" w:color="auto" w:fill="auto"/>
            <w:vAlign w:val="center"/>
            <w:hideMark/>
          </w:tcPr>
          <w:p w14:paraId="17735F8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-22,0%</w:t>
            </w:r>
          </w:p>
        </w:tc>
      </w:tr>
      <w:tr w:rsidR="0093441E" w:rsidRPr="002A7673" w14:paraId="7CED598A"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F35633B"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de la Jurisdicción de Familia, Niñez y Adolescencia</w:t>
            </w:r>
          </w:p>
        </w:tc>
        <w:tc>
          <w:tcPr>
            <w:tcW w:w="1560" w:type="dxa"/>
            <w:tcBorders>
              <w:top w:val="nil"/>
              <w:left w:val="nil"/>
              <w:bottom w:val="single" w:sz="8" w:space="0" w:color="auto"/>
              <w:right w:val="single" w:sz="8" w:space="0" w:color="auto"/>
            </w:tcBorders>
            <w:shd w:val="clear" w:color="auto" w:fill="auto"/>
            <w:vAlign w:val="center"/>
            <w:hideMark/>
          </w:tcPr>
          <w:p w14:paraId="4E2CBA1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₡1 133 731</w:t>
            </w:r>
          </w:p>
        </w:tc>
        <w:tc>
          <w:tcPr>
            <w:tcW w:w="1559" w:type="dxa"/>
            <w:tcBorders>
              <w:top w:val="nil"/>
              <w:left w:val="nil"/>
              <w:bottom w:val="single" w:sz="8" w:space="0" w:color="auto"/>
              <w:right w:val="single" w:sz="8" w:space="0" w:color="auto"/>
            </w:tcBorders>
            <w:shd w:val="clear" w:color="auto" w:fill="auto"/>
            <w:vAlign w:val="center"/>
            <w:hideMark/>
          </w:tcPr>
          <w:p w14:paraId="24EC785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₡1 088 381</w:t>
            </w:r>
          </w:p>
        </w:tc>
        <w:tc>
          <w:tcPr>
            <w:tcW w:w="1417" w:type="dxa"/>
            <w:tcBorders>
              <w:top w:val="nil"/>
              <w:left w:val="nil"/>
              <w:bottom w:val="single" w:sz="8" w:space="0" w:color="auto"/>
              <w:right w:val="single" w:sz="8" w:space="0" w:color="auto"/>
            </w:tcBorders>
            <w:shd w:val="clear" w:color="auto" w:fill="auto"/>
            <w:vAlign w:val="center"/>
            <w:hideMark/>
          </w:tcPr>
          <w:p w14:paraId="1ED0CBD1"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-₡45 350</w:t>
            </w:r>
          </w:p>
        </w:tc>
        <w:tc>
          <w:tcPr>
            <w:tcW w:w="1134" w:type="dxa"/>
            <w:tcBorders>
              <w:top w:val="nil"/>
              <w:left w:val="nil"/>
              <w:bottom w:val="single" w:sz="8" w:space="0" w:color="auto"/>
              <w:right w:val="single" w:sz="8" w:space="0" w:color="auto"/>
            </w:tcBorders>
            <w:shd w:val="clear" w:color="auto" w:fill="auto"/>
            <w:noWrap/>
            <w:vAlign w:val="center"/>
            <w:hideMark/>
          </w:tcPr>
          <w:p w14:paraId="4B27C53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4FC613A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7CAB6F1A"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3890FBD8"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Comisión de la Jurisdicción Laboral </w:t>
            </w:r>
          </w:p>
        </w:tc>
        <w:tc>
          <w:tcPr>
            <w:tcW w:w="1560" w:type="dxa"/>
            <w:tcBorders>
              <w:top w:val="nil"/>
              <w:left w:val="nil"/>
              <w:bottom w:val="single" w:sz="8" w:space="0" w:color="auto"/>
              <w:right w:val="single" w:sz="8" w:space="0" w:color="auto"/>
            </w:tcBorders>
            <w:shd w:val="clear" w:color="auto" w:fill="auto"/>
            <w:vAlign w:val="center"/>
            <w:hideMark/>
          </w:tcPr>
          <w:p w14:paraId="2D1A58E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₡603 649</w:t>
            </w:r>
          </w:p>
        </w:tc>
        <w:tc>
          <w:tcPr>
            <w:tcW w:w="1559" w:type="dxa"/>
            <w:tcBorders>
              <w:top w:val="nil"/>
              <w:left w:val="nil"/>
              <w:bottom w:val="single" w:sz="8" w:space="0" w:color="auto"/>
              <w:right w:val="single" w:sz="8" w:space="0" w:color="auto"/>
            </w:tcBorders>
            <w:shd w:val="clear" w:color="auto" w:fill="auto"/>
            <w:vAlign w:val="center"/>
            <w:hideMark/>
          </w:tcPr>
          <w:p w14:paraId="66D22C3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₡579 500</w:t>
            </w:r>
          </w:p>
        </w:tc>
        <w:tc>
          <w:tcPr>
            <w:tcW w:w="1417" w:type="dxa"/>
            <w:tcBorders>
              <w:top w:val="nil"/>
              <w:left w:val="nil"/>
              <w:bottom w:val="single" w:sz="8" w:space="0" w:color="auto"/>
              <w:right w:val="single" w:sz="8" w:space="0" w:color="auto"/>
            </w:tcBorders>
            <w:shd w:val="clear" w:color="auto" w:fill="auto"/>
            <w:vAlign w:val="center"/>
            <w:hideMark/>
          </w:tcPr>
          <w:p w14:paraId="27F691E5"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-₡24 149</w:t>
            </w:r>
          </w:p>
        </w:tc>
        <w:tc>
          <w:tcPr>
            <w:tcW w:w="1134" w:type="dxa"/>
            <w:tcBorders>
              <w:top w:val="nil"/>
              <w:left w:val="nil"/>
              <w:bottom w:val="single" w:sz="8" w:space="0" w:color="auto"/>
              <w:right w:val="single" w:sz="8" w:space="0" w:color="auto"/>
            </w:tcBorders>
            <w:shd w:val="clear" w:color="auto" w:fill="auto"/>
            <w:noWrap/>
            <w:vAlign w:val="center"/>
            <w:hideMark/>
          </w:tcPr>
          <w:p w14:paraId="3947D13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1331E85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6E19E3F7"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7D2314E"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Comisión de Transparencia Institucional  </w:t>
            </w:r>
          </w:p>
        </w:tc>
        <w:tc>
          <w:tcPr>
            <w:tcW w:w="1560" w:type="dxa"/>
            <w:tcBorders>
              <w:top w:val="nil"/>
              <w:left w:val="nil"/>
              <w:bottom w:val="single" w:sz="8" w:space="0" w:color="auto"/>
              <w:right w:val="single" w:sz="8" w:space="0" w:color="auto"/>
            </w:tcBorders>
            <w:shd w:val="clear" w:color="auto" w:fill="auto"/>
            <w:vAlign w:val="center"/>
            <w:hideMark/>
          </w:tcPr>
          <w:p w14:paraId="35BA56B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₡1 027 088</w:t>
            </w:r>
          </w:p>
        </w:tc>
        <w:tc>
          <w:tcPr>
            <w:tcW w:w="1559" w:type="dxa"/>
            <w:tcBorders>
              <w:top w:val="nil"/>
              <w:left w:val="nil"/>
              <w:bottom w:val="single" w:sz="8" w:space="0" w:color="auto"/>
              <w:right w:val="single" w:sz="8" w:space="0" w:color="auto"/>
            </w:tcBorders>
            <w:shd w:val="clear" w:color="auto" w:fill="auto"/>
            <w:vAlign w:val="center"/>
            <w:hideMark/>
          </w:tcPr>
          <w:p w14:paraId="489DEBC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₡986 004</w:t>
            </w:r>
          </w:p>
        </w:tc>
        <w:tc>
          <w:tcPr>
            <w:tcW w:w="1417" w:type="dxa"/>
            <w:tcBorders>
              <w:top w:val="nil"/>
              <w:left w:val="nil"/>
              <w:bottom w:val="single" w:sz="8" w:space="0" w:color="auto"/>
              <w:right w:val="single" w:sz="8" w:space="0" w:color="auto"/>
            </w:tcBorders>
            <w:shd w:val="clear" w:color="auto" w:fill="auto"/>
            <w:vAlign w:val="center"/>
            <w:hideMark/>
          </w:tcPr>
          <w:p w14:paraId="6D6BBCDC"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-₡41 084</w:t>
            </w:r>
          </w:p>
        </w:tc>
        <w:tc>
          <w:tcPr>
            <w:tcW w:w="1134" w:type="dxa"/>
            <w:tcBorders>
              <w:top w:val="nil"/>
              <w:left w:val="nil"/>
              <w:bottom w:val="single" w:sz="8" w:space="0" w:color="auto"/>
              <w:right w:val="single" w:sz="8" w:space="0" w:color="auto"/>
            </w:tcBorders>
            <w:shd w:val="clear" w:color="auto" w:fill="auto"/>
            <w:noWrap/>
            <w:vAlign w:val="center"/>
            <w:hideMark/>
          </w:tcPr>
          <w:p w14:paraId="5939364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02E3896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050DB399"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24B6E7F"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Comisión Interinstitucional de Tránsito </w:t>
            </w:r>
          </w:p>
        </w:tc>
        <w:tc>
          <w:tcPr>
            <w:tcW w:w="1560" w:type="dxa"/>
            <w:tcBorders>
              <w:top w:val="nil"/>
              <w:left w:val="nil"/>
              <w:bottom w:val="single" w:sz="8" w:space="0" w:color="auto"/>
              <w:right w:val="single" w:sz="8" w:space="0" w:color="auto"/>
            </w:tcBorders>
            <w:shd w:val="clear" w:color="auto" w:fill="auto"/>
            <w:vAlign w:val="center"/>
            <w:hideMark/>
          </w:tcPr>
          <w:p w14:paraId="52DAE0F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₡1 177 078</w:t>
            </w:r>
          </w:p>
        </w:tc>
        <w:tc>
          <w:tcPr>
            <w:tcW w:w="1559" w:type="dxa"/>
            <w:tcBorders>
              <w:top w:val="nil"/>
              <w:left w:val="nil"/>
              <w:bottom w:val="single" w:sz="8" w:space="0" w:color="auto"/>
              <w:right w:val="single" w:sz="8" w:space="0" w:color="auto"/>
            </w:tcBorders>
            <w:shd w:val="clear" w:color="auto" w:fill="auto"/>
            <w:vAlign w:val="center"/>
            <w:hideMark/>
          </w:tcPr>
          <w:p w14:paraId="31F5540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₡1 129 995</w:t>
            </w:r>
          </w:p>
        </w:tc>
        <w:tc>
          <w:tcPr>
            <w:tcW w:w="1417" w:type="dxa"/>
            <w:tcBorders>
              <w:top w:val="nil"/>
              <w:left w:val="nil"/>
              <w:bottom w:val="single" w:sz="8" w:space="0" w:color="auto"/>
              <w:right w:val="single" w:sz="8" w:space="0" w:color="auto"/>
            </w:tcBorders>
            <w:shd w:val="clear" w:color="auto" w:fill="auto"/>
            <w:vAlign w:val="center"/>
            <w:hideMark/>
          </w:tcPr>
          <w:p w14:paraId="2BA634EA"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-₡47 083</w:t>
            </w:r>
          </w:p>
        </w:tc>
        <w:tc>
          <w:tcPr>
            <w:tcW w:w="1134" w:type="dxa"/>
            <w:tcBorders>
              <w:top w:val="nil"/>
              <w:left w:val="nil"/>
              <w:bottom w:val="single" w:sz="8" w:space="0" w:color="auto"/>
              <w:right w:val="single" w:sz="8" w:space="0" w:color="auto"/>
            </w:tcBorders>
            <w:shd w:val="clear" w:color="auto" w:fill="auto"/>
            <w:noWrap/>
            <w:vAlign w:val="center"/>
            <w:hideMark/>
          </w:tcPr>
          <w:p w14:paraId="2248C5B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5CD57C4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6D709226"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9AF9519"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de Relaciones Laborales</w:t>
            </w:r>
          </w:p>
        </w:tc>
        <w:tc>
          <w:tcPr>
            <w:tcW w:w="1560" w:type="dxa"/>
            <w:tcBorders>
              <w:top w:val="nil"/>
              <w:left w:val="nil"/>
              <w:bottom w:val="single" w:sz="8" w:space="0" w:color="auto"/>
              <w:right w:val="single" w:sz="8" w:space="0" w:color="auto"/>
            </w:tcBorders>
            <w:shd w:val="clear" w:color="auto" w:fill="auto"/>
            <w:vAlign w:val="center"/>
            <w:hideMark/>
          </w:tcPr>
          <w:p w14:paraId="5FF7D9D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₡618 545</w:t>
            </w:r>
          </w:p>
        </w:tc>
        <w:tc>
          <w:tcPr>
            <w:tcW w:w="1559" w:type="dxa"/>
            <w:tcBorders>
              <w:top w:val="nil"/>
              <w:left w:val="nil"/>
              <w:bottom w:val="single" w:sz="8" w:space="0" w:color="auto"/>
              <w:right w:val="single" w:sz="8" w:space="0" w:color="auto"/>
            </w:tcBorders>
            <w:shd w:val="clear" w:color="auto" w:fill="auto"/>
            <w:vAlign w:val="center"/>
            <w:hideMark/>
          </w:tcPr>
          <w:p w14:paraId="426CED6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₡593 545</w:t>
            </w:r>
          </w:p>
        </w:tc>
        <w:tc>
          <w:tcPr>
            <w:tcW w:w="1417" w:type="dxa"/>
            <w:tcBorders>
              <w:top w:val="nil"/>
              <w:left w:val="nil"/>
              <w:bottom w:val="single" w:sz="8" w:space="0" w:color="auto"/>
              <w:right w:val="single" w:sz="8" w:space="0" w:color="auto"/>
            </w:tcBorders>
            <w:shd w:val="clear" w:color="auto" w:fill="auto"/>
            <w:vAlign w:val="center"/>
            <w:hideMark/>
          </w:tcPr>
          <w:p w14:paraId="67DBD876"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-₡25 000</w:t>
            </w:r>
          </w:p>
        </w:tc>
        <w:tc>
          <w:tcPr>
            <w:tcW w:w="1134" w:type="dxa"/>
            <w:tcBorders>
              <w:top w:val="nil"/>
              <w:left w:val="nil"/>
              <w:bottom w:val="single" w:sz="8" w:space="0" w:color="auto"/>
              <w:right w:val="single" w:sz="8" w:space="0" w:color="auto"/>
            </w:tcBorders>
            <w:shd w:val="clear" w:color="auto" w:fill="auto"/>
            <w:noWrap/>
            <w:vAlign w:val="center"/>
            <w:hideMark/>
          </w:tcPr>
          <w:p w14:paraId="780C1D7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03D3BFC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398BBB59"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2A3B4BE"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Consejo de Personal </w:t>
            </w:r>
          </w:p>
        </w:tc>
        <w:tc>
          <w:tcPr>
            <w:tcW w:w="1560" w:type="dxa"/>
            <w:tcBorders>
              <w:top w:val="nil"/>
              <w:left w:val="nil"/>
              <w:bottom w:val="single" w:sz="8" w:space="0" w:color="auto"/>
              <w:right w:val="single" w:sz="8" w:space="0" w:color="auto"/>
            </w:tcBorders>
            <w:shd w:val="clear" w:color="auto" w:fill="auto"/>
            <w:vAlign w:val="center"/>
            <w:hideMark/>
          </w:tcPr>
          <w:p w14:paraId="2D59971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₡1 401 596</w:t>
            </w:r>
          </w:p>
        </w:tc>
        <w:tc>
          <w:tcPr>
            <w:tcW w:w="1559" w:type="dxa"/>
            <w:tcBorders>
              <w:top w:val="nil"/>
              <w:left w:val="nil"/>
              <w:bottom w:val="single" w:sz="8" w:space="0" w:color="auto"/>
              <w:right w:val="single" w:sz="8" w:space="0" w:color="auto"/>
            </w:tcBorders>
            <w:shd w:val="clear" w:color="auto" w:fill="auto"/>
            <w:vAlign w:val="center"/>
            <w:hideMark/>
          </w:tcPr>
          <w:p w14:paraId="610644C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₡1 345 532</w:t>
            </w:r>
          </w:p>
        </w:tc>
        <w:tc>
          <w:tcPr>
            <w:tcW w:w="1417" w:type="dxa"/>
            <w:tcBorders>
              <w:top w:val="nil"/>
              <w:left w:val="nil"/>
              <w:bottom w:val="single" w:sz="8" w:space="0" w:color="auto"/>
              <w:right w:val="single" w:sz="8" w:space="0" w:color="auto"/>
            </w:tcBorders>
            <w:shd w:val="clear" w:color="auto" w:fill="auto"/>
            <w:vAlign w:val="center"/>
            <w:hideMark/>
          </w:tcPr>
          <w:p w14:paraId="4889E7C1"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-₡56 064</w:t>
            </w:r>
          </w:p>
        </w:tc>
        <w:tc>
          <w:tcPr>
            <w:tcW w:w="1134" w:type="dxa"/>
            <w:tcBorders>
              <w:top w:val="nil"/>
              <w:left w:val="nil"/>
              <w:bottom w:val="single" w:sz="8" w:space="0" w:color="auto"/>
              <w:right w:val="single" w:sz="8" w:space="0" w:color="auto"/>
            </w:tcBorders>
            <w:shd w:val="clear" w:color="auto" w:fill="auto"/>
            <w:noWrap/>
            <w:vAlign w:val="center"/>
            <w:hideMark/>
          </w:tcPr>
          <w:p w14:paraId="6D8C9FF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46E0CFA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598CB890"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09F1235"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Programa Hacia Cero Papel </w:t>
            </w:r>
          </w:p>
        </w:tc>
        <w:tc>
          <w:tcPr>
            <w:tcW w:w="1560" w:type="dxa"/>
            <w:tcBorders>
              <w:top w:val="nil"/>
              <w:left w:val="nil"/>
              <w:bottom w:val="single" w:sz="8" w:space="0" w:color="auto"/>
              <w:right w:val="single" w:sz="8" w:space="0" w:color="auto"/>
            </w:tcBorders>
            <w:shd w:val="clear" w:color="auto" w:fill="auto"/>
            <w:vAlign w:val="center"/>
            <w:hideMark/>
          </w:tcPr>
          <w:p w14:paraId="318A630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₡1 227 038</w:t>
            </w:r>
          </w:p>
        </w:tc>
        <w:tc>
          <w:tcPr>
            <w:tcW w:w="1559" w:type="dxa"/>
            <w:tcBorders>
              <w:top w:val="nil"/>
              <w:left w:val="nil"/>
              <w:bottom w:val="single" w:sz="8" w:space="0" w:color="auto"/>
              <w:right w:val="single" w:sz="8" w:space="0" w:color="auto"/>
            </w:tcBorders>
            <w:shd w:val="clear" w:color="auto" w:fill="auto"/>
            <w:vAlign w:val="center"/>
            <w:hideMark/>
          </w:tcPr>
          <w:p w14:paraId="2505F35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₡1 177 956</w:t>
            </w:r>
          </w:p>
        </w:tc>
        <w:tc>
          <w:tcPr>
            <w:tcW w:w="1417" w:type="dxa"/>
            <w:tcBorders>
              <w:top w:val="nil"/>
              <w:left w:val="nil"/>
              <w:bottom w:val="single" w:sz="8" w:space="0" w:color="auto"/>
              <w:right w:val="single" w:sz="8" w:space="0" w:color="auto"/>
            </w:tcBorders>
            <w:shd w:val="clear" w:color="auto" w:fill="auto"/>
            <w:vAlign w:val="center"/>
            <w:hideMark/>
          </w:tcPr>
          <w:p w14:paraId="70550461"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-₡49 082</w:t>
            </w:r>
          </w:p>
        </w:tc>
        <w:tc>
          <w:tcPr>
            <w:tcW w:w="1134" w:type="dxa"/>
            <w:tcBorders>
              <w:top w:val="nil"/>
              <w:left w:val="nil"/>
              <w:bottom w:val="single" w:sz="8" w:space="0" w:color="auto"/>
              <w:right w:val="single" w:sz="8" w:space="0" w:color="auto"/>
            </w:tcBorders>
            <w:shd w:val="clear" w:color="auto" w:fill="auto"/>
            <w:noWrap/>
            <w:vAlign w:val="center"/>
            <w:hideMark/>
          </w:tcPr>
          <w:p w14:paraId="0895EAC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7A5CEA1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558D7640"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6914841"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Comisión de Salud Ocupacional </w:t>
            </w:r>
          </w:p>
        </w:tc>
        <w:tc>
          <w:tcPr>
            <w:tcW w:w="1560" w:type="dxa"/>
            <w:tcBorders>
              <w:top w:val="nil"/>
              <w:left w:val="nil"/>
              <w:bottom w:val="single" w:sz="8" w:space="0" w:color="auto"/>
              <w:right w:val="single" w:sz="8" w:space="0" w:color="auto"/>
            </w:tcBorders>
            <w:shd w:val="clear" w:color="auto" w:fill="auto"/>
            <w:vAlign w:val="center"/>
            <w:hideMark/>
          </w:tcPr>
          <w:p w14:paraId="0E8D943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₡2 578 760</w:t>
            </w:r>
          </w:p>
        </w:tc>
        <w:tc>
          <w:tcPr>
            <w:tcW w:w="1559" w:type="dxa"/>
            <w:tcBorders>
              <w:top w:val="nil"/>
              <w:left w:val="nil"/>
              <w:bottom w:val="single" w:sz="8" w:space="0" w:color="auto"/>
              <w:right w:val="single" w:sz="8" w:space="0" w:color="auto"/>
            </w:tcBorders>
            <w:shd w:val="clear" w:color="auto" w:fill="auto"/>
            <w:vAlign w:val="center"/>
            <w:hideMark/>
          </w:tcPr>
          <w:p w14:paraId="687C016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₡2 475 610</w:t>
            </w:r>
          </w:p>
        </w:tc>
        <w:tc>
          <w:tcPr>
            <w:tcW w:w="1417" w:type="dxa"/>
            <w:tcBorders>
              <w:top w:val="nil"/>
              <w:left w:val="nil"/>
              <w:bottom w:val="single" w:sz="8" w:space="0" w:color="auto"/>
              <w:right w:val="single" w:sz="8" w:space="0" w:color="auto"/>
            </w:tcBorders>
            <w:shd w:val="clear" w:color="auto" w:fill="auto"/>
            <w:vAlign w:val="center"/>
            <w:hideMark/>
          </w:tcPr>
          <w:p w14:paraId="784FD809"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-₡103 150</w:t>
            </w:r>
          </w:p>
        </w:tc>
        <w:tc>
          <w:tcPr>
            <w:tcW w:w="1134" w:type="dxa"/>
            <w:tcBorders>
              <w:top w:val="nil"/>
              <w:left w:val="nil"/>
              <w:bottom w:val="single" w:sz="8" w:space="0" w:color="auto"/>
              <w:right w:val="single" w:sz="8" w:space="0" w:color="auto"/>
            </w:tcBorders>
            <w:shd w:val="clear" w:color="auto" w:fill="auto"/>
            <w:noWrap/>
            <w:vAlign w:val="center"/>
            <w:hideMark/>
          </w:tcPr>
          <w:p w14:paraId="2A1FD3D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220FDC9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471D39F9"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EFE4B58"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Institucional de Selección y Eliminación de Documentos</w:t>
            </w:r>
          </w:p>
        </w:tc>
        <w:tc>
          <w:tcPr>
            <w:tcW w:w="1560" w:type="dxa"/>
            <w:tcBorders>
              <w:top w:val="nil"/>
              <w:left w:val="nil"/>
              <w:bottom w:val="single" w:sz="8" w:space="0" w:color="auto"/>
              <w:right w:val="single" w:sz="8" w:space="0" w:color="auto"/>
            </w:tcBorders>
            <w:shd w:val="clear" w:color="auto" w:fill="auto"/>
            <w:vAlign w:val="center"/>
            <w:hideMark/>
          </w:tcPr>
          <w:p w14:paraId="6C9D3D7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₡782 600</w:t>
            </w:r>
          </w:p>
        </w:tc>
        <w:tc>
          <w:tcPr>
            <w:tcW w:w="1559" w:type="dxa"/>
            <w:tcBorders>
              <w:top w:val="nil"/>
              <w:left w:val="nil"/>
              <w:bottom w:val="single" w:sz="8" w:space="0" w:color="auto"/>
              <w:right w:val="single" w:sz="8" w:space="0" w:color="auto"/>
            </w:tcBorders>
            <w:shd w:val="clear" w:color="auto" w:fill="auto"/>
            <w:vAlign w:val="center"/>
            <w:hideMark/>
          </w:tcPr>
          <w:p w14:paraId="674CF26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₡751 296</w:t>
            </w:r>
          </w:p>
        </w:tc>
        <w:tc>
          <w:tcPr>
            <w:tcW w:w="1417" w:type="dxa"/>
            <w:tcBorders>
              <w:top w:val="nil"/>
              <w:left w:val="nil"/>
              <w:bottom w:val="single" w:sz="8" w:space="0" w:color="auto"/>
              <w:right w:val="single" w:sz="8" w:space="0" w:color="auto"/>
            </w:tcBorders>
            <w:shd w:val="clear" w:color="auto" w:fill="auto"/>
            <w:vAlign w:val="center"/>
            <w:hideMark/>
          </w:tcPr>
          <w:p w14:paraId="0DFC14FD"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-₡31 304</w:t>
            </w:r>
          </w:p>
        </w:tc>
        <w:tc>
          <w:tcPr>
            <w:tcW w:w="1134" w:type="dxa"/>
            <w:tcBorders>
              <w:top w:val="nil"/>
              <w:left w:val="nil"/>
              <w:bottom w:val="single" w:sz="8" w:space="0" w:color="auto"/>
              <w:right w:val="single" w:sz="8" w:space="0" w:color="auto"/>
            </w:tcBorders>
            <w:shd w:val="clear" w:color="auto" w:fill="auto"/>
            <w:noWrap/>
            <w:vAlign w:val="center"/>
            <w:hideMark/>
          </w:tcPr>
          <w:p w14:paraId="1ABDF0E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03CF69D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r>
      <w:tr w:rsidR="0093441E" w:rsidRPr="002A7673" w14:paraId="3DE3806D"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745D482"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Consejo Superior</w:t>
            </w:r>
          </w:p>
        </w:tc>
        <w:tc>
          <w:tcPr>
            <w:tcW w:w="1560" w:type="dxa"/>
            <w:tcBorders>
              <w:top w:val="nil"/>
              <w:left w:val="nil"/>
              <w:bottom w:val="single" w:sz="8" w:space="0" w:color="auto"/>
              <w:right w:val="single" w:sz="8" w:space="0" w:color="auto"/>
            </w:tcBorders>
            <w:shd w:val="clear" w:color="auto" w:fill="auto"/>
            <w:vAlign w:val="center"/>
            <w:hideMark/>
          </w:tcPr>
          <w:p w14:paraId="5CF64AE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₡16 064 033</w:t>
            </w:r>
          </w:p>
        </w:tc>
        <w:tc>
          <w:tcPr>
            <w:tcW w:w="1559" w:type="dxa"/>
            <w:tcBorders>
              <w:top w:val="nil"/>
              <w:left w:val="nil"/>
              <w:bottom w:val="single" w:sz="8" w:space="0" w:color="auto"/>
              <w:right w:val="single" w:sz="8" w:space="0" w:color="auto"/>
            </w:tcBorders>
            <w:shd w:val="clear" w:color="auto" w:fill="auto"/>
            <w:vAlign w:val="center"/>
            <w:hideMark/>
          </w:tcPr>
          <w:p w14:paraId="6FA46B4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₡12 265 580</w:t>
            </w:r>
          </w:p>
        </w:tc>
        <w:tc>
          <w:tcPr>
            <w:tcW w:w="1417" w:type="dxa"/>
            <w:tcBorders>
              <w:top w:val="nil"/>
              <w:left w:val="nil"/>
              <w:bottom w:val="single" w:sz="8" w:space="0" w:color="auto"/>
              <w:right w:val="single" w:sz="8" w:space="0" w:color="auto"/>
            </w:tcBorders>
            <w:shd w:val="clear" w:color="auto" w:fill="auto"/>
            <w:noWrap/>
            <w:vAlign w:val="center"/>
            <w:hideMark/>
          </w:tcPr>
          <w:p w14:paraId="11B4DAE4"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-₡3 798 453</w:t>
            </w:r>
          </w:p>
        </w:tc>
        <w:tc>
          <w:tcPr>
            <w:tcW w:w="1134" w:type="dxa"/>
            <w:tcBorders>
              <w:top w:val="nil"/>
              <w:left w:val="nil"/>
              <w:bottom w:val="single" w:sz="8" w:space="0" w:color="auto"/>
              <w:right w:val="single" w:sz="8" w:space="0" w:color="auto"/>
            </w:tcBorders>
            <w:shd w:val="clear" w:color="auto" w:fill="auto"/>
            <w:noWrap/>
            <w:vAlign w:val="center"/>
            <w:hideMark/>
          </w:tcPr>
          <w:p w14:paraId="623E0A9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-23,6%</w:t>
            </w:r>
          </w:p>
        </w:tc>
        <w:tc>
          <w:tcPr>
            <w:tcW w:w="1134" w:type="dxa"/>
            <w:tcBorders>
              <w:top w:val="nil"/>
              <w:left w:val="nil"/>
              <w:bottom w:val="single" w:sz="8" w:space="0" w:color="auto"/>
              <w:right w:val="single" w:sz="8" w:space="0" w:color="auto"/>
            </w:tcBorders>
            <w:shd w:val="clear" w:color="auto" w:fill="auto"/>
            <w:vAlign w:val="center"/>
            <w:hideMark/>
          </w:tcPr>
          <w:p w14:paraId="0129DBD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-16,3%</w:t>
            </w:r>
          </w:p>
        </w:tc>
      </w:tr>
      <w:tr w:rsidR="0093441E" w:rsidRPr="002A7673" w14:paraId="6BD1E350"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BC2ADB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Presidencia de la Corte</w:t>
            </w:r>
          </w:p>
        </w:tc>
        <w:tc>
          <w:tcPr>
            <w:tcW w:w="1560" w:type="dxa"/>
            <w:tcBorders>
              <w:top w:val="nil"/>
              <w:left w:val="nil"/>
              <w:bottom w:val="single" w:sz="8" w:space="0" w:color="auto"/>
              <w:right w:val="single" w:sz="8" w:space="0" w:color="auto"/>
            </w:tcBorders>
            <w:shd w:val="clear" w:color="auto" w:fill="auto"/>
            <w:vAlign w:val="center"/>
            <w:hideMark/>
          </w:tcPr>
          <w:p w14:paraId="568F1BC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₡69 150 329</w:t>
            </w:r>
          </w:p>
        </w:tc>
        <w:tc>
          <w:tcPr>
            <w:tcW w:w="1559" w:type="dxa"/>
            <w:tcBorders>
              <w:top w:val="nil"/>
              <w:left w:val="nil"/>
              <w:bottom w:val="single" w:sz="8" w:space="0" w:color="auto"/>
              <w:right w:val="single" w:sz="8" w:space="0" w:color="auto"/>
            </w:tcBorders>
            <w:shd w:val="clear" w:color="auto" w:fill="auto"/>
            <w:vAlign w:val="center"/>
            <w:hideMark/>
          </w:tcPr>
          <w:p w14:paraId="4B2A448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₡76 222 355</w:t>
            </w:r>
          </w:p>
        </w:tc>
        <w:tc>
          <w:tcPr>
            <w:tcW w:w="1417" w:type="dxa"/>
            <w:tcBorders>
              <w:top w:val="nil"/>
              <w:left w:val="nil"/>
              <w:bottom w:val="single" w:sz="8" w:space="0" w:color="auto"/>
              <w:right w:val="single" w:sz="8" w:space="0" w:color="auto"/>
            </w:tcBorders>
            <w:shd w:val="clear" w:color="auto" w:fill="auto"/>
            <w:vAlign w:val="center"/>
            <w:hideMark/>
          </w:tcPr>
          <w:p w14:paraId="2F943D66"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₡7 072 026</w:t>
            </w:r>
          </w:p>
        </w:tc>
        <w:tc>
          <w:tcPr>
            <w:tcW w:w="1134" w:type="dxa"/>
            <w:tcBorders>
              <w:top w:val="nil"/>
              <w:left w:val="nil"/>
              <w:bottom w:val="single" w:sz="8" w:space="0" w:color="auto"/>
              <w:right w:val="single" w:sz="8" w:space="0" w:color="auto"/>
            </w:tcBorders>
            <w:shd w:val="clear" w:color="auto" w:fill="auto"/>
            <w:noWrap/>
            <w:vAlign w:val="center"/>
            <w:hideMark/>
          </w:tcPr>
          <w:p w14:paraId="65042EA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10,2%</w:t>
            </w:r>
          </w:p>
        </w:tc>
        <w:tc>
          <w:tcPr>
            <w:tcW w:w="1134" w:type="dxa"/>
            <w:tcBorders>
              <w:top w:val="nil"/>
              <w:left w:val="nil"/>
              <w:bottom w:val="single" w:sz="8" w:space="0" w:color="auto"/>
              <w:right w:val="single" w:sz="8" w:space="0" w:color="auto"/>
            </w:tcBorders>
            <w:shd w:val="clear" w:color="auto" w:fill="auto"/>
            <w:vAlign w:val="center"/>
            <w:hideMark/>
          </w:tcPr>
          <w:p w14:paraId="6C7F544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25,5%</w:t>
            </w:r>
          </w:p>
        </w:tc>
      </w:tr>
      <w:tr w:rsidR="0093441E" w:rsidRPr="002A7673" w14:paraId="6320B483"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6E0A7011"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Despacho de la Presidencia</w:t>
            </w:r>
          </w:p>
        </w:tc>
        <w:tc>
          <w:tcPr>
            <w:tcW w:w="1560" w:type="dxa"/>
            <w:tcBorders>
              <w:top w:val="nil"/>
              <w:left w:val="nil"/>
              <w:bottom w:val="single" w:sz="8" w:space="0" w:color="auto"/>
              <w:right w:val="single" w:sz="8" w:space="0" w:color="auto"/>
            </w:tcBorders>
            <w:shd w:val="clear" w:color="auto" w:fill="auto"/>
            <w:vAlign w:val="center"/>
            <w:hideMark/>
          </w:tcPr>
          <w:p w14:paraId="217A2DB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₡43 747 582</w:t>
            </w:r>
          </w:p>
        </w:tc>
        <w:tc>
          <w:tcPr>
            <w:tcW w:w="1559" w:type="dxa"/>
            <w:tcBorders>
              <w:top w:val="nil"/>
              <w:left w:val="nil"/>
              <w:bottom w:val="single" w:sz="8" w:space="0" w:color="auto"/>
              <w:right w:val="single" w:sz="8" w:space="0" w:color="auto"/>
            </w:tcBorders>
            <w:shd w:val="clear" w:color="auto" w:fill="auto"/>
            <w:vAlign w:val="center"/>
            <w:hideMark/>
          </w:tcPr>
          <w:p w14:paraId="6737C05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₡41 509 747</w:t>
            </w:r>
          </w:p>
        </w:tc>
        <w:tc>
          <w:tcPr>
            <w:tcW w:w="1417" w:type="dxa"/>
            <w:tcBorders>
              <w:top w:val="nil"/>
              <w:left w:val="nil"/>
              <w:bottom w:val="single" w:sz="8" w:space="0" w:color="auto"/>
              <w:right w:val="single" w:sz="8" w:space="0" w:color="auto"/>
            </w:tcBorders>
            <w:shd w:val="clear" w:color="auto" w:fill="auto"/>
            <w:vAlign w:val="center"/>
            <w:hideMark/>
          </w:tcPr>
          <w:p w14:paraId="60DA5F55"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-₡2 237 835</w:t>
            </w:r>
          </w:p>
        </w:tc>
        <w:tc>
          <w:tcPr>
            <w:tcW w:w="1134" w:type="dxa"/>
            <w:tcBorders>
              <w:top w:val="nil"/>
              <w:left w:val="nil"/>
              <w:bottom w:val="single" w:sz="8" w:space="0" w:color="auto"/>
              <w:right w:val="single" w:sz="8" w:space="0" w:color="auto"/>
            </w:tcBorders>
            <w:shd w:val="clear" w:color="auto" w:fill="auto"/>
            <w:noWrap/>
            <w:vAlign w:val="center"/>
            <w:hideMark/>
          </w:tcPr>
          <w:p w14:paraId="348833A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-5,1%</w:t>
            </w:r>
          </w:p>
        </w:tc>
        <w:tc>
          <w:tcPr>
            <w:tcW w:w="1134" w:type="dxa"/>
            <w:tcBorders>
              <w:top w:val="nil"/>
              <w:left w:val="nil"/>
              <w:bottom w:val="single" w:sz="8" w:space="0" w:color="auto"/>
              <w:right w:val="single" w:sz="8" w:space="0" w:color="auto"/>
            </w:tcBorders>
            <w:shd w:val="clear" w:color="auto" w:fill="auto"/>
            <w:vAlign w:val="center"/>
            <w:hideMark/>
          </w:tcPr>
          <w:p w14:paraId="68320CC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-5,1%</w:t>
            </w:r>
          </w:p>
        </w:tc>
      </w:tr>
      <w:tr w:rsidR="0093441E" w:rsidRPr="002A7673" w14:paraId="7E735761"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8B9E259"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Secretaría de la Corte</w:t>
            </w:r>
          </w:p>
        </w:tc>
        <w:tc>
          <w:tcPr>
            <w:tcW w:w="1560" w:type="dxa"/>
            <w:tcBorders>
              <w:top w:val="nil"/>
              <w:left w:val="nil"/>
              <w:bottom w:val="single" w:sz="8" w:space="0" w:color="auto"/>
              <w:right w:val="single" w:sz="8" w:space="0" w:color="auto"/>
            </w:tcBorders>
            <w:shd w:val="clear" w:color="auto" w:fill="auto"/>
            <w:vAlign w:val="center"/>
            <w:hideMark/>
          </w:tcPr>
          <w:p w14:paraId="0E2D6B9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₡25 193 607</w:t>
            </w:r>
          </w:p>
        </w:tc>
        <w:tc>
          <w:tcPr>
            <w:tcW w:w="1559" w:type="dxa"/>
            <w:tcBorders>
              <w:top w:val="nil"/>
              <w:left w:val="nil"/>
              <w:bottom w:val="single" w:sz="8" w:space="0" w:color="auto"/>
              <w:right w:val="single" w:sz="8" w:space="0" w:color="auto"/>
            </w:tcBorders>
            <w:shd w:val="clear" w:color="auto" w:fill="auto"/>
            <w:vAlign w:val="center"/>
            <w:hideMark/>
          </w:tcPr>
          <w:p w14:paraId="7F85520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₡25 438 589</w:t>
            </w:r>
          </w:p>
        </w:tc>
        <w:tc>
          <w:tcPr>
            <w:tcW w:w="1417" w:type="dxa"/>
            <w:tcBorders>
              <w:top w:val="nil"/>
              <w:left w:val="nil"/>
              <w:bottom w:val="single" w:sz="8" w:space="0" w:color="auto"/>
              <w:right w:val="single" w:sz="8" w:space="0" w:color="auto"/>
            </w:tcBorders>
            <w:shd w:val="clear" w:color="auto" w:fill="auto"/>
            <w:vAlign w:val="center"/>
            <w:hideMark/>
          </w:tcPr>
          <w:p w14:paraId="38A9A087"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₡244 982</w:t>
            </w:r>
          </w:p>
        </w:tc>
        <w:tc>
          <w:tcPr>
            <w:tcW w:w="1134" w:type="dxa"/>
            <w:tcBorders>
              <w:top w:val="nil"/>
              <w:left w:val="nil"/>
              <w:bottom w:val="single" w:sz="8" w:space="0" w:color="auto"/>
              <w:right w:val="single" w:sz="8" w:space="0" w:color="auto"/>
            </w:tcBorders>
            <w:shd w:val="clear" w:color="auto" w:fill="auto"/>
            <w:noWrap/>
            <w:vAlign w:val="center"/>
            <w:hideMark/>
          </w:tcPr>
          <w:p w14:paraId="5E8032C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1,0%</w:t>
            </w:r>
          </w:p>
        </w:tc>
        <w:tc>
          <w:tcPr>
            <w:tcW w:w="1134" w:type="dxa"/>
            <w:tcBorders>
              <w:top w:val="nil"/>
              <w:left w:val="nil"/>
              <w:bottom w:val="single" w:sz="8" w:space="0" w:color="auto"/>
              <w:right w:val="single" w:sz="8" w:space="0" w:color="auto"/>
            </w:tcBorders>
            <w:shd w:val="clear" w:color="auto" w:fill="auto"/>
            <w:vAlign w:val="center"/>
            <w:hideMark/>
          </w:tcPr>
          <w:p w14:paraId="7729176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1,0%</w:t>
            </w:r>
          </w:p>
        </w:tc>
      </w:tr>
      <w:tr w:rsidR="0093441E" w:rsidRPr="002A7673" w14:paraId="0AC4FCC8"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9EC0E6A"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Sala Primera</w:t>
            </w:r>
          </w:p>
        </w:tc>
        <w:tc>
          <w:tcPr>
            <w:tcW w:w="1560" w:type="dxa"/>
            <w:tcBorders>
              <w:top w:val="nil"/>
              <w:left w:val="nil"/>
              <w:bottom w:val="single" w:sz="8" w:space="0" w:color="auto"/>
              <w:right w:val="single" w:sz="8" w:space="0" w:color="auto"/>
            </w:tcBorders>
            <w:shd w:val="clear" w:color="auto" w:fill="auto"/>
            <w:vAlign w:val="center"/>
            <w:hideMark/>
          </w:tcPr>
          <w:p w14:paraId="5FF1BAD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₡35 076 123</w:t>
            </w:r>
          </w:p>
        </w:tc>
        <w:tc>
          <w:tcPr>
            <w:tcW w:w="1559" w:type="dxa"/>
            <w:tcBorders>
              <w:top w:val="nil"/>
              <w:left w:val="nil"/>
              <w:bottom w:val="single" w:sz="8" w:space="0" w:color="auto"/>
              <w:right w:val="single" w:sz="8" w:space="0" w:color="auto"/>
            </w:tcBorders>
            <w:shd w:val="clear" w:color="auto" w:fill="auto"/>
            <w:vAlign w:val="center"/>
            <w:hideMark/>
          </w:tcPr>
          <w:p w14:paraId="5798DA9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₡33 624 178</w:t>
            </w:r>
          </w:p>
        </w:tc>
        <w:tc>
          <w:tcPr>
            <w:tcW w:w="1417" w:type="dxa"/>
            <w:tcBorders>
              <w:top w:val="nil"/>
              <w:left w:val="nil"/>
              <w:bottom w:val="single" w:sz="8" w:space="0" w:color="auto"/>
              <w:right w:val="single" w:sz="8" w:space="0" w:color="auto"/>
            </w:tcBorders>
            <w:shd w:val="clear" w:color="auto" w:fill="auto"/>
            <w:vAlign w:val="center"/>
            <w:hideMark/>
          </w:tcPr>
          <w:p w14:paraId="1E078816"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-₡1 451 945</w:t>
            </w:r>
          </w:p>
        </w:tc>
        <w:tc>
          <w:tcPr>
            <w:tcW w:w="1134" w:type="dxa"/>
            <w:tcBorders>
              <w:top w:val="nil"/>
              <w:left w:val="nil"/>
              <w:bottom w:val="single" w:sz="8" w:space="0" w:color="auto"/>
              <w:right w:val="single" w:sz="8" w:space="0" w:color="auto"/>
            </w:tcBorders>
            <w:shd w:val="clear" w:color="auto" w:fill="auto"/>
            <w:noWrap/>
            <w:vAlign w:val="center"/>
            <w:hideMark/>
          </w:tcPr>
          <w:p w14:paraId="21FC7FA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-4,1%</w:t>
            </w:r>
          </w:p>
        </w:tc>
        <w:tc>
          <w:tcPr>
            <w:tcW w:w="1134" w:type="dxa"/>
            <w:tcBorders>
              <w:top w:val="nil"/>
              <w:left w:val="nil"/>
              <w:bottom w:val="single" w:sz="8" w:space="0" w:color="auto"/>
              <w:right w:val="single" w:sz="8" w:space="0" w:color="auto"/>
            </w:tcBorders>
            <w:shd w:val="clear" w:color="auto" w:fill="auto"/>
            <w:vAlign w:val="center"/>
            <w:hideMark/>
          </w:tcPr>
          <w:p w14:paraId="6EBAAE7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120,2%</w:t>
            </w:r>
          </w:p>
        </w:tc>
      </w:tr>
      <w:tr w:rsidR="0093441E" w:rsidRPr="002A7673" w14:paraId="264717D4"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2223270"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Sala Segunda</w:t>
            </w:r>
          </w:p>
        </w:tc>
        <w:tc>
          <w:tcPr>
            <w:tcW w:w="1560" w:type="dxa"/>
            <w:tcBorders>
              <w:top w:val="nil"/>
              <w:left w:val="nil"/>
              <w:bottom w:val="single" w:sz="8" w:space="0" w:color="auto"/>
              <w:right w:val="single" w:sz="8" w:space="0" w:color="auto"/>
            </w:tcBorders>
            <w:shd w:val="clear" w:color="auto" w:fill="auto"/>
            <w:vAlign w:val="center"/>
            <w:hideMark/>
          </w:tcPr>
          <w:p w14:paraId="34F5CBD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₡23 427 818</w:t>
            </w:r>
          </w:p>
        </w:tc>
        <w:tc>
          <w:tcPr>
            <w:tcW w:w="1559" w:type="dxa"/>
            <w:tcBorders>
              <w:top w:val="nil"/>
              <w:left w:val="nil"/>
              <w:bottom w:val="single" w:sz="8" w:space="0" w:color="auto"/>
              <w:right w:val="single" w:sz="8" w:space="0" w:color="auto"/>
            </w:tcBorders>
            <w:shd w:val="clear" w:color="auto" w:fill="auto"/>
            <w:vAlign w:val="center"/>
            <w:hideMark/>
          </w:tcPr>
          <w:p w14:paraId="549A49E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₡22 424 500</w:t>
            </w:r>
          </w:p>
        </w:tc>
        <w:tc>
          <w:tcPr>
            <w:tcW w:w="1417" w:type="dxa"/>
            <w:tcBorders>
              <w:top w:val="nil"/>
              <w:left w:val="nil"/>
              <w:bottom w:val="single" w:sz="8" w:space="0" w:color="auto"/>
              <w:right w:val="single" w:sz="8" w:space="0" w:color="auto"/>
            </w:tcBorders>
            <w:shd w:val="clear" w:color="auto" w:fill="auto"/>
            <w:vAlign w:val="center"/>
            <w:hideMark/>
          </w:tcPr>
          <w:p w14:paraId="3E1114DB"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-₡1 003 318</w:t>
            </w:r>
          </w:p>
        </w:tc>
        <w:tc>
          <w:tcPr>
            <w:tcW w:w="1134" w:type="dxa"/>
            <w:tcBorders>
              <w:top w:val="nil"/>
              <w:left w:val="nil"/>
              <w:bottom w:val="single" w:sz="8" w:space="0" w:color="auto"/>
              <w:right w:val="single" w:sz="8" w:space="0" w:color="auto"/>
            </w:tcBorders>
            <w:shd w:val="clear" w:color="auto" w:fill="auto"/>
            <w:noWrap/>
            <w:vAlign w:val="center"/>
            <w:hideMark/>
          </w:tcPr>
          <w:p w14:paraId="3059E06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-4,3%</w:t>
            </w:r>
          </w:p>
        </w:tc>
        <w:tc>
          <w:tcPr>
            <w:tcW w:w="1134" w:type="dxa"/>
            <w:tcBorders>
              <w:top w:val="nil"/>
              <w:left w:val="nil"/>
              <w:bottom w:val="single" w:sz="8" w:space="0" w:color="auto"/>
              <w:right w:val="single" w:sz="8" w:space="0" w:color="auto"/>
            </w:tcBorders>
            <w:shd w:val="clear" w:color="auto" w:fill="auto"/>
            <w:vAlign w:val="center"/>
            <w:hideMark/>
          </w:tcPr>
          <w:p w14:paraId="0303079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120,2%</w:t>
            </w:r>
          </w:p>
        </w:tc>
      </w:tr>
      <w:tr w:rsidR="0093441E" w:rsidRPr="002A7673" w14:paraId="0AF946D4"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069F00B"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Sala Tercera</w:t>
            </w:r>
          </w:p>
        </w:tc>
        <w:tc>
          <w:tcPr>
            <w:tcW w:w="1560" w:type="dxa"/>
            <w:tcBorders>
              <w:top w:val="nil"/>
              <w:left w:val="nil"/>
              <w:bottom w:val="single" w:sz="8" w:space="0" w:color="auto"/>
              <w:right w:val="single" w:sz="8" w:space="0" w:color="auto"/>
            </w:tcBorders>
            <w:shd w:val="clear" w:color="auto" w:fill="auto"/>
            <w:vAlign w:val="center"/>
            <w:hideMark/>
          </w:tcPr>
          <w:p w14:paraId="4B2AA02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₡32 252 783</w:t>
            </w:r>
          </w:p>
        </w:tc>
        <w:tc>
          <w:tcPr>
            <w:tcW w:w="1559" w:type="dxa"/>
            <w:tcBorders>
              <w:top w:val="nil"/>
              <w:left w:val="nil"/>
              <w:bottom w:val="single" w:sz="8" w:space="0" w:color="auto"/>
              <w:right w:val="single" w:sz="8" w:space="0" w:color="auto"/>
            </w:tcBorders>
            <w:shd w:val="clear" w:color="auto" w:fill="auto"/>
            <w:vAlign w:val="center"/>
            <w:hideMark/>
          </w:tcPr>
          <w:p w14:paraId="3D4FB17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₡30 962 673</w:t>
            </w:r>
          </w:p>
        </w:tc>
        <w:tc>
          <w:tcPr>
            <w:tcW w:w="1417" w:type="dxa"/>
            <w:tcBorders>
              <w:top w:val="nil"/>
              <w:left w:val="nil"/>
              <w:bottom w:val="single" w:sz="8" w:space="0" w:color="auto"/>
              <w:right w:val="single" w:sz="8" w:space="0" w:color="auto"/>
            </w:tcBorders>
            <w:shd w:val="clear" w:color="auto" w:fill="auto"/>
            <w:vAlign w:val="center"/>
            <w:hideMark/>
          </w:tcPr>
          <w:p w14:paraId="355726C0"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-₡1 290 110</w:t>
            </w:r>
          </w:p>
        </w:tc>
        <w:tc>
          <w:tcPr>
            <w:tcW w:w="1134" w:type="dxa"/>
            <w:tcBorders>
              <w:top w:val="nil"/>
              <w:left w:val="nil"/>
              <w:bottom w:val="single" w:sz="8" w:space="0" w:color="auto"/>
              <w:right w:val="single" w:sz="8" w:space="0" w:color="auto"/>
            </w:tcBorders>
            <w:shd w:val="clear" w:color="auto" w:fill="auto"/>
            <w:noWrap/>
            <w:vAlign w:val="center"/>
            <w:hideMark/>
          </w:tcPr>
          <w:p w14:paraId="6B76606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375D224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-3,3%</w:t>
            </w:r>
          </w:p>
        </w:tc>
      </w:tr>
      <w:tr w:rsidR="0093441E" w:rsidRPr="002A7673" w14:paraId="6CC34594"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81EF39B"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Sala Constitucional</w:t>
            </w:r>
          </w:p>
        </w:tc>
        <w:tc>
          <w:tcPr>
            <w:tcW w:w="1560" w:type="dxa"/>
            <w:tcBorders>
              <w:top w:val="nil"/>
              <w:left w:val="nil"/>
              <w:bottom w:val="single" w:sz="8" w:space="0" w:color="auto"/>
              <w:right w:val="single" w:sz="8" w:space="0" w:color="auto"/>
            </w:tcBorders>
            <w:shd w:val="clear" w:color="auto" w:fill="auto"/>
            <w:vAlign w:val="center"/>
            <w:hideMark/>
          </w:tcPr>
          <w:p w14:paraId="76744AC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₡1 036 324 355</w:t>
            </w:r>
          </w:p>
        </w:tc>
        <w:tc>
          <w:tcPr>
            <w:tcW w:w="1559" w:type="dxa"/>
            <w:tcBorders>
              <w:top w:val="nil"/>
              <w:left w:val="nil"/>
              <w:bottom w:val="single" w:sz="8" w:space="0" w:color="auto"/>
              <w:right w:val="single" w:sz="8" w:space="0" w:color="auto"/>
            </w:tcBorders>
            <w:shd w:val="clear" w:color="auto" w:fill="auto"/>
            <w:vAlign w:val="center"/>
            <w:hideMark/>
          </w:tcPr>
          <w:p w14:paraId="6666EEA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₡1 091 154 246</w:t>
            </w:r>
          </w:p>
        </w:tc>
        <w:tc>
          <w:tcPr>
            <w:tcW w:w="1417" w:type="dxa"/>
            <w:tcBorders>
              <w:top w:val="nil"/>
              <w:left w:val="nil"/>
              <w:bottom w:val="single" w:sz="8" w:space="0" w:color="auto"/>
              <w:right w:val="single" w:sz="8" w:space="0" w:color="auto"/>
            </w:tcBorders>
            <w:shd w:val="clear" w:color="auto" w:fill="auto"/>
            <w:vAlign w:val="center"/>
            <w:hideMark/>
          </w:tcPr>
          <w:p w14:paraId="15DEFF8C"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₡54 829 891</w:t>
            </w:r>
          </w:p>
        </w:tc>
        <w:tc>
          <w:tcPr>
            <w:tcW w:w="1134" w:type="dxa"/>
            <w:tcBorders>
              <w:top w:val="nil"/>
              <w:left w:val="nil"/>
              <w:bottom w:val="single" w:sz="8" w:space="0" w:color="auto"/>
              <w:right w:val="single" w:sz="8" w:space="0" w:color="auto"/>
            </w:tcBorders>
            <w:shd w:val="clear" w:color="auto" w:fill="auto"/>
            <w:noWrap/>
            <w:vAlign w:val="center"/>
            <w:hideMark/>
          </w:tcPr>
          <w:p w14:paraId="26FE672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5,3%</w:t>
            </w:r>
          </w:p>
        </w:tc>
        <w:tc>
          <w:tcPr>
            <w:tcW w:w="1134" w:type="dxa"/>
            <w:tcBorders>
              <w:top w:val="nil"/>
              <w:left w:val="nil"/>
              <w:bottom w:val="single" w:sz="8" w:space="0" w:color="auto"/>
              <w:right w:val="single" w:sz="8" w:space="0" w:color="auto"/>
            </w:tcBorders>
            <w:shd w:val="clear" w:color="auto" w:fill="auto"/>
            <w:vAlign w:val="center"/>
            <w:hideMark/>
          </w:tcPr>
          <w:p w14:paraId="08C79C4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8,5%</w:t>
            </w:r>
          </w:p>
        </w:tc>
      </w:tr>
      <w:tr w:rsidR="0093441E" w:rsidRPr="002A7673" w14:paraId="6908CCEB"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A512D4A"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Centro Apoyo, Coordinación y Mejoramiento Función Jurisdiccional</w:t>
            </w:r>
          </w:p>
        </w:tc>
        <w:tc>
          <w:tcPr>
            <w:tcW w:w="1560" w:type="dxa"/>
            <w:tcBorders>
              <w:top w:val="nil"/>
              <w:left w:val="nil"/>
              <w:bottom w:val="single" w:sz="8" w:space="0" w:color="auto"/>
              <w:right w:val="single" w:sz="8" w:space="0" w:color="auto"/>
            </w:tcBorders>
            <w:shd w:val="clear" w:color="auto" w:fill="auto"/>
            <w:vAlign w:val="center"/>
            <w:hideMark/>
          </w:tcPr>
          <w:p w14:paraId="3743205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₡13 548 065</w:t>
            </w:r>
          </w:p>
        </w:tc>
        <w:tc>
          <w:tcPr>
            <w:tcW w:w="1559" w:type="dxa"/>
            <w:tcBorders>
              <w:top w:val="nil"/>
              <w:left w:val="nil"/>
              <w:bottom w:val="single" w:sz="8" w:space="0" w:color="auto"/>
              <w:right w:val="single" w:sz="8" w:space="0" w:color="auto"/>
            </w:tcBorders>
            <w:shd w:val="clear" w:color="auto" w:fill="auto"/>
            <w:vAlign w:val="center"/>
            <w:hideMark/>
          </w:tcPr>
          <w:p w14:paraId="253D574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₡13 006 122</w:t>
            </w:r>
          </w:p>
        </w:tc>
        <w:tc>
          <w:tcPr>
            <w:tcW w:w="1417" w:type="dxa"/>
            <w:tcBorders>
              <w:top w:val="nil"/>
              <w:left w:val="nil"/>
              <w:bottom w:val="single" w:sz="8" w:space="0" w:color="auto"/>
              <w:right w:val="single" w:sz="8" w:space="0" w:color="auto"/>
            </w:tcBorders>
            <w:shd w:val="clear" w:color="auto" w:fill="auto"/>
            <w:vAlign w:val="center"/>
            <w:hideMark/>
          </w:tcPr>
          <w:p w14:paraId="3D49B07B"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-₡541 943</w:t>
            </w:r>
          </w:p>
        </w:tc>
        <w:tc>
          <w:tcPr>
            <w:tcW w:w="1134" w:type="dxa"/>
            <w:tcBorders>
              <w:top w:val="nil"/>
              <w:left w:val="nil"/>
              <w:bottom w:val="single" w:sz="8" w:space="0" w:color="auto"/>
              <w:right w:val="single" w:sz="8" w:space="0" w:color="auto"/>
            </w:tcBorders>
            <w:shd w:val="clear" w:color="auto" w:fill="auto"/>
            <w:noWrap/>
            <w:vAlign w:val="center"/>
            <w:hideMark/>
          </w:tcPr>
          <w:p w14:paraId="4F04444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71BC8A0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-96,5%</w:t>
            </w:r>
          </w:p>
        </w:tc>
      </w:tr>
      <w:tr w:rsidR="0093441E" w:rsidRPr="002A7673" w14:paraId="60F844FF"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1AA3634"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Centro Electrónico de Información Jurisprudencial</w:t>
            </w:r>
          </w:p>
        </w:tc>
        <w:tc>
          <w:tcPr>
            <w:tcW w:w="1560" w:type="dxa"/>
            <w:tcBorders>
              <w:top w:val="nil"/>
              <w:left w:val="nil"/>
              <w:bottom w:val="single" w:sz="8" w:space="0" w:color="auto"/>
              <w:right w:val="single" w:sz="8" w:space="0" w:color="auto"/>
            </w:tcBorders>
            <w:shd w:val="clear" w:color="auto" w:fill="auto"/>
            <w:vAlign w:val="center"/>
            <w:hideMark/>
          </w:tcPr>
          <w:p w14:paraId="49EE32C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₡8 291 993</w:t>
            </w:r>
          </w:p>
        </w:tc>
        <w:tc>
          <w:tcPr>
            <w:tcW w:w="1559" w:type="dxa"/>
            <w:tcBorders>
              <w:top w:val="nil"/>
              <w:left w:val="nil"/>
              <w:bottom w:val="single" w:sz="8" w:space="0" w:color="auto"/>
              <w:right w:val="single" w:sz="8" w:space="0" w:color="auto"/>
            </w:tcBorders>
            <w:shd w:val="clear" w:color="auto" w:fill="auto"/>
            <w:vAlign w:val="center"/>
            <w:hideMark/>
          </w:tcPr>
          <w:p w14:paraId="521E8D2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₡7 956 829</w:t>
            </w:r>
          </w:p>
        </w:tc>
        <w:tc>
          <w:tcPr>
            <w:tcW w:w="1417" w:type="dxa"/>
            <w:tcBorders>
              <w:top w:val="nil"/>
              <w:left w:val="nil"/>
              <w:bottom w:val="single" w:sz="8" w:space="0" w:color="auto"/>
              <w:right w:val="single" w:sz="8" w:space="0" w:color="auto"/>
            </w:tcBorders>
            <w:shd w:val="clear" w:color="auto" w:fill="auto"/>
            <w:vAlign w:val="center"/>
            <w:hideMark/>
          </w:tcPr>
          <w:p w14:paraId="7919E5FC"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-₡335 164</w:t>
            </w:r>
          </w:p>
        </w:tc>
        <w:tc>
          <w:tcPr>
            <w:tcW w:w="1134" w:type="dxa"/>
            <w:tcBorders>
              <w:top w:val="nil"/>
              <w:left w:val="nil"/>
              <w:bottom w:val="single" w:sz="8" w:space="0" w:color="auto"/>
              <w:right w:val="single" w:sz="8" w:space="0" w:color="auto"/>
            </w:tcBorders>
            <w:shd w:val="clear" w:color="auto" w:fill="auto"/>
            <w:noWrap/>
            <w:vAlign w:val="center"/>
            <w:hideMark/>
          </w:tcPr>
          <w:p w14:paraId="7198E60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11BED4D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21,8%</w:t>
            </w:r>
          </w:p>
        </w:tc>
      </w:tr>
      <w:tr w:rsidR="0093441E" w:rsidRPr="002A7673" w14:paraId="3A83DBF8"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F7BE55F"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Centro de Conciliación del Poder Judicial</w:t>
            </w:r>
          </w:p>
        </w:tc>
        <w:tc>
          <w:tcPr>
            <w:tcW w:w="1560" w:type="dxa"/>
            <w:tcBorders>
              <w:top w:val="nil"/>
              <w:left w:val="nil"/>
              <w:bottom w:val="single" w:sz="8" w:space="0" w:color="auto"/>
              <w:right w:val="single" w:sz="8" w:space="0" w:color="auto"/>
            </w:tcBorders>
            <w:shd w:val="clear" w:color="auto" w:fill="auto"/>
            <w:vAlign w:val="center"/>
            <w:hideMark/>
          </w:tcPr>
          <w:p w14:paraId="3F1B353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₡36 283 473</w:t>
            </w:r>
          </w:p>
        </w:tc>
        <w:tc>
          <w:tcPr>
            <w:tcW w:w="1559" w:type="dxa"/>
            <w:tcBorders>
              <w:top w:val="nil"/>
              <w:left w:val="nil"/>
              <w:bottom w:val="single" w:sz="8" w:space="0" w:color="auto"/>
              <w:right w:val="single" w:sz="8" w:space="0" w:color="auto"/>
            </w:tcBorders>
            <w:shd w:val="clear" w:color="auto" w:fill="auto"/>
            <w:vAlign w:val="center"/>
            <w:hideMark/>
          </w:tcPr>
          <w:p w14:paraId="11D578A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₡34 672 588</w:t>
            </w:r>
          </w:p>
        </w:tc>
        <w:tc>
          <w:tcPr>
            <w:tcW w:w="1417" w:type="dxa"/>
            <w:tcBorders>
              <w:top w:val="nil"/>
              <w:left w:val="nil"/>
              <w:bottom w:val="single" w:sz="8" w:space="0" w:color="auto"/>
              <w:right w:val="single" w:sz="8" w:space="0" w:color="auto"/>
            </w:tcBorders>
            <w:shd w:val="clear" w:color="auto" w:fill="auto"/>
            <w:vAlign w:val="center"/>
            <w:hideMark/>
          </w:tcPr>
          <w:p w14:paraId="4582EAFF"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-₡1 610 885</w:t>
            </w:r>
          </w:p>
        </w:tc>
        <w:tc>
          <w:tcPr>
            <w:tcW w:w="1134" w:type="dxa"/>
            <w:tcBorders>
              <w:top w:val="nil"/>
              <w:left w:val="nil"/>
              <w:bottom w:val="single" w:sz="8" w:space="0" w:color="auto"/>
              <w:right w:val="single" w:sz="8" w:space="0" w:color="auto"/>
            </w:tcBorders>
            <w:shd w:val="clear" w:color="auto" w:fill="auto"/>
            <w:noWrap/>
            <w:vAlign w:val="center"/>
            <w:hideMark/>
          </w:tcPr>
          <w:p w14:paraId="4A7E1F4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-4,4%</w:t>
            </w:r>
          </w:p>
        </w:tc>
        <w:tc>
          <w:tcPr>
            <w:tcW w:w="1134" w:type="dxa"/>
            <w:tcBorders>
              <w:top w:val="nil"/>
              <w:left w:val="nil"/>
              <w:bottom w:val="single" w:sz="8" w:space="0" w:color="auto"/>
              <w:right w:val="single" w:sz="8" w:space="0" w:color="auto"/>
            </w:tcBorders>
            <w:shd w:val="clear" w:color="auto" w:fill="auto"/>
            <w:vAlign w:val="center"/>
            <w:hideMark/>
          </w:tcPr>
          <w:p w14:paraId="63832DE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-5,0%</w:t>
            </w:r>
          </w:p>
        </w:tc>
      </w:tr>
      <w:tr w:rsidR="0093441E" w:rsidRPr="002A7673" w14:paraId="3A770E48"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6F9A7AA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Centro Judicial de Intervención de las Comunicaciones</w:t>
            </w:r>
          </w:p>
        </w:tc>
        <w:tc>
          <w:tcPr>
            <w:tcW w:w="1560" w:type="dxa"/>
            <w:tcBorders>
              <w:top w:val="nil"/>
              <w:left w:val="nil"/>
              <w:bottom w:val="single" w:sz="8" w:space="0" w:color="auto"/>
              <w:right w:val="single" w:sz="8" w:space="0" w:color="auto"/>
            </w:tcBorders>
            <w:shd w:val="clear" w:color="auto" w:fill="auto"/>
            <w:vAlign w:val="center"/>
            <w:hideMark/>
          </w:tcPr>
          <w:p w14:paraId="1460566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₡48 165 796</w:t>
            </w:r>
          </w:p>
        </w:tc>
        <w:tc>
          <w:tcPr>
            <w:tcW w:w="1559" w:type="dxa"/>
            <w:tcBorders>
              <w:top w:val="nil"/>
              <w:left w:val="nil"/>
              <w:bottom w:val="single" w:sz="8" w:space="0" w:color="auto"/>
              <w:right w:val="single" w:sz="8" w:space="0" w:color="auto"/>
            </w:tcBorders>
            <w:shd w:val="clear" w:color="auto" w:fill="auto"/>
            <w:vAlign w:val="center"/>
            <w:hideMark/>
          </w:tcPr>
          <w:p w14:paraId="4EDF591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₡49 570 940</w:t>
            </w:r>
          </w:p>
        </w:tc>
        <w:tc>
          <w:tcPr>
            <w:tcW w:w="1417" w:type="dxa"/>
            <w:tcBorders>
              <w:top w:val="nil"/>
              <w:left w:val="nil"/>
              <w:bottom w:val="single" w:sz="8" w:space="0" w:color="auto"/>
              <w:right w:val="single" w:sz="8" w:space="0" w:color="auto"/>
            </w:tcBorders>
            <w:shd w:val="clear" w:color="auto" w:fill="auto"/>
            <w:vAlign w:val="center"/>
            <w:hideMark/>
          </w:tcPr>
          <w:p w14:paraId="696A1050"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₡1 405 144</w:t>
            </w:r>
          </w:p>
        </w:tc>
        <w:tc>
          <w:tcPr>
            <w:tcW w:w="1134" w:type="dxa"/>
            <w:tcBorders>
              <w:top w:val="nil"/>
              <w:left w:val="nil"/>
              <w:bottom w:val="single" w:sz="8" w:space="0" w:color="auto"/>
              <w:right w:val="single" w:sz="8" w:space="0" w:color="auto"/>
            </w:tcBorders>
            <w:shd w:val="clear" w:color="auto" w:fill="auto"/>
            <w:noWrap/>
            <w:vAlign w:val="center"/>
            <w:hideMark/>
          </w:tcPr>
          <w:p w14:paraId="2500AD0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2,9%</w:t>
            </w:r>
          </w:p>
        </w:tc>
        <w:tc>
          <w:tcPr>
            <w:tcW w:w="1134" w:type="dxa"/>
            <w:tcBorders>
              <w:top w:val="nil"/>
              <w:left w:val="nil"/>
              <w:bottom w:val="single" w:sz="8" w:space="0" w:color="auto"/>
              <w:right w:val="single" w:sz="8" w:space="0" w:color="auto"/>
            </w:tcBorders>
            <w:shd w:val="clear" w:color="auto" w:fill="auto"/>
            <w:vAlign w:val="center"/>
            <w:hideMark/>
          </w:tcPr>
          <w:p w14:paraId="25FB72F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84,8%</w:t>
            </w:r>
          </w:p>
        </w:tc>
      </w:tr>
      <w:tr w:rsidR="0093441E" w:rsidRPr="002A7673" w14:paraId="671D7A73"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46BA6BE"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Oficina Rectora de Justicia Restaurativa </w:t>
            </w:r>
          </w:p>
        </w:tc>
        <w:tc>
          <w:tcPr>
            <w:tcW w:w="1560" w:type="dxa"/>
            <w:tcBorders>
              <w:top w:val="nil"/>
              <w:left w:val="nil"/>
              <w:bottom w:val="single" w:sz="8" w:space="0" w:color="auto"/>
              <w:right w:val="single" w:sz="8" w:space="0" w:color="auto"/>
            </w:tcBorders>
            <w:shd w:val="clear" w:color="auto" w:fill="auto"/>
            <w:vAlign w:val="center"/>
            <w:hideMark/>
          </w:tcPr>
          <w:p w14:paraId="30E87E8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₡1 383 926</w:t>
            </w:r>
          </w:p>
        </w:tc>
        <w:tc>
          <w:tcPr>
            <w:tcW w:w="1559" w:type="dxa"/>
            <w:tcBorders>
              <w:top w:val="nil"/>
              <w:left w:val="nil"/>
              <w:bottom w:val="single" w:sz="8" w:space="0" w:color="auto"/>
              <w:right w:val="single" w:sz="8" w:space="0" w:color="auto"/>
            </w:tcBorders>
            <w:shd w:val="clear" w:color="auto" w:fill="auto"/>
            <w:vAlign w:val="center"/>
            <w:hideMark/>
          </w:tcPr>
          <w:p w14:paraId="624B8B3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₡1 338 676</w:t>
            </w:r>
          </w:p>
        </w:tc>
        <w:tc>
          <w:tcPr>
            <w:tcW w:w="1417" w:type="dxa"/>
            <w:tcBorders>
              <w:top w:val="nil"/>
              <w:left w:val="nil"/>
              <w:bottom w:val="single" w:sz="8" w:space="0" w:color="auto"/>
              <w:right w:val="single" w:sz="8" w:space="0" w:color="auto"/>
            </w:tcBorders>
            <w:shd w:val="clear" w:color="auto" w:fill="auto"/>
            <w:vAlign w:val="center"/>
            <w:hideMark/>
          </w:tcPr>
          <w:p w14:paraId="07279179"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-₡45 250</w:t>
            </w:r>
          </w:p>
        </w:tc>
        <w:tc>
          <w:tcPr>
            <w:tcW w:w="1134" w:type="dxa"/>
            <w:tcBorders>
              <w:top w:val="nil"/>
              <w:left w:val="nil"/>
              <w:bottom w:val="single" w:sz="8" w:space="0" w:color="auto"/>
              <w:right w:val="single" w:sz="8" w:space="0" w:color="auto"/>
            </w:tcBorders>
            <w:shd w:val="clear" w:color="auto" w:fill="auto"/>
            <w:noWrap/>
            <w:vAlign w:val="center"/>
            <w:hideMark/>
          </w:tcPr>
          <w:p w14:paraId="14048B0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-3,3%</w:t>
            </w:r>
          </w:p>
        </w:tc>
        <w:tc>
          <w:tcPr>
            <w:tcW w:w="1134" w:type="dxa"/>
            <w:tcBorders>
              <w:top w:val="nil"/>
              <w:left w:val="nil"/>
              <w:bottom w:val="single" w:sz="8" w:space="0" w:color="auto"/>
              <w:right w:val="single" w:sz="8" w:space="0" w:color="auto"/>
            </w:tcBorders>
            <w:shd w:val="clear" w:color="auto" w:fill="auto"/>
            <w:vAlign w:val="center"/>
            <w:hideMark/>
          </w:tcPr>
          <w:p w14:paraId="0D573F2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-3,3%</w:t>
            </w:r>
          </w:p>
        </w:tc>
      </w:tr>
      <w:tr w:rsidR="0093441E" w:rsidRPr="002A7673" w14:paraId="6FC77648"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0EF8715"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Centro Infantil</w:t>
            </w:r>
          </w:p>
        </w:tc>
        <w:tc>
          <w:tcPr>
            <w:tcW w:w="1560" w:type="dxa"/>
            <w:tcBorders>
              <w:top w:val="nil"/>
              <w:left w:val="nil"/>
              <w:bottom w:val="single" w:sz="8" w:space="0" w:color="auto"/>
              <w:right w:val="single" w:sz="8" w:space="0" w:color="auto"/>
            </w:tcBorders>
            <w:shd w:val="clear" w:color="auto" w:fill="auto"/>
            <w:vAlign w:val="center"/>
            <w:hideMark/>
          </w:tcPr>
          <w:p w14:paraId="301E33C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₡76 479 978</w:t>
            </w:r>
          </w:p>
        </w:tc>
        <w:tc>
          <w:tcPr>
            <w:tcW w:w="1559" w:type="dxa"/>
            <w:tcBorders>
              <w:top w:val="nil"/>
              <w:left w:val="nil"/>
              <w:bottom w:val="single" w:sz="8" w:space="0" w:color="auto"/>
              <w:right w:val="single" w:sz="8" w:space="0" w:color="auto"/>
            </w:tcBorders>
            <w:shd w:val="clear" w:color="auto" w:fill="auto"/>
            <w:vAlign w:val="center"/>
            <w:hideMark/>
          </w:tcPr>
          <w:p w14:paraId="11B4482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₡76 479 012</w:t>
            </w:r>
          </w:p>
        </w:tc>
        <w:tc>
          <w:tcPr>
            <w:tcW w:w="1417" w:type="dxa"/>
            <w:tcBorders>
              <w:top w:val="nil"/>
              <w:left w:val="nil"/>
              <w:bottom w:val="single" w:sz="8" w:space="0" w:color="auto"/>
              <w:right w:val="single" w:sz="8" w:space="0" w:color="auto"/>
            </w:tcBorders>
            <w:shd w:val="clear" w:color="auto" w:fill="auto"/>
            <w:vAlign w:val="center"/>
            <w:hideMark/>
          </w:tcPr>
          <w:p w14:paraId="4C410697"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-₡966</w:t>
            </w:r>
          </w:p>
        </w:tc>
        <w:tc>
          <w:tcPr>
            <w:tcW w:w="1134" w:type="dxa"/>
            <w:tcBorders>
              <w:top w:val="nil"/>
              <w:left w:val="nil"/>
              <w:bottom w:val="single" w:sz="8" w:space="0" w:color="auto"/>
              <w:right w:val="single" w:sz="8" w:space="0" w:color="auto"/>
            </w:tcBorders>
            <w:shd w:val="clear" w:color="auto" w:fill="auto"/>
            <w:noWrap/>
            <w:vAlign w:val="center"/>
            <w:hideMark/>
          </w:tcPr>
          <w:p w14:paraId="75A6A37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0,0%</w:t>
            </w:r>
          </w:p>
        </w:tc>
        <w:tc>
          <w:tcPr>
            <w:tcW w:w="1134" w:type="dxa"/>
            <w:tcBorders>
              <w:top w:val="nil"/>
              <w:left w:val="nil"/>
              <w:bottom w:val="single" w:sz="8" w:space="0" w:color="auto"/>
              <w:right w:val="single" w:sz="8" w:space="0" w:color="auto"/>
            </w:tcBorders>
            <w:shd w:val="clear" w:color="auto" w:fill="auto"/>
            <w:vAlign w:val="center"/>
            <w:hideMark/>
          </w:tcPr>
          <w:p w14:paraId="14D94F6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0,0%</w:t>
            </w:r>
          </w:p>
        </w:tc>
      </w:tr>
      <w:tr w:rsidR="0093441E" w:rsidRPr="002A7673" w14:paraId="3E810020"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211A8E2"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Comisión Nacional Mejoramiento Administración Justicia</w:t>
            </w:r>
          </w:p>
        </w:tc>
        <w:tc>
          <w:tcPr>
            <w:tcW w:w="1560" w:type="dxa"/>
            <w:tcBorders>
              <w:top w:val="nil"/>
              <w:left w:val="nil"/>
              <w:bottom w:val="single" w:sz="8" w:space="0" w:color="auto"/>
              <w:right w:val="single" w:sz="8" w:space="0" w:color="auto"/>
            </w:tcBorders>
            <w:shd w:val="clear" w:color="auto" w:fill="auto"/>
            <w:vAlign w:val="center"/>
            <w:hideMark/>
          </w:tcPr>
          <w:p w14:paraId="0A88C25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₡62 231 568</w:t>
            </w:r>
          </w:p>
        </w:tc>
        <w:tc>
          <w:tcPr>
            <w:tcW w:w="1559" w:type="dxa"/>
            <w:tcBorders>
              <w:top w:val="nil"/>
              <w:left w:val="nil"/>
              <w:bottom w:val="single" w:sz="8" w:space="0" w:color="auto"/>
              <w:right w:val="single" w:sz="8" w:space="0" w:color="auto"/>
            </w:tcBorders>
            <w:shd w:val="clear" w:color="auto" w:fill="auto"/>
            <w:vAlign w:val="center"/>
            <w:hideMark/>
          </w:tcPr>
          <w:p w14:paraId="3B944E1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₡58 247 105</w:t>
            </w:r>
          </w:p>
        </w:tc>
        <w:tc>
          <w:tcPr>
            <w:tcW w:w="1417" w:type="dxa"/>
            <w:tcBorders>
              <w:top w:val="nil"/>
              <w:left w:val="nil"/>
              <w:bottom w:val="single" w:sz="8" w:space="0" w:color="auto"/>
              <w:right w:val="single" w:sz="8" w:space="0" w:color="auto"/>
            </w:tcBorders>
            <w:shd w:val="clear" w:color="auto" w:fill="auto"/>
            <w:vAlign w:val="center"/>
            <w:hideMark/>
          </w:tcPr>
          <w:p w14:paraId="43846A99"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-₡3 984 463</w:t>
            </w:r>
          </w:p>
        </w:tc>
        <w:tc>
          <w:tcPr>
            <w:tcW w:w="1134" w:type="dxa"/>
            <w:tcBorders>
              <w:top w:val="nil"/>
              <w:left w:val="nil"/>
              <w:bottom w:val="single" w:sz="8" w:space="0" w:color="auto"/>
              <w:right w:val="single" w:sz="8" w:space="0" w:color="auto"/>
            </w:tcBorders>
            <w:shd w:val="clear" w:color="auto" w:fill="auto"/>
            <w:noWrap/>
            <w:vAlign w:val="center"/>
            <w:hideMark/>
          </w:tcPr>
          <w:p w14:paraId="49FA49C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-6,4%</w:t>
            </w:r>
          </w:p>
        </w:tc>
        <w:tc>
          <w:tcPr>
            <w:tcW w:w="1134" w:type="dxa"/>
            <w:tcBorders>
              <w:top w:val="nil"/>
              <w:left w:val="nil"/>
              <w:bottom w:val="single" w:sz="8" w:space="0" w:color="auto"/>
              <w:right w:val="single" w:sz="8" w:space="0" w:color="auto"/>
            </w:tcBorders>
            <w:shd w:val="clear" w:color="auto" w:fill="auto"/>
            <w:vAlign w:val="center"/>
            <w:hideMark/>
          </w:tcPr>
          <w:p w14:paraId="21EDE54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-6,4%</w:t>
            </w:r>
          </w:p>
        </w:tc>
      </w:tr>
      <w:tr w:rsidR="0093441E" w:rsidRPr="002A7673" w14:paraId="60DB4CC9"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5EE9BB8"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Contraloría de Servicios</w:t>
            </w:r>
          </w:p>
        </w:tc>
        <w:tc>
          <w:tcPr>
            <w:tcW w:w="1560" w:type="dxa"/>
            <w:tcBorders>
              <w:top w:val="nil"/>
              <w:left w:val="nil"/>
              <w:bottom w:val="single" w:sz="8" w:space="0" w:color="auto"/>
              <w:right w:val="single" w:sz="8" w:space="0" w:color="auto"/>
            </w:tcBorders>
            <w:shd w:val="clear" w:color="auto" w:fill="auto"/>
            <w:vAlign w:val="center"/>
            <w:hideMark/>
          </w:tcPr>
          <w:p w14:paraId="5DD8E8B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₡62 934 674</w:t>
            </w:r>
          </w:p>
        </w:tc>
        <w:tc>
          <w:tcPr>
            <w:tcW w:w="1559" w:type="dxa"/>
            <w:tcBorders>
              <w:top w:val="nil"/>
              <w:left w:val="nil"/>
              <w:bottom w:val="single" w:sz="8" w:space="0" w:color="auto"/>
              <w:right w:val="single" w:sz="8" w:space="0" w:color="auto"/>
            </w:tcBorders>
            <w:shd w:val="clear" w:color="auto" w:fill="auto"/>
            <w:vAlign w:val="center"/>
            <w:hideMark/>
          </w:tcPr>
          <w:p w14:paraId="65648C8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₡60 417 287</w:t>
            </w:r>
          </w:p>
        </w:tc>
        <w:tc>
          <w:tcPr>
            <w:tcW w:w="1417" w:type="dxa"/>
            <w:tcBorders>
              <w:top w:val="nil"/>
              <w:left w:val="nil"/>
              <w:bottom w:val="single" w:sz="8" w:space="0" w:color="auto"/>
              <w:right w:val="single" w:sz="8" w:space="0" w:color="auto"/>
            </w:tcBorders>
            <w:shd w:val="clear" w:color="auto" w:fill="auto"/>
            <w:vAlign w:val="center"/>
            <w:hideMark/>
          </w:tcPr>
          <w:p w14:paraId="5D6FB490"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-₡2 517 387</w:t>
            </w:r>
          </w:p>
        </w:tc>
        <w:tc>
          <w:tcPr>
            <w:tcW w:w="1134" w:type="dxa"/>
            <w:tcBorders>
              <w:top w:val="nil"/>
              <w:left w:val="nil"/>
              <w:bottom w:val="single" w:sz="8" w:space="0" w:color="auto"/>
              <w:right w:val="single" w:sz="8" w:space="0" w:color="auto"/>
            </w:tcBorders>
            <w:shd w:val="clear" w:color="auto" w:fill="auto"/>
            <w:noWrap/>
            <w:vAlign w:val="center"/>
            <w:hideMark/>
          </w:tcPr>
          <w:p w14:paraId="216EE7E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36C28E5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-6,0%</w:t>
            </w:r>
          </w:p>
        </w:tc>
      </w:tr>
      <w:tr w:rsidR="0093441E" w:rsidRPr="002A7673" w14:paraId="2F33257B"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81DA92A"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Auditoría</w:t>
            </w:r>
          </w:p>
        </w:tc>
        <w:tc>
          <w:tcPr>
            <w:tcW w:w="1560" w:type="dxa"/>
            <w:tcBorders>
              <w:top w:val="nil"/>
              <w:left w:val="nil"/>
              <w:bottom w:val="single" w:sz="8" w:space="0" w:color="auto"/>
              <w:right w:val="single" w:sz="8" w:space="0" w:color="auto"/>
            </w:tcBorders>
            <w:shd w:val="clear" w:color="auto" w:fill="auto"/>
            <w:vAlign w:val="center"/>
            <w:hideMark/>
          </w:tcPr>
          <w:p w14:paraId="04EF8A8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₡75 037 512</w:t>
            </w:r>
          </w:p>
        </w:tc>
        <w:tc>
          <w:tcPr>
            <w:tcW w:w="1559" w:type="dxa"/>
            <w:tcBorders>
              <w:top w:val="nil"/>
              <w:left w:val="nil"/>
              <w:bottom w:val="single" w:sz="8" w:space="0" w:color="auto"/>
              <w:right w:val="single" w:sz="8" w:space="0" w:color="auto"/>
            </w:tcBorders>
            <w:shd w:val="clear" w:color="auto" w:fill="auto"/>
            <w:vAlign w:val="center"/>
            <w:hideMark/>
          </w:tcPr>
          <w:p w14:paraId="74A2F1F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₡79 458 703</w:t>
            </w:r>
          </w:p>
        </w:tc>
        <w:tc>
          <w:tcPr>
            <w:tcW w:w="1417" w:type="dxa"/>
            <w:tcBorders>
              <w:top w:val="nil"/>
              <w:left w:val="nil"/>
              <w:bottom w:val="single" w:sz="8" w:space="0" w:color="auto"/>
              <w:right w:val="single" w:sz="8" w:space="0" w:color="auto"/>
            </w:tcBorders>
            <w:shd w:val="clear" w:color="auto" w:fill="auto"/>
            <w:vAlign w:val="center"/>
            <w:hideMark/>
          </w:tcPr>
          <w:p w14:paraId="2A29EAD9"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₡4 421 191</w:t>
            </w:r>
          </w:p>
        </w:tc>
        <w:tc>
          <w:tcPr>
            <w:tcW w:w="1134" w:type="dxa"/>
            <w:tcBorders>
              <w:top w:val="nil"/>
              <w:left w:val="nil"/>
              <w:bottom w:val="single" w:sz="8" w:space="0" w:color="auto"/>
              <w:right w:val="single" w:sz="8" w:space="0" w:color="auto"/>
            </w:tcBorders>
            <w:shd w:val="clear" w:color="auto" w:fill="auto"/>
            <w:noWrap/>
            <w:vAlign w:val="center"/>
            <w:hideMark/>
          </w:tcPr>
          <w:p w14:paraId="2523576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5,9%</w:t>
            </w:r>
          </w:p>
        </w:tc>
        <w:tc>
          <w:tcPr>
            <w:tcW w:w="1134" w:type="dxa"/>
            <w:tcBorders>
              <w:top w:val="nil"/>
              <w:left w:val="nil"/>
              <w:bottom w:val="single" w:sz="8" w:space="0" w:color="auto"/>
              <w:right w:val="single" w:sz="8" w:space="0" w:color="auto"/>
            </w:tcBorders>
            <w:shd w:val="clear" w:color="auto" w:fill="auto"/>
            <w:vAlign w:val="center"/>
            <w:hideMark/>
          </w:tcPr>
          <w:p w14:paraId="57DC083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6,6%</w:t>
            </w:r>
          </w:p>
        </w:tc>
      </w:tr>
      <w:tr w:rsidR="0093441E" w:rsidRPr="002A7673" w14:paraId="67B79DB5"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831A5D1"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Centro de Gestión de la Calidad</w:t>
            </w:r>
          </w:p>
        </w:tc>
        <w:tc>
          <w:tcPr>
            <w:tcW w:w="1560" w:type="dxa"/>
            <w:tcBorders>
              <w:top w:val="nil"/>
              <w:left w:val="nil"/>
              <w:bottom w:val="single" w:sz="8" w:space="0" w:color="auto"/>
              <w:right w:val="single" w:sz="8" w:space="0" w:color="auto"/>
            </w:tcBorders>
            <w:shd w:val="clear" w:color="auto" w:fill="auto"/>
            <w:vAlign w:val="center"/>
            <w:hideMark/>
          </w:tcPr>
          <w:p w14:paraId="03B31D5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₡13 483 255</w:t>
            </w:r>
          </w:p>
        </w:tc>
        <w:tc>
          <w:tcPr>
            <w:tcW w:w="1559" w:type="dxa"/>
            <w:tcBorders>
              <w:top w:val="nil"/>
              <w:left w:val="nil"/>
              <w:bottom w:val="single" w:sz="8" w:space="0" w:color="auto"/>
              <w:right w:val="single" w:sz="8" w:space="0" w:color="auto"/>
            </w:tcBorders>
            <w:shd w:val="clear" w:color="auto" w:fill="auto"/>
            <w:vAlign w:val="center"/>
            <w:hideMark/>
          </w:tcPr>
          <w:p w14:paraId="097A5BD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₡12 184 390</w:t>
            </w:r>
          </w:p>
        </w:tc>
        <w:tc>
          <w:tcPr>
            <w:tcW w:w="1417" w:type="dxa"/>
            <w:tcBorders>
              <w:top w:val="nil"/>
              <w:left w:val="nil"/>
              <w:bottom w:val="single" w:sz="8" w:space="0" w:color="auto"/>
              <w:right w:val="single" w:sz="8" w:space="0" w:color="auto"/>
            </w:tcBorders>
            <w:shd w:val="clear" w:color="auto" w:fill="auto"/>
            <w:vAlign w:val="center"/>
            <w:hideMark/>
          </w:tcPr>
          <w:p w14:paraId="362225E4"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-₡1 298 865</w:t>
            </w:r>
          </w:p>
        </w:tc>
        <w:tc>
          <w:tcPr>
            <w:tcW w:w="1134" w:type="dxa"/>
            <w:tcBorders>
              <w:top w:val="nil"/>
              <w:left w:val="nil"/>
              <w:bottom w:val="single" w:sz="8" w:space="0" w:color="auto"/>
              <w:right w:val="single" w:sz="8" w:space="0" w:color="auto"/>
            </w:tcBorders>
            <w:shd w:val="clear" w:color="auto" w:fill="auto"/>
            <w:noWrap/>
            <w:vAlign w:val="center"/>
            <w:hideMark/>
          </w:tcPr>
          <w:p w14:paraId="57146D0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-9,6%</w:t>
            </w:r>
          </w:p>
        </w:tc>
        <w:tc>
          <w:tcPr>
            <w:tcW w:w="1134" w:type="dxa"/>
            <w:tcBorders>
              <w:top w:val="nil"/>
              <w:left w:val="nil"/>
              <w:bottom w:val="single" w:sz="8" w:space="0" w:color="auto"/>
              <w:right w:val="single" w:sz="8" w:space="0" w:color="auto"/>
            </w:tcBorders>
            <w:shd w:val="clear" w:color="auto" w:fill="auto"/>
            <w:vAlign w:val="center"/>
            <w:hideMark/>
          </w:tcPr>
          <w:p w14:paraId="45A861A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-9,6%</w:t>
            </w:r>
          </w:p>
        </w:tc>
      </w:tr>
      <w:tr w:rsidR="0093441E" w:rsidRPr="002A7673" w14:paraId="1ED57681"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A2A18A0"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Inspección Judicial</w:t>
            </w:r>
          </w:p>
        </w:tc>
        <w:tc>
          <w:tcPr>
            <w:tcW w:w="1560" w:type="dxa"/>
            <w:tcBorders>
              <w:top w:val="nil"/>
              <w:left w:val="nil"/>
              <w:bottom w:val="single" w:sz="8" w:space="0" w:color="auto"/>
              <w:right w:val="single" w:sz="8" w:space="0" w:color="auto"/>
            </w:tcBorders>
            <w:shd w:val="clear" w:color="auto" w:fill="auto"/>
            <w:vAlign w:val="center"/>
            <w:hideMark/>
          </w:tcPr>
          <w:p w14:paraId="0BFF6CD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₡32 587 425</w:t>
            </w:r>
          </w:p>
        </w:tc>
        <w:tc>
          <w:tcPr>
            <w:tcW w:w="1559" w:type="dxa"/>
            <w:tcBorders>
              <w:top w:val="nil"/>
              <w:left w:val="nil"/>
              <w:bottom w:val="single" w:sz="8" w:space="0" w:color="auto"/>
              <w:right w:val="single" w:sz="8" w:space="0" w:color="auto"/>
            </w:tcBorders>
            <w:shd w:val="clear" w:color="auto" w:fill="auto"/>
            <w:vAlign w:val="center"/>
            <w:hideMark/>
          </w:tcPr>
          <w:p w14:paraId="61006A1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₡30 848 019</w:t>
            </w:r>
          </w:p>
        </w:tc>
        <w:tc>
          <w:tcPr>
            <w:tcW w:w="1417" w:type="dxa"/>
            <w:tcBorders>
              <w:top w:val="nil"/>
              <w:left w:val="nil"/>
              <w:bottom w:val="single" w:sz="8" w:space="0" w:color="auto"/>
              <w:right w:val="single" w:sz="8" w:space="0" w:color="auto"/>
            </w:tcBorders>
            <w:shd w:val="clear" w:color="auto" w:fill="auto"/>
            <w:vAlign w:val="center"/>
            <w:hideMark/>
          </w:tcPr>
          <w:p w14:paraId="67F2242E"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-₡1 739 406</w:t>
            </w:r>
          </w:p>
        </w:tc>
        <w:tc>
          <w:tcPr>
            <w:tcW w:w="1134" w:type="dxa"/>
            <w:tcBorders>
              <w:top w:val="nil"/>
              <w:left w:val="nil"/>
              <w:bottom w:val="single" w:sz="8" w:space="0" w:color="auto"/>
              <w:right w:val="single" w:sz="8" w:space="0" w:color="auto"/>
            </w:tcBorders>
            <w:shd w:val="clear" w:color="auto" w:fill="auto"/>
            <w:noWrap/>
            <w:vAlign w:val="center"/>
            <w:hideMark/>
          </w:tcPr>
          <w:p w14:paraId="4F62EB4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-5,3%</w:t>
            </w:r>
          </w:p>
        </w:tc>
        <w:tc>
          <w:tcPr>
            <w:tcW w:w="1134" w:type="dxa"/>
            <w:tcBorders>
              <w:top w:val="nil"/>
              <w:left w:val="nil"/>
              <w:bottom w:val="single" w:sz="8" w:space="0" w:color="auto"/>
              <w:right w:val="single" w:sz="8" w:space="0" w:color="auto"/>
            </w:tcBorders>
            <w:shd w:val="clear" w:color="auto" w:fill="auto"/>
            <w:vAlign w:val="center"/>
            <w:hideMark/>
          </w:tcPr>
          <w:p w14:paraId="20E8D23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-5,3%</w:t>
            </w:r>
          </w:p>
        </w:tc>
      </w:tr>
      <w:tr w:rsidR="0093441E" w:rsidRPr="002A7673" w14:paraId="392847C7"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E2FE343"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Oficina de Control Interno</w:t>
            </w:r>
          </w:p>
        </w:tc>
        <w:tc>
          <w:tcPr>
            <w:tcW w:w="1560" w:type="dxa"/>
            <w:tcBorders>
              <w:top w:val="nil"/>
              <w:left w:val="nil"/>
              <w:bottom w:val="single" w:sz="8" w:space="0" w:color="auto"/>
              <w:right w:val="single" w:sz="8" w:space="0" w:color="auto"/>
            </w:tcBorders>
            <w:shd w:val="clear" w:color="auto" w:fill="auto"/>
            <w:vAlign w:val="center"/>
            <w:hideMark/>
          </w:tcPr>
          <w:p w14:paraId="0E2E8E9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₡9 099 994</w:t>
            </w:r>
          </w:p>
        </w:tc>
        <w:tc>
          <w:tcPr>
            <w:tcW w:w="1559" w:type="dxa"/>
            <w:tcBorders>
              <w:top w:val="nil"/>
              <w:left w:val="nil"/>
              <w:bottom w:val="single" w:sz="8" w:space="0" w:color="auto"/>
              <w:right w:val="single" w:sz="8" w:space="0" w:color="auto"/>
            </w:tcBorders>
            <w:shd w:val="clear" w:color="auto" w:fill="auto"/>
            <w:vAlign w:val="center"/>
            <w:hideMark/>
          </w:tcPr>
          <w:p w14:paraId="2B20ACB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₡6 140 288</w:t>
            </w:r>
          </w:p>
        </w:tc>
        <w:tc>
          <w:tcPr>
            <w:tcW w:w="1417" w:type="dxa"/>
            <w:tcBorders>
              <w:top w:val="nil"/>
              <w:left w:val="nil"/>
              <w:bottom w:val="single" w:sz="8" w:space="0" w:color="auto"/>
              <w:right w:val="single" w:sz="8" w:space="0" w:color="auto"/>
            </w:tcBorders>
            <w:shd w:val="clear" w:color="auto" w:fill="auto"/>
            <w:vAlign w:val="center"/>
            <w:hideMark/>
          </w:tcPr>
          <w:p w14:paraId="1F8FBADC"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-₡2 959 706</w:t>
            </w:r>
          </w:p>
        </w:tc>
        <w:tc>
          <w:tcPr>
            <w:tcW w:w="1134" w:type="dxa"/>
            <w:tcBorders>
              <w:top w:val="nil"/>
              <w:left w:val="nil"/>
              <w:bottom w:val="single" w:sz="8" w:space="0" w:color="auto"/>
              <w:right w:val="single" w:sz="8" w:space="0" w:color="auto"/>
            </w:tcBorders>
            <w:shd w:val="clear" w:color="auto" w:fill="auto"/>
            <w:noWrap/>
            <w:vAlign w:val="center"/>
            <w:hideMark/>
          </w:tcPr>
          <w:p w14:paraId="6800487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-32,5%</w:t>
            </w:r>
          </w:p>
        </w:tc>
        <w:tc>
          <w:tcPr>
            <w:tcW w:w="1134" w:type="dxa"/>
            <w:tcBorders>
              <w:top w:val="nil"/>
              <w:left w:val="nil"/>
              <w:bottom w:val="single" w:sz="8" w:space="0" w:color="auto"/>
              <w:right w:val="single" w:sz="8" w:space="0" w:color="auto"/>
            </w:tcBorders>
            <w:shd w:val="clear" w:color="auto" w:fill="auto"/>
            <w:vAlign w:val="center"/>
            <w:hideMark/>
          </w:tcPr>
          <w:p w14:paraId="6DE9B09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-31,9%</w:t>
            </w:r>
          </w:p>
        </w:tc>
      </w:tr>
      <w:tr w:rsidR="0093441E" w:rsidRPr="002A7673" w14:paraId="36B9D5FF"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9567CAD"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Secretaría de Ética y Valores</w:t>
            </w:r>
          </w:p>
        </w:tc>
        <w:tc>
          <w:tcPr>
            <w:tcW w:w="1560" w:type="dxa"/>
            <w:tcBorders>
              <w:top w:val="nil"/>
              <w:left w:val="nil"/>
              <w:bottom w:val="single" w:sz="8" w:space="0" w:color="auto"/>
              <w:right w:val="single" w:sz="8" w:space="0" w:color="auto"/>
            </w:tcBorders>
            <w:shd w:val="clear" w:color="auto" w:fill="auto"/>
            <w:vAlign w:val="center"/>
            <w:hideMark/>
          </w:tcPr>
          <w:p w14:paraId="65F9DB7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₡8 975 384</w:t>
            </w:r>
          </w:p>
        </w:tc>
        <w:tc>
          <w:tcPr>
            <w:tcW w:w="1559" w:type="dxa"/>
            <w:tcBorders>
              <w:top w:val="nil"/>
              <w:left w:val="nil"/>
              <w:bottom w:val="single" w:sz="8" w:space="0" w:color="auto"/>
              <w:right w:val="single" w:sz="8" w:space="0" w:color="auto"/>
            </w:tcBorders>
            <w:shd w:val="clear" w:color="auto" w:fill="auto"/>
            <w:vAlign w:val="center"/>
            <w:hideMark/>
          </w:tcPr>
          <w:p w14:paraId="3D64CC7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₡8 527 990</w:t>
            </w:r>
          </w:p>
        </w:tc>
        <w:tc>
          <w:tcPr>
            <w:tcW w:w="1417" w:type="dxa"/>
            <w:tcBorders>
              <w:top w:val="nil"/>
              <w:left w:val="nil"/>
              <w:bottom w:val="single" w:sz="8" w:space="0" w:color="auto"/>
              <w:right w:val="single" w:sz="8" w:space="0" w:color="auto"/>
            </w:tcBorders>
            <w:shd w:val="clear" w:color="auto" w:fill="auto"/>
            <w:vAlign w:val="center"/>
            <w:hideMark/>
          </w:tcPr>
          <w:p w14:paraId="5F054E44"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-₡447 394</w:t>
            </w:r>
          </w:p>
        </w:tc>
        <w:tc>
          <w:tcPr>
            <w:tcW w:w="1134" w:type="dxa"/>
            <w:tcBorders>
              <w:top w:val="nil"/>
              <w:left w:val="nil"/>
              <w:bottom w:val="single" w:sz="8" w:space="0" w:color="auto"/>
              <w:right w:val="single" w:sz="8" w:space="0" w:color="auto"/>
            </w:tcBorders>
            <w:shd w:val="clear" w:color="auto" w:fill="auto"/>
            <w:noWrap/>
            <w:vAlign w:val="center"/>
            <w:hideMark/>
          </w:tcPr>
          <w:p w14:paraId="699880C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-5,0%</w:t>
            </w:r>
          </w:p>
        </w:tc>
        <w:tc>
          <w:tcPr>
            <w:tcW w:w="1134" w:type="dxa"/>
            <w:tcBorders>
              <w:top w:val="nil"/>
              <w:left w:val="nil"/>
              <w:bottom w:val="single" w:sz="8" w:space="0" w:color="auto"/>
              <w:right w:val="single" w:sz="8" w:space="0" w:color="auto"/>
            </w:tcBorders>
            <w:shd w:val="clear" w:color="auto" w:fill="auto"/>
            <w:vAlign w:val="center"/>
            <w:hideMark/>
          </w:tcPr>
          <w:p w14:paraId="1A908E8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-5,0%</w:t>
            </w:r>
          </w:p>
        </w:tc>
      </w:tr>
      <w:tr w:rsidR="0093441E" w:rsidRPr="002A7673" w14:paraId="734834B6"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2536D82"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Secretaría de Género y Acceso a la Justicia</w:t>
            </w:r>
          </w:p>
        </w:tc>
        <w:tc>
          <w:tcPr>
            <w:tcW w:w="1560" w:type="dxa"/>
            <w:tcBorders>
              <w:top w:val="nil"/>
              <w:left w:val="nil"/>
              <w:bottom w:val="single" w:sz="8" w:space="0" w:color="auto"/>
              <w:right w:val="single" w:sz="8" w:space="0" w:color="auto"/>
            </w:tcBorders>
            <w:shd w:val="clear" w:color="auto" w:fill="auto"/>
            <w:vAlign w:val="center"/>
            <w:hideMark/>
          </w:tcPr>
          <w:p w14:paraId="259CCDD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₡15 348 506</w:t>
            </w:r>
          </w:p>
        </w:tc>
        <w:tc>
          <w:tcPr>
            <w:tcW w:w="1559" w:type="dxa"/>
            <w:tcBorders>
              <w:top w:val="nil"/>
              <w:left w:val="nil"/>
              <w:bottom w:val="single" w:sz="8" w:space="0" w:color="auto"/>
              <w:right w:val="single" w:sz="8" w:space="0" w:color="auto"/>
            </w:tcBorders>
            <w:shd w:val="clear" w:color="auto" w:fill="auto"/>
            <w:vAlign w:val="center"/>
            <w:hideMark/>
          </w:tcPr>
          <w:p w14:paraId="0B91CB7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₡16 826 125</w:t>
            </w:r>
          </w:p>
        </w:tc>
        <w:tc>
          <w:tcPr>
            <w:tcW w:w="1417" w:type="dxa"/>
            <w:tcBorders>
              <w:top w:val="nil"/>
              <w:left w:val="nil"/>
              <w:bottom w:val="single" w:sz="8" w:space="0" w:color="auto"/>
              <w:right w:val="single" w:sz="8" w:space="0" w:color="auto"/>
            </w:tcBorders>
            <w:shd w:val="clear" w:color="auto" w:fill="auto"/>
            <w:vAlign w:val="center"/>
            <w:hideMark/>
          </w:tcPr>
          <w:p w14:paraId="7337283C"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₡1 477 619</w:t>
            </w:r>
          </w:p>
        </w:tc>
        <w:tc>
          <w:tcPr>
            <w:tcW w:w="1134" w:type="dxa"/>
            <w:tcBorders>
              <w:top w:val="nil"/>
              <w:left w:val="nil"/>
              <w:bottom w:val="single" w:sz="8" w:space="0" w:color="auto"/>
              <w:right w:val="single" w:sz="8" w:space="0" w:color="auto"/>
            </w:tcBorders>
            <w:shd w:val="clear" w:color="auto" w:fill="auto"/>
            <w:noWrap/>
            <w:vAlign w:val="center"/>
            <w:hideMark/>
          </w:tcPr>
          <w:p w14:paraId="260F72B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9,6%</w:t>
            </w:r>
          </w:p>
        </w:tc>
        <w:tc>
          <w:tcPr>
            <w:tcW w:w="1134" w:type="dxa"/>
            <w:tcBorders>
              <w:top w:val="nil"/>
              <w:left w:val="nil"/>
              <w:bottom w:val="single" w:sz="8" w:space="0" w:color="auto"/>
              <w:right w:val="single" w:sz="8" w:space="0" w:color="auto"/>
            </w:tcBorders>
            <w:shd w:val="clear" w:color="auto" w:fill="auto"/>
            <w:vAlign w:val="center"/>
            <w:hideMark/>
          </w:tcPr>
          <w:p w14:paraId="39B1C10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9,6%</w:t>
            </w:r>
          </w:p>
        </w:tc>
      </w:tr>
      <w:tr w:rsidR="0093441E" w:rsidRPr="002A7673" w14:paraId="2500F4E4"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341B2946"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Escuela Judicial</w:t>
            </w:r>
          </w:p>
        </w:tc>
        <w:tc>
          <w:tcPr>
            <w:tcW w:w="1560" w:type="dxa"/>
            <w:tcBorders>
              <w:top w:val="nil"/>
              <w:left w:val="nil"/>
              <w:bottom w:val="single" w:sz="8" w:space="0" w:color="auto"/>
              <w:right w:val="single" w:sz="8" w:space="0" w:color="auto"/>
            </w:tcBorders>
            <w:shd w:val="clear" w:color="auto" w:fill="auto"/>
            <w:vAlign w:val="center"/>
            <w:hideMark/>
          </w:tcPr>
          <w:p w14:paraId="110B1F5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₡376 493 754</w:t>
            </w:r>
          </w:p>
        </w:tc>
        <w:tc>
          <w:tcPr>
            <w:tcW w:w="1559" w:type="dxa"/>
            <w:tcBorders>
              <w:top w:val="nil"/>
              <w:left w:val="nil"/>
              <w:bottom w:val="single" w:sz="8" w:space="0" w:color="auto"/>
              <w:right w:val="single" w:sz="8" w:space="0" w:color="auto"/>
            </w:tcBorders>
            <w:shd w:val="clear" w:color="auto" w:fill="auto"/>
            <w:vAlign w:val="center"/>
            <w:hideMark/>
          </w:tcPr>
          <w:p w14:paraId="72BE66A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₡420 366 185</w:t>
            </w:r>
          </w:p>
        </w:tc>
        <w:tc>
          <w:tcPr>
            <w:tcW w:w="1417" w:type="dxa"/>
            <w:tcBorders>
              <w:top w:val="nil"/>
              <w:left w:val="nil"/>
              <w:bottom w:val="single" w:sz="8" w:space="0" w:color="auto"/>
              <w:right w:val="single" w:sz="8" w:space="0" w:color="auto"/>
            </w:tcBorders>
            <w:shd w:val="clear" w:color="auto" w:fill="auto"/>
            <w:vAlign w:val="center"/>
            <w:hideMark/>
          </w:tcPr>
          <w:p w14:paraId="0D752642"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₡43 872 431</w:t>
            </w:r>
          </w:p>
        </w:tc>
        <w:tc>
          <w:tcPr>
            <w:tcW w:w="1134" w:type="dxa"/>
            <w:tcBorders>
              <w:top w:val="nil"/>
              <w:left w:val="nil"/>
              <w:bottom w:val="single" w:sz="8" w:space="0" w:color="auto"/>
              <w:right w:val="single" w:sz="8" w:space="0" w:color="auto"/>
            </w:tcBorders>
            <w:shd w:val="clear" w:color="auto" w:fill="auto"/>
            <w:noWrap/>
            <w:vAlign w:val="center"/>
            <w:hideMark/>
          </w:tcPr>
          <w:p w14:paraId="624962C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11,7%</w:t>
            </w:r>
          </w:p>
        </w:tc>
        <w:tc>
          <w:tcPr>
            <w:tcW w:w="1134" w:type="dxa"/>
            <w:tcBorders>
              <w:top w:val="nil"/>
              <w:left w:val="nil"/>
              <w:bottom w:val="single" w:sz="8" w:space="0" w:color="auto"/>
              <w:right w:val="single" w:sz="8" w:space="0" w:color="auto"/>
            </w:tcBorders>
            <w:shd w:val="clear" w:color="auto" w:fill="auto"/>
            <w:vAlign w:val="center"/>
            <w:hideMark/>
          </w:tcPr>
          <w:p w14:paraId="345E697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15,2%</w:t>
            </w:r>
          </w:p>
        </w:tc>
      </w:tr>
      <w:tr w:rsidR="0093441E" w:rsidRPr="002A7673" w14:paraId="6A8B6717"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30BF8F91"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Unidad de Adiestramiento</w:t>
            </w:r>
          </w:p>
        </w:tc>
        <w:tc>
          <w:tcPr>
            <w:tcW w:w="1560" w:type="dxa"/>
            <w:tcBorders>
              <w:top w:val="nil"/>
              <w:left w:val="nil"/>
              <w:bottom w:val="single" w:sz="8" w:space="0" w:color="auto"/>
              <w:right w:val="single" w:sz="8" w:space="0" w:color="auto"/>
            </w:tcBorders>
            <w:shd w:val="clear" w:color="auto" w:fill="auto"/>
            <w:vAlign w:val="center"/>
            <w:hideMark/>
          </w:tcPr>
          <w:p w14:paraId="3FF3851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₡193 763 357</w:t>
            </w:r>
          </w:p>
        </w:tc>
        <w:tc>
          <w:tcPr>
            <w:tcW w:w="1559" w:type="dxa"/>
            <w:tcBorders>
              <w:top w:val="nil"/>
              <w:left w:val="nil"/>
              <w:bottom w:val="single" w:sz="8" w:space="0" w:color="auto"/>
              <w:right w:val="single" w:sz="8" w:space="0" w:color="auto"/>
            </w:tcBorders>
            <w:shd w:val="clear" w:color="auto" w:fill="auto"/>
            <w:vAlign w:val="center"/>
            <w:hideMark/>
          </w:tcPr>
          <w:p w14:paraId="7C46A8C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₡185 996 210</w:t>
            </w:r>
          </w:p>
        </w:tc>
        <w:tc>
          <w:tcPr>
            <w:tcW w:w="1417" w:type="dxa"/>
            <w:tcBorders>
              <w:top w:val="nil"/>
              <w:left w:val="nil"/>
              <w:bottom w:val="single" w:sz="8" w:space="0" w:color="auto"/>
              <w:right w:val="single" w:sz="8" w:space="0" w:color="auto"/>
            </w:tcBorders>
            <w:shd w:val="clear" w:color="auto" w:fill="auto"/>
            <w:vAlign w:val="center"/>
            <w:hideMark/>
          </w:tcPr>
          <w:p w14:paraId="3DC52B04"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-₡7 767 147</w:t>
            </w:r>
          </w:p>
        </w:tc>
        <w:tc>
          <w:tcPr>
            <w:tcW w:w="1134" w:type="dxa"/>
            <w:tcBorders>
              <w:top w:val="nil"/>
              <w:left w:val="nil"/>
              <w:bottom w:val="single" w:sz="8" w:space="0" w:color="auto"/>
              <w:right w:val="single" w:sz="8" w:space="0" w:color="auto"/>
            </w:tcBorders>
            <w:shd w:val="clear" w:color="auto" w:fill="auto"/>
            <w:noWrap/>
            <w:vAlign w:val="center"/>
            <w:hideMark/>
          </w:tcPr>
          <w:p w14:paraId="500FFAC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1014018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-3,0%</w:t>
            </w:r>
          </w:p>
        </w:tc>
      </w:tr>
      <w:tr w:rsidR="0093441E" w:rsidRPr="002A7673" w14:paraId="024FED32"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0FECF6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Oficina de Cumplimiento</w:t>
            </w:r>
          </w:p>
        </w:tc>
        <w:tc>
          <w:tcPr>
            <w:tcW w:w="1560" w:type="dxa"/>
            <w:tcBorders>
              <w:top w:val="nil"/>
              <w:left w:val="nil"/>
              <w:bottom w:val="single" w:sz="8" w:space="0" w:color="auto"/>
              <w:right w:val="single" w:sz="8" w:space="0" w:color="auto"/>
            </w:tcBorders>
            <w:shd w:val="clear" w:color="auto" w:fill="auto"/>
            <w:vAlign w:val="center"/>
            <w:hideMark/>
          </w:tcPr>
          <w:p w14:paraId="4A67411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₡4 259 268</w:t>
            </w:r>
          </w:p>
        </w:tc>
        <w:tc>
          <w:tcPr>
            <w:tcW w:w="1559" w:type="dxa"/>
            <w:tcBorders>
              <w:top w:val="nil"/>
              <w:left w:val="nil"/>
              <w:bottom w:val="single" w:sz="8" w:space="0" w:color="auto"/>
              <w:right w:val="single" w:sz="8" w:space="0" w:color="auto"/>
            </w:tcBorders>
            <w:shd w:val="clear" w:color="auto" w:fill="auto"/>
            <w:vAlign w:val="center"/>
            <w:hideMark/>
          </w:tcPr>
          <w:p w14:paraId="7637E7D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₡3 265 224</w:t>
            </w:r>
          </w:p>
        </w:tc>
        <w:tc>
          <w:tcPr>
            <w:tcW w:w="1417" w:type="dxa"/>
            <w:tcBorders>
              <w:top w:val="nil"/>
              <w:left w:val="nil"/>
              <w:bottom w:val="single" w:sz="8" w:space="0" w:color="auto"/>
              <w:right w:val="single" w:sz="8" w:space="0" w:color="auto"/>
            </w:tcBorders>
            <w:shd w:val="clear" w:color="auto" w:fill="auto"/>
            <w:vAlign w:val="center"/>
            <w:hideMark/>
          </w:tcPr>
          <w:p w14:paraId="59C51C88"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-₡994 044</w:t>
            </w:r>
          </w:p>
        </w:tc>
        <w:tc>
          <w:tcPr>
            <w:tcW w:w="1134" w:type="dxa"/>
            <w:tcBorders>
              <w:top w:val="nil"/>
              <w:left w:val="nil"/>
              <w:bottom w:val="single" w:sz="8" w:space="0" w:color="auto"/>
              <w:right w:val="single" w:sz="8" w:space="0" w:color="auto"/>
            </w:tcBorders>
            <w:shd w:val="clear" w:color="auto" w:fill="auto"/>
            <w:noWrap/>
            <w:vAlign w:val="center"/>
            <w:hideMark/>
          </w:tcPr>
          <w:p w14:paraId="79E484E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-23,3%</w:t>
            </w:r>
          </w:p>
        </w:tc>
        <w:tc>
          <w:tcPr>
            <w:tcW w:w="1134" w:type="dxa"/>
            <w:tcBorders>
              <w:top w:val="nil"/>
              <w:left w:val="nil"/>
              <w:bottom w:val="single" w:sz="8" w:space="0" w:color="auto"/>
              <w:right w:val="single" w:sz="8" w:space="0" w:color="auto"/>
            </w:tcBorders>
            <w:shd w:val="clear" w:color="auto" w:fill="auto"/>
            <w:vAlign w:val="center"/>
            <w:hideMark/>
          </w:tcPr>
          <w:p w14:paraId="4ECBFA5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-23,3%</w:t>
            </w:r>
          </w:p>
        </w:tc>
      </w:tr>
      <w:tr w:rsidR="0093441E" w:rsidRPr="002A7673" w14:paraId="36EBF2C6"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F4B47DE"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Dirección de Planificación</w:t>
            </w:r>
          </w:p>
        </w:tc>
        <w:tc>
          <w:tcPr>
            <w:tcW w:w="1560" w:type="dxa"/>
            <w:tcBorders>
              <w:top w:val="nil"/>
              <w:left w:val="nil"/>
              <w:bottom w:val="single" w:sz="8" w:space="0" w:color="auto"/>
              <w:right w:val="single" w:sz="8" w:space="0" w:color="auto"/>
            </w:tcBorders>
            <w:shd w:val="clear" w:color="auto" w:fill="auto"/>
            <w:vAlign w:val="center"/>
            <w:hideMark/>
          </w:tcPr>
          <w:p w14:paraId="1610EC0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₡46 422 783</w:t>
            </w:r>
          </w:p>
        </w:tc>
        <w:tc>
          <w:tcPr>
            <w:tcW w:w="1559" w:type="dxa"/>
            <w:tcBorders>
              <w:top w:val="nil"/>
              <w:left w:val="nil"/>
              <w:bottom w:val="single" w:sz="8" w:space="0" w:color="auto"/>
              <w:right w:val="single" w:sz="8" w:space="0" w:color="auto"/>
            </w:tcBorders>
            <w:shd w:val="clear" w:color="auto" w:fill="auto"/>
            <w:vAlign w:val="center"/>
            <w:hideMark/>
          </w:tcPr>
          <w:p w14:paraId="223C04B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₡37 524 414</w:t>
            </w:r>
          </w:p>
        </w:tc>
        <w:tc>
          <w:tcPr>
            <w:tcW w:w="1417" w:type="dxa"/>
            <w:tcBorders>
              <w:top w:val="nil"/>
              <w:left w:val="nil"/>
              <w:bottom w:val="single" w:sz="8" w:space="0" w:color="auto"/>
              <w:right w:val="single" w:sz="8" w:space="0" w:color="auto"/>
            </w:tcBorders>
            <w:shd w:val="clear" w:color="auto" w:fill="auto"/>
            <w:vAlign w:val="center"/>
            <w:hideMark/>
          </w:tcPr>
          <w:p w14:paraId="738CB198"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-₡8 898 369</w:t>
            </w:r>
          </w:p>
        </w:tc>
        <w:tc>
          <w:tcPr>
            <w:tcW w:w="1134" w:type="dxa"/>
            <w:tcBorders>
              <w:top w:val="nil"/>
              <w:left w:val="nil"/>
              <w:bottom w:val="single" w:sz="8" w:space="0" w:color="auto"/>
              <w:right w:val="single" w:sz="8" w:space="0" w:color="auto"/>
            </w:tcBorders>
            <w:shd w:val="clear" w:color="auto" w:fill="auto"/>
            <w:noWrap/>
            <w:vAlign w:val="center"/>
            <w:hideMark/>
          </w:tcPr>
          <w:p w14:paraId="7786165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-19,2%</w:t>
            </w:r>
          </w:p>
        </w:tc>
        <w:tc>
          <w:tcPr>
            <w:tcW w:w="1134" w:type="dxa"/>
            <w:tcBorders>
              <w:top w:val="nil"/>
              <w:left w:val="nil"/>
              <w:bottom w:val="single" w:sz="8" w:space="0" w:color="auto"/>
              <w:right w:val="single" w:sz="8" w:space="0" w:color="auto"/>
            </w:tcBorders>
            <w:shd w:val="clear" w:color="auto" w:fill="auto"/>
            <w:vAlign w:val="center"/>
            <w:hideMark/>
          </w:tcPr>
          <w:p w14:paraId="6E15019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1,2%</w:t>
            </w:r>
          </w:p>
        </w:tc>
      </w:tr>
      <w:tr w:rsidR="0093441E" w:rsidRPr="002A7673" w14:paraId="672E84A5"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4CD70D2"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Dirección de Gestión Humana</w:t>
            </w:r>
          </w:p>
        </w:tc>
        <w:tc>
          <w:tcPr>
            <w:tcW w:w="1560" w:type="dxa"/>
            <w:tcBorders>
              <w:top w:val="nil"/>
              <w:left w:val="nil"/>
              <w:bottom w:val="single" w:sz="8" w:space="0" w:color="auto"/>
              <w:right w:val="single" w:sz="8" w:space="0" w:color="auto"/>
            </w:tcBorders>
            <w:shd w:val="clear" w:color="auto" w:fill="auto"/>
            <w:vAlign w:val="center"/>
            <w:hideMark/>
          </w:tcPr>
          <w:p w14:paraId="286DE86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₡3 067 649 036</w:t>
            </w:r>
          </w:p>
        </w:tc>
        <w:tc>
          <w:tcPr>
            <w:tcW w:w="1559" w:type="dxa"/>
            <w:tcBorders>
              <w:top w:val="nil"/>
              <w:left w:val="nil"/>
              <w:bottom w:val="single" w:sz="8" w:space="0" w:color="auto"/>
              <w:right w:val="single" w:sz="8" w:space="0" w:color="auto"/>
            </w:tcBorders>
            <w:shd w:val="clear" w:color="auto" w:fill="auto"/>
            <w:vAlign w:val="center"/>
            <w:hideMark/>
          </w:tcPr>
          <w:p w14:paraId="1B7A8A0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₡2 940 002 735</w:t>
            </w:r>
          </w:p>
        </w:tc>
        <w:tc>
          <w:tcPr>
            <w:tcW w:w="1417" w:type="dxa"/>
            <w:tcBorders>
              <w:top w:val="nil"/>
              <w:left w:val="nil"/>
              <w:bottom w:val="single" w:sz="8" w:space="0" w:color="auto"/>
              <w:right w:val="single" w:sz="8" w:space="0" w:color="auto"/>
            </w:tcBorders>
            <w:shd w:val="clear" w:color="auto" w:fill="auto"/>
            <w:vAlign w:val="center"/>
            <w:hideMark/>
          </w:tcPr>
          <w:p w14:paraId="470DB549"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-₡127 646 301</w:t>
            </w:r>
          </w:p>
        </w:tc>
        <w:tc>
          <w:tcPr>
            <w:tcW w:w="1134" w:type="dxa"/>
            <w:tcBorders>
              <w:top w:val="nil"/>
              <w:left w:val="nil"/>
              <w:bottom w:val="single" w:sz="8" w:space="0" w:color="auto"/>
              <w:right w:val="single" w:sz="8" w:space="0" w:color="auto"/>
            </w:tcBorders>
            <w:shd w:val="clear" w:color="auto" w:fill="auto"/>
            <w:noWrap/>
            <w:vAlign w:val="center"/>
            <w:hideMark/>
          </w:tcPr>
          <w:p w14:paraId="73F098B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-4,2%</w:t>
            </w:r>
          </w:p>
        </w:tc>
        <w:tc>
          <w:tcPr>
            <w:tcW w:w="1134" w:type="dxa"/>
            <w:tcBorders>
              <w:top w:val="nil"/>
              <w:left w:val="nil"/>
              <w:bottom w:val="single" w:sz="8" w:space="0" w:color="auto"/>
              <w:right w:val="single" w:sz="8" w:space="0" w:color="auto"/>
            </w:tcBorders>
            <w:shd w:val="clear" w:color="auto" w:fill="auto"/>
            <w:vAlign w:val="center"/>
            <w:hideMark/>
          </w:tcPr>
          <w:p w14:paraId="701EC31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-2,7%</w:t>
            </w:r>
          </w:p>
        </w:tc>
      </w:tr>
      <w:tr w:rsidR="0093441E" w:rsidRPr="002A7673" w14:paraId="126F9C1E"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EA39890"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Dirección de Tecnología de Información</w:t>
            </w:r>
          </w:p>
        </w:tc>
        <w:tc>
          <w:tcPr>
            <w:tcW w:w="1560" w:type="dxa"/>
            <w:tcBorders>
              <w:top w:val="nil"/>
              <w:left w:val="nil"/>
              <w:bottom w:val="single" w:sz="8" w:space="0" w:color="auto"/>
              <w:right w:val="single" w:sz="8" w:space="0" w:color="auto"/>
            </w:tcBorders>
            <w:shd w:val="clear" w:color="auto" w:fill="auto"/>
            <w:vAlign w:val="center"/>
            <w:hideMark/>
          </w:tcPr>
          <w:p w14:paraId="6520B85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₡1 592 063 613</w:t>
            </w:r>
          </w:p>
        </w:tc>
        <w:tc>
          <w:tcPr>
            <w:tcW w:w="1559" w:type="dxa"/>
            <w:tcBorders>
              <w:top w:val="nil"/>
              <w:left w:val="nil"/>
              <w:bottom w:val="single" w:sz="8" w:space="0" w:color="auto"/>
              <w:right w:val="single" w:sz="8" w:space="0" w:color="auto"/>
            </w:tcBorders>
            <w:shd w:val="clear" w:color="auto" w:fill="auto"/>
            <w:vAlign w:val="center"/>
            <w:hideMark/>
          </w:tcPr>
          <w:p w14:paraId="334D789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₡1 433 433 606</w:t>
            </w:r>
          </w:p>
        </w:tc>
        <w:tc>
          <w:tcPr>
            <w:tcW w:w="1417" w:type="dxa"/>
            <w:tcBorders>
              <w:top w:val="nil"/>
              <w:left w:val="nil"/>
              <w:bottom w:val="single" w:sz="8" w:space="0" w:color="auto"/>
              <w:right w:val="single" w:sz="8" w:space="0" w:color="auto"/>
            </w:tcBorders>
            <w:shd w:val="clear" w:color="auto" w:fill="auto"/>
            <w:vAlign w:val="center"/>
            <w:hideMark/>
          </w:tcPr>
          <w:p w14:paraId="3E170FAB"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-₡158 630 007</w:t>
            </w:r>
          </w:p>
        </w:tc>
        <w:tc>
          <w:tcPr>
            <w:tcW w:w="1134" w:type="dxa"/>
            <w:tcBorders>
              <w:top w:val="nil"/>
              <w:left w:val="nil"/>
              <w:bottom w:val="single" w:sz="8" w:space="0" w:color="auto"/>
              <w:right w:val="single" w:sz="8" w:space="0" w:color="auto"/>
            </w:tcBorders>
            <w:shd w:val="clear" w:color="auto" w:fill="auto"/>
            <w:noWrap/>
            <w:vAlign w:val="center"/>
            <w:hideMark/>
          </w:tcPr>
          <w:p w14:paraId="15C0E76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-10,0%</w:t>
            </w:r>
          </w:p>
        </w:tc>
        <w:tc>
          <w:tcPr>
            <w:tcW w:w="1134" w:type="dxa"/>
            <w:tcBorders>
              <w:top w:val="nil"/>
              <w:left w:val="nil"/>
              <w:bottom w:val="single" w:sz="8" w:space="0" w:color="auto"/>
              <w:right w:val="single" w:sz="8" w:space="0" w:color="auto"/>
            </w:tcBorders>
            <w:shd w:val="clear" w:color="auto" w:fill="auto"/>
            <w:vAlign w:val="center"/>
            <w:hideMark/>
          </w:tcPr>
          <w:p w14:paraId="247AB49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13,8%</w:t>
            </w:r>
          </w:p>
        </w:tc>
      </w:tr>
      <w:tr w:rsidR="0093441E" w:rsidRPr="002A7673" w14:paraId="298CFD9D"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EC4DD66"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Dirección Ejecutiva</w:t>
            </w:r>
          </w:p>
        </w:tc>
        <w:tc>
          <w:tcPr>
            <w:tcW w:w="1560" w:type="dxa"/>
            <w:tcBorders>
              <w:top w:val="nil"/>
              <w:left w:val="nil"/>
              <w:bottom w:val="single" w:sz="8" w:space="0" w:color="auto"/>
              <w:right w:val="single" w:sz="8" w:space="0" w:color="auto"/>
            </w:tcBorders>
            <w:shd w:val="clear" w:color="auto" w:fill="auto"/>
            <w:vAlign w:val="center"/>
            <w:hideMark/>
          </w:tcPr>
          <w:p w14:paraId="416E7C3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₡3 912 806 570</w:t>
            </w:r>
          </w:p>
        </w:tc>
        <w:tc>
          <w:tcPr>
            <w:tcW w:w="1559" w:type="dxa"/>
            <w:tcBorders>
              <w:top w:val="nil"/>
              <w:left w:val="nil"/>
              <w:bottom w:val="single" w:sz="8" w:space="0" w:color="auto"/>
              <w:right w:val="single" w:sz="8" w:space="0" w:color="auto"/>
            </w:tcBorders>
            <w:shd w:val="clear" w:color="auto" w:fill="auto"/>
            <w:vAlign w:val="center"/>
            <w:hideMark/>
          </w:tcPr>
          <w:p w14:paraId="46A0A5A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₡4 130 861 392</w:t>
            </w:r>
          </w:p>
        </w:tc>
        <w:tc>
          <w:tcPr>
            <w:tcW w:w="1417" w:type="dxa"/>
            <w:tcBorders>
              <w:top w:val="nil"/>
              <w:left w:val="nil"/>
              <w:bottom w:val="single" w:sz="8" w:space="0" w:color="auto"/>
              <w:right w:val="single" w:sz="8" w:space="0" w:color="auto"/>
            </w:tcBorders>
            <w:shd w:val="clear" w:color="auto" w:fill="auto"/>
            <w:vAlign w:val="center"/>
            <w:hideMark/>
          </w:tcPr>
          <w:p w14:paraId="1C0080D7"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₡218 054 822</w:t>
            </w:r>
          </w:p>
        </w:tc>
        <w:tc>
          <w:tcPr>
            <w:tcW w:w="1134" w:type="dxa"/>
            <w:tcBorders>
              <w:top w:val="nil"/>
              <w:left w:val="nil"/>
              <w:bottom w:val="single" w:sz="8" w:space="0" w:color="auto"/>
              <w:right w:val="single" w:sz="8" w:space="0" w:color="auto"/>
            </w:tcBorders>
            <w:shd w:val="clear" w:color="auto" w:fill="auto"/>
            <w:noWrap/>
            <w:vAlign w:val="center"/>
            <w:hideMark/>
          </w:tcPr>
          <w:p w14:paraId="5A5B8B4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5,6%</w:t>
            </w:r>
          </w:p>
        </w:tc>
        <w:tc>
          <w:tcPr>
            <w:tcW w:w="1134" w:type="dxa"/>
            <w:tcBorders>
              <w:top w:val="nil"/>
              <w:left w:val="nil"/>
              <w:bottom w:val="single" w:sz="8" w:space="0" w:color="auto"/>
              <w:right w:val="single" w:sz="8" w:space="0" w:color="auto"/>
            </w:tcBorders>
            <w:shd w:val="clear" w:color="auto" w:fill="auto"/>
            <w:vAlign w:val="center"/>
            <w:hideMark/>
          </w:tcPr>
          <w:p w14:paraId="04FAEE1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-21,8%</w:t>
            </w:r>
          </w:p>
        </w:tc>
      </w:tr>
      <w:tr w:rsidR="0093441E" w:rsidRPr="002A7673" w14:paraId="50F83187"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0EA4348"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Dirección Jurídica</w:t>
            </w:r>
          </w:p>
        </w:tc>
        <w:tc>
          <w:tcPr>
            <w:tcW w:w="1560" w:type="dxa"/>
            <w:tcBorders>
              <w:top w:val="nil"/>
              <w:left w:val="nil"/>
              <w:bottom w:val="single" w:sz="8" w:space="0" w:color="auto"/>
              <w:right w:val="single" w:sz="8" w:space="0" w:color="auto"/>
            </w:tcBorders>
            <w:shd w:val="clear" w:color="auto" w:fill="auto"/>
            <w:vAlign w:val="center"/>
            <w:hideMark/>
          </w:tcPr>
          <w:p w14:paraId="5623F36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₡11 903 997</w:t>
            </w:r>
          </w:p>
        </w:tc>
        <w:tc>
          <w:tcPr>
            <w:tcW w:w="1559" w:type="dxa"/>
            <w:tcBorders>
              <w:top w:val="nil"/>
              <w:left w:val="nil"/>
              <w:bottom w:val="single" w:sz="8" w:space="0" w:color="auto"/>
              <w:right w:val="single" w:sz="8" w:space="0" w:color="auto"/>
            </w:tcBorders>
            <w:shd w:val="clear" w:color="auto" w:fill="auto"/>
            <w:vAlign w:val="center"/>
            <w:hideMark/>
          </w:tcPr>
          <w:p w14:paraId="3C3E875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₡11 208 887</w:t>
            </w:r>
          </w:p>
        </w:tc>
        <w:tc>
          <w:tcPr>
            <w:tcW w:w="1417" w:type="dxa"/>
            <w:tcBorders>
              <w:top w:val="nil"/>
              <w:left w:val="nil"/>
              <w:bottom w:val="single" w:sz="8" w:space="0" w:color="auto"/>
              <w:right w:val="single" w:sz="8" w:space="0" w:color="auto"/>
            </w:tcBorders>
            <w:shd w:val="clear" w:color="auto" w:fill="auto"/>
            <w:vAlign w:val="center"/>
            <w:hideMark/>
          </w:tcPr>
          <w:p w14:paraId="45DC1B22"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-₡695 110</w:t>
            </w:r>
          </w:p>
        </w:tc>
        <w:tc>
          <w:tcPr>
            <w:tcW w:w="1134" w:type="dxa"/>
            <w:tcBorders>
              <w:top w:val="nil"/>
              <w:left w:val="nil"/>
              <w:bottom w:val="single" w:sz="8" w:space="0" w:color="auto"/>
              <w:right w:val="single" w:sz="8" w:space="0" w:color="auto"/>
            </w:tcBorders>
            <w:shd w:val="clear" w:color="auto" w:fill="auto"/>
            <w:noWrap/>
            <w:vAlign w:val="center"/>
            <w:hideMark/>
          </w:tcPr>
          <w:p w14:paraId="2809B61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-5,8%</w:t>
            </w:r>
          </w:p>
        </w:tc>
        <w:tc>
          <w:tcPr>
            <w:tcW w:w="1134" w:type="dxa"/>
            <w:tcBorders>
              <w:top w:val="nil"/>
              <w:left w:val="nil"/>
              <w:bottom w:val="single" w:sz="8" w:space="0" w:color="auto"/>
              <w:right w:val="single" w:sz="8" w:space="0" w:color="auto"/>
            </w:tcBorders>
            <w:shd w:val="clear" w:color="auto" w:fill="auto"/>
            <w:vAlign w:val="center"/>
            <w:hideMark/>
          </w:tcPr>
          <w:p w14:paraId="179BD99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-5,8%</w:t>
            </w:r>
          </w:p>
        </w:tc>
      </w:tr>
      <w:tr w:rsidR="0093441E" w:rsidRPr="002A7673" w14:paraId="53A5F521"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C90EB8C"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lastRenderedPageBreak/>
              <w:t>Departamento de Prensa y Comunicación Organizacional</w:t>
            </w:r>
          </w:p>
        </w:tc>
        <w:tc>
          <w:tcPr>
            <w:tcW w:w="1560" w:type="dxa"/>
            <w:tcBorders>
              <w:top w:val="nil"/>
              <w:left w:val="nil"/>
              <w:bottom w:val="single" w:sz="8" w:space="0" w:color="auto"/>
              <w:right w:val="single" w:sz="8" w:space="0" w:color="auto"/>
            </w:tcBorders>
            <w:shd w:val="clear" w:color="auto" w:fill="auto"/>
            <w:vAlign w:val="center"/>
            <w:hideMark/>
          </w:tcPr>
          <w:p w14:paraId="3EA93C1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₡138 298 005</w:t>
            </w:r>
          </w:p>
        </w:tc>
        <w:tc>
          <w:tcPr>
            <w:tcW w:w="1559" w:type="dxa"/>
            <w:tcBorders>
              <w:top w:val="nil"/>
              <w:left w:val="nil"/>
              <w:bottom w:val="single" w:sz="8" w:space="0" w:color="auto"/>
              <w:right w:val="single" w:sz="8" w:space="0" w:color="auto"/>
            </w:tcBorders>
            <w:shd w:val="clear" w:color="auto" w:fill="auto"/>
            <w:vAlign w:val="center"/>
            <w:hideMark/>
          </w:tcPr>
          <w:p w14:paraId="7D731D3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₡132 766 085</w:t>
            </w:r>
          </w:p>
        </w:tc>
        <w:tc>
          <w:tcPr>
            <w:tcW w:w="1417" w:type="dxa"/>
            <w:tcBorders>
              <w:top w:val="nil"/>
              <w:left w:val="nil"/>
              <w:bottom w:val="single" w:sz="8" w:space="0" w:color="auto"/>
              <w:right w:val="single" w:sz="8" w:space="0" w:color="auto"/>
            </w:tcBorders>
            <w:shd w:val="clear" w:color="auto" w:fill="auto"/>
            <w:vAlign w:val="center"/>
            <w:hideMark/>
          </w:tcPr>
          <w:p w14:paraId="44349F2C"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-₡5 531 920</w:t>
            </w:r>
          </w:p>
        </w:tc>
        <w:tc>
          <w:tcPr>
            <w:tcW w:w="1134" w:type="dxa"/>
            <w:tcBorders>
              <w:top w:val="nil"/>
              <w:left w:val="nil"/>
              <w:bottom w:val="single" w:sz="8" w:space="0" w:color="auto"/>
              <w:right w:val="single" w:sz="8" w:space="0" w:color="auto"/>
            </w:tcBorders>
            <w:shd w:val="clear" w:color="auto" w:fill="auto"/>
            <w:noWrap/>
            <w:vAlign w:val="center"/>
            <w:hideMark/>
          </w:tcPr>
          <w:p w14:paraId="31CB2CE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5A85A20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-2,4%</w:t>
            </w:r>
          </w:p>
        </w:tc>
      </w:tr>
      <w:tr w:rsidR="0093441E" w:rsidRPr="002A7673" w14:paraId="2B02BD50"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0B9E63B"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Departamento de Trabajo Social y Psicología</w:t>
            </w:r>
          </w:p>
        </w:tc>
        <w:tc>
          <w:tcPr>
            <w:tcW w:w="1560" w:type="dxa"/>
            <w:tcBorders>
              <w:top w:val="nil"/>
              <w:left w:val="nil"/>
              <w:bottom w:val="single" w:sz="8" w:space="0" w:color="auto"/>
              <w:right w:val="single" w:sz="8" w:space="0" w:color="auto"/>
            </w:tcBorders>
            <w:shd w:val="clear" w:color="auto" w:fill="auto"/>
            <w:vAlign w:val="center"/>
            <w:hideMark/>
          </w:tcPr>
          <w:p w14:paraId="16C226D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₡588 499 057</w:t>
            </w:r>
          </w:p>
        </w:tc>
        <w:tc>
          <w:tcPr>
            <w:tcW w:w="1559" w:type="dxa"/>
            <w:tcBorders>
              <w:top w:val="nil"/>
              <w:left w:val="nil"/>
              <w:bottom w:val="single" w:sz="8" w:space="0" w:color="auto"/>
              <w:right w:val="single" w:sz="8" w:space="0" w:color="auto"/>
            </w:tcBorders>
            <w:shd w:val="clear" w:color="auto" w:fill="auto"/>
            <w:vAlign w:val="center"/>
            <w:hideMark/>
          </w:tcPr>
          <w:p w14:paraId="31591C4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₡650 610 781</w:t>
            </w:r>
          </w:p>
        </w:tc>
        <w:tc>
          <w:tcPr>
            <w:tcW w:w="1417" w:type="dxa"/>
            <w:tcBorders>
              <w:top w:val="nil"/>
              <w:left w:val="nil"/>
              <w:bottom w:val="single" w:sz="8" w:space="0" w:color="auto"/>
              <w:right w:val="single" w:sz="8" w:space="0" w:color="auto"/>
            </w:tcBorders>
            <w:shd w:val="clear" w:color="auto" w:fill="auto"/>
            <w:vAlign w:val="center"/>
            <w:hideMark/>
          </w:tcPr>
          <w:p w14:paraId="429E107B"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₡62 111 724</w:t>
            </w:r>
          </w:p>
        </w:tc>
        <w:tc>
          <w:tcPr>
            <w:tcW w:w="1134" w:type="dxa"/>
            <w:tcBorders>
              <w:top w:val="nil"/>
              <w:left w:val="nil"/>
              <w:bottom w:val="single" w:sz="8" w:space="0" w:color="auto"/>
              <w:right w:val="single" w:sz="8" w:space="0" w:color="auto"/>
            </w:tcBorders>
            <w:shd w:val="clear" w:color="auto" w:fill="auto"/>
            <w:noWrap/>
            <w:vAlign w:val="center"/>
            <w:hideMark/>
          </w:tcPr>
          <w:p w14:paraId="44EB05D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10,6%</w:t>
            </w:r>
          </w:p>
        </w:tc>
        <w:tc>
          <w:tcPr>
            <w:tcW w:w="1134" w:type="dxa"/>
            <w:tcBorders>
              <w:top w:val="nil"/>
              <w:left w:val="nil"/>
              <w:bottom w:val="single" w:sz="8" w:space="0" w:color="auto"/>
              <w:right w:val="single" w:sz="8" w:space="0" w:color="auto"/>
            </w:tcBorders>
            <w:shd w:val="clear" w:color="auto" w:fill="auto"/>
            <w:vAlign w:val="center"/>
            <w:hideMark/>
          </w:tcPr>
          <w:p w14:paraId="074CDE8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11,5%</w:t>
            </w:r>
          </w:p>
        </w:tc>
      </w:tr>
      <w:tr w:rsidR="0093441E" w:rsidRPr="002A7673" w14:paraId="563D4BEE"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32563BB"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I Circuito Judicial de San José</w:t>
            </w:r>
          </w:p>
        </w:tc>
        <w:tc>
          <w:tcPr>
            <w:tcW w:w="1560" w:type="dxa"/>
            <w:tcBorders>
              <w:top w:val="nil"/>
              <w:left w:val="nil"/>
              <w:bottom w:val="single" w:sz="8" w:space="0" w:color="auto"/>
              <w:right w:val="single" w:sz="8" w:space="0" w:color="auto"/>
            </w:tcBorders>
            <w:shd w:val="clear" w:color="auto" w:fill="auto"/>
            <w:vAlign w:val="center"/>
            <w:hideMark/>
          </w:tcPr>
          <w:p w14:paraId="6C6FC33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₡2 537 962 739</w:t>
            </w:r>
          </w:p>
        </w:tc>
        <w:tc>
          <w:tcPr>
            <w:tcW w:w="1559" w:type="dxa"/>
            <w:tcBorders>
              <w:top w:val="nil"/>
              <w:left w:val="nil"/>
              <w:bottom w:val="single" w:sz="8" w:space="0" w:color="auto"/>
              <w:right w:val="single" w:sz="8" w:space="0" w:color="auto"/>
            </w:tcBorders>
            <w:shd w:val="clear" w:color="auto" w:fill="auto"/>
            <w:vAlign w:val="center"/>
            <w:hideMark/>
          </w:tcPr>
          <w:p w14:paraId="16A0FD5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₡2 674 498 213</w:t>
            </w:r>
          </w:p>
        </w:tc>
        <w:tc>
          <w:tcPr>
            <w:tcW w:w="1417" w:type="dxa"/>
            <w:tcBorders>
              <w:top w:val="nil"/>
              <w:left w:val="nil"/>
              <w:bottom w:val="single" w:sz="8" w:space="0" w:color="auto"/>
              <w:right w:val="single" w:sz="8" w:space="0" w:color="auto"/>
            </w:tcBorders>
            <w:shd w:val="clear" w:color="auto" w:fill="auto"/>
            <w:vAlign w:val="center"/>
            <w:hideMark/>
          </w:tcPr>
          <w:p w14:paraId="392466F3"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₡136 535 474</w:t>
            </w:r>
          </w:p>
        </w:tc>
        <w:tc>
          <w:tcPr>
            <w:tcW w:w="1134" w:type="dxa"/>
            <w:tcBorders>
              <w:top w:val="nil"/>
              <w:left w:val="nil"/>
              <w:bottom w:val="single" w:sz="8" w:space="0" w:color="auto"/>
              <w:right w:val="single" w:sz="8" w:space="0" w:color="auto"/>
            </w:tcBorders>
            <w:shd w:val="clear" w:color="auto" w:fill="auto"/>
            <w:noWrap/>
            <w:vAlign w:val="center"/>
            <w:hideMark/>
          </w:tcPr>
          <w:p w14:paraId="448E386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5,4%</w:t>
            </w:r>
          </w:p>
        </w:tc>
        <w:tc>
          <w:tcPr>
            <w:tcW w:w="1134" w:type="dxa"/>
            <w:tcBorders>
              <w:top w:val="nil"/>
              <w:left w:val="nil"/>
              <w:bottom w:val="single" w:sz="8" w:space="0" w:color="auto"/>
              <w:right w:val="single" w:sz="8" w:space="0" w:color="auto"/>
            </w:tcBorders>
            <w:shd w:val="clear" w:color="auto" w:fill="auto"/>
            <w:vAlign w:val="center"/>
            <w:hideMark/>
          </w:tcPr>
          <w:p w14:paraId="1F1726E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-21,1%</w:t>
            </w:r>
          </w:p>
        </w:tc>
      </w:tr>
      <w:tr w:rsidR="0093441E" w:rsidRPr="002A7673" w14:paraId="68A94642"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896D0A4"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II Circuito Judicial de San José</w:t>
            </w:r>
          </w:p>
        </w:tc>
        <w:tc>
          <w:tcPr>
            <w:tcW w:w="1560" w:type="dxa"/>
            <w:tcBorders>
              <w:top w:val="nil"/>
              <w:left w:val="nil"/>
              <w:bottom w:val="single" w:sz="8" w:space="0" w:color="auto"/>
              <w:right w:val="single" w:sz="8" w:space="0" w:color="auto"/>
            </w:tcBorders>
            <w:shd w:val="clear" w:color="auto" w:fill="auto"/>
            <w:vAlign w:val="center"/>
            <w:hideMark/>
          </w:tcPr>
          <w:p w14:paraId="1CCEDBA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₡1 384 854 651</w:t>
            </w:r>
          </w:p>
        </w:tc>
        <w:tc>
          <w:tcPr>
            <w:tcW w:w="1559" w:type="dxa"/>
            <w:tcBorders>
              <w:top w:val="nil"/>
              <w:left w:val="nil"/>
              <w:bottom w:val="single" w:sz="8" w:space="0" w:color="auto"/>
              <w:right w:val="single" w:sz="8" w:space="0" w:color="auto"/>
            </w:tcBorders>
            <w:shd w:val="clear" w:color="auto" w:fill="auto"/>
            <w:vAlign w:val="center"/>
            <w:hideMark/>
          </w:tcPr>
          <w:p w14:paraId="46CC5DD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₡1 428 323 509</w:t>
            </w:r>
          </w:p>
        </w:tc>
        <w:tc>
          <w:tcPr>
            <w:tcW w:w="1417" w:type="dxa"/>
            <w:tcBorders>
              <w:top w:val="nil"/>
              <w:left w:val="nil"/>
              <w:bottom w:val="single" w:sz="8" w:space="0" w:color="auto"/>
              <w:right w:val="single" w:sz="8" w:space="0" w:color="auto"/>
            </w:tcBorders>
            <w:shd w:val="clear" w:color="auto" w:fill="auto"/>
            <w:vAlign w:val="center"/>
            <w:hideMark/>
          </w:tcPr>
          <w:p w14:paraId="2939F833"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₡43 468 858</w:t>
            </w:r>
          </w:p>
        </w:tc>
        <w:tc>
          <w:tcPr>
            <w:tcW w:w="1134" w:type="dxa"/>
            <w:tcBorders>
              <w:top w:val="nil"/>
              <w:left w:val="nil"/>
              <w:bottom w:val="single" w:sz="8" w:space="0" w:color="auto"/>
              <w:right w:val="single" w:sz="8" w:space="0" w:color="auto"/>
            </w:tcBorders>
            <w:shd w:val="clear" w:color="auto" w:fill="auto"/>
            <w:noWrap/>
            <w:vAlign w:val="center"/>
            <w:hideMark/>
          </w:tcPr>
          <w:p w14:paraId="2FF37B3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3,1%</w:t>
            </w:r>
          </w:p>
        </w:tc>
        <w:tc>
          <w:tcPr>
            <w:tcW w:w="1134" w:type="dxa"/>
            <w:tcBorders>
              <w:top w:val="nil"/>
              <w:left w:val="nil"/>
              <w:bottom w:val="single" w:sz="8" w:space="0" w:color="auto"/>
              <w:right w:val="single" w:sz="8" w:space="0" w:color="auto"/>
            </w:tcBorders>
            <w:shd w:val="clear" w:color="auto" w:fill="auto"/>
            <w:vAlign w:val="center"/>
            <w:hideMark/>
          </w:tcPr>
          <w:p w14:paraId="2ACBD4A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-1,4%</w:t>
            </w:r>
          </w:p>
        </w:tc>
      </w:tr>
      <w:tr w:rsidR="0093441E" w:rsidRPr="002A7673" w14:paraId="2F116C7A"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0F93209"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Tercer Circuito Judicial San José</w:t>
            </w:r>
          </w:p>
        </w:tc>
        <w:tc>
          <w:tcPr>
            <w:tcW w:w="1560" w:type="dxa"/>
            <w:tcBorders>
              <w:top w:val="nil"/>
              <w:left w:val="nil"/>
              <w:bottom w:val="single" w:sz="8" w:space="0" w:color="auto"/>
              <w:right w:val="single" w:sz="8" w:space="0" w:color="auto"/>
            </w:tcBorders>
            <w:shd w:val="clear" w:color="auto" w:fill="auto"/>
            <w:vAlign w:val="center"/>
            <w:hideMark/>
          </w:tcPr>
          <w:p w14:paraId="330157D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₡1 633 940 510</w:t>
            </w:r>
          </w:p>
        </w:tc>
        <w:tc>
          <w:tcPr>
            <w:tcW w:w="1559" w:type="dxa"/>
            <w:tcBorders>
              <w:top w:val="nil"/>
              <w:left w:val="nil"/>
              <w:bottom w:val="single" w:sz="8" w:space="0" w:color="auto"/>
              <w:right w:val="single" w:sz="8" w:space="0" w:color="auto"/>
            </w:tcBorders>
            <w:shd w:val="clear" w:color="auto" w:fill="auto"/>
            <w:vAlign w:val="center"/>
            <w:hideMark/>
          </w:tcPr>
          <w:p w14:paraId="559495E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₡1 716 424 538</w:t>
            </w:r>
          </w:p>
        </w:tc>
        <w:tc>
          <w:tcPr>
            <w:tcW w:w="1417" w:type="dxa"/>
            <w:tcBorders>
              <w:top w:val="nil"/>
              <w:left w:val="nil"/>
              <w:bottom w:val="single" w:sz="8" w:space="0" w:color="auto"/>
              <w:right w:val="single" w:sz="8" w:space="0" w:color="auto"/>
            </w:tcBorders>
            <w:shd w:val="clear" w:color="auto" w:fill="auto"/>
            <w:vAlign w:val="center"/>
            <w:hideMark/>
          </w:tcPr>
          <w:p w14:paraId="40475F83"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₡82 484 028</w:t>
            </w:r>
          </w:p>
        </w:tc>
        <w:tc>
          <w:tcPr>
            <w:tcW w:w="1134" w:type="dxa"/>
            <w:tcBorders>
              <w:top w:val="nil"/>
              <w:left w:val="nil"/>
              <w:bottom w:val="single" w:sz="8" w:space="0" w:color="auto"/>
              <w:right w:val="single" w:sz="8" w:space="0" w:color="auto"/>
            </w:tcBorders>
            <w:shd w:val="clear" w:color="auto" w:fill="auto"/>
            <w:noWrap/>
            <w:vAlign w:val="center"/>
            <w:hideMark/>
          </w:tcPr>
          <w:p w14:paraId="0D27FEF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5,0%</w:t>
            </w:r>
          </w:p>
        </w:tc>
        <w:tc>
          <w:tcPr>
            <w:tcW w:w="1134" w:type="dxa"/>
            <w:tcBorders>
              <w:top w:val="nil"/>
              <w:left w:val="nil"/>
              <w:bottom w:val="single" w:sz="8" w:space="0" w:color="auto"/>
              <w:right w:val="single" w:sz="8" w:space="0" w:color="auto"/>
            </w:tcBorders>
            <w:shd w:val="clear" w:color="auto" w:fill="auto"/>
            <w:vAlign w:val="center"/>
            <w:hideMark/>
          </w:tcPr>
          <w:p w14:paraId="526CB2B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8,4%</w:t>
            </w:r>
          </w:p>
        </w:tc>
      </w:tr>
      <w:tr w:rsidR="0093441E" w:rsidRPr="002A7673" w14:paraId="173FC7EC"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A7B552B"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 Circuito Judicial de la Zona Sur</w:t>
            </w:r>
          </w:p>
        </w:tc>
        <w:tc>
          <w:tcPr>
            <w:tcW w:w="1560" w:type="dxa"/>
            <w:tcBorders>
              <w:top w:val="nil"/>
              <w:left w:val="nil"/>
              <w:bottom w:val="single" w:sz="8" w:space="0" w:color="auto"/>
              <w:right w:val="single" w:sz="8" w:space="0" w:color="auto"/>
            </w:tcBorders>
            <w:shd w:val="clear" w:color="auto" w:fill="auto"/>
            <w:vAlign w:val="center"/>
            <w:hideMark/>
          </w:tcPr>
          <w:p w14:paraId="787F2C1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₡967 699 781</w:t>
            </w:r>
          </w:p>
        </w:tc>
        <w:tc>
          <w:tcPr>
            <w:tcW w:w="1559" w:type="dxa"/>
            <w:tcBorders>
              <w:top w:val="nil"/>
              <w:left w:val="nil"/>
              <w:bottom w:val="single" w:sz="8" w:space="0" w:color="auto"/>
              <w:right w:val="single" w:sz="8" w:space="0" w:color="auto"/>
            </w:tcBorders>
            <w:shd w:val="clear" w:color="auto" w:fill="auto"/>
            <w:vAlign w:val="center"/>
            <w:hideMark/>
          </w:tcPr>
          <w:p w14:paraId="41CB1D3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₡974 564 776</w:t>
            </w:r>
          </w:p>
        </w:tc>
        <w:tc>
          <w:tcPr>
            <w:tcW w:w="1417" w:type="dxa"/>
            <w:tcBorders>
              <w:top w:val="nil"/>
              <w:left w:val="nil"/>
              <w:bottom w:val="single" w:sz="8" w:space="0" w:color="auto"/>
              <w:right w:val="single" w:sz="8" w:space="0" w:color="auto"/>
            </w:tcBorders>
            <w:shd w:val="clear" w:color="auto" w:fill="auto"/>
            <w:vAlign w:val="center"/>
            <w:hideMark/>
          </w:tcPr>
          <w:p w14:paraId="282B8225"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₡6 864 995</w:t>
            </w:r>
          </w:p>
        </w:tc>
        <w:tc>
          <w:tcPr>
            <w:tcW w:w="1134" w:type="dxa"/>
            <w:tcBorders>
              <w:top w:val="nil"/>
              <w:left w:val="nil"/>
              <w:bottom w:val="single" w:sz="8" w:space="0" w:color="auto"/>
              <w:right w:val="single" w:sz="8" w:space="0" w:color="auto"/>
            </w:tcBorders>
            <w:shd w:val="clear" w:color="auto" w:fill="auto"/>
            <w:noWrap/>
            <w:vAlign w:val="center"/>
            <w:hideMark/>
          </w:tcPr>
          <w:p w14:paraId="282C98C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0,7%</w:t>
            </w:r>
          </w:p>
        </w:tc>
        <w:tc>
          <w:tcPr>
            <w:tcW w:w="1134" w:type="dxa"/>
            <w:tcBorders>
              <w:top w:val="nil"/>
              <w:left w:val="nil"/>
              <w:bottom w:val="single" w:sz="8" w:space="0" w:color="auto"/>
              <w:right w:val="single" w:sz="8" w:space="0" w:color="auto"/>
            </w:tcBorders>
            <w:shd w:val="clear" w:color="auto" w:fill="auto"/>
            <w:vAlign w:val="center"/>
            <w:hideMark/>
          </w:tcPr>
          <w:p w14:paraId="51ED4A1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10,3%</w:t>
            </w:r>
          </w:p>
        </w:tc>
      </w:tr>
      <w:tr w:rsidR="0093441E" w:rsidRPr="002A7673" w14:paraId="742CADAC"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4E5565F"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II Circuito Judicial de la Zona Sur</w:t>
            </w:r>
          </w:p>
        </w:tc>
        <w:tc>
          <w:tcPr>
            <w:tcW w:w="1560" w:type="dxa"/>
            <w:tcBorders>
              <w:top w:val="nil"/>
              <w:left w:val="nil"/>
              <w:bottom w:val="single" w:sz="8" w:space="0" w:color="auto"/>
              <w:right w:val="single" w:sz="8" w:space="0" w:color="auto"/>
            </w:tcBorders>
            <w:shd w:val="clear" w:color="auto" w:fill="auto"/>
            <w:vAlign w:val="center"/>
            <w:hideMark/>
          </w:tcPr>
          <w:p w14:paraId="6D2F1F6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₡441 003 484</w:t>
            </w:r>
          </w:p>
        </w:tc>
        <w:tc>
          <w:tcPr>
            <w:tcW w:w="1559" w:type="dxa"/>
            <w:tcBorders>
              <w:top w:val="nil"/>
              <w:left w:val="nil"/>
              <w:bottom w:val="single" w:sz="8" w:space="0" w:color="auto"/>
              <w:right w:val="single" w:sz="8" w:space="0" w:color="auto"/>
            </w:tcBorders>
            <w:shd w:val="clear" w:color="auto" w:fill="auto"/>
            <w:vAlign w:val="center"/>
            <w:hideMark/>
          </w:tcPr>
          <w:p w14:paraId="43D38DC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₡423 353 342</w:t>
            </w:r>
          </w:p>
        </w:tc>
        <w:tc>
          <w:tcPr>
            <w:tcW w:w="1417" w:type="dxa"/>
            <w:tcBorders>
              <w:top w:val="nil"/>
              <w:left w:val="nil"/>
              <w:bottom w:val="single" w:sz="8" w:space="0" w:color="auto"/>
              <w:right w:val="single" w:sz="8" w:space="0" w:color="auto"/>
            </w:tcBorders>
            <w:shd w:val="clear" w:color="auto" w:fill="auto"/>
            <w:vAlign w:val="center"/>
            <w:hideMark/>
          </w:tcPr>
          <w:p w14:paraId="25F3C8EA"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-₡17 650 142</w:t>
            </w:r>
          </w:p>
        </w:tc>
        <w:tc>
          <w:tcPr>
            <w:tcW w:w="1134" w:type="dxa"/>
            <w:tcBorders>
              <w:top w:val="nil"/>
              <w:left w:val="nil"/>
              <w:bottom w:val="single" w:sz="8" w:space="0" w:color="auto"/>
              <w:right w:val="single" w:sz="8" w:space="0" w:color="auto"/>
            </w:tcBorders>
            <w:shd w:val="clear" w:color="auto" w:fill="auto"/>
            <w:noWrap/>
            <w:vAlign w:val="center"/>
            <w:hideMark/>
          </w:tcPr>
          <w:p w14:paraId="146F91E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w:t>
            </w:r>
          </w:p>
        </w:tc>
        <w:tc>
          <w:tcPr>
            <w:tcW w:w="1134" w:type="dxa"/>
            <w:tcBorders>
              <w:top w:val="nil"/>
              <w:left w:val="nil"/>
              <w:bottom w:val="single" w:sz="8" w:space="0" w:color="auto"/>
              <w:right w:val="single" w:sz="8" w:space="0" w:color="auto"/>
            </w:tcBorders>
            <w:shd w:val="clear" w:color="auto" w:fill="auto"/>
            <w:vAlign w:val="center"/>
            <w:hideMark/>
          </w:tcPr>
          <w:p w14:paraId="173C023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-17,5%</w:t>
            </w:r>
          </w:p>
        </w:tc>
      </w:tr>
      <w:tr w:rsidR="0093441E" w:rsidRPr="002A7673" w14:paraId="194D52D3"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10F8F33"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Regional de Osa</w:t>
            </w:r>
          </w:p>
        </w:tc>
        <w:tc>
          <w:tcPr>
            <w:tcW w:w="1560" w:type="dxa"/>
            <w:tcBorders>
              <w:top w:val="nil"/>
              <w:left w:val="nil"/>
              <w:bottom w:val="single" w:sz="8" w:space="0" w:color="auto"/>
              <w:right w:val="single" w:sz="8" w:space="0" w:color="auto"/>
            </w:tcBorders>
            <w:shd w:val="clear" w:color="auto" w:fill="auto"/>
            <w:vAlign w:val="center"/>
            <w:hideMark/>
          </w:tcPr>
          <w:p w14:paraId="7CF5912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₡188 235 210</w:t>
            </w:r>
          </w:p>
        </w:tc>
        <w:tc>
          <w:tcPr>
            <w:tcW w:w="1559" w:type="dxa"/>
            <w:tcBorders>
              <w:top w:val="nil"/>
              <w:left w:val="nil"/>
              <w:bottom w:val="single" w:sz="8" w:space="0" w:color="auto"/>
              <w:right w:val="single" w:sz="8" w:space="0" w:color="auto"/>
            </w:tcBorders>
            <w:shd w:val="clear" w:color="auto" w:fill="auto"/>
            <w:vAlign w:val="center"/>
            <w:hideMark/>
          </w:tcPr>
          <w:p w14:paraId="73CDBE0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₡261 302 431</w:t>
            </w:r>
          </w:p>
        </w:tc>
        <w:tc>
          <w:tcPr>
            <w:tcW w:w="1417" w:type="dxa"/>
            <w:tcBorders>
              <w:top w:val="nil"/>
              <w:left w:val="nil"/>
              <w:bottom w:val="single" w:sz="8" w:space="0" w:color="auto"/>
              <w:right w:val="single" w:sz="8" w:space="0" w:color="auto"/>
            </w:tcBorders>
            <w:shd w:val="clear" w:color="auto" w:fill="auto"/>
            <w:vAlign w:val="center"/>
            <w:hideMark/>
          </w:tcPr>
          <w:p w14:paraId="37013744"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₡73 067 221</w:t>
            </w:r>
          </w:p>
        </w:tc>
        <w:tc>
          <w:tcPr>
            <w:tcW w:w="1134" w:type="dxa"/>
            <w:tcBorders>
              <w:top w:val="nil"/>
              <w:left w:val="nil"/>
              <w:bottom w:val="single" w:sz="8" w:space="0" w:color="auto"/>
              <w:right w:val="single" w:sz="8" w:space="0" w:color="auto"/>
            </w:tcBorders>
            <w:shd w:val="clear" w:color="auto" w:fill="auto"/>
            <w:noWrap/>
            <w:vAlign w:val="center"/>
            <w:hideMark/>
          </w:tcPr>
          <w:p w14:paraId="44B2023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38,8%</w:t>
            </w:r>
          </w:p>
        </w:tc>
        <w:tc>
          <w:tcPr>
            <w:tcW w:w="1134" w:type="dxa"/>
            <w:tcBorders>
              <w:top w:val="nil"/>
              <w:left w:val="nil"/>
              <w:bottom w:val="single" w:sz="8" w:space="0" w:color="auto"/>
              <w:right w:val="single" w:sz="8" w:space="0" w:color="auto"/>
            </w:tcBorders>
            <w:shd w:val="clear" w:color="auto" w:fill="auto"/>
            <w:vAlign w:val="center"/>
            <w:hideMark/>
          </w:tcPr>
          <w:p w14:paraId="7C0CFCD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41,1%</w:t>
            </w:r>
          </w:p>
        </w:tc>
      </w:tr>
      <w:tr w:rsidR="0093441E" w:rsidRPr="002A7673" w14:paraId="15DC2CC9"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66F2678"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Regional de Golfito</w:t>
            </w:r>
          </w:p>
        </w:tc>
        <w:tc>
          <w:tcPr>
            <w:tcW w:w="1560" w:type="dxa"/>
            <w:tcBorders>
              <w:top w:val="nil"/>
              <w:left w:val="nil"/>
              <w:bottom w:val="single" w:sz="8" w:space="0" w:color="auto"/>
              <w:right w:val="single" w:sz="8" w:space="0" w:color="auto"/>
            </w:tcBorders>
            <w:shd w:val="clear" w:color="auto" w:fill="auto"/>
            <w:vAlign w:val="center"/>
            <w:hideMark/>
          </w:tcPr>
          <w:p w14:paraId="31239DD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₡178 922 290</w:t>
            </w:r>
          </w:p>
        </w:tc>
        <w:tc>
          <w:tcPr>
            <w:tcW w:w="1559" w:type="dxa"/>
            <w:tcBorders>
              <w:top w:val="nil"/>
              <w:left w:val="nil"/>
              <w:bottom w:val="single" w:sz="8" w:space="0" w:color="auto"/>
              <w:right w:val="single" w:sz="8" w:space="0" w:color="auto"/>
            </w:tcBorders>
            <w:shd w:val="clear" w:color="auto" w:fill="auto"/>
            <w:vAlign w:val="center"/>
            <w:hideMark/>
          </w:tcPr>
          <w:p w14:paraId="3E6A14B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₡173 972 140</w:t>
            </w:r>
          </w:p>
        </w:tc>
        <w:tc>
          <w:tcPr>
            <w:tcW w:w="1417" w:type="dxa"/>
            <w:tcBorders>
              <w:top w:val="nil"/>
              <w:left w:val="nil"/>
              <w:bottom w:val="single" w:sz="8" w:space="0" w:color="auto"/>
              <w:right w:val="single" w:sz="8" w:space="0" w:color="auto"/>
            </w:tcBorders>
            <w:shd w:val="clear" w:color="auto" w:fill="auto"/>
            <w:vAlign w:val="center"/>
            <w:hideMark/>
          </w:tcPr>
          <w:p w14:paraId="06A8CC3B"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-₡4 950 150</w:t>
            </w:r>
          </w:p>
        </w:tc>
        <w:tc>
          <w:tcPr>
            <w:tcW w:w="1134" w:type="dxa"/>
            <w:tcBorders>
              <w:top w:val="nil"/>
              <w:left w:val="nil"/>
              <w:bottom w:val="single" w:sz="8" w:space="0" w:color="auto"/>
              <w:right w:val="single" w:sz="8" w:space="0" w:color="auto"/>
            </w:tcBorders>
            <w:shd w:val="clear" w:color="auto" w:fill="auto"/>
            <w:noWrap/>
            <w:vAlign w:val="center"/>
            <w:hideMark/>
          </w:tcPr>
          <w:p w14:paraId="14AFA59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-2,8%</w:t>
            </w:r>
          </w:p>
        </w:tc>
        <w:tc>
          <w:tcPr>
            <w:tcW w:w="1134" w:type="dxa"/>
            <w:tcBorders>
              <w:top w:val="nil"/>
              <w:left w:val="nil"/>
              <w:bottom w:val="single" w:sz="8" w:space="0" w:color="auto"/>
              <w:right w:val="single" w:sz="8" w:space="0" w:color="auto"/>
            </w:tcBorders>
            <w:shd w:val="clear" w:color="auto" w:fill="auto"/>
            <w:vAlign w:val="center"/>
            <w:hideMark/>
          </w:tcPr>
          <w:p w14:paraId="316F4CA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15,9%</w:t>
            </w:r>
          </w:p>
        </w:tc>
      </w:tr>
      <w:tr w:rsidR="0093441E" w:rsidRPr="002A7673" w14:paraId="494BCBE3"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3AAEE280"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 Circuito Judicial de Alajuela</w:t>
            </w:r>
          </w:p>
        </w:tc>
        <w:tc>
          <w:tcPr>
            <w:tcW w:w="1560" w:type="dxa"/>
            <w:tcBorders>
              <w:top w:val="nil"/>
              <w:left w:val="nil"/>
              <w:bottom w:val="single" w:sz="8" w:space="0" w:color="auto"/>
              <w:right w:val="single" w:sz="8" w:space="0" w:color="auto"/>
            </w:tcBorders>
            <w:shd w:val="clear" w:color="auto" w:fill="auto"/>
            <w:vAlign w:val="center"/>
            <w:hideMark/>
          </w:tcPr>
          <w:p w14:paraId="62342D4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₡929 780 090</w:t>
            </w:r>
          </w:p>
        </w:tc>
        <w:tc>
          <w:tcPr>
            <w:tcW w:w="1559" w:type="dxa"/>
            <w:tcBorders>
              <w:top w:val="nil"/>
              <w:left w:val="nil"/>
              <w:bottom w:val="single" w:sz="8" w:space="0" w:color="auto"/>
              <w:right w:val="single" w:sz="8" w:space="0" w:color="auto"/>
            </w:tcBorders>
            <w:shd w:val="clear" w:color="auto" w:fill="auto"/>
            <w:vAlign w:val="center"/>
            <w:hideMark/>
          </w:tcPr>
          <w:p w14:paraId="06B9E26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₡951 715 174</w:t>
            </w:r>
          </w:p>
        </w:tc>
        <w:tc>
          <w:tcPr>
            <w:tcW w:w="1417" w:type="dxa"/>
            <w:tcBorders>
              <w:top w:val="nil"/>
              <w:left w:val="nil"/>
              <w:bottom w:val="single" w:sz="8" w:space="0" w:color="auto"/>
              <w:right w:val="single" w:sz="8" w:space="0" w:color="auto"/>
            </w:tcBorders>
            <w:shd w:val="clear" w:color="auto" w:fill="auto"/>
            <w:vAlign w:val="center"/>
            <w:hideMark/>
          </w:tcPr>
          <w:p w14:paraId="242F2239"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₡21 935 084</w:t>
            </w:r>
          </w:p>
        </w:tc>
        <w:tc>
          <w:tcPr>
            <w:tcW w:w="1134" w:type="dxa"/>
            <w:tcBorders>
              <w:top w:val="nil"/>
              <w:left w:val="nil"/>
              <w:bottom w:val="single" w:sz="8" w:space="0" w:color="auto"/>
              <w:right w:val="single" w:sz="8" w:space="0" w:color="auto"/>
            </w:tcBorders>
            <w:shd w:val="clear" w:color="auto" w:fill="auto"/>
            <w:noWrap/>
            <w:vAlign w:val="center"/>
            <w:hideMark/>
          </w:tcPr>
          <w:p w14:paraId="3F409CE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2,4%</w:t>
            </w:r>
          </w:p>
        </w:tc>
        <w:tc>
          <w:tcPr>
            <w:tcW w:w="1134" w:type="dxa"/>
            <w:tcBorders>
              <w:top w:val="nil"/>
              <w:left w:val="nil"/>
              <w:bottom w:val="single" w:sz="8" w:space="0" w:color="auto"/>
              <w:right w:val="single" w:sz="8" w:space="0" w:color="auto"/>
            </w:tcBorders>
            <w:shd w:val="clear" w:color="auto" w:fill="auto"/>
            <w:vAlign w:val="center"/>
            <w:hideMark/>
          </w:tcPr>
          <w:p w14:paraId="2CD02C9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7,3%</w:t>
            </w:r>
          </w:p>
        </w:tc>
      </w:tr>
      <w:tr w:rsidR="0093441E" w:rsidRPr="002A7673" w14:paraId="6FA28C50"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7BD9A94A"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II Circuito Judicial de Alajuela</w:t>
            </w:r>
          </w:p>
        </w:tc>
        <w:tc>
          <w:tcPr>
            <w:tcW w:w="1560" w:type="dxa"/>
            <w:tcBorders>
              <w:top w:val="nil"/>
              <w:left w:val="nil"/>
              <w:bottom w:val="single" w:sz="8" w:space="0" w:color="auto"/>
              <w:right w:val="single" w:sz="8" w:space="0" w:color="auto"/>
            </w:tcBorders>
            <w:shd w:val="clear" w:color="auto" w:fill="auto"/>
            <w:vAlign w:val="center"/>
            <w:hideMark/>
          </w:tcPr>
          <w:p w14:paraId="6840765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₡697 675 904</w:t>
            </w:r>
          </w:p>
        </w:tc>
        <w:tc>
          <w:tcPr>
            <w:tcW w:w="1559" w:type="dxa"/>
            <w:tcBorders>
              <w:top w:val="nil"/>
              <w:left w:val="nil"/>
              <w:bottom w:val="single" w:sz="8" w:space="0" w:color="auto"/>
              <w:right w:val="single" w:sz="8" w:space="0" w:color="auto"/>
            </w:tcBorders>
            <w:shd w:val="clear" w:color="auto" w:fill="auto"/>
            <w:vAlign w:val="center"/>
            <w:hideMark/>
          </w:tcPr>
          <w:p w14:paraId="0C07D3C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₡756 997 773</w:t>
            </w:r>
          </w:p>
        </w:tc>
        <w:tc>
          <w:tcPr>
            <w:tcW w:w="1417" w:type="dxa"/>
            <w:tcBorders>
              <w:top w:val="nil"/>
              <w:left w:val="nil"/>
              <w:bottom w:val="single" w:sz="8" w:space="0" w:color="auto"/>
              <w:right w:val="single" w:sz="8" w:space="0" w:color="auto"/>
            </w:tcBorders>
            <w:shd w:val="clear" w:color="auto" w:fill="auto"/>
            <w:vAlign w:val="center"/>
            <w:hideMark/>
          </w:tcPr>
          <w:p w14:paraId="23541E4F"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₡59 321 869</w:t>
            </w:r>
          </w:p>
        </w:tc>
        <w:tc>
          <w:tcPr>
            <w:tcW w:w="1134" w:type="dxa"/>
            <w:tcBorders>
              <w:top w:val="nil"/>
              <w:left w:val="nil"/>
              <w:bottom w:val="single" w:sz="8" w:space="0" w:color="auto"/>
              <w:right w:val="single" w:sz="8" w:space="0" w:color="auto"/>
            </w:tcBorders>
            <w:shd w:val="clear" w:color="auto" w:fill="auto"/>
            <w:noWrap/>
            <w:vAlign w:val="center"/>
            <w:hideMark/>
          </w:tcPr>
          <w:p w14:paraId="6D1B8C3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8,5%</w:t>
            </w:r>
          </w:p>
        </w:tc>
        <w:tc>
          <w:tcPr>
            <w:tcW w:w="1134" w:type="dxa"/>
            <w:tcBorders>
              <w:top w:val="nil"/>
              <w:left w:val="nil"/>
              <w:bottom w:val="single" w:sz="8" w:space="0" w:color="auto"/>
              <w:right w:val="single" w:sz="8" w:space="0" w:color="auto"/>
            </w:tcBorders>
            <w:shd w:val="clear" w:color="auto" w:fill="auto"/>
            <w:vAlign w:val="center"/>
            <w:hideMark/>
          </w:tcPr>
          <w:p w14:paraId="54DE4FA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62,4%</w:t>
            </w:r>
          </w:p>
        </w:tc>
      </w:tr>
      <w:tr w:rsidR="0093441E" w:rsidRPr="002A7673" w14:paraId="1A005C07"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9EDC050"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III Circuito Judicial de Alajuela</w:t>
            </w:r>
          </w:p>
        </w:tc>
        <w:tc>
          <w:tcPr>
            <w:tcW w:w="1560" w:type="dxa"/>
            <w:tcBorders>
              <w:top w:val="nil"/>
              <w:left w:val="nil"/>
              <w:bottom w:val="single" w:sz="8" w:space="0" w:color="auto"/>
              <w:right w:val="single" w:sz="8" w:space="0" w:color="auto"/>
            </w:tcBorders>
            <w:shd w:val="clear" w:color="auto" w:fill="auto"/>
            <w:vAlign w:val="center"/>
            <w:hideMark/>
          </w:tcPr>
          <w:p w14:paraId="40F7A29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₡417 221 039</w:t>
            </w:r>
          </w:p>
        </w:tc>
        <w:tc>
          <w:tcPr>
            <w:tcW w:w="1559" w:type="dxa"/>
            <w:tcBorders>
              <w:top w:val="nil"/>
              <w:left w:val="nil"/>
              <w:bottom w:val="single" w:sz="8" w:space="0" w:color="auto"/>
              <w:right w:val="single" w:sz="8" w:space="0" w:color="auto"/>
            </w:tcBorders>
            <w:shd w:val="clear" w:color="auto" w:fill="auto"/>
            <w:vAlign w:val="center"/>
            <w:hideMark/>
          </w:tcPr>
          <w:p w14:paraId="7725596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₡418 092 328</w:t>
            </w:r>
          </w:p>
        </w:tc>
        <w:tc>
          <w:tcPr>
            <w:tcW w:w="1417" w:type="dxa"/>
            <w:tcBorders>
              <w:top w:val="nil"/>
              <w:left w:val="nil"/>
              <w:bottom w:val="single" w:sz="8" w:space="0" w:color="auto"/>
              <w:right w:val="single" w:sz="8" w:space="0" w:color="auto"/>
            </w:tcBorders>
            <w:shd w:val="clear" w:color="auto" w:fill="auto"/>
            <w:vAlign w:val="center"/>
            <w:hideMark/>
          </w:tcPr>
          <w:p w14:paraId="6EE41A30"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₡871 289</w:t>
            </w:r>
          </w:p>
        </w:tc>
        <w:tc>
          <w:tcPr>
            <w:tcW w:w="1134" w:type="dxa"/>
            <w:tcBorders>
              <w:top w:val="nil"/>
              <w:left w:val="nil"/>
              <w:bottom w:val="single" w:sz="8" w:space="0" w:color="auto"/>
              <w:right w:val="single" w:sz="8" w:space="0" w:color="auto"/>
            </w:tcBorders>
            <w:shd w:val="clear" w:color="auto" w:fill="auto"/>
            <w:noWrap/>
            <w:vAlign w:val="center"/>
            <w:hideMark/>
          </w:tcPr>
          <w:p w14:paraId="3FCD85D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0,2%</w:t>
            </w:r>
          </w:p>
        </w:tc>
        <w:tc>
          <w:tcPr>
            <w:tcW w:w="1134" w:type="dxa"/>
            <w:tcBorders>
              <w:top w:val="nil"/>
              <w:left w:val="nil"/>
              <w:bottom w:val="single" w:sz="8" w:space="0" w:color="auto"/>
              <w:right w:val="single" w:sz="8" w:space="0" w:color="auto"/>
            </w:tcBorders>
            <w:shd w:val="clear" w:color="auto" w:fill="auto"/>
            <w:vAlign w:val="center"/>
            <w:hideMark/>
          </w:tcPr>
          <w:p w14:paraId="4A938FC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199,1%</w:t>
            </w:r>
          </w:p>
        </w:tc>
      </w:tr>
      <w:tr w:rsidR="0093441E" w:rsidRPr="002A7673" w14:paraId="0E619C57"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AD746FF"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Regional de Grecia</w:t>
            </w:r>
          </w:p>
        </w:tc>
        <w:tc>
          <w:tcPr>
            <w:tcW w:w="1560" w:type="dxa"/>
            <w:tcBorders>
              <w:top w:val="nil"/>
              <w:left w:val="nil"/>
              <w:bottom w:val="single" w:sz="8" w:space="0" w:color="auto"/>
              <w:right w:val="single" w:sz="8" w:space="0" w:color="auto"/>
            </w:tcBorders>
            <w:shd w:val="clear" w:color="auto" w:fill="auto"/>
            <w:vAlign w:val="center"/>
            <w:hideMark/>
          </w:tcPr>
          <w:p w14:paraId="4FCB5EE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₡261 771 596</w:t>
            </w:r>
          </w:p>
        </w:tc>
        <w:tc>
          <w:tcPr>
            <w:tcW w:w="1559" w:type="dxa"/>
            <w:tcBorders>
              <w:top w:val="nil"/>
              <w:left w:val="nil"/>
              <w:bottom w:val="single" w:sz="8" w:space="0" w:color="auto"/>
              <w:right w:val="single" w:sz="8" w:space="0" w:color="auto"/>
            </w:tcBorders>
            <w:shd w:val="clear" w:color="auto" w:fill="auto"/>
            <w:vAlign w:val="center"/>
            <w:hideMark/>
          </w:tcPr>
          <w:p w14:paraId="4805B67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₡264 754 728</w:t>
            </w:r>
          </w:p>
        </w:tc>
        <w:tc>
          <w:tcPr>
            <w:tcW w:w="1417" w:type="dxa"/>
            <w:tcBorders>
              <w:top w:val="nil"/>
              <w:left w:val="nil"/>
              <w:bottom w:val="single" w:sz="8" w:space="0" w:color="auto"/>
              <w:right w:val="single" w:sz="8" w:space="0" w:color="auto"/>
            </w:tcBorders>
            <w:shd w:val="clear" w:color="auto" w:fill="auto"/>
            <w:vAlign w:val="center"/>
            <w:hideMark/>
          </w:tcPr>
          <w:p w14:paraId="1E34C8B2"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₡2 983 132</w:t>
            </w:r>
          </w:p>
        </w:tc>
        <w:tc>
          <w:tcPr>
            <w:tcW w:w="1134" w:type="dxa"/>
            <w:tcBorders>
              <w:top w:val="nil"/>
              <w:left w:val="nil"/>
              <w:bottom w:val="single" w:sz="8" w:space="0" w:color="auto"/>
              <w:right w:val="single" w:sz="8" w:space="0" w:color="auto"/>
            </w:tcBorders>
            <w:shd w:val="clear" w:color="auto" w:fill="auto"/>
            <w:noWrap/>
            <w:vAlign w:val="center"/>
            <w:hideMark/>
          </w:tcPr>
          <w:p w14:paraId="6A041E9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w:t>
            </w:r>
          </w:p>
        </w:tc>
        <w:tc>
          <w:tcPr>
            <w:tcW w:w="1134" w:type="dxa"/>
            <w:tcBorders>
              <w:top w:val="nil"/>
              <w:left w:val="nil"/>
              <w:bottom w:val="single" w:sz="8" w:space="0" w:color="auto"/>
              <w:right w:val="single" w:sz="8" w:space="0" w:color="auto"/>
            </w:tcBorders>
            <w:shd w:val="clear" w:color="auto" w:fill="auto"/>
            <w:vAlign w:val="center"/>
            <w:hideMark/>
          </w:tcPr>
          <w:p w14:paraId="3B1777F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w:t>
            </w:r>
          </w:p>
        </w:tc>
      </w:tr>
      <w:tr w:rsidR="0093441E" w:rsidRPr="002A7673" w14:paraId="435496A3"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1B78122"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Circuito Judicial de Cartago</w:t>
            </w:r>
          </w:p>
        </w:tc>
        <w:tc>
          <w:tcPr>
            <w:tcW w:w="1560" w:type="dxa"/>
            <w:tcBorders>
              <w:top w:val="nil"/>
              <w:left w:val="nil"/>
              <w:bottom w:val="single" w:sz="8" w:space="0" w:color="auto"/>
              <w:right w:val="single" w:sz="8" w:space="0" w:color="auto"/>
            </w:tcBorders>
            <w:shd w:val="clear" w:color="auto" w:fill="auto"/>
            <w:vAlign w:val="center"/>
            <w:hideMark/>
          </w:tcPr>
          <w:p w14:paraId="07E1D2C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₡884 153 306</w:t>
            </w:r>
          </w:p>
        </w:tc>
        <w:tc>
          <w:tcPr>
            <w:tcW w:w="1559" w:type="dxa"/>
            <w:tcBorders>
              <w:top w:val="nil"/>
              <w:left w:val="nil"/>
              <w:bottom w:val="single" w:sz="8" w:space="0" w:color="auto"/>
              <w:right w:val="single" w:sz="8" w:space="0" w:color="auto"/>
            </w:tcBorders>
            <w:shd w:val="clear" w:color="auto" w:fill="auto"/>
            <w:vAlign w:val="center"/>
            <w:hideMark/>
          </w:tcPr>
          <w:p w14:paraId="7D60564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₡899 886 580</w:t>
            </w:r>
          </w:p>
        </w:tc>
        <w:tc>
          <w:tcPr>
            <w:tcW w:w="1417" w:type="dxa"/>
            <w:tcBorders>
              <w:top w:val="nil"/>
              <w:left w:val="nil"/>
              <w:bottom w:val="single" w:sz="8" w:space="0" w:color="auto"/>
              <w:right w:val="single" w:sz="8" w:space="0" w:color="auto"/>
            </w:tcBorders>
            <w:shd w:val="clear" w:color="auto" w:fill="auto"/>
            <w:vAlign w:val="center"/>
            <w:hideMark/>
          </w:tcPr>
          <w:p w14:paraId="73DA4218"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₡15 733 274</w:t>
            </w:r>
          </w:p>
        </w:tc>
        <w:tc>
          <w:tcPr>
            <w:tcW w:w="1134" w:type="dxa"/>
            <w:tcBorders>
              <w:top w:val="nil"/>
              <w:left w:val="nil"/>
              <w:bottom w:val="single" w:sz="8" w:space="0" w:color="auto"/>
              <w:right w:val="single" w:sz="8" w:space="0" w:color="auto"/>
            </w:tcBorders>
            <w:shd w:val="clear" w:color="auto" w:fill="auto"/>
            <w:noWrap/>
            <w:vAlign w:val="center"/>
            <w:hideMark/>
          </w:tcPr>
          <w:p w14:paraId="1726995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1,8%</w:t>
            </w:r>
          </w:p>
        </w:tc>
        <w:tc>
          <w:tcPr>
            <w:tcW w:w="1134" w:type="dxa"/>
            <w:tcBorders>
              <w:top w:val="nil"/>
              <w:left w:val="nil"/>
              <w:bottom w:val="single" w:sz="8" w:space="0" w:color="auto"/>
              <w:right w:val="single" w:sz="8" w:space="0" w:color="auto"/>
            </w:tcBorders>
            <w:shd w:val="clear" w:color="auto" w:fill="auto"/>
            <w:vAlign w:val="center"/>
            <w:hideMark/>
          </w:tcPr>
          <w:p w14:paraId="3ED66E5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12,8%</w:t>
            </w:r>
          </w:p>
        </w:tc>
      </w:tr>
      <w:tr w:rsidR="0093441E" w:rsidRPr="002A7673" w14:paraId="1487C899"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F23D58A"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Regional de Turrialba</w:t>
            </w:r>
          </w:p>
        </w:tc>
        <w:tc>
          <w:tcPr>
            <w:tcW w:w="1560" w:type="dxa"/>
            <w:tcBorders>
              <w:top w:val="nil"/>
              <w:left w:val="nil"/>
              <w:bottom w:val="single" w:sz="8" w:space="0" w:color="auto"/>
              <w:right w:val="single" w:sz="8" w:space="0" w:color="auto"/>
            </w:tcBorders>
            <w:shd w:val="clear" w:color="auto" w:fill="auto"/>
            <w:vAlign w:val="center"/>
            <w:hideMark/>
          </w:tcPr>
          <w:p w14:paraId="3CC3DF4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₡222 916 760</w:t>
            </w:r>
          </w:p>
        </w:tc>
        <w:tc>
          <w:tcPr>
            <w:tcW w:w="1559" w:type="dxa"/>
            <w:tcBorders>
              <w:top w:val="nil"/>
              <w:left w:val="nil"/>
              <w:bottom w:val="single" w:sz="8" w:space="0" w:color="auto"/>
              <w:right w:val="single" w:sz="8" w:space="0" w:color="auto"/>
            </w:tcBorders>
            <w:shd w:val="clear" w:color="auto" w:fill="auto"/>
            <w:vAlign w:val="center"/>
            <w:hideMark/>
          </w:tcPr>
          <w:p w14:paraId="415A9AD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₡228 380 611</w:t>
            </w:r>
          </w:p>
        </w:tc>
        <w:tc>
          <w:tcPr>
            <w:tcW w:w="1417" w:type="dxa"/>
            <w:tcBorders>
              <w:top w:val="nil"/>
              <w:left w:val="nil"/>
              <w:bottom w:val="single" w:sz="8" w:space="0" w:color="auto"/>
              <w:right w:val="single" w:sz="8" w:space="0" w:color="auto"/>
            </w:tcBorders>
            <w:shd w:val="clear" w:color="auto" w:fill="auto"/>
            <w:vAlign w:val="center"/>
            <w:hideMark/>
          </w:tcPr>
          <w:p w14:paraId="4BF1F17B"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₡5 463 851</w:t>
            </w:r>
          </w:p>
        </w:tc>
        <w:tc>
          <w:tcPr>
            <w:tcW w:w="1134" w:type="dxa"/>
            <w:tcBorders>
              <w:top w:val="nil"/>
              <w:left w:val="nil"/>
              <w:bottom w:val="single" w:sz="8" w:space="0" w:color="auto"/>
              <w:right w:val="single" w:sz="8" w:space="0" w:color="auto"/>
            </w:tcBorders>
            <w:shd w:val="clear" w:color="auto" w:fill="auto"/>
            <w:noWrap/>
            <w:vAlign w:val="center"/>
            <w:hideMark/>
          </w:tcPr>
          <w:p w14:paraId="1BC9E64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2,5%</w:t>
            </w:r>
          </w:p>
        </w:tc>
        <w:tc>
          <w:tcPr>
            <w:tcW w:w="1134" w:type="dxa"/>
            <w:tcBorders>
              <w:top w:val="nil"/>
              <w:left w:val="nil"/>
              <w:bottom w:val="single" w:sz="8" w:space="0" w:color="auto"/>
              <w:right w:val="single" w:sz="8" w:space="0" w:color="auto"/>
            </w:tcBorders>
            <w:shd w:val="clear" w:color="auto" w:fill="auto"/>
            <w:vAlign w:val="center"/>
            <w:hideMark/>
          </w:tcPr>
          <w:p w14:paraId="2B952A6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-13,4%</w:t>
            </w:r>
          </w:p>
        </w:tc>
      </w:tr>
      <w:tr w:rsidR="0093441E" w:rsidRPr="002A7673" w14:paraId="1E08119A"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382744A3"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Circuito Judicial de Heredia</w:t>
            </w:r>
          </w:p>
        </w:tc>
        <w:tc>
          <w:tcPr>
            <w:tcW w:w="1560" w:type="dxa"/>
            <w:tcBorders>
              <w:top w:val="nil"/>
              <w:left w:val="nil"/>
              <w:bottom w:val="single" w:sz="8" w:space="0" w:color="auto"/>
              <w:right w:val="single" w:sz="8" w:space="0" w:color="auto"/>
            </w:tcBorders>
            <w:shd w:val="clear" w:color="auto" w:fill="auto"/>
            <w:vAlign w:val="center"/>
            <w:hideMark/>
          </w:tcPr>
          <w:p w14:paraId="5580FDC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₡1 089 758 843</w:t>
            </w:r>
          </w:p>
        </w:tc>
        <w:tc>
          <w:tcPr>
            <w:tcW w:w="1559" w:type="dxa"/>
            <w:tcBorders>
              <w:top w:val="nil"/>
              <w:left w:val="nil"/>
              <w:bottom w:val="single" w:sz="8" w:space="0" w:color="auto"/>
              <w:right w:val="single" w:sz="8" w:space="0" w:color="auto"/>
            </w:tcBorders>
            <w:shd w:val="clear" w:color="auto" w:fill="auto"/>
            <w:vAlign w:val="center"/>
            <w:hideMark/>
          </w:tcPr>
          <w:p w14:paraId="5093951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₡1 117 309 659</w:t>
            </w:r>
          </w:p>
        </w:tc>
        <w:tc>
          <w:tcPr>
            <w:tcW w:w="1417" w:type="dxa"/>
            <w:tcBorders>
              <w:top w:val="nil"/>
              <w:left w:val="nil"/>
              <w:bottom w:val="single" w:sz="8" w:space="0" w:color="auto"/>
              <w:right w:val="single" w:sz="8" w:space="0" w:color="auto"/>
            </w:tcBorders>
            <w:shd w:val="clear" w:color="auto" w:fill="auto"/>
            <w:vAlign w:val="center"/>
            <w:hideMark/>
          </w:tcPr>
          <w:p w14:paraId="48CBE4EE"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₡27 550 816</w:t>
            </w:r>
          </w:p>
        </w:tc>
        <w:tc>
          <w:tcPr>
            <w:tcW w:w="1134" w:type="dxa"/>
            <w:tcBorders>
              <w:top w:val="nil"/>
              <w:left w:val="nil"/>
              <w:bottom w:val="single" w:sz="8" w:space="0" w:color="auto"/>
              <w:right w:val="single" w:sz="8" w:space="0" w:color="auto"/>
            </w:tcBorders>
            <w:shd w:val="clear" w:color="auto" w:fill="auto"/>
            <w:noWrap/>
            <w:vAlign w:val="center"/>
            <w:hideMark/>
          </w:tcPr>
          <w:p w14:paraId="511A5A2C"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2,5%</w:t>
            </w:r>
          </w:p>
        </w:tc>
        <w:tc>
          <w:tcPr>
            <w:tcW w:w="1134" w:type="dxa"/>
            <w:tcBorders>
              <w:top w:val="nil"/>
              <w:left w:val="nil"/>
              <w:bottom w:val="single" w:sz="8" w:space="0" w:color="auto"/>
              <w:right w:val="single" w:sz="8" w:space="0" w:color="auto"/>
            </w:tcBorders>
            <w:shd w:val="clear" w:color="auto" w:fill="auto"/>
            <w:vAlign w:val="center"/>
            <w:hideMark/>
          </w:tcPr>
          <w:p w14:paraId="7B02306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3,0%</w:t>
            </w:r>
          </w:p>
        </w:tc>
      </w:tr>
      <w:tr w:rsidR="0093441E" w:rsidRPr="002A7673" w14:paraId="1064F2C0"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3697F253"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 la Ciudad Judicial, San Joaquín de Flores</w:t>
            </w:r>
          </w:p>
        </w:tc>
        <w:tc>
          <w:tcPr>
            <w:tcW w:w="1560" w:type="dxa"/>
            <w:tcBorders>
              <w:top w:val="nil"/>
              <w:left w:val="nil"/>
              <w:bottom w:val="single" w:sz="8" w:space="0" w:color="auto"/>
              <w:right w:val="single" w:sz="8" w:space="0" w:color="auto"/>
            </w:tcBorders>
            <w:shd w:val="clear" w:color="auto" w:fill="auto"/>
            <w:vAlign w:val="center"/>
            <w:hideMark/>
          </w:tcPr>
          <w:p w14:paraId="7E38288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₡987 777 200</w:t>
            </w:r>
          </w:p>
        </w:tc>
        <w:tc>
          <w:tcPr>
            <w:tcW w:w="1559" w:type="dxa"/>
            <w:tcBorders>
              <w:top w:val="nil"/>
              <w:left w:val="nil"/>
              <w:bottom w:val="single" w:sz="8" w:space="0" w:color="auto"/>
              <w:right w:val="single" w:sz="8" w:space="0" w:color="auto"/>
            </w:tcBorders>
            <w:shd w:val="clear" w:color="auto" w:fill="auto"/>
            <w:vAlign w:val="center"/>
            <w:hideMark/>
          </w:tcPr>
          <w:p w14:paraId="4B779CB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₡1 061 541 497</w:t>
            </w:r>
          </w:p>
        </w:tc>
        <w:tc>
          <w:tcPr>
            <w:tcW w:w="1417" w:type="dxa"/>
            <w:tcBorders>
              <w:top w:val="nil"/>
              <w:left w:val="nil"/>
              <w:bottom w:val="single" w:sz="8" w:space="0" w:color="auto"/>
              <w:right w:val="single" w:sz="8" w:space="0" w:color="auto"/>
            </w:tcBorders>
            <w:shd w:val="clear" w:color="auto" w:fill="auto"/>
            <w:vAlign w:val="center"/>
            <w:hideMark/>
          </w:tcPr>
          <w:p w14:paraId="46C49C1B"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₡73 764 297</w:t>
            </w:r>
          </w:p>
        </w:tc>
        <w:tc>
          <w:tcPr>
            <w:tcW w:w="1134" w:type="dxa"/>
            <w:tcBorders>
              <w:top w:val="nil"/>
              <w:left w:val="nil"/>
              <w:bottom w:val="single" w:sz="8" w:space="0" w:color="auto"/>
              <w:right w:val="single" w:sz="8" w:space="0" w:color="auto"/>
            </w:tcBorders>
            <w:shd w:val="clear" w:color="auto" w:fill="auto"/>
            <w:noWrap/>
            <w:vAlign w:val="center"/>
            <w:hideMark/>
          </w:tcPr>
          <w:p w14:paraId="7FA5A068"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7,5%</w:t>
            </w:r>
          </w:p>
        </w:tc>
        <w:tc>
          <w:tcPr>
            <w:tcW w:w="1134" w:type="dxa"/>
            <w:tcBorders>
              <w:top w:val="nil"/>
              <w:left w:val="nil"/>
              <w:bottom w:val="single" w:sz="8" w:space="0" w:color="auto"/>
              <w:right w:val="single" w:sz="8" w:space="0" w:color="auto"/>
            </w:tcBorders>
            <w:shd w:val="clear" w:color="auto" w:fill="auto"/>
            <w:vAlign w:val="center"/>
            <w:hideMark/>
          </w:tcPr>
          <w:p w14:paraId="1007A58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-15,0%</w:t>
            </w:r>
          </w:p>
        </w:tc>
      </w:tr>
      <w:tr w:rsidR="0093441E" w:rsidRPr="002A7673" w14:paraId="168D7334"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BC15BA9"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Regional de Sarapiquí</w:t>
            </w:r>
          </w:p>
        </w:tc>
        <w:tc>
          <w:tcPr>
            <w:tcW w:w="1560" w:type="dxa"/>
            <w:tcBorders>
              <w:top w:val="nil"/>
              <w:left w:val="nil"/>
              <w:bottom w:val="single" w:sz="8" w:space="0" w:color="auto"/>
              <w:right w:val="single" w:sz="8" w:space="0" w:color="auto"/>
            </w:tcBorders>
            <w:shd w:val="clear" w:color="auto" w:fill="auto"/>
            <w:vAlign w:val="center"/>
            <w:hideMark/>
          </w:tcPr>
          <w:p w14:paraId="13E626C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₡225 469 150</w:t>
            </w:r>
          </w:p>
        </w:tc>
        <w:tc>
          <w:tcPr>
            <w:tcW w:w="1559" w:type="dxa"/>
            <w:tcBorders>
              <w:top w:val="nil"/>
              <w:left w:val="nil"/>
              <w:bottom w:val="single" w:sz="8" w:space="0" w:color="auto"/>
              <w:right w:val="single" w:sz="8" w:space="0" w:color="auto"/>
            </w:tcBorders>
            <w:shd w:val="clear" w:color="auto" w:fill="auto"/>
            <w:vAlign w:val="center"/>
            <w:hideMark/>
          </w:tcPr>
          <w:p w14:paraId="7F6B8074"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₡226 365 830</w:t>
            </w:r>
          </w:p>
        </w:tc>
        <w:tc>
          <w:tcPr>
            <w:tcW w:w="1417" w:type="dxa"/>
            <w:tcBorders>
              <w:top w:val="nil"/>
              <w:left w:val="nil"/>
              <w:bottom w:val="single" w:sz="8" w:space="0" w:color="auto"/>
              <w:right w:val="single" w:sz="8" w:space="0" w:color="auto"/>
            </w:tcBorders>
            <w:shd w:val="clear" w:color="auto" w:fill="auto"/>
            <w:vAlign w:val="center"/>
            <w:hideMark/>
          </w:tcPr>
          <w:p w14:paraId="5A2BD741"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₡896 680</w:t>
            </w:r>
          </w:p>
        </w:tc>
        <w:tc>
          <w:tcPr>
            <w:tcW w:w="1134" w:type="dxa"/>
            <w:tcBorders>
              <w:top w:val="nil"/>
              <w:left w:val="nil"/>
              <w:bottom w:val="single" w:sz="8" w:space="0" w:color="auto"/>
              <w:right w:val="single" w:sz="8" w:space="0" w:color="auto"/>
            </w:tcBorders>
            <w:shd w:val="clear" w:color="auto" w:fill="auto"/>
            <w:noWrap/>
            <w:vAlign w:val="center"/>
            <w:hideMark/>
          </w:tcPr>
          <w:p w14:paraId="5EEDAED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0,4%</w:t>
            </w:r>
          </w:p>
        </w:tc>
        <w:tc>
          <w:tcPr>
            <w:tcW w:w="1134" w:type="dxa"/>
            <w:tcBorders>
              <w:top w:val="nil"/>
              <w:left w:val="nil"/>
              <w:bottom w:val="single" w:sz="8" w:space="0" w:color="auto"/>
              <w:right w:val="single" w:sz="8" w:space="0" w:color="auto"/>
            </w:tcBorders>
            <w:shd w:val="clear" w:color="auto" w:fill="auto"/>
            <w:vAlign w:val="center"/>
            <w:hideMark/>
          </w:tcPr>
          <w:p w14:paraId="5F59E40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-17,7%</w:t>
            </w:r>
          </w:p>
        </w:tc>
      </w:tr>
      <w:tr w:rsidR="0093441E" w:rsidRPr="002A7673" w14:paraId="3BC80ACB"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4B894E22"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 Circuito Judicial de Guanacaste</w:t>
            </w:r>
          </w:p>
        </w:tc>
        <w:tc>
          <w:tcPr>
            <w:tcW w:w="1560" w:type="dxa"/>
            <w:tcBorders>
              <w:top w:val="nil"/>
              <w:left w:val="nil"/>
              <w:bottom w:val="single" w:sz="8" w:space="0" w:color="auto"/>
              <w:right w:val="single" w:sz="8" w:space="0" w:color="auto"/>
            </w:tcBorders>
            <w:shd w:val="clear" w:color="auto" w:fill="auto"/>
            <w:vAlign w:val="center"/>
            <w:hideMark/>
          </w:tcPr>
          <w:p w14:paraId="6D8749B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₡839 071 522</w:t>
            </w:r>
          </w:p>
        </w:tc>
        <w:tc>
          <w:tcPr>
            <w:tcW w:w="1559" w:type="dxa"/>
            <w:tcBorders>
              <w:top w:val="nil"/>
              <w:left w:val="nil"/>
              <w:bottom w:val="single" w:sz="8" w:space="0" w:color="auto"/>
              <w:right w:val="single" w:sz="8" w:space="0" w:color="auto"/>
            </w:tcBorders>
            <w:shd w:val="clear" w:color="auto" w:fill="auto"/>
            <w:vAlign w:val="center"/>
            <w:hideMark/>
          </w:tcPr>
          <w:p w14:paraId="7A22CEE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₡829 332 299</w:t>
            </w:r>
          </w:p>
        </w:tc>
        <w:tc>
          <w:tcPr>
            <w:tcW w:w="1417" w:type="dxa"/>
            <w:tcBorders>
              <w:top w:val="nil"/>
              <w:left w:val="nil"/>
              <w:bottom w:val="single" w:sz="8" w:space="0" w:color="auto"/>
              <w:right w:val="single" w:sz="8" w:space="0" w:color="auto"/>
            </w:tcBorders>
            <w:shd w:val="clear" w:color="auto" w:fill="auto"/>
            <w:vAlign w:val="center"/>
            <w:hideMark/>
          </w:tcPr>
          <w:p w14:paraId="2467AE50"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-₡9 739 223</w:t>
            </w:r>
          </w:p>
        </w:tc>
        <w:tc>
          <w:tcPr>
            <w:tcW w:w="1134" w:type="dxa"/>
            <w:tcBorders>
              <w:top w:val="nil"/>
              <w:left w:val="nil"/>
              <w:bottom w:val="single" w:sz="8" w:space="0" w:color="auto"/>
              <w:right w:val="single" w:sz="8" w:space="0" w:color="auto"/>
            </w:tcBorders>
            <w:shd w:val="clear" w:color="auto" w:fill="auto"/>
            <w:noWrap/>
            <w:vAlign w:val="center"/>
            <w:hideMark/>
          </w:tcPr>
          <w:p w14:paraId="3896F06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-1,2%</w:t>
            </w:r>
          </w:p>
        </w:tc>
        <w:tc>
          <w:tcPr>
            <w:tcW w:w="1134" w:type="dxa"/>
            <w:tcBorders>
              <w:top w:val="nil"/>
              <w:left w:val="nil"/>
              <w:bottom w:val="single" w:sz="8" w:space="0" w:color="auto"/>
              <w:right w:val="single" w:sz="8" w:space="0" w:color="auto"/>
            </w:tcBorders>
            <w:shd w:val="clear" w:color="auto" w:fill="auto"/>
            <w:vAlign w:val="center"/>
            <w:hideMark/>
          </w:tcPr>
          <w:p w14:paraId="11927CB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16,7%</w:t>
            </w:r>
          </w:p>
        </w:tc>
      </w:tr>
      <w:tr w:rsidR="0093441E" w:rsidRPr="002A7673" w14:paraId="760AFC38"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0452E711"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II Circuito Judicial de Guanacaste</w:t>
            </w:r>
          </w:p>
        </w:tc>
        <w:tc>
          <w:tcPr>
            <w:tcW w:w="1560" w:type="dxa"/>
            <w:tcBorders>
              <w:top w:val="nil"/>
              <w:left w:val="nil"/>
              <w:bottom w:val="single" w:sz="8" w:space="0" w:color="auto"/>
              <w:right w:val="single" w:sz="8" w:space="0" w:color="auto"/>
            </w:tcBorders>
            <w:shd w:val="clear" w:color="auto" w:fill="auto"/>
            <w:vAlign w:val="center"/>
            <w:hideMark/>
          </w:tcPr>
          <w:p w14:paraId="7B771811"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₡400 955 974</w:t>
            </w:r>
          </w:p>
        </w:tc>
        <w:tc>
          <w:tcPr>
            <w:tcW w:w="1559" w:type="dxa"/>
            <w:tcBorders>
              <w:top w:val="nil"/>
              <w:left w:val="nil"/>
              <w:bottom w:val="single" w:sz="8" w:space="0" w:color="auto"/>
              <w:right w:val="single" w:sz="8" w:space="0" w:color="auto"/>
            </w:tcBorders>
            <w:shd w:val="clear" w:color="auto" w:fill="auto"/>
            <w:vAlign w:val="center"/>
            <w:hideMark/>
          </w:tcPr>
          <w:p w14:paraId="22E33A6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₡403 822 742</w:t>
            </w:r>
          </w:p>
        </w:tc>
        <w:tc>
          <w:tcPr>
            <w:tcW w:w="1417" w:type="dxa"/>
            <w:tcBorders>
              <w:top w:val="nil"/>
              <w:left w:val="nil"/>
              <w:bottom w:val="single" w:sz="8" w:space="0" w:color="auto"/>
              <w:right w:val="single" w:sz="8" w:space="0" w:color="auto"/>
            </w:tcBorders>
            <w:shd w:val="clear" w:color="auto" w:fill="auto"/>
            <w:vAlign w:val="center"/>
            <w:hideMark/>
          </w:tcPr>
          <w:p w14:paraId="0244C044"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₡2 866 768</w:t>
            </w:r>
          </w:p>
        </w:tc>
        <w:tc>
          <w:tcPr>
            <w:tcW w:w="1134" w:type="dxa"/>
            <w:tcBorders>
              <w:top w:val="nil"/>
              <w:left w:val="nil"/>
              <w:bottom w:val="single" w:sz="8" w:space="0" w:color="auto"/>
              <w:right w:val="single" w:sz="8" w:space="0" w:color="auto"/>
            </w:tcBorders>
            <w:shd w:val="clear" w:color="auto" w:fill="auto"/>
            <w:noWrap/>
            <w:vAlign w:val="center"/>
            <w:hideMark/>
          </w:tcPr>
          <w:p w14:paraId="2290965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0,7%</w:t>
            </w:r>
          </w:p>
        </w:tc>
        <w:tc>
          <w:tcPr>
            <w:tcW w:w="1134" w:type="dxa"/>
            <w:tcBorders>
              <w:top w:val="nil"/>
              <w:left w:val="nil"/>
              <w:bottom w:val="single" w:sz="8" w:space="0" w:color="auto"/>
              <w:right w:val="single" w:sz="8" w:space="0" w:color="auto"/>
            </w:tcBorders>
            <w:shd w:val="clear" w:color="auto" w:fill="auto"/>
            <w:vAlign w:val="center"/>
            <w:hideMark/>
          </w:tcPr>
          <w:p w14:paraId="1FE3825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3,3%</w:t>
            </w:r>
          </w:p>
        </w:tc>
      </w:tr>
      <w:tr w:rsidR="0093441E" w:rsidRPr="002A7673" w14:paraId="7E54FAAF"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E7AE349"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Regional de Santa Cruz</w:t>
            </w:r>
          </w:p>
        </w:tc>
        <w:tc>
          <w:tcPr>
            <w:tcW w:w="1560" w:type="dxa"/>
            <w:tcBorders>
              <w:top w:val="nil"/>
              <w:left w:val="nil"/>
              <w:bottom w:val="single" w:sz="8" w:space="0" w:color="auto"/>
              <w:right w:val="single" w:sz="8" w:space="0" w:color="auto"/>
            </w:tcBorders>
            <w:shd w:val="clear" w:color="auto" w:fill="auto"/>
            <w:vAlign w:val="center"/>
            <w:hideMark/>
          </w:tcPr>
          <w:p w14:paraId="6B6E339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₡410 274 258</w:t>
            </w:r>
          </w:p>
        </w:tc>
        <w:tc>
          <w:tcPr>
            <w:tcW w:w="1559" w:type="dxa"/>
            <w:tcBorders>
              <w:top w:val="nil"/>
              <w:left w:val="nil"/>
              <w:bottom w:val="single" w:sz="8" w:space="0" w:color="auto"/>
              <w:right w:val="single" w:sz="8" w:space="0" w:color="auto"/>
            </w:tcBorders>
            <w:shd w:val="clear" w:color="auto" w:fill="auto"/>
            <w:vAlign w:val="center"/>
            <w:hideMark/>
          </w:tcPr>
          <w:p w14:paraId="7DBD4FE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₡412 492 860</w:t>
            </w:r>
          </w:p>
        </w:tc>
        <w:tc>
          <w:tcPr>
            <w:tcW w:w="1417" w:type="dxa"/>
            <w:tcBorders>
              <w:top w:val="nil"/>
              <w:left w:val="nil"/>
              <w:bottom w:val="single" w:sz="8" w:space="0" w:color="auto"/>
              <w:right w:val="single" w:sz="8" w:space="0" w:color="auto"/>
            </w:tcBorders>
            <w:shd w:val="clear" w:color="auto" w:fill="auto"/>
            <w:vAlign w:val="center"/>
            <w:hideMark/>
          </w:tcPr>
          <w:p w14:paraId="62AEAE60"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₡2 218 602</w:t>
            </w:r>
          </w:p>
        </w:tc>
        <w:tc>
          <w:tcPr>
            <w:tcW w:w="1134" w:type="dxa"/>
            <w:tcBorders>
              <w:top w:val="nil"/>
              <w:left w:val="nil"/>
              <w:bottom w:val="single" w:sz="8" w:space="0" w:color="auto"/>
              <w:right w:val="single" w:sz="8" w:space="0" w:color="auto"/>
            </w:tcBorders>
            <w:shd w:val="clear" w:color="auto" w:fill="auto"/>
            <w:noWrap/>
            <w:vAlign w:val="center"/>
            <w:hideMark/>
          </w:tcPr>
          <w:p w14:paraId="62647CE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0,5%</w:t>
            </w:r>
          </w:p>
        </w:tc>
        <w:tc>
          <w:tcPr>
            <w:tcW w:w="1134" w:type="dxa"/>
            <w:tcBorders>
              <w:top w:val="nil"/>
              <w:left w:val="nil"/>
              <w:bottom w:val="single" w:sz="8" w:space="0" w:color="auto"/>
              <w:right w:val="single" w:sz="8" w:space="0" w:color="auto"/>
            </w:tcBorders>
            <w:shd w:val="clear" w:color="auto" w:fill="auto"/>
            <w:vAlign w:val="center"/>
            <w:hideMark/>
          </w:tcPr>
          <w:p w14:paraId="44189690"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-21,8%</w:t>
            </w:r>
          </w:p>
        </w:tc>
      </w:tr>
      <w:tr w:rsidR="0093441E" w:rsidRPr="002A7673" w14:paraId="2028A0C4"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1D220CC1"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Regional de Puntarenas</w:t>
            </w:r>
          </w:p>
        </w:tc>
        <w:tc>
          <w:tcPr>
            <w:tcW w:w="1560" w:type="dxa"/>
            <w:tcBorders>
              <w:top w:val="nil"/>
              <w:left w:val="nil"/>
              <w:bottom w:val="single" w:sz="8" w:space="0" w:color="auto"/>
              <w:right w:val="single" w:sz="8" w:space="0" w:color="auto"/>
            </w:tcBorders>
            <w:shd w:val="clear" w:color="auto" w:fill="auto"/>
            <w:vAlign w:val="center"/>
            <w:hideMark/>
          </w:tcPr>
          <w:p w14:paraId="3E50014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₡1 135 138 742</w:t>
            </w:r>
          </w:p>
        </w:tc>
        <w:tc>
          <w:tcPr>
            <w:tcW w:w="1559" w:type="dxa"/>
            <w:tcBorders>
              <w:top w:val="nil"/>
              <w:left w:val="nil"/>
              <w:bottom w:val="single" w:sz="8" w:space="0" w:color="auto"/>
              <w:right w:val="single" w:sz="8" w:space="0" w:color="auto"/>
            </w:tcBorders>
            <w:shd w:val="clear" w:color="auto" w:fill="auto"/>
            <w:vAlign w:val="center"/>
            <w:hideMark/>
          </w:tcPr>
          <w:p w14:paraId="1E4E17B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₡1 416 934 495</w:t>
            </w:r>
          </w:p>
        </w:tc>
        <w:tc>
          <w:tcPr>
            <w:tcW w:w="1417" w:type="dxa"/>
            <w:tcBorders>
              <w:top w:val="nil"/>
              <w:left w:val="nil"/>
              <w:bottom w:val="single" w:sz="8" w:space="0" w:color="auto"/>
              <w:right w:val="single" w:sz="8" w:space="0" w:color="auto"/>
            </w:tcBorders>
            <w:shd w:val="clear" w:color="auto" w:fill="auto"/>
            <w:vAlign w:val="center"/>
            <w:hideMark/>
          </w:tcPr>
          <w:p w14:paraId="34F00120"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₡281 795 753</w:t>
            </w:r>
          </w:p>
        </w:tc>
        <w:tc>
          <w:tcPr>
            <w:tcW w:w="1134" w:type="dxa"/>
            <w:tcBorders>
              <w:top w:val="nil"/>
              <w:left w:val="nil"/>
              <w:bottom w:val="single" w:sz="8" w:space="0" w:color="auto"/>
              <w:right w:val="single" w:sz="8" w:space="0" w:color="auto"/>
            </w:tcBorders>
            <w:shd w:val="clear" w:color="auto" w:fill="auto"/>
            <w:noWrap/>
            <w:vAlign w:val="center"/>
            <w:hideMark/>
          </w:tcPr>
          <w:p w14:paraId="7667ECF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24,8%</w:t>
            </w:r>
          </w:p>
        </w:tc>
        <w:tc>
          <w:tcPr>
            <w:tcW w:w="1134" w:type="dxa"/>
            <w:tcBorders>
              <w:top w:val="nil"/>
              <w:left w:val="nil"/>
              <w:bottom w:val="single" w:sz="8" w:space="0" w:color="auto"/>
              <w:right w:val="single" w:sz="8" w:space="0" w:color="auto"/>
            </w:tcBorders>
            <w:shd w:val="clear" w:color="auto" w:fill="auto"/>
            <w:vAlign w:val="center"/>
            <w:hideMark/>
          </w:tcPr>
          <w:p w14:paraId="0BFA6606"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19,2%</w:t>
            </w:r>
          </w:p>
        </w:tc>
      </w:tr>
      <w:tr w:rsidR="0093441E" w:rsidRPr="002A7673" w14:paraId="4B60A143"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1AC359A"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Regional de Quepos</w:t>
            </w:r>
          </w:p>
        </w:tc>
        <w:tc>
          <w:tcPr>
            <w:tcW w:w="1560" w:type="dxa"/>
            <w:tcBorders>
              <w:top w:val="nil"/>
              <w:left w:val="nil"/>
              <w:bottom w:val="single" w:sz="8" w:space="0" w:color="auto"/>
              <w:right w:val="single" w:sz="8" w:space="0" w:color="auto"/>
            </w:tcBorders>
            <w:shd w:val="clear" w:color="auto" w:fill="auto"/>
            <w:vAlign w:val="center"/>
            <w:hideMark/>
          </w:tcPr>
          <w:p w14:paraId="569129D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₡324 071 940</w:t>
            </w:r>
          </w:p>
        </w:tc>
        <w:tc>
          <w:tcPr>
            <w:tcW w:w="1559" w:type="dxa"/>
            <w:tcBorders>
              <w:top w:val="nil"/>
              <w:left w:val="nil"/>
              <w:bottom w:val="single" w:sz="8" w:space="0" w:color="auto"/>
              <w:right w:val="single" w:sz="8" w:space="0" w:color="auto"/>
            </w:tcBorders>
            <w:shd w:val="clear" w:color="auto" w:fill="auto"/>
            <w:vAlign w:val="center"/>
            <w:hideMark/>
          </w:tcPr>
          <w:p w14:paraId="19FEEF3B"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₡329 107 193</w:t>
            </w:r>
          </w:p>
        </w:tc>
        <w:tc>
          <w:tcPr>
            <w:tcW w:w="1417" w:type="dxa"/>
            <w:tcBorders>
              <w:top w:val="nil"/>
              <w:left w:val="nil"/>
              <w:bottom w:val="single" w:sz="8" w:space="0" w:color="auto"/>
              <w:right w:val="single" w:sz="8" w:space="0" w:color="auto"/>
            </w:tcBorders>
            <w:shd w:val="clear" w:color="auto" w:fill="auto"/>
            <w:vAlign w:val="center"/>
            <w:hideMark/>
          </w:tcPr>
          <w:p w14:paraId="642C60E8"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₡5 035 253</w:t>
            </w:r>
          </w:p>
        </w:tc>
        <w:tc>
          <w:tcPr>
            <w:tcW w:w="1134" w:type="dxa"/>
            <w:tcBorders>
              <w:top w:val="nil"/>
              <w:left w:val="nil"/>
              <w:bottom w:val="single" w:sz="8" w:space="0" w:color="auto"/>
              <w:right w:val="single" w:sz="8" w:space="0" w:color="auto"/>
            </w:tcBorders>
            <w:shd w:val="clear" w:color="auto" w:fill="auto"/>
            <w:noWrap/>
            <w:vAlign w:val="center"/>
            <w:hideMark/>
          </w:tcPr>
          <w:p w14:paraId="158E802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1,6%</w:t>
            </w:r>
          </w:p>
        </w:tc>
        <w:tc>
          <w:tcPr>
            <w:tcW w:w="1134" w:type="dxa"/>
            <w:tcBorders>
              <w:top w:val="nil"/>
              <w:left w:val="nil"/>
              <w:bottom w:val="single" w:sz="8" w:space="0" w:color="auto"/>
              <w:right w:val="single" w:sz="8" w:space="0" w:color="auto"/>
            </w:tcBorders>
            <w:shd w:val="clear" w:color="auto" w:fill="auto"/>
            <w:vAlign w:val="center"/>
            <w:hideMark/>
          </w:tcPr>
          <w:p w14:paraId="16D6D972"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3,6%</w:t>
            </w:r>
          </w:p>
        </w:tc>
      </w:tr>
      <w:tr w:rsidR="0093441E" w:rsidRPr="002A7673" w14:paraId="04A432DB"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55175FAE"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 Circuito Judicial de la Zona Atlántica</w:t>
            </w:r>
          </w:p>
        </w:tc>
        <w:tc>
          <w:tcPr>
            <w:tcW w:w="1560" w:type="dxa"/>
            <w:tcBorders>
              <w:top w:val="nil"/>
              <w:left w:val="nil"/>
              <w:bottom w:val="single" w:sz="8" w:space="0" w:color="auto"/>
              <w:right w:val="single" w:sz="8" w:space="0" w:color="auto"/>
            </w:tcBorders>
            <w:shd w:val="clear" w:color="auto" w:fill="auto"/>
            <w:vAlign w:val="center"/>
            <w:hideMark/>
          </w:tcPr>
          <w:p w14:paraId="7CBE75F7"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₡988 713 571</w:t>
            </w:r>
          </w:p>
        </w:tc>
        <w:tc>
          <w:tcPr>
            <w:tcW w:w="1559" w:type="dxa"/>
            <w:tcBorders>
              <w:top w:val="nil"/>
              <w:left w:val="nil"/>
              <w:bottom w:val="single" w:sz="8" w:space="0" w:color="auto"/>
              <w:right w:val="single" w:sz="8" w:space="0" w:color="auto"/>
            </w:tcBorders>
            <w:shd w:val="clear" w:color="auto" w:fill="auto"/>
            <w:vAlign w:val="center"/>
            <w:hideMark/>
          </w:tcPr>
          <w:p w14:paraId="31C08A2E"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₡950 177 777</w:t>
            </w:r>
          </w:p>
        </w:tc>
        <w:tc>
          <w:tcPr>
            <w:tcW w:w="1417" w:type="dxa"/>
            <w:tcBorders>
              <w:top w:val="nil"/>
              <w:left w:val="nil"/>
              <w:bottom w:val="single" w:sz="8" w:space="0" w:color="auto"/>
              <w:right w:val="single" w:sz="8" w:space="0" w:color="auto"/>
            </w:tcBorders>
            <w:shd w:val="clear" w:color="auto" w:fill="auto"/>
            <w:vAlign w:val="center"/>
            <w:hideMark/>
          </w:tcPr>
          <w:p w14:paraId="4281CD85"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-₡38 535 794</w:t>
            </w:r>
          </w:p>
        </w:tc>
        <w:tc>
          <w:tcPr>
            <w:tcW w:w="1134" w:type="dxa"/>
            <w:tcBorders>
              <w:top w:val="nil"/>
              <w:left w:val="nil"/>
              <w:bottom w:val="single" w:sz="8" w:space="0" w:color="auto"/>
              <w:right w:val="single" w:sz="8" w:space="0" w:color="auto"/>
            </w:tcBorders>
            <w:shd w:val="clear" w:color="auto" w:fill="auto"/>
            <w:noWrap/>
            <w:vAlign w:val="center"/>
            <w:hideMark/>
          </w:tcPr>
          <w:p w14:paraId="08B633BF"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-3,9%</w:t>
            </w:r>
          </w:p>
        </w:tc>
        <w:tc>
          <w:tcPr>
            <w:tcW w:w="1134" w:type="dxa"/>
            <w:tcBorders>
              <w:top w:val="nil"/>
              <w:left w:val="nil"/>
              <w:bottom w:val="single" w:sz="8" w:space="0" w:color="auto"/>
              <w:right w:val="single" w:sz="8" w:space="0" w:color="auto"/>
            </w:tcBorders>
            <w:shd w:val="clear" w:color="auto" w:fill="auto"/>
            <w:vAlign w:val="center"/>
            <w:hideMark/>
          </w:tcPr>
          <w:p w14:paraId="50EBE45A"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8,3%</w:t>
            </w:r>
          </w:p>
        </w:tc>
      </w:tr>
      <w:tr w:rsidR="0093441E" w:rsidRPr="002A7673" w14:paraId="25D3EC1C" w14:textId="77777777" w:rsidTr="0048334E">
        <w:trPr>
          <w:trHeight w:val="227"/>
          <w:jc w:val="center"/>
        </w:trPr>
        <w:tc>
          <w:tcPr>
            <w:tcW w:w="4526" w:type="dxa"/>
            <w:tcBorders>
              <w:top w:val="nil"/>
              <w:left w:val="single" w:sz="8" w:space="0" w:color="auto"/>
              <w:bottom w:val="single" w:sz="8" w:space="0" w:color="auto"/>
              <w:right w:val="single" w:sz="8" w:space="0" w:color="auto"/>
            </w:tcBorders>
            <w:shd w:val="clear" w:color="auto" w:fill="auto"/>
            <w:vAlign w:val="center"/>
            <w:hideMark/>
          </w:tcPr>
          <w:p w14:paraId="2A3FAD16"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Administración del II Circuito Judicial de la Zona Atlántica</w:t>
            </w:r>
          </w:p>
        </w:tc>
        <w:tc>
          <w:tcPr>
            <w:tcW w:w="1560" w:type="dxa"/>
            <w:tcBorders>
              <w:top w:val="nil"/>
              <w:left w:val="nil"/>
              <w:bottom w:val="single" w:sz="8" w:space="0" w:color="auto"/>
              <w:right w:val="single" w:sz="8" w:space="0" w:color="auto"/>
            </w:tcBorders>
            <w:shd w:val="clear" w:color="auto" w:fill="auto"/>
            <w:vAlign w:val="center"/>
            <w:hideMark/>
          </w:tcPr>
          <w:p w14:paraId="67E0014D"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₡650 318 478</w:t>
            </w:r>
          </w:p>
        </w:tc>
        <w:tc>
          <w:tcPr>
            <w:tcW w:w="1559" w:type="dxa"/>
            <w:tcBorders>
              <w:top w:val="nil"/>
              <w:left w:val="nil"/>
              <w:bottom w:val="single" w:sz="8" w:space="0" w:color="auto"/>
              <w:right w:val="single" w:sz="8" w:space="0" w:color="auto"/>
            </w:tcBorders>
            <w:shd w:val="clear" w:color="auto" w:fill="auto"/>
            <w:vAlign w:val="center"/>
            <w:hideMark/>
          </w:tcPr>
          <w:p w14:paraId="179EDEC9"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₡689 522 169</w:t>
            </w:r>
          </w:p>
        </w:tc>
        <w:tc>
          <w:tcPr>
            <w:tcW w:w="1417" w:type="dxa"/>
            <w:tcBorders>
              <w:top w:val="nil"/>
              <w:left w:val="nil"/>
              <w:bottom w:val="single" w:sz="8" w:space="0" w:color="auto"/>
              <w:right w:val="single" w:sz="8" w:space="0" w:color="auto"/>
            </w:tcBorders>
            <w:shd w:val="clear" w:color="auto" w:fill="auto"/>
            <w:vAlign w:val="center"/>
            <w:hideMark/>
          </w:tcPr>
          <w:p w14:paraId="44D58981" w14:textId="77777777" w:rsidR="0093441E" w:rsidRPr="002A7673" w:rsidRDefault="0093441E" w:rsidP="0048334E">
            <w:pPr>
              <w:spacing w:after="0" w:line="240" w:lineRule="auto"/>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₡39 203 691</w:t>
            </w:r>
          </w:p>
        </w:tc>
        <w:tc>
          <w:tcPr>
            <w:tcW w:w="1134" w:type="dxa"/>
            <w:tcBorders>
              <w:top w:val="nil"/>
              <w:left w:val="nil"/>
              <w:bottom w:val="single" w:sz="8" w:space="0" w:color="auto"/>
              <w:right w:val="single" w:sz="8" w:space="0" w:color="auto"/>
            </w:tcBorders>
            <w:shd w:val="clear" w:color="auto" w:fill="auto"/>
            <w:noWrap/>
            <w:vAlign w:val="center"/>
            <w:hideMark/>
          </w:tcPr>
          <w:p w14:paraId="4F08F473"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6,0%</w:t>
            </w:r>
          </w:p>
        </w:tc>
        <w:tc>
          <w:tcPr>
            <w:tcW w:w="1134" w:type="dxa"/>
            <w:tcBorders>
              <w:top w:val="nil"/>
              <w:left w:val="nil"/>
              <w:bottom w:val="single" w:sz="8" w:space="0" w:color="auto"/>
              <w:right w:val="single" w:sz="8" w:space="0" w:color="auto"/>
            </w:tcBorders>
            <w:shd w:val="clear" w:color="auto" w:fill="auto"/>
            <w:vAlign w:val="center"/>
            <w:hideMark/>
          </w:tcPr>
          <w:p w14:paraId="2596D0C5" w14:textId="77777777" w:rsidR="0093441E" w:rsidRPr="002A7673" w:rsidRDefault="0093441E" w:rsidP="0048334E">
            <w:pPr>
              <w:spacing w:after="0" w:line="240" w:lineRule="auto"/>
              <w:jc w:val="right"/>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17,4%</w:t>
            </w:r>
          </w:p>
        </w:tc>
      </w:tr>
    </w:tbl>
    <w:p w14:paraId="4E15C025" w14:textId="77777777" w:rsidR="0093441E" w:rsidRPr="002A7673" w:rsidRDefault="0093441E" w:rsidP="0093441E">
      <w:pPr>
        <w:spacing w:after="0" w:line="240" w:lineRule="auto"/>
        <w:ind w:left="-567"/>
        <w:rPr>
          <w:rFonts w:ascii="Times New Roman" w:hAnsi="Times New Roman" w:cs="Times New Roman"/>
          <w:sz w:val="20"/>
          <w:szCs w:val="20"/>
        </w:rPr>
      </w:pPr>
      <w:r w:rsidRPr="002A7673">
        <w:rPr>
          <w:rFonts w:ascii="Times New Roman" w:hAnsi="Times New Roman" w:cs="Times New Roman"/>
          <w:b/>
          <w:sz w:val="20"/>
          <w:szCs w:val="20"/>
        </w:rPr>
        <w:t xml:space="preserve">Fuente: </w:t>
      </w:r>
      <w:r w:rsidRPr="002A7673">
        <w:rPr>
          <w:rFonts w:ascii="Times New Roman" w:hAnsi="Times New Roman" w:cs="Times New Roman"/>
          <w:sz w:val="20"/>
          <w:szCs w:val="20"/>
        </w:rPr>
        <w:t>Elaboración propia con información del Sistema SIGA-PJ.</w:t>
      </w:r>
    </w:p>
    <w:p w14:paraId="33791A58" w14:textId="77777777" w:rsidR="0093441E" w:rsidRPr="002A7673" w:rsidRDefault="0093441E" w:rsidP="0093441E">
      <w:pPr>
        <w:spacing w:after="0" w:line="240" w:lineRule="auto"/>
        <w:ind w:left="-567"/>
        <w:rPr>
          <w:rFonts w:ascii="Times New Roman" w:hAnsi="Times New Roman" w:cs="Times New Roman"/>
          <w:sz w:val="20"/>
          <w:szCs w:val="20"/>
        </w:rPr>
      </w:pPr>
      <w:r w:rsidRPr="002A7673">
        <w:rPr>
          <w:rFonts w:ascii="Times New Roman" w:hAnsi="Times New Roman" w:cs="Times New Roman"/>
          <w:b/>
          <w:sz w:val="20"/>
          <w:szCs w:val="20"/>
        </w:rPr>
        <w:t xml:space="preserve">Nota: </w:t>
      </w:r>
      <w:r w:rsidRPr="002A7673">
        <w:rPr>
          <w:rFonts w:ascii="Times New Roman" w:hAnsi="Times New Roman" w:cs="Times New Roman"/>
          <w:sz w:val="20"/>
          <w:szCs w:val="20"/>
        </w:rPr>
        <w:t xml:space="preserve">Se incluyen los recursos de las Comisiones como parte de los presupuestos de los programas 926 y 927; sin embargo, el análisis de dichos presupuestos se conoció de manera separada. </w:t>
      </w:r>
    </w:p>
    <w:p w14:paraId="47F45FB6" w14:textId="77777777" w:rsidR="0093441E" w:rsidRPr="002A7673" w:rsidRDefault="0093441E" w:rsidP="0093441E">
      <w:pPr>
        <w:spacing w:after="0" w:line="240" w:lineRule="auto"/>
        <w:ind w:left="-567"/>
        <w:rPr>
          <w:rFonts w:ascii="Times New Roman" w:hAnsi="Times New Roman" w:cs="Times New Roman"/>
        </w:rPr>
      </w:pPr>
    </w:p>
    <w:p w14:paraId="0508965F" w14:textId="77777777" w:rsidR="0093441E" w:rsidRPr="002A7673" w:rsidRDefault="0093441E" w:rsidP="0093441E">
      <w:pPr>
        <w:rPr>
          <w:rFonts w:ascii="Times New Roman" w:hAnsi="Times New Roman" w:cs="Times New Roman"/>
          <w:b/>
          <w:bCs/>
          <w:kern w:val="32"/>
        </w:rPr>
      </w:pPr>
      <w:r w:rsidRPr="002A7673">
        <w:rPr>
          <w:rFonts w:ascii="Times New Roman" w:hAnsi="Times New Roman" w:cs="Times New Roman"/>
          <w:b/>
          <w:bCs/>
          <w:kern w:val="32"/>
        </w:rPr>
        <w:br w:type="page"/>
      </w:r>
    </w:p>
    <w:p w14:paraId="357D7867" w14:textId="77777777" w:rsidR="0093441E" w:rsidRPr="002A7673" w:rsidRDefault="0093441E" w:rsidP="0093441E">
      <w:pPr>
        <w:spacing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lastRenderedPageBreak/>
        <w:t xml:space="preserve">2. Aspectos Relevantes </w:t>
      </w:r>
    </w:p>
    <w:p w14:paraId="2980E29B" w14:textId="77777777" w:rsidR="0093441E" w:rsidRPr="002A7673" w:rsidRDefault="0093441E" w:rsidP="0093441E">
      <w:pPr>
        <w:spacing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2.1 Centros de Responsabilidad que Presentan Crecimiento Respecto al 2021 </w:t>
      </w:r>
    </w:p>
    <w:p w14:paraId="50823052"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t>En la siguiente tabla se presentan los centros de responsabilidad que muestran un crecimiento en el anteproyecto de presupuesto 2022, considerando los recursos aprobados a través de las Áreas de Informática, Construcciones, Vehículos y Seguridad.</w:t>
      </w:r>
    </w:p>
    <w:tbl>
      <w:tblPr>
        <w:tblW w:w="8000" w:type="dxa"/>
        <w:jc w:val="center"/>
        <w:tblCellMar>
          <w:left w:w="70" w:type="dxa"/>
          <w:right w:w="70" w:type="dxa"/>
        </w:tblCellMar>
        <w:tblLook w:val="04A0" w:firstRow="1" w:lastRow="0" w:firstColumn="1" w:lastColumn="0" w:noHBand="0" w:noVBand="1"/>
      </w:tblPr>
      <w:tblGrid>
        <w:gridCol w:w="6500"/>
        <w:gridCol w:w="1500"/>
      </w:tblGrid>
      <w:tr w:rsidR="0093441E" w:rsidRPr="002A7673" w14:paraId="4DBCE839" w14:textId="77777777" w:rsidTr="0048334E">
        <w:trPr>
          <w:trHeight w:val="630"/>
          <w:jc w:val="center"/>
        </w:trPr>
        <w:tc>
          <w:tcPr>
            <w:tcW w:w="6500"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2D8495BA" w14:textId="77777777" w:rsidR="0093441E" w:rsidRPr="002A7673" w:rsidRDefault="0093441E" w:rsidP="0048334E">
            <w:pPr>
              <w:spacing w:after="0" w:line="240" w:lineRule="auto"/>
              <w:jc w:val="center"/>
              <w:rPr>
                <w:rFonts w:ascii="Times New Roman" w:hAnsi="Times New Roman" w:cs="Times New Roman"/>
                <w:b/>
                <w:lang w:eastAsia="es-CR"/>
              </w:rPr>
            </w:pPr>
            <w:r w:rsidRPr="002A7673">
              <w:rPr>
                <w:rFonts w:ascii="Times New Roman" w:hAnsi="Times New Roman" w:cs="Times New Roman"/>
                <w:b/>
                <w:lang w:eastAsia="es-CR"/>
              </w:rPr>
              <w:t>Centros de Responsabilidad que Presentan Crecimiento</w:t>
            </w:r>
          </w:p>
        </w:tc>
        <w:tc>
          <w:tcPr>
            <w:tcW w:w="1500" w:type="dxa"/>
            <w:tcBorders>
              <w:top w:val="single" w:sz="8" w:space="0" w:color="auto"/>
              <w:left w:val="nil"/>
              <w:bottom w:val="single" w:sz="8" w:space="0" w:color="auto"/>
              <w:right w:val="single" w:sz="8" w:space="0" w:color="auto"/>
            </w:tcBorders>
            <w:shd w:val="clear" w:color="000000" w:fill="B4C6E7"/>
            <w:vAlign w:val="center"/>
            <w:hideMark/>
          </w:tcPr>
          <w:p w14:paraId="5270D58A" w14:textId="77777777" w:rsidR="0093441E" w:rsidRPr="002A7673" w:rsidRDefault="0093441E" w:rsidP="0048334E">
            <w:pPr>
              <w:spacing w:after="0" w:line="240" w:lineRule="auto"/>
              <w:jc w:val="center"/>
              <w:rPr>
                <w:rFonts w:ascii="Times New Roman" w:hAnsi="Times New Roman" w:cs="Times New Roman"/>
                <w:b/>
                <w:lang w:eastAsia="es-CR"/>
              </w:rPr>
            </w:pPr>
            <w:r w:rsidRPr="002A7673">
              <w:rPr>
                <w:rFonts w:ascii="Times New Roman" w:hAnsi="Times New Roman" w:cs="Times New Roman"/>
                <w:b/>
                <w:lang w:eastAsia="es-CR"/>
              </w:rPr>
              <w:t>Crecimiento 2021-2022</w:t>
            </w:r>
          </w:p>
        </w:tc>
      </w:tr>
      <w:tr w:rsidR="0093441E" w:rsidRPr="002A7673" w14:paraId="01202E71"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6325AB6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III Circuito Judicial de Alajuela</w:t>
            </w:r>
          </w:p>
        </w:tc>
        <w:tc>
          <w:tcPr>
            <w:tcW w:w="1500" w:type="dxa"/>
            <w:tcBorders>
              <w:top w:val="nil"/>
              <w:left w:val="nil"/>
              <w:bottom w:val="single" w:sz="8" w:space="0" w:color="auto"/>
              <w:right w:val="single" w:sz="8" w:space="0" w:color="auto"/>
            </w:tcBorders>
            <w:shd w:val="clear" w:color="auto" w:fill="auto"/>
            <w:vAlign w:val="center"/>
            <w:hideMark/>
          </w:tcPr>
          <w:p w14:paraId="372E2A7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199,1%</w:t>
            </w:r>
          </w:p>
        </w:tc>
      </w:tr>
      <w:tr w:rsidR="0093441E" w:rsidRPr="002A7673" w14:paraId="671DA27B"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4AA2474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Sala Primera</w:t>
            </w:r>
          </w:p>
        </w:tc>
        <w:tc>
          <w:tcPr>
            <w:tcW w:w="1500" w:type="dxa"/>
            <w:tcBorders>
              <w:top w:val="nil"/>
              <w:left w:val="nil"/>
              <w:bottom w:val="single" w:sz="8" w:space="0" w:color="auto"/>
              <w:right w:val="single" w:sz="8" w:space="0" w:color="auto"/>
            </w:tcBorders>
            <w:shd w:val="clear" w:color="auto" w:fill="auto"/>
            <w:vAlign w:val="center"/>
            <w:hideMark/>
          </w:tcPr>
          <w:p w14:paraId="4E95E27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120,2%</w:t>
            </w:r>
          </w:p>
        </w:tc>
      </w:tr>
      <w:tr w:rsidR="0093441E" w:rsidRPr="002A7673" w14:paraId="0E28E0AE"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76EF2BD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Sala Segunda</w:t>
            </w:r>
          </w:p>
        </w:tc>
        <w:tc>
          <w:tcPr>
            <w:tcW w:w="1500" w:type="dxa"/>
            <w:tcBorders>
              <w:top w:val="nil"/>
              <w:left w:val="nil"/>
              <w:bottom w:val="single" w:sz="8" w:space="0" w:color="auto"/>
              <w:right w:val="single" w:sz="8" w:space="0" w:color="auto"/>
            </w:tcBorders>
            <w:shd w:val="clear" w:color="auto" w:fill="auto"/>
            <w:vAlign w:val="center"/>
            <w:hideMark/>
          </w:tcPr>
          <w:p w14:paraId="5070B05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120,2%</w:t>
            </w:r>
          </w:p>
        </w:tc>
      </w:tr>
      <w:tr w:rsidR="0093441E" w:rsidRPr="002A7673" w14:paraId="2B4E5BDD"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5140311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Judicial de Intervención de las Comunicaciones</w:t>
            </w:r>
          </w:p>
        </w:tc>
        <w:tc>
          <w:tcPr>
            <w:tcW w:w="1500" w:type="dxa"/>
            <w:tcBorders>
              <w:top w:val="nil"/>
              <w:left w:val="nil"/>
              <w:bottom w:val="single" w:sz="8" w:space="0" w:color="auto"/>
              <w:right w:val="single" w:sz="8" w:space="0" w:color="auto"/>
            </w:tcBorders>
            <w:shd w:val="clear" w:color="auto" w:fill="auto"/>
            <w:vAlign w:val="center"/>
            <w:hideMark/>
          </w:tcPr>
          <w:p w14:paraId="26A88DA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84,8%</w:t>
            </w:r>
          </w:p>
        </w:tc>
      </w:tr>
      <w:tr w:rsidR="0093441E" w:rsidRPr="002A7673" w14:paraId="7D4F5A15"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7827093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 Circuito Judicial de Alajuela</w:t>
            </w:r>
          </w:p>
        </w:tc>
        <w:tc>
          <w:tcPr>
            <w:tcW w:w="1500" w:type="dxa"/>
            <w:tcBorders>
              <w:top w:val="nil"/>
              <w:left w:val="nil"/>
              <w:bottom w:val="single" w:sz="8" w:space="0" w:color="auto"/>
              <w:right w:val="single" w:sz="8" w:space="0" w:color="auto"/>
            </w:tcBorders>
            <w:shd w:val="clear" w:color="auto" w:fill="auto"/>
            <w:vAlign w:val="center"/>
            <w:hideMark/>
          </w:tcPr>
          <w:p w14:paraId="0C99A4A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62,4%</w:t>
            </w:r>
          </w:p>
        </w:tc>
      </w:tr>
      <w:tr w:rsidR="0093441E" w:rsidRPr="002A7673" w14:paraId="2C46BF29"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683FE4A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Osa</w:t>
            </w:r>
          </w:p>
        </w:tc>
        <w:tc>
          <w:tcPr>
            <w:tcW w:w="1500" w:type="dxa"/>
            <w:tcBorders>
              <w:top w:val="nil"/>
              <w:left w:val="nil"/>
              <w:bottom w:val="single" w:sz="8" w:space="0" w:color="auto"/>
              <w:right w:val="single" w:sz="8" w:space="0" w:color="auto"/>
            </w:tcBorders>
            <w:shd w:val="clear" w:color="auto" w:fill="auto"/>
            <w:vAlign w:val="center"/>
            <w:hideMark/>
          </w:tcPr>
          <w:p w14:paraId="7633621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41,1%</w:t>
            </w:r>
          </w:p>
        </w:tc>
      </w:tr>
      <w:tr w:rsidR="0093441E" w:rsidRPr="002A7673" w14:paraId="50DA64B7"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3120415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Presidencia de la Corte</w:t>
            </w:r>
          </w:p>
        </w:tc>
        <w:tc>
          <w:tcPr>
            <w:tcW w:w="1500" w:type="dxa"/>
            <w:tcBorders>
              <w:top w:val="nil"/>
              <w:left w:val="nil"/>
              <w:bottom w:val="single" w:sz="8" w:space="0" w:color="auto"/>
              <w:right w:val="single" w:sz="8" w:space="0" w:color="auto"/>
            </w:tcBorders>
            <w:shd w:val="clear" w:color="auto" w:fill="auto"/>
            <w:vAlign w:val="center"/>
            <w:hideMark/>
          </w:tcPr>
          <w:p w14:paraId="3D7872D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25,5%</w:t>
            </w:r>
          </w:p>
        </w:tc>
      </w:tr>
      <w:tr w:rsidR="0093441E" w:rsidRPr="002A7673" w14:paraId="1D539879"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6556ACA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Electrónico de Información Jurisprudencial</w:t>
            </w:r>
          </w:p>
        </w:tc>
        <w:tc>
          <w:tcPr>
            <w:tcW w:w="1500" w:type="dxa"/>
            <w:tcBorders>
              <w:top w:val="nil"/>
              <w:left w:val="nil"/>
              <w:bottom w:val="single" w:sz="8" w:space="0" w:color="auto"/>
              <w:right w:val="single" w:sz="8" w:space="0" w:color="auto"/>
            </w:tcBorders>
            <w:shd w:val="clear" w:color="auto" w:fill="auto"/>
            <w:vAlign w:val="center"/>
            <w:hideMark/>
          </w:tcPr>
          <w:p w14:paraId="492B4DC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21,8%</w:t>
            </w:r>
          </w:p>
        </w:tc>
      </w:tr>
      <w:tr w:rsidR="0093441E" w:rsidRPr="002A7673" w14:paraId="477712FF"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2B0D10E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Puntarenas</w:t>
            </w:r>
          </w:p>
        </w:tc>
        <w:tc>
          <w:tcPr>
            <w:tcW w:w="1500" w:type="dxa"/>
            <w:tcBorders>
              <w:top w:val="nil"/>
              <w:left w:val="nil"/>
              <w:bottom w:val="single" w:sz="8" w:space="0" w:color="auto"/>
              <w:right w:val="single" w:sz="8" w:space="0" w:color="auto"/>
            </w:tcBorders>
            <w:shd w:val="clear" w:color="auto" w:fill="auto"/>
            <w:vAlign w:val="center"/>
            <w:hideMark/>
          </w:tcPr>
          <w:p w14:paraId="2F4D670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19,2%</w:t>
            </w:r>
          </w:p>
        </w:tc>
      </w:tr>
      <w:tr w:rsidR="0093441E" w:rsidRPr="002A7673" w14:paraId="2120EE77"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3E20A01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 Circuito Judicial de la Zona Atlántica</w:t>
            </w:r>
          </w:p>
        </w:tc>
        <w:tc>
          <w:tcPr>
            <w:tcW w:w="1500" w:type="dxa"/>
            <w:tcBorders>
              <w:top w:val="nil"/>
              <w:left w:val="nil"/>
              <w:bottom w:val="single" w:sz="8" w:space="0" w:color="auto"/>
              <w:right w:val="single" w:sz="8" w:space="0" w:color="auto"/>
            </w:tcBorders>
            <w:shd w:val="clear" w:color="auto" w:fill="auto"/>
            <w:vAlign w:val="center"/>
            <w:hideMark/>
          </w:tcPr>
          <w:p w14:paraId="04AAA24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17,4%</w:t>
            </w:r>
          </w:p>
        </w:tc>
      </w:tr>
      <w:tr w:rsidR="0093441E" w:rsidRPr="002A7673" w14:paraId="01DE29F0"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07690F3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 Circuito Judicial de Guanacaste</w:t>
            </w:r>
          </w:p>
        </w:tc>
        <w:tc>
          <w:tcPr>
            <w:tcW w:w="1500" w:type="dxa"/>
            <w:tcBorders>
              <w:top w:val="nil"/>
              <w:left w:val="nil"/>
              <w:bottom w:val="single" w:sz="8" w:space="0" w:color="auto"/>
              <w:right w:val="single" w:sz="8" w:space="0" w:color="auto"/>
            </w:tcBorders>
            <w:shd w:val="clear" w:color="auto" w:fill="auto"/>
            <w:vAlign w:val="center"/>
            <w:hideMark/>
          </w:tcPr>
          <w:p w14:paraId="64789AF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16,7%</w:t>
            </w:r>
          </w:p>
        </w:tc>
      </w:tr>
      <w:tr w:rsidR="0093441E" w:rsidRPr="002A7673" w14:paraId="208444FE"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42FB89B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Golfito</w:t>
            </w:r>
          </w:p>
        </w:tc>
        <w:tc>
          <w:tcPr>
            <w:tcW w:w="1500" w:type="dxa"/>
            <w:tcBorders>
              <w:top w:val="nil"/>
              <w:left w:val="nil"/>
              <w:bottom w:val="single" w:sz="8" w:space="0" w:color="auto"/>
              <w:right w:val="single" w:sz="8" w:space="0" w:color="auto"/>
            </w:tcBorders>
            <w:shd w:val="clear" w:color="auto" w:fill="auto"/>
            <w:vAlign w:val="center"/>
            <w:hideMark/>
          </w:tcPr>
          <w:p w14:paraId="46E028A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15,9%</w:t>
            </w:r>
          </w:p>
        </w:tc>
      </w:tr>
      <w:tr w:rsidR="0093441E" w:rsidRPr="002A7673" w14:paraId="0A425608"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0D57923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Escuela Judicial</w:t>
            </w:r>
          </w:p>
        </w:tc>
        <w:tc>
          <w:tcPr>
            <w:tcW w:w="1500" w:type="dxa"/>
            <w:tcBorders>
              <w:top w:val="nil"/>
              <w:left w:val="nil"/>
              <w:bottom w:val="single" w:sz="8" w:space="0" w:color="auto"/>
              <w:right w:val="single" w:sz="8" w:space="0" w:color="auto"/>
            </w:tcBorders>
            <w:shd w:val="clear" w:color="auto" w:fill="auto"/>
            <w:vAlign w:val="center"/>
            <w:hideMark/>
          </w:tcPr>
          <w:p w14:paraId="739084C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15,2%</w:t>
            </w:r>
          </w:p>
        </w:tc>
      </w:tr>
      <w:tr w:rsidR="0093441E" w:rsidRPr="002A7673" w14:paraId="4955E782"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2DEB2A1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de Tecnología de Información</w:t>
            </w:r>
          </w:p>
        </w:tc>
        <w:tc>
          <w:tcPr>
            <w:tcW w:w="1500" w:type="dxa"/>
            <w:tcBorders>
              <w:top w:val="nil"/>
              <w:left w:val="nil"/>
              <w:bottom w:val="single" w:sz="8" w:space="0" w:color="auto"/>
              <w:right w:val="single" w:sz="8" w:space="0" w:color="auto"/>
            </w:tcBorders>
            <w:shd w:val="clear" w:color="auto" w:fill="auto"/>
            <w:vAlign w:val="center"/>
            <w:hideMark/>
          </w:tcPr>
          <w:p w14:paraId="31BA0B7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13,8%</w:t>
            </w:r>
          </w:p>
        </w:tc>
      </w:tr>
      <w:tr w:rsidR="0093441E" w:rsidRPr="002A7673" w14:paraId="29BC78B3"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7F9F50E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Circuito Judicial de Cartago</w:t>
            </w:r>
          </w:p>
        </w:tc>
        <w:tc>
          <w:tcPr>
            <w:tcW w:w="1500" w:type="dxa"/>
            <w:tcBorders>
              <w:top w:val="nil"/>
              <w:left w:val="nil"/>
              <w:bottom w:val="single" w:sz="8" w:space="0" w:color="auto"/>
              <w:right w:val="single" w:sz="8" w:space="0" w:color="auto"/>
            </w:tcBorders>
            <w:shd w:val="clear" w:color="auto" w:fill="auto"/>
            <w:vAlign w:val="center"/>
            <w:hideMark/>
          </w:tcPr>
          <w:p w14:paraId="1DF060C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12,8%</w:t>
            </w:r>
          </w:p>
        </w:tc>
      </w:tr>
      <w:tr w:rsidR="0093441E" w:rsidRPr="002A7673" w14:paraId="7891DEE4"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3E6F216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Departamento de Trabajo Social y Psicología</w:t>
            </w:r>
          </w:p>
        </w:tc>
        <w:tc>
          <w:tcPr>
            <w:tcW w:w="1500" w:type="dxa"/>
            <w:tcBorders>
              <w:top w:val="nil"/>
              <w:left w:val="nil"/>
              <w:bottom w:val="single" w:sz="8" w:space="0" w:color="auto"/>
              <w:right w:val="single" w:sz="8" w:space="0" w:color="auto"/>
            </w:tcBorders>
            <w:shd w:val="clear" w:color="auto" w:fill="auto"/>
            <w:vAlign w:val="center"/>
            <w:hideMark/>
          </w:tcPr>
          <w:p w14:paraId="4862277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11,5%</w:t>
            </w:r>
          </w:p>
        </w:tc>
      </w:tr>
      <w:tr w:rsidR="0093441E" w:rsidRPr="002A7673" w14:paraId="48E6FFA7"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0F20D40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 Circuito Judicial de la Zona Sur</w:t>
            </w:r>
          </w:p>
        </w:tc>
        <w:tc>
          <w:tcPr>
            <w:tcW w:w="1500" w:type="dxa"/>
            <w:tcBorders>
              <w:top w:val="nil"/>
              <w:left w:val="nil"/>
              <w:bottom w:val="single" w:sz="8" w:space="0" w:color="auto"/>
              <w:right w:val="single" w:sz="8" w:space="0" w:color="auto"/>
            </w:tcBorders>
            <w:shd w:val="clear" w:color="auto" w:fill="auto"/>
            <w:vAlign w:val="center"/>
            <w:hideMark/>
          </w:tcPr>
          <w:p w14:paraId="7972EC7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10,3%</w:t>
            </w:r>
          </w:p>
        </w:tc>
      </w:tr>
      <w:tr w:rsidR="0093441E" w:rsidRPr="002A7673" w14:paraId="46D778D2"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60EA82E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Secretaría de Género y Acceso a la Justicia</w:t>
            </w:r>
          </w:p>
        </w:tc>
        <w:tc>
          <w:tcPr>
            <w:tcW w:w="1500" w:type="dxa"/>
            <w:tcBorders>
              <w:top w:val="nil"/>
              <w:left w:val="nil"/>
              <w:bottom w:val="single" w:sz="8" w:space="0" w:color="auto"/>
              <w:right w:val="single" w:sz="8" w:space="0" w:color="auto"/>
            </w:tcBorders>
            <w:shd w:val="clear" w:color="auto" w:fill="auto"/>
            <w:vAlign w:val="center"/>
            <w:hideMark/>
          </w:tcPr>
          <w:p w14:paraId="1FACE4E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9,6%</w:t>
            </w:r>
          </w:p>
        </w:tc>
      </w:tr>
      <w:tr w:rsidR="0093441E" w:rsidRPr="002A7673" w14:paraId="7035151A"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5342DB8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Sala Constitucional</w:t>
            </w:r>
          </w:p>
        </w:tc>
        <w:tc>
          <w:tcPr>
            <w:tcW w:w="1500" w:type="dxa"/>
            <w:tcBorders>
              <w:top w:val="nil"/>
              <w:left w:val="nil"/>
              <w:bottom w:val="single" w:sz="8" w:space="0" w:color="auto"/>
              <w:right w:val="single" w:sz="8" w:space="0" w:color="auto"/>
            </w:tcBorders>
            <w:shd w:val="clear" w:color="auto" w:fill="auto"/>
            <w:vAlign w:val="center"/>
            <w:hideMark/>
          </w:tcPr>
          <w:p w14:paraId="46EC3EE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8,5%</w:t>
            </w:r>
          </w:p>
        </w:tc>
      </w:tr>
      <w:tr w:rsidR="0093441E" w:rsidRPr="002A7673" w14:paraId="73CADAAB"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3F777EB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Tercer Circuito Judicial San José</w:t>
            </w:r>
          </w:p>
        </w:tc>
        <w:tc>
          <w:tcPr>
            <w:tcW w:w="1500" w:type="dxa"/>
            <w:tcBorders>
              <w:top w:val="nil"/>
              <w:left w:val="nil"/>
              <w:bottom w:val="single" w:sz="8" w:space="0" w:color="auto"/>
              <w:right w:val="single" w:sz="8" w:space="0" w:color="auto"/>
            </w:tcBorders>
            <w:shd w:val="clear" w:color="auto" w:fill="auto"/>
            <w:vAlign w:val="center"/>
            <w:hideMark/>
          </w:tcPr>
          <w:p w14:paraId="6644ADC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8,4%</w:t>
            </w:r>
          </w:p>
        </w:tc>
      </w:tr>
      <w:tr w:rsidR="0093441E" w:rsidRPr="002A7673" w14:paraId="1D0587D8"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4833C13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 Circuito Judicial de la Zona Atlántica</w:t>
            </w:r>
          </w:p>
        </w:tc>
        <w:tc>
          <w:tcPr>
            <w:tcW w:w="1500" w:type="dxa"/>
            <w:tcBorders>
              <w:top w:val="nil"/>
              <w:left w:val="nil"/>
              <w:bottom w:val="single" w:sz="8" w:space="0" w:color="auto"/>
              <w:right w:val="single" w:sz="8" w:space="0" w:color="auto"/>
            </w:tcBorders>
            <w:shd w:val="clear" w:color="auto" w:fill="auto"/>
            <w:vAlign w:val="center"/>
            <w:hideMark/>
          </w:tcPr>
          <w:p w14:paraId="0489296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8,3%</w:t>
            </w:r>
          </w:p>
        </w:tc>
      </w:tr>
      <w:tr w:rsidR="0093441E" w:rsidRPr="002A7673" w14:paraId="56C1E08B"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78392AE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 Circuito Judicial de Alajuela</w:t>
            </w:r>
          </w:p>
        </w:tc>
        <w:tc>
          <w:tcPr>
            <w:tcW w:w="1500" w:type="dxa"/>
            <w:tcBorders>
              <w:top w:val="nil"/>
              <w:left w:val="nil"/>
              <w:bottom w:val="single" w:sz="8" w:space="0" w:color="auto"/>
              <w:right w:val="single" w:sz="8" w:space="0" w:color="auto"/>
            </w:tcBorders>
            <w:shd w:val="clear" w:color="auto" w:fill="auto"/>
            <w:vAlign w:val="center"/>
            <w:hideMark/>
          </w:tcPr>
          <w:p w14:paraId="442EE98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7,3%</w:t>
            </w:r>
          </w:p>
        </w:tc>
      </w:tr>
      <w:tr w:rsidR="0093441E" w:rsidRPr="002A7673" w14:paraId="544615A4"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66D0220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Auditoría</w:t>
            </w:r>
          </w:p>
        </w:tc>
        <w:tc>
          <w:tcPr>
            <w:tcW w:w="1500" w:type="dxa"/>
            <w:tcBorders>
              <w:top w:val="nil"/>
              <w:left w:val="nil"/>
              <w:bottom w:val="single" w:sz="8" w:space="0" w:color="auto"/>
              <w:right w:val="single" w:sz="8" w:space="0" w:color="auto"/>
            </w:tcBorders>
            <w:shd w:val="clear" w:color="auto" w:fill="auto"/>
            <w:vAlign w:val="center"/>
            <w:hideMark/>
          </w:tcPr>
          <w:p w14:paraId="59B6C8E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6,6%</w:t>
            </w:r>
          </w:p>
        </w:tc>
      </w:tr>
      <w:tr w:rsidR="0093441E" w:rsidRPr="002A7673" w14:paraId="4C031F04"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1FB9189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Quepos</w:t>
            </w:r>
          </w:p>
        </w:tc>
        <w:tc>
          <w:tcPr>
            <w:tcW w:w="1500" w:type="dxa"/>
            <w:tcBorders>
              <w:top w:val="nil"/>
              <w:left w:val="nil"/>
              <w:bottom w:val="single" w:sz="8" w:space="0" w:color="auto"/>
              <w:right w:val="single" w:sz="8" w:space="0" w:color="auto"/>
            </w:tcBorders>
            <w:shd w:val="clear" w:color="auto" w:fill="auto"/>
            <w:vAlign w:val="center"/>
            <w:hideMark/>
          </w:tcPr>
          <w:p w14:paraId="1AF1DEF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3,6%</w:t>
            </w:r>
          </w:p>
        </w:tc>
      </w:tr>
      <w:tr w:rsidR="0093441E" w:rsidRPr="002A7673" w14:paraId="10526D58"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2EC9B74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 Circuito Judicial de Guanacaste</w:t>
            </w:r>
          </w:p>
        </w:tc>
        <w:tc>
          <w:tcPr>
            <w:tcW w:w="1500" w:type="dxa"/>
            <w:tcBorders>
              <w:top w:val="nil"/>
              <w:left w:val="nil"/>
              <w:bottom w:val="single" w:sz="8" w:space="0" w:color="auto"/>
              <w:right w:val="single" w:sz="8" w:space="0" w:color="auto"/>
            </w:tcBorders>
            <w:shd w:val="clear" w:color="auto" w:fill="auto"/>
            <w:vAlign w:val="center"/>
            <w:hideMark/>
          </w:tcPr>
          <w:p w14:paraId="0B888B3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3,3%</w:t>
            </w:r>
          </w:p>
        </w:tc>
      </w:tr>
      <w:tr w:rsidR="0093441E" w:rsidRPr="002A7673" w14:paraId="6F243238"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453975B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Circuito Judicial de Heredia</w:t>
            </w:r>
          </w:p>
        </w:tc>
        <w:tc>
          <w:tcPr>
            <w:tcW w:w="1500" w:type="dxa"/>
            <w:tcBorders>
              <w:top w:val="nil"/>
              <w:left w:val="nil"/>
              <w:bottom w:val="single" w:sz="8" w:space="0" w:color="auto"/>
              <w:right w:val="single" w:sz="8" w:space="0" w:color="auto"/>
            </w:tcBorders>
            <w:shd w:val="clear" w:color="auto" w:fill="auto"/>
            <w:vAlign w:val="center"/>
            <w:hideMark/>
          </w:tcPr>
          <w:p w14:paraId="48653EB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3,0%</w:t>
            </w:r>
          </w:p>
        </w:tc>
      </w:tr>
      <w:tr w:rsidR="0093441E" w:rsidRPr="002A7673" w14:paraId="3E861CB5"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5AA7879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de Planificación</w:t>
            </w:r>
          </w:p>
        </w:tc>
        <w:tc>
          <w:tcPr>
            <w:tcW w:w="1500" w:type="dxa"/>
            <w:tcBorders>
              <w:top w:val="nil"/>
              <w:left w:val="nil"/>
              <w:bottom w:val="single" w:sz="8" w:space="0" w:color="auto"/>
              <w:right w:val="single" w:sz="8" w:space="0" w:color="auto"/>
            </w:tcBorders>
            <w:shd w:val="clear" w:color="auto" w:fill="auto"/>
            <w:vAlign w:val="center"/>
            <w:hideMark/>
          </w:tcPr>
          <w:p w14:paraId="68090EB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1,2%</w:t>
            </w:r>
          </w:p>
        </w:tc>
      </w:tr>
      <w:tr w:rsidR="0093441E" w:rsidRPr="002A7673" w14:paraId="066D1D0F"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3A08154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Grecia</w:t>
            </w:r>
          </w:p>
        </w:tc>
        <w:tc>
          <w:tcPr>
            <w:tcW w:w="1500" w:type="dxa"/>
            <w:tcBorders>
              <w:top w:val="nil"/>
              <w:left w:val="nil"/>
              <w:bottom w:val="single" w:sz="8" w:space="0" w:color="auto"/>
              <w:right w:val="single" w:sz="8" w:space="0" w:color="auto"/>
            </w:tcBorders>
            <w:shd w:val="clear" w:color="auto" w:fill="auto"/>
            <w:vAlign w:val="center"/>
            <w:hideMark/>
          </w:tcPr>
          <w:p w14:paraId="6324661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1,1%</w:t>
            </w:r>
          </w:p>
        </w:tc>
      </w:tr>
      <w:tr w:rsidR="0093441E" w:rsidRPr="002A7673" w14:paraId="10BD691F" w14:textId="77777777" w:rsidTr="0048334E">
        <w:trPr>
          <w:trHeight w:val="320"/>
          <w:jc w:val="center"/>
        </w:trPr>
        <w:tc>
          <w:tcPr>
            <w:tcW w:w="6500" w:type="dxa"/>
            <w:tcBorders>
              <w:top w:val="nil"/>
              <w:left w:val="single" w:sz="8" w:space="0" w:color="auto"/>
              <w:bottom w:val="single" w:sz="8" w:space="0" w:color="auto"/>
              <w:right w:val="single" w:sz="8" w:space="0" w:color="auto"/>
            </w:tcBorders>
            <w:shd w:val="clear" w:color="auto" w:fill="auto"/>
            <w:vAlign w:val="center"/>
            <w:hideMark/>
          </w:tcPr>
          <w:p w14:paraId="23006B5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Secretaría de la Corte</w:t>
            </w:r>
          </w:p>
        </w:tc>
        <w:tc>
          <w:tcPr>
            <w:tcW w:w="1500" w:type="dxa"/>
            <w:tcBorders>
              <w:top w:val="nil"/>
              <w:left w:val="nil"/>
              <w:bottom w:val="single" w:sz="8" w:space="0" w:color="auto"/>
              <w:right w:val="single" w:sz="8" w:space="0" w:color="auto"/>
            </w:tcBorders>
            <w:shd w:val="clear" w:color="auto" w:fill="auto"/>
            <w:vAlign w:val="center"/>
            <w:hideMark/>
          </w:tcPr>
          <w:p w14:paraId="6223C15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w:t>
            </w:r>
          </w:p>
        </w:tc>
      </w:tr>
    </w:tbl>
    <w:p w14:paraId="4D76926B" w14:textId="77777777" w:rsidR="0093441E" w:rsidRPr="002A7673" w:rsidRDefault="0093441E" w:rsidP="0093441E">
      <w:pPr>
        <w:spacing w:after="0" w:line="240" w:lineRule="auto"/>
        <w:rPr>
          <w:rFonts w:ascii="Times New Roman" w:hAnsi="Times New Roman" w:cs="Times New Roman"/>
          <w:sz w:val="20"/>
          <w:szCs w:val="20"/>
        </w:rPr>
      </w:pPr>
      <w:r w:rsidRPr="002A7673">
        <w:rPr>
          <w:rFonts w:ascii="Times New Roman" w:hAnsi="Times New Roman" w:cs="Times New Roman"/>
          <w:b/>
          <w:bCs/>
        </w:rPr>
        <w:t xml:space="preserve">      </w:t>
      </w: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58DBE9A3" w14:textId="77777777" w:rsidR="0093441E" w:rsidRPr="002A7673" w:rsidRDefault="0093441E" w:rsidP="0093441E">
      <w:pPr>
        <w:spacing w:after="0" w:line="240" w:lineRule="auto"/>
        <w:rPr>
          <w:rFonts w:ascii="Times New Roman" w:hAnsi="Times New Roman" w:cs="Times New Roman"/>
        </w:rPr>
      </w:pPr>
    </w:p>
    <w:tbl>
      <w:tblPr>
        <w:tblStyle w:val="Tablaconcuadrcula"/>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46"/>
        <w:gridCol w:w="1563"/>
        <w:gridCol w:w="3999"/>
      </w:tblGrid>
      <w:tr w:rsidR="0093441E" w:rsidRPr="002A7673" w14:paraId="1A1B4B3C" w14:textId="77777777" w:rsidTr="0048334E">
        <w:trPr>
          <w:jc w:val="center"/>
        </w:trPr>
        <w:tc>
          <w:tcPr>
            <w:tcW w:w="3246" w:type="dxa"/>
            <w:shd w:val="clear" w:color="auto" w:fill="BDD6EE" w:themeFill="accent1" w:themeFillTint="66"/>
            <w:vAlign w:val="center"/>
          </w:tcPr>
          <w:p w14:paraId="079EF918" w14:textId="77777777" w:rsidR="0093441E" w:rsidRPr="002A7673" w:rsidRDefault="0093441E" w:rsidP="0048334E">
            <w:pPr>
              <w:spacing w:line="360" w:lineRule="auto"/>
              <w:jc w:val="center"/>
              <w:rPr>
                <w:b/>
              </w:rPr>
            </w:pPr>
            <w:r w:rsidRPr="002A7673">
              <w:rPr>
                <w:b/>
              </w:rPr>
              <w:t>Centro de Responsabilidad</w:t>
            </w:r>
          </w:p>
        </w:tc>
        <w:tc>
          <w:tcPr>
            <w:tcW w:w="1563" w:type="dxa"/>
            <w:shd w:val="clear" w:color="auto" w:fill="BDD6EE" w:themeFill="accent1" w:themeFillTint="66"/>
            <w:vAlign w:val="center"/>
          </w:tcPr>
          <w:p w14:paraId="78C6D040" w14:textId="77777777" w:rsidR="0093441E" w:rsidRPr="002A7673" w:rsidRDefault="0093441E" w:rsidP="0048334E">
            <w:pPr>
              <w:spacing w:line="360" w:lineRule="auto"/>
              <w:jc w:val="center"/>
              <w:rPr>
                <w:b/>
              </w:rPr>
            </w:pPr>
            <w:r w:rsidRPr="002A7673">
              <w:rPr>
                <w:b/>
                <w:bCs/>
                <w:iCs/>
              </w:rPr>
              <w:t>Crecimiento</w:t>
            </w:r>
          </w:p>
        </w:tc>
        <w:tc>
          <w:tcPr>
            <w:tcW w:w="3999" w:type="dxa"/>
            <w:shd w:val="clear" w:color="auto" w:fill="BDD6EE" w:themeFill="accent1" w:themeFillTint="66"/>
            <w:vAlign w:val="center"/>
          </w:tcPr>
          <w:p w14:paraId="7E3032D7" w14:textId="77777777" w:rsidR="0093441E" w:rsidRPr="002A7673" w:rsidRDefault="0093441E" w:rsidP="0048334E">
            <w:pPr>
              <w:spacing w:line="360" w:lineRule="auto"/>
              <w:jc w:val="center"/>
              <w:rPr>
                <w:b/>
              </w:rPr>
            </w:pPr>
            <w:r w:rsidRPr="002A7673">
              <w:rPr>
                <w:b/>
                <w:bCs/>
                <w:iCs/>
              </w:rPr>
              <w:t>Justificación</w:t>
            </w:r>
          </w:p>
        </w:tc>
      </w:tr>
      <w:tr w:rsidR="0093441E" w:rsidRPr="002A7673" w14:paraId="71325453" w14:textId="77777777" w:rsidTr="0048334E">
        <w:trPr>
          <w:jc w:val="center"/>
        </w:trPr>
        <w:tc>
          <w:tcPr>
            <w:tcW w:w="3246" w:type="dxa"/>
            <w:vAlign w:val="center"/>
          </w:tcPr>
          <w:p w14:paraId="2421EA48" w14:textId="77777777" w:rsidR="0093441E" w:rsidRPr="002A7673" w:rsidRDefault="0093441E" w:rsidP="0048334E">
            <w:pPr>
              <w:rPr>
                <w:iCs/>
              </w:rPr>
            </w:pPr>
            <w:r w:rsidRPr="002A7673">
              <w:rPr>
                <w:color w:val="000000"/>
              </w:rPr>
              <w:t>Administración del III Circuito Judicial de Alajuela</w:t>
            </w:r>
          </w:p>
        </w:tc>
        <w:tc>
          <w:tcPr>
            <w:tcW w:w="1563" w:type="dxa"/>
            <w:vAlign w:val="center"/>
          </w:tcPr>
          <w:p w14:paraId="44258973" w14:textId="77777777" w:rsidR="0093441E" w:rsidRPr="002A7673" w:rsidRDefault="0093441E" w:rsidP="0048334E">
            <w:pPr>
              <w:jc w:val="center"/>
              <w:rPr>
                <w:color w:val="000000"/>
                <w:lang w:eastAsia="es-CR"/>
              </w:rPr>
            </w:pPr>
            <w:r w:rsidRPr="002A7673">
              <w:rPr>
                <w:color w:val="000000"/>
              </w:rPr>
              <w:t>199,1%</w:t>
            </w:r>
          </w:p>
          <w:p w14:paraId="6F16CA94" w14:textId="77777777" w:rsidR="0093441E" w:rsidRPr="002A7673" w:rsidRDefault="0093441E" w:rsidP="0048334E">
            <w:pPr>
              <w:spacing w:line="360" w:lineRule="auto"/>
              <w:jc w:val="center"/>
              <w:rPr>
                <w:iCs/>
              </w:rPr>
            </w:pPr>
          </w:p>
        </w:tc>
        <w:tc>
          <w:tcPr>
            <w:tcW w:w="3999" w:type="dxa"/>
          </w:tcPr>
          <w:p w14:paraId="58668CBF" w14:textId="77777777" w:rsidR="0093441E" w:rsidRPr="002A7673" w:rsidRDefault="0093441E" w:rsidP="0048334E">
            <w:pPr>
              <w:rPr>
                <w:iCs/>
              </w:rPr>
            </w:pPr>
            <w:r w:rsidRPr="002A7673">
              <w:rPr>
                <w:iCs/>
              </w:rPr>
              <w:t xml:space="preserve">El crecimiento lo ocasiona principalmente los recursos incluidos en el Área de Construcciones para atender el Proyecto de la Construcción </w:t>
            </w:r>
            <w:proofErr w:type="gramStart"/>
            <w:r w:rsidRPr="002A7673">
              <w:rPr>
                <w:iCs/>
              </w:rPr>
              <w:t>de  la</w:t>
            </w:r>
            <w:proofErr w:type="gramEnd"/>
            <w:r w:rsidRPr="002A7673">
              <w:rPr>
                <w:iCs/>
              </w:rPr>
              <w:t xml:space="preserve"> Nueva Torre Anexa a los Tribunales de San Ramón por la suma de ¢2.311.806.573.  </w:t>
            </w:r>
          </w:p>
        </w:tc>
      </w:tr>
      <w:tr w:rsidR="0093441E" w:rsidRPr="002A7673" w14:paraId="68CAB0F8" w14:textId="77777777" w:rsidTr="0048334E">
        <w:trPr>
          <w:jc w:val="center"/>
        </w:trPr>
        <w:tc>
          <w:tcPr>
            <w:tcW w:w="3246" w:type="dxa"/>
            <w:vAlign w:val="center"/>
          </w:tcPr>
          <w:p w14:paraId="32D9E54C" w14:textId="77777777" w:rsidR="0093441E" w:rsidRPr="002A7673" w:rsidRDefault="0093441E" w:rsidP="0048334E">
            <w:pPr>
              <w:rPr>
                <w:iCs/>
              </w:rPr>
            </w:pPr>
            <w:r w:rsidRPr="002A7673">
              <w:rPr>
                <w:color w:val="000000"/>
              </w:rPr>
              <w:t>Sala Primera</w:t>
            </w:r>
          </w:p>
        </w:tc>
        <w:tc>
          <w:tcPr>
            <w:tcW w:w="1563" w:type="dxa"/>
            <w:vAlign w:val="center"/>
          </w:tcPr>
          <w:p w14:paraId="6C3E52DF" w14:textId="77777777" w:rsidR="0093441E" w:rsidRPr="002A7673" w:rsidRDefault="0093441E" w:rsidP="0048334E">
            <w:pPr>
              <w:jc w:val="center"/>
              <w:rPr>
                <w:color w:val="000000"/>
                <w:lang w:eastAsia="es-CR"/>
              </w:rPr>
            </w:pPr>
            <w:r w:rsidRPr="002A7673">
              <w:rPr>
                <w:color w:val="000000"/>
              </w:rPr>
              <w:t>120,2%</w:t>
            </w:r>
          </w:p>
          <w:p w14:paraId="2DFE330B" w14:textId="77777777" w:rsidR="0093441E" w:rsidRPr="002A7673" w:rsidRDefault="0093441E" w:rsidP="0048334E">
            <w:pPr>
              <w:spacing w:line="360" w:lineRule="auto"/>
              <w:jc w:val="center"/>
              <w:rPr>
                <w:iCs/>
              </w:rPr>
            </w:pPr>
          </w:p>
        </w:tc>
        <w:tc>
          <w:tcPr>
            <w:tcW w:w="3999" w:type="dxa"/>
          </w:tcPr>
          <w:p w14:paraId="0BF8F48E" w14:textId="77777777" w:rsidR="0093441E" w:rsidRPr="002A7673" w:rsidRDefault="0093441E" w:rsidP="0048334E">
            <w:pPr>
              <w:rPr>
                <w:iCs/>
              </w:rPr>
            </w:pPr>
            <w:r w:rsidRPr="002A7673">
              <w:rPr>
                <w:iCs/>
              </w:rPr>
              <w:t xml:space="preserve">El crecimiento obedece a que para el 2022 se están solicitando ¢43.624.722, para la sustitución de los vehículos placas BHD799, BFR179 Y BHD941, mientras para el 2021, no se solicitaron recursos para compra ni sustitución de vehículos.  </w:t>
            </w:r>
          </w:p>
        </w:tc>
      </w:tr>
      <w:tr w:rsidR="0093441E" w:rsidRPr="002A7673" w14:paraId="72196D74" w14:textId="77777777" w:rsidTr="0048334E">
        <w:trPr>
          <w:jc w:val="center"/>
        </w:trPr>
        <w:tc>
          <w:tcPr>
            <w:tcW w:w="3246" w:type="dxa"/>
            <w:vAlign w:val="center"/>
          </w:tcPr>
          <w:p w14:paraId="42F3FB93" w14:textId="77777777" w:rsidR="0093441E" w:rsidRPr="002A7673" w:rsidRDefault="0093441E" w:rsidP="0048334E">
            <w:pPr>
              <w:rPr>
                <w:iCs/>
              </w:rPr>
            </w:pPr>
            <w:r w:rsidRPr="002A7673">
              <w:rPr>
                <w:color w:val="000000"/>
              </w:rPr>
              <w:t>Sala Segunda</w:t>
            </w:r>
          </w:p>
        </w:tc>
        <w:tc>
          <w:tcPr>
            <w:tcW w:w="1563" w:type="dxa"/>
            <w:vAlign w:val="center"/>
          </w:tcPr>
          <w:p w14:paraId="25071C4F" w14:textId="77777777" w:rsidR="0093441E" w:rsidRPr="002A7673" w:rsidRDefault="0093441E" w:rsidP="0048334E">
            <w:pPr>
              <w:jc w:val="center"/>
              <w:rPr>
                <w:color w:val="000000"/>
                <w:lang w:eastAsia="es-CR"/>
              </w:rPr>
            </w:pPr>
            <w:r w:rsidRPr="002A7673">
              <w:rPr>
                <w:color w:val="000000"/>
              </w:rPr>
              <w:t>120,2%</w:t>
            </w:r>
          </w:p>
          <w:p w14:paraId="1CD5B760" w14:textId="77777777" w:rsidR="0093441E" w:rsidRPr="002A7673" w:rsidRDefault="0093441E" w:rsidP="0048334E">
            <w:pPr>
              <w:spacing w:line="360" w:lineRule="auto"/>
              <w:jc w:val="center"/>
              <w:rPr>
                <w:iCs/>
              </w:rPr>
            </w:pPr>
          </w:p>
        </w:tc>
        <w:tc>
          <w:tcPr>
            <w:tcW w:w="3999" w:type="dxa"/>
          </w:tcPr>
          <w:p w14:paraId="4DE8ABF3" w14:textId="77777777" w:rsidR="0093441E" w:rsidRPr="002A7673" w:rsidRDefault="0093441E" w:rsidP="0048334E">
            <w:pPr>
              <w:rPr>
                <w:iCs/>
              </w:rPr>
            </w:pPr>
            <w:r w:rsidRPr="002A7673">
              <w:rPr>
                <w:iCs/>
              </w:rPr>
              <w:t xml:space="preserve">El crecimiento obedece a que para el 2022 se están solicitando ¢29.083.148, para la sustitución de los vehículos placas BFP545 Y BHD842, mientras para el 2021, no se solicitaron recursos para compra ni sustitución de vehículos.  </w:t>
            </w:r>
          </w:p>
        </w:tc>
      </w:tr>
      <w:tr w:rsidR="0093441E" w:rsidRPr="002A7673" w14:paraId="272AD0DE" w14:textId="77777777" w:rsidTr="0048334E">
        <w:trPr>
          <w:jc w:val="center"/>
        </w:trPr>
        <w:tc>
          <w:tcPr>
            <w:tcW w:w="3246" w:type="dxa"/>
            <w:shd w:val="clear" w:color="auto" w:fill="auto"/>
            <w:vAlign w:val="center"/>
          </w:tcPr>
          <w:p w14:paraId="5488F5B9" w14:textId="77777777" w:rsidR="0093441E" w:rsidRPr="002A7673" w:rsidRDefault="0093441E" w:rsidP="0048334E">
            <w:r w:rsidRPr="002A7673">
              <w:rPr>
                <w:color w:val="000000"/>
              </w:rPr>
              <w:t>Centro Judicial de Intervención de las Comunicaciones</w:t>
            </w:r>
          </w:p>
        </w:tc>
        <w:tc>
          <w:tcPr>
            <w:tcW w:w="1563" w:type="dxa"/>
            <w:vAlign w:val="center"/>
          </w:tcPr>
          <w:p w14:paraId="25479A58" w14:textId="77777777" w:rsidR="0093441E" w:rsidRPr="002A7673" w:rsidRDefault="0093441E" w:rsidP="0048334E">
            <w:pPr>
              <w:jc w:val="center"/>
              <w:rPr>
                <w:color w:val="000000"/>
                <w:lang w:eastAsia="es-CR"/>
              </w:rPr>
            </w:pPr>
            <w:r w:rsidRPr="002A7673">
              <w:rPr>
                <w:color w:val="000000"/>
              </w:rPr>
              <w:t>84,8%</w:t>
            </w:r>
          </w:p>
          <w:p w14:paraId="46F8D72B" w14:textId="77777777" w:rsidR="0093441E" w:rsidRPr="002A7673" w:rsidRDefault="0093441E" w:rsidP="0048334E">
            <w:pPr>
              <w:spacing w:line="360" w:lineRule="auto"/>
              <w:jc w:val="center"/>
              <w:rPr>
                <w:iCs/>
              </w:rPr>
            </w:pPr>
          </w:p>
        </w:tc>
        <w:tc>
          <w:tcPr>
            <w:tcW w:w="3999" w:type="dxa"/>
          </w:tcPr>
          <w:p w14:paraId="5363651C" w14:textId="77777777" w:rsidR="0093441E" w:rsidRPr="002A7673" w:rsidRDefault="0093441E" w:rsidP="0048334E">
            <w:pPr>
              <w:rPr>
                <w:iCs/>
              </w:rPr>
            </w:pPr>
            <w:r w:rsidRPr="002A7673">
              <w:rPr>
                <w:iCs/>
              </w:rPr>
              <w:t>El incremento se da principalmente en la subpartida 10499 Otros Servicios de Gestión y Apoyo requeridos para el pago de servicio de traducciones, el monto corresponde a una proyección según el gasto real.</w:t>
            </w:r>
          </w:p>
        </w:tc>
      </w:tr>
      <w:tr w:rsidR="0093441E" w:rsidRPr="002A7673" w14:paraId="2FA066FD" w14:textId="77777777" w:rsidTr="0048334E">
        <w:trPr>
          <w:jc w:val="center"/>
        </w:trPr>
        <w:tc>
          <w:tcPr>
            <w:tcW w:w="3246" w:type="dxa"/>
            <w:vAlign w:val="center"/>
          </w:tcPr>
          <w:p w14:paraId="309BAB7E" w14:textId="77777777" w:rsidR="0093441E" w:rsidRPr="002A7673" w:rsidRDefault="0093441E" w:rsidP="0048334E">
            <w:r w:rsidRPr="002A7673">
              <w:rPr>
                <w:color w:val="000000"/>
              </w:rPr>
              <w:t>Administración del II Circuito Judicial de Alajuela</w:t>
            </w:r>
          </w:p>
        </w:tc>
        <w:tc>
          <w:tcPr>
            <w:tcW w:w="1563" w:type="dxa"/>
            <w:vAlign w:val="center"/>
          </w:tcPr>
          <w:p w14:paraId="5F0EC841" w14:textId="77777777" w:rsidR="0093441E" w:rsidRPr="002A7673" w:rsidRDefault="0093441E" w:rsidP="0048334E">
            <w:pPr>
              <w:jc w:val="center"/>
              <w:rPr>
                <w:color w:val="000000"/>
                <w:lang w:eastAsia="es-CR"/>
              </w:rPr>
            </w:pPr>
            <w:r w:rsidRPr="002A7673">
              <w:rPr>
                <w:color w:val="000000"/>
              </w:rPr>
              <w:t>62,4%</w:t>
            </w:r>
          </w:p>
          <w:p w14:paraId="55254A64" w14:textId="77777777" w:rsidR="0093441E" w:rsidRPr="002A7673" w:rsidRDefault="0093441E" w:rsidP="0048334E">
            <w:pPr>
              <w:spacing w:line="360" w:lineRule="auto"/>
              <w:jc w:val="center"/>
              <w:rPr>
                <w:iCs/>
              </w:rPr>
            </w:pPr>
          </w:p>
        </w:tc>
        <w:tc>
          <w:tcPr>
            <w:tcW w:w="3999" w:type="dxa"/>
          </w:tcPr>
          <w:p w14:paraId="12A3C3EF" w14:textId="77777777" w:rsidR="0093441E" w:rsidRPr="002A7673" w:rsidRDefault="0093441E" w:rsidP="0048334E">
            <w:pPr>
              <w:rPr>
                <w:iCs/>
              </w:rPr>
            </w:pPr>
            <w:r w:rsidRPr="002A7673">
              <w:rPr>
                <w:iCs/>
              </w:rPr>
              <w:t xml:space="preserve">El crecimiento </w:t>
            </w:r>
            <w:proofErr w:type="gramStart"/>
            <w:r w:rsidRPr="002A7673">
              <w:rPr>
                <w:iCs/>
              </w:rPr>
              <w:t>obedece  principalmente</w:t>
            </w:r>
            <w:proofErr w:type="gramEnd"/>
            <w:r w:rsidRPr="002A7673">
              <w:rPr>
                <w:iCs/>
              </w:rPr>
              <w:t xml:space="preserve"> a la inclusión de ¢552.195.053, para atender el reacondicionamiento eléctrico del edificio de los  Tribunales. Además, se incluyeron recursos para el contrato de alquiler del </w:t>
            </w:r>
            <w:r w:rsidRPr="002A7673">
              <w:t>Juzgado Contravencional de Upala por ¢29.989.944</w:t>
            </w:r>
            <w:r w:rsidRPr="002A7673">
              <w:rPr>
                <w:iCs/>
              </w:rPr>
              <w:t xml:space="preserve">, Servicios Públicos en ¢6.847.941, servicio de fotocopiado y escaneo por ¢20.979.239 y 12.254.717 para el mantenimiento de las UPS </w:t>
            </w:r>
            <w:r w:rsidRPr="002A7673">
              <w:t>de</w:t>
            </w:r>
            <w:r w:rsidRPr="002A7673">
              <w:rPr>
                <w:iCs/>
              </w:rPr>
              <w:t xml:space="preserve"> los edificios de San Carlos y Los Chiles, servicios que son indispensables.</w:t>
            </w:r>
          </w:p>
        </w:tc>
      </w:tr>
      <w:tr w:rsidR="0093441E" w:rsidRPr="002A7673" w14:paraId="7183CCB1" w14:textId="77777777" w:rsidTr="0048334E">
        <w:trPr>
          <w:jc w:val="center"/>
        </w:trPr>
        <w:tc>
          <w:tcPr>
            <w:tcW w:w="3246" w:type="dxa"/>
            <w:vAlign w:val="center"/>
          </w:tcPr>
          <w:p w14:paraId="379BD678" w14:textId="77777777" w:rsidR="0093441E" w:rsidRPr="002A7673" w:rsidRDefault="0093441E" w:rsidP="0048334E">
            <w:pPr>
              <w:rPr>
                <w:iCs/>
              </w:rPr>
            </w:pPr>
            <w:r w:rsidRPr="002A7673">
              <w:rPr>
                <w:color w:val="000000"/>
              </w:rPr>
              <w:t>Administración Regional de Osa</w:t>
            </w:r>
          </w:p>
        </w:tc>
        <w:tc>
          <w:tcPr>
            <w:tcW w:w="1563" w:type="dxa"/>
            <w:vAlign w:val="center"/>
          </w:tcPr>
          <w:p w14:paraId="707F9C46" w14:textId="77777777" w:rsidR="0093441E" w:rsidRPr="002A7673" w:rsidRDefault="0093441E" w:rsidP="0048334E">
            <w:pPr>
              <w:jc w:val="center"/>
              <w:rPr>
                <w:color w:val="000000"/>
                <w:lang w:eastAsia="es-CR"/>
              </w:rPr>
            </w:pPr>
            <w:r w:rsidRPr="002A7673">
              <w:rPr>
                <w:color w:val="000000"/>
              </w:rPr>
              <w:t>41,1%</w:t>
            </w:r>
          </w:p>
          <w:p w14:paraId="6A9B0BBC" w14:textId="77777777" w:rsidR="0093441E" w:rsidRPr="002A7673" w:rsidRDefault="0093441E" w:rsidP="0048334E">
            <w:pPr>
              <w:spacing w:line="360" w:lineRule="auto"/>
              <w:jc w:val="center"/>
              <w:rPr>
                <w:iCs/>
              </w:rPr>
            </w:pPr>
          </w:p>
        </w:tc>
        <w:tc>
          <w:tcPr>
            <w:tcW w:w="3999" w:type="dxa"/>
          </w:tcPr>
          <w:p w14:paraId="591E1120" w14:textId="77777777" w:rsidR="0093441E" w:rsidRPr="002A7673" w:rsidRDefault="0093441E" w:rsidP="0048334E">
            <w:pPr>
              <w:rPr>
                <w:iCs/>
              </w:rPr>
            </w:pPr>
            <w:r w:rsidRPr="002A7673">
              <w:rPr>
                <w:iCs/>
              </w:rPr>
              <w:lastRenderedPageBreak/>
              <w:t xml:space="preserve">El crecimiento se presenta principalmente en los siguientes servicios: ¢16.483.860 servicio </w:t>
            </w:r>
            <w:r w:rsidRPr="002A7673">
              <w:rPr>
                <w:iCs/>
              </w:rPr>
              <w:lastRenderedPageBreak/>
              <w:t xml:space="preserve">de vigilancia, ¢17.021.358 del mantenimiento del sistema de riego, ¢20.400.000 del mantenimiento de aires acondicionados, ¢6.420.000 mantenimiento de equipo de cómputo, ¢7.585.596 para el mantenimiento del cuarto frío. Contractualmente el edificio cuenta con una </w:t>
            </w:r>
            <w:proofErr w:type="gramStart"/>
            <w:r w:rsidRPr="002A7673">
              <w:rPr>
                <w:iCs/>
              </w:rPr>
              <w:t>garantía  de</w:t>
            </w:r>
            <w:proofErr w:type="gramEnd"/>
            <w:r w:rsidRPr="002A7673">
              <w:rPr>
                <w:iCs/>
              </w:rPr>
              <w:t xml:space="preserve"> 5 años para estos mantenimientos, pero la empresa constructora ha cesado el servicio y  se está a la espera de que las instancias correspondientes resuelvan el tema, mientras tanto se debe garantizar el mantenimiento de todos los sistemas. Además, de ¢8.722.664 para la sustitución de 2 motocicletas, mientras que para el 2021, estos servicios no se tenían en esta administración  </w:t>
            </w:r>
          </w:p>
        </w:tc>
      </w:tr>
      <w:tr w:rsidR="0093441E" w:rsidRPr="002A7673" w14:paraId="43616194" w14:textId="77777777" w:rsidTr="0048334E">
        <w:trPr>
          <w:jc w:val="center"/>
        </w:trPr>
        <w:tc>
          <w:tcPr>
            <w:tcW w:w="3246" w:type="dxa"/>
            <w:vAlign w:val="center"/>
          </w:tcPr>
          <w:p w14:paraId="68509ADC" w14:textId="77777777" w:rsidR="0093441E" w:rsidRPr="002A7673" w:rsidRDefault="0093441E" w:rsidP="0048334E">
            <w:pPr>
              <w:rPr>
                <w:iCs/>
              </w:rPr>
            </w:pPr>
            <w:r w:rsidRPr="002A7673">
              <w:rPr>
                <w:color w:val="000000"/>
              </w:rPr>
              <w:lastRenderedPageBreak/>
              <w:t>Presidencia de la Corte</w:t>
            </w:r>
          </w:p>
        </w:tc>
        <w:tc>
          <w:tcPr>
            <w:tcW w:w="1563" w:type="dxa"/>
            <w:vAlign w:val="center"/>
          </w:tcPr>
          <w:p w14:paraId="7751CDCC" w14:textId="77777777" w:rsidR="0093441E" w:rsidRPr="002A7673" w:rsidRDefault="0093441E" w:rsidP="0048334E">
            <w:pPr>
              <w:jc w:val="center"/>
              <w:rPr>
                <w:color w:val="000000"/>
                <w:lang w:eastAsia="es-CR"/>
              </w:rPr>
            </w:pPr>
            <w:r w:rsidRPr="002A7673">
              <w:rPr>
                <w:color w:val="000000"/>
              </w:rPr>
              <w:t>25,5%</w:t>
            </w:r>
          </w:p>
          <w:p w14:paraId="1851102F" w14:textId="77777777" w:rsidR="0093441E" w:rsidRPr="002A7673" w:rsidRDefault="0093441E" w:rsidP="0048334E">
            <w:pPr>
              <w:jc w:val="center"/>
              <w:rPr>
                <w:iCs/>
              </w:rPr>
            </w:pPr>
          </w:p>
        </w:tc>
        <w:tc>
          <w:tcPr>
            <w:tcW w:w="3999" w:type="dxa"/>
          </w:tcPr>
          <w:p w14:paraId="78E6A553" w14:textId="77777777" w:rsidR="0093441E" w:rsidRPr="002A7673" w:rsidRDefault="0093441E" w:rsidP="0048334E">
            <w:pPr>
              <w:rPr>
                <w:iCs/>
              </w:rPr>
            </w:pPr>
            <w:r w:rsidRPr="002A7673">
              <w:rPr>
                <w:iCs/>
              </w:rPr>
              <w:t>El crecimiento se debe a que en las subpartidas 10503 Transporte en el Exterior y 10504 Viáticos en el Exterior, justifican que para el 2021 los recursos se recortaron por la emergencia sanitaria del Covid-19 ya que todas las actividades presenciales fueron canceladas o se realizarán de manera virtual, pero que para el 2022 se visualiza retomarlas para cumplir con los compromisos internacionales del Poder Judicial.</w:t>
            </w:r>
          </w:p>
        </w:tc>
      </w:tr>
      <w:tr w:rsidR="0093441E" w:rsidRPr="002A7673" w14:paraId="6F5061B5" w14:textId="77777777" w:rsidTr="0048334E">
        <w:trPr>
          <w:jc w:val="center"/>
        </w:trPr>
        <w:tc>
          <w:tcPr>
            <w:tcW w:w="3246" w:type="dxa"/>
            <w:vAlign w:val="center"/>
          </w:tcPr>
          <w:p w14:paraId="09E9517F" w14:textId="77777777" w:rsidR="0093441E" w:rsidRPr="002A7673" w:rsidRDefault="0093441E" w:rsidP="0048334E">
            <w:pPr>
              <w:rPr>
                <w:iCs/>
              </w:rPr>
            </w:pPr>
            <w:r w:rsidRPr="002A7673">
              <w:rPr>
                <w:color w:val="000000"/>
              </w:rPr>
              <w:t>Centro Electrónico de Información Jurisprudencial</w:t>
            </w:r>
          </w:p>
        </w:tc>
        <w:tc>
          <w:tcPr>
            <w:tcW w:w="1563" w:type="dxa"/>
            <w:vAlign w:val="center"/>
          </w:tcPr>
          <w:p w14:paraId="56E829BC" w14:textId="77777777" w:rsidR="0093441E" w:rsidRPr="002A7673" w:rsidRDefault="0093441E" w:rsidP="0048334E">
            <w:pPr>
              <w:jc w:val="center"/>
              <w:rPr>
                <w:color w:val="000000"/>
                <w:lang w:eastAsia="es-CR"/>
              </w:rPr>
            </w:pPr>
            <w:r w:rsidRPr="002A7673">
              <w:rPr>
                <w:color w:val="000000"/>
              </w:rPr>
              <w:t>21,8%</w:t>
            </w:r>
          </w:p>
          <w:p w14:paraId="2395FEC5" w14:textId="77777777" w:rsidR="0093441E" w:rsidRPr="002A7673" w:rsidRDefault="0093441E" w:rsidP="0048334E">
            <w:pPr>
              <w:spacing w:line="360" w:lineRule="auto"/>
              <w:jc w:val="center"/>
              <w:rPr>
                <w:iCs/>
              </w:rPr>
            </w:pPr>
          </w:p>
        </w:tc>
        <w:tc>
          <w:tcPr>
            <w:tcW w:w="3999" w:type="dxa"/>
          </w:tcPr>
          <w:p w14:paraId="4C5B8D81" w14:textId="77777777" w:rsidR="0093441E" w:rsidRPr="002A7673" w:rsidRDefault="0093441E" w:rsidP="0048334E">
            <w:pPr>
              <w:rPr>
                <w:iCs/>
              </w:rPr>
            </w:pPr>
            <w:r w:rsidRPr="002A7673">
              <w:rPr>
                <w:iCs/>
              </w:rPr>
              <w:t>El crecimiento se debe principalmente a las solicitudes del Área de Informática que suman ¢2.146.626.</w:t>
            </w:r>
          </w:p>
        </w:tc>
      </w:tr>
      <w:tr w:rsidR="0093441E" w:rsidRPr="002A7673" w14:paraId="7C36486C" w14:textId="77777777" w:rsidTr="0048334E">
        <w:trPr>
          <w:jc w:val="center"/>
        </w:trPr>
        <w:tc>
          <w:tcPr>
            <w:tcW w:w="3246" w:type="dxa"/>
            <w:vAlign w:val="center"/>
          </w:tcPr>
          <w:p w14:paraId="79C14068" w14:textId="77777777" w:rsidR="0093441E" w:rsidRPr="002A7673" w:rsidRDefault="0093441E" w:rsidP="0048334E">
            <w:pPr>
              <w:rPr>
                <w:iCs/>
              </w:rPr>
            </w:pPr>
            <w:r w:rsidRPr="002A7673">
              <w:rPr>
                <w:color w:val="000000"/>
              </w:rPr>
              <w:t>Administración Regional de Puntarenas</w:t>
            </w:r>
          </w:p>
        </w:tc>
        <w:tc>
          <w:tcPr>
            <w:tcW w:w="1563" w:type="dxa"/>
            <w:vAlign w:val="center"/>
          </w:tcPr>
          <w:p w14:paraId="05D0C61A" w14:textId="77777777" w:rsidR="0093441E" w:rsidRPr="002A7673" w:rsidRDefault="0093441E" w:rsidP="0048334E">
            <w:pPr>
              <w:jc w:val="center"/>
              <w:rPr>
                <w:color w:val="000000"/>
                <w:lang w:eastAsia="es-CR"/>
              </w:rPr>
            </w:pPr>
            <w:r w:rsidRPr="002A7673">
              <w:rPr>
                <w:color w:val="000000"/>
              </w:rPr>
              <w:t>19,2%</w:t>
            </w:r>
          </w:p>
          <w:p w14:paraId="354C91B6" w14:textId="77777777" w:rsidR="0093441E" w:rsidRPr="002A7673" w:rsidRDefault="0093441E" w:rsidP="0048334E">
            <w:pPr>
              <w:spacing w:line="360" w:lineRule="auto"/>
              <w:jc w:val="center"/>
              <w:rPr>
                <w:iCs/>
              </w:rPr>
            </w:pPr>
          </w:p>
        </w:tc>
        <w:tc>
          <w:tcPr>
            <w:tcW w:w="3999" w:type="dxa"/>
          </w:tcPr>
          <w:p w14:paraId="557ECAC8" w14:textId="77777777" w:rsidR="0093441E" w:rsidRPr="002A7673" w:rsidRDefault="0093441E" w:rsidP="0048334E">
            <w:pPr>
              <w:rPr>
                <w:iCs/>
              </w:rPr>
            </w:pPr>
            <w:r w:rsidRPr="002A7673">
              <w:t>Se</w:t>
            </w:r>
            <w:r w:rsidRPr="002A7673">
              <w:rPr>
                <w:iCs/>
              </w:rPr>
              <w:t xml:space="preserve"> justifica en la inclusión de los recursos para el equipamiento del nuevo edifico de Tribunales por la suma de ¢315.981.328, recursos que fueron analizados y autorizados por la Dirección Ejecutiva.</w:t>
            </w:r>
          </w:p>
        </w:tc>
      </w:tr>
      <w:tr w:rsidR="0093441E" w:rsidRPr="002A7673" w14:paraId="51AB57B1" w14:textId="77777777" w:rsidTr="0048334E">
        <w:trPr>
          <w:jc w:val="center"/>
        </w:trPr>
        <w:tc>
          <w:tcPr>
            <w:tcW w:w="3246" w:type="dxa"/>
            <w:vAlign w:val="center"/>
          </w:tcPr>
          <w:p w14:paraId="49855B68" w14:textId="77777777" w:rsidR="0093441E" w:rsidRPr="002A7673" w:rsidRDefault="0093441E" w:rsidP="0048334E">
            <w:r w:rsidRPr="002A7673">
              <w:rPr>
                <w:color w:val="000000"/>
              </w:rPr>
              <w:t>Administración del II Circuito Judicial de la Zona Atlántica</w:t>
            </w:r>
          </w:p>
        </w:tc>
        <w:tc>
          <w:tcPr>
            <w:tcW w:w="1563" w:type="dxa"/>
            <w:vAlign w:val="center"/>
          </w:tcPr>
          <w:p w14:paraId="1C108E82" w14:textId="77777777" w:rsidR="0093441E" w:rsidRPr="002A7673" w:rsidRDefault="0093441E" w:rsidP="0048334E">
            <w:pPr>
              <w:jc w:val="center"/>
              <w:rPr>
                <w:color w:val="000000"/>
                <w:lang w:eastAsia="es-CR"/>
              </w:rPr>
            </w:pPr>
            <w:r w:rsidRPr="002A7673">
              <w:rPr>
                <w:color w:val="000000"/>
              </w:rPr>
              <w:t>17,4%</w:t>
            </w:r>
          </w:p>
          <w:p w14:paraId="4237D004" w14:textId="77777777" w:rsidR="0093441E" w:rsidRPr="002A7673" w:rsidRDefault="0093441E" w:rsidP="0048334E">
            <w:pPr>
              <w:spacing w:line="360" w:lineRule="auto"/>
              <w:jc w:val="center"/>
              <w:rPr>
                <w:iCs/>
              </w:rPr>
            </w:pPr>
          </w:p>
        </w:tc>
        <w:tc>
          <w:tcPr>
            <w:tcW w:w="3999" w:type="dxa"/>
          </w:tcPr>
          <w:p w14:paraId="72340B88" w14:textId="77777777" w:rsidR="0093441E" w:rsidRPr="002A7673" w:rsidRDefault="0093441E" w:rsidP="0048334E">
            <w:pPr>
              <w:rPr>
                <w:iCs/>
              </w:rPr>
            </w:pPr>
            <w:r w:rsidRPr="002A7673">
              <w:rPr>
                <w:iCs/>
              </w:rPr>
              <w:t>El</w:t>
            </w:r>
            <w:r w:rsidRPr="002A7673">
              <w:t xml:space="preserve"> incremento se presenta en gastos ineludibles: alquiler de locales, servicios básicos, contratos, cambio de 2 condensadores de aire acondicionado, mantenimiento de equipos de aire </w:t>
            </w:r>
            <w:proofErr w:type="gramStart"/>
            <w:r w:rsidRPr="002A7673">
              <w:t>acondicionado  y</w:t>
            </w:r>
            <w:proofErr w:type="gramEnd"/>
            <w:r w:rsidRPr="002A7673">
              <w:t xml:space="preserve"> suministros </w:t>
            </w:r>
            <w:r w:rsidRPr="002A7673">
              <w:rPr>
                <w:iCs/>
              </w:rPr>
              <w:t xml:space="preserve">para atender el </w:t>
            </w:r>
            <w:r w:rsidRPr="002A7673">
              <w:t xml:space="preserve">Covid-19. </w:t>
            </w:r>
            <w:r w:rsidRPr="002A7673">
              <w:rPr>
                <w:iCs/>
              </w:rPr>
              <w:t>También porque los recursos solicitados a través de Construcciones son más en el 2022, con respecto a los aprobados para el 2021.</w:t>
            </w:r>
          </w:p>
        </w:tc>
      </w:tr>
      <w:tr w:rsidR="0093441E" w:rsidRPr="002A7673" w14:paraId="7275DB8F" w14:textId="77777777" w:rsidTr="0048334E">
        <w:trPr>
          <w:jc w:val="center"/>
        </w:trPr>
        <w:tc>
          <w:tcPr>
            <w:tcW w:w="3246" w:type="dxa"/>
            <w:vAlign w:val="center"/>
          </w:tcPr>
          <w:p w14:paraId="355001BC" w14:textId="77777777" w:rsidR="0093441E" w:rsidRPr="002A7673" w:rsidRDefault="0093441E" w:rsidP="0048334E">
            <w:r w:rsidRPr="002A7673">
              <w:rPr>
                <w:color w:val="000000"/>
              </w:rPr>
              <w:t>Administración del I Circuito Judicial de Guanacaste</w:t>
            </w:r>
          </w:p>
        </w:tc>
        <w:tc>
          <w:tcPr>
            <w:tcW w:w="1563" w:type="dxa"/>
            <w:vAlign w:val="center"/>
          </w:tcPr>
          <w:p w14:paraId="595F5A5E" w14:textId="77777777" w:rsidR="0093441E" w:rsidRPr="002A7673" w:rsidRDefault="0093441E" w:rsidP="0048334E">
            <w:pPr>
              <w:jc w:val="center"/>
              <w:rPr>
                <w:color w:val="000000"/>
                <w:lang w:eastAsia="es-CR"/>
              </w:rPr>
            </w:pPr>
            <w:r w:rsidRPr="002A7673">
              <w:rPr>
                <w:color w:val="000000"/>
              </w:rPr>
              <w:t>16,7%</w:t>
            </w:r>
          </w:p>
          <w:p w14:paraId="3A1AB685" w14:textId="77777777" w:rsidR="0093441E" w:rsidRPr="002A7673" w:rsidRDefault="0093441E" w:rsidP="0048334E">
            <w:pPr>
              <w:spacing w:line="360" w:lineRule="auto"/>
              <w:jc w:val="center"/>
              <w:rPr>
                <w:iCs/>
              </w:rPr>
            </w:pPr>
          </w:p>
        </w:tc>
        <w:tc>
          <w:tcPr>
            <w:tcW w:w="3999" w:type="dxa"/>
          </w:tcPr>
          <w:p w14:paraId="2DD8D526" w14:textId="77777777" w:rsidR="0093441E" w:rsidRPr="002A7673" w:rsidRDefault="0093441E" w:rsidP="0048334E">
            <w:pPr>
              <w:rPr>
                <w:color w:val="000000"/>
              </w:rPr>
            </w:pPr>
            <w:r w:rsidRPr="002A7673">
              <w:rPr>
                <w:color w:val="000000"/>
              </w:rPr>
              <w:t xml:space="preserve">El incremento se debe a los ¢202.026.485 aprobados a través de la Comisión de Construcciones para 5 proyectos distintos dentro de los que resalta la construcción de las aceras del edificio de Tribunales por ¢92.026.485, la remodelación de los servicios sanitarios de la segunda planta del edificio de Tribunales por ¢30.000.000 y el reacondicionamiento de la oficina del Juez y </w:t>
            </w:r>
            <w:r w:rsidRPr="002A7673">
              <w:rPr>
                <w:color w:val="000000"/>
              </w:rPr>
              <w:lastRenderedPageBreak/>
              <w:t>reubicación del área de atención al público del Juzgado Contravencional de La Cruz por ¢30.000.000.</w:t>
            </w:r>
          </w:p>
        </w:tc>
      </w:tr>
      <w:tr w:rsidR="0093441E" w:rsidRPr="002A7673" w14:paraId="36FC3F7F" w14:textId="77777777" w:rsidTr="0048334E">
        <w:trPr>
          <w:jc w:val="center"/>
        </w:trPr>
        <w:tc>
          <w:tcPr>
            <w:tcW w:w="3246" w:type="dxa"/>
            <w:vAlign w:val="center"/>
          </w:tcPr>
          <w:p w14:paraId="2E74E51A" w14:textId="77777777" w:rsidR="0093441E" w:rsidRPr="002A7673" w:rsidRDefault="0093441E" w:rsidP="0048334E">
            <w:pPr>
              <w:rPr>
                <w:iCs/>
              </w:rPr>
            </w:pPr>
            <w:r w:rsidRPr="002A7673">
              <w:rPr>
                <w:color w:val="000000"/>
              </w:rPr>
              <w:lastRenderedPageBreak/>
              <w:t>Administración Regional de Golfito</w:t>
            </w:r>
          </w:p>
        </w:tc>
        <w:tc>
          <w:tcPr>
            <w:tcW w:w="1563" w:type="dxa"/>
            <w:vAlign w:val="center"/>
          </w:tcPr>
          <w:p w14:paraId="5585DC81" w14:textId="77777777" w:rsidR="0093441E" w:rsidRPr="002A7673" w:rsidRDefault="0093441E" w:rsidP="0048334E">
            <w:pPr>
              <w:jc w:val="center"/>
              <w:rPr>
                <w:color w:val="000000"/>
                <w:lang w:eastAsia="es-CR"/>
              </w:rPr>
            </w:pPr>
            <w:r w:rsidRPr="002A7673">
              <w:rPr>
                <w:color w:val="000000"/>
              </w:rPr>
              <w:t>15,9%</w:t>
            </w:r>
          </w:p>
          <w:p w14:paraId="0B691456" w14:textId="77777777" w:rsidR="0093441E" w:rsidRPr="002A7673" w:rsidRDefault="0093441E" w:rsidP="0048334E">
            <w:pPr>
              <w:spacing w:line="360" w:lineRule="auto"/>
              <w:jc w:val="center"/>
              <w:rPr>
                <w:iCs/>
              </w:rPr>
            </w:pPr>
          </w:p>
        </w:tc>
        <w:tc>
          <w:tcPr>
            <w:tcW w:w="3999" w:type="dxa"/>
          </w:tcPr>
          <w:p w14:paraId="593DE80E" w14:textId="77777777" w:rsidR="0093441E" w:rsidRPr="002A7673" w:rsidRDefault="0093441E" w:rsidP="0048334E">
            <w:pPr>
              <w:rPr>
                <w:iCs/>
              </w:rPr>
            </w:pPr>
            <w:r w:rsidRPr="002A7673">
              <w:rPr>
                <w:iCs/>
              </w:rPr>
              <w:t xml:space="preserve">El incremento obedece principalmente </w:t>
            </w:r>
            <w:r w:rsidRPr="002A7673">
              <w:t xml:space="preserve">a la inclusión </w:t>
            </w:r>
            <w:proofErr w:type="gramStart"/>
            <w:r w:rsidRPr="002A7673">
              <w:t>de  incremento</w:t>
            </w:r>
            <w:proofErr w:type="gramEnd"/>
            <w:r w:rsidRPr="002A7673">
              <w:rPr>
                <w:iCs/>
              </w:rPr>
              <w:t xml:space="preserve"> de </w:t>
            </w:r>
            <w:r w:rsidRPr="002A7673">
              <w:t>¢12.000.000 en</w:t>
            </w:r>
            <w:r w:rsidRPr="002A7673">
              <w:rPr>
                <w:iCs/>
              </w:rPr>
              <w:t xml:space="preserve"> el Área Construcciones</w:t>
            </w:r>
            <w:r w:rsidRPr="002A7673">
              <w:t xml:space="preserve"> con relación al 2021 y para el 2022 le aprueban recursos en vehículos</w:t>
            </w:r>
            <w:r w:rsidRPr="002A7673">
              <w:rPr>
                <w:iCs/>
              </w:rPr>
              <w:t>.</w:t>
            </w:r>
          </w:p>
        </w:tc>
      </w:tr>
      <w:tr w:rsidR="0093441E" w:rsidRPr="002A7673" w14:paraId="476822D0" w14:textId="77777777" w:rsidTr="0048334E">
        <w:trPr>
          <w:jc w:val="center"/>
        </w:trPr>
        <w:tc>
          <w:tcPr>
            <w:tcW w:w="3246" w:type="dxa"/>
            <w:vAlign w:val="center"/>
          </w:tcPr>
          <w:p w14:paraId="061CBFE2" w14:textId="77777777" w:rsidR="0093441E" w:rsidRPr="002A7673" w:rsidRDefault="0093441E" w:rsidP="0048334E">
            <w:pPr>
              <w:rPr>
                <w:color w:val="000000"/>
                <w:lang w:eastAsia="es-CR"/>
              </w:rPr>
            </w:pPr>
            <w:r w:rsidRPr="002A7673">
              <w:rPr>
                <w:color w:val="000000"/>
              </w:rPr>
              <w:t>Escuela Judicial</w:t>
            </w:r>
          </w:p>
          <w:p w14:paraId="17FA054A" w14:textId="77777777" w:rsidR="0093441E" w:rsidRPr="002A7673" w:rsidRDefault="0093441E" w:rsidP="0048334E"/>
        </w:tc>
        <w:tc>
          <w:tcPr>
            <w:tcW w:w="1563" w:type="dxa"/>
            <w:vAlign w:val="center"/>
          </w:tcPr>
          <w:p w14:paraId="6DA9A698" w14:textId="77777777" w:rsidR="0093441E" w:rsidRPr="002A7673" w:rsidRDefault="0093441E" w:rsidP="0048334E">
            <w:pPr>
              <w:jc w:val="center"/>
              <w:rPr>
                <w:color w:val="000000"/>
                <w:lang w:eastAsia="es-CR"/>
              </w:rPr>
            </w:pPr>
            <w:r w:rsidRPr="002A7673">
              <w:rPr>
                <w:color w:val="000000"/>
              </w:rPr>
              <w:t>15,2%</w:t>
            </w:r>
          </w:p>
          <w:p w14:paraId="206916B2" w14:textId="77777777" w:rsidR="0093441E" w:rsidRPr="002A7673" w:rsidRDefault="0093441E" w:rsidP="0048334E">
            <w:pPr>
              <w:spacing w:line="360" w:lineRule="auto"/>
              <w:jc w:val="center"/>
              <w:rPr>
                <w:iCs/>
              </w:rPr>
            </w:pPr>
          </w:p>
        </w:tc>
        <w:tc>
          <w:tcPr>
            <w:tcW w:w="3999" w:type="dxa"/>
          </w:tcPr>
          <w:p w14:paraId="7A987FB4" w14:textId="77777777" w:rsidR="0093441E" w:rsidRPr="002A7673" w:rsidRDefault="0093441E" w:rsidP="0048334E">
            <w:pPr>
              <w:rPr>
                <w:color w:val="000000"/>
              </w:rPr>
            </w:pPr>
            <w:r w:rsidRPr="002A7673">
              <w:rPr>
                <w:color w:val="000000"/>
              </w:rPr>
              <w:t>El incremento se presenta en la subpartida 60203 Ayudas a Funcionarios, donde se incluyen las ayudas que se brindan a los participantes del FIAJ. En esta subpartida para 2021 al igual que los últimos años se incluyeron los ¢180.000.000; no obstante, cuando el Poder Ejecutivo solicitó el último ajuste para presentar a la Asamblea Legislativa vía moción, la Escuela Judicial cedió ¢60.000.000; sin embargo, para el año 2022 se requiere el monto completo por cuanto dará inicio el Programa FIAJ a partir de enero de 2022 y culminará en diciembre 2022 según el programa. Adicionalmente, a través del Área de Informática se aprobaron ¢13.197.432 para 13 líneas distintas donde se incluye la compra de micrófonos, grabadoras, cámaras, UPS, duplicadores de CD y DVD y licencias de software, entre otros.</w:t>
            </w:r>
          </w:p>
        </w:tc>
      </w:tr>
      <w:tr w:rsidR="0093441E" w:rsidRPr="002A7673" w14:paraId="7D2F39E8" w14:textId="77777777" w:rsidTr="0048334E">
        <w:trPr>
          <w:jc w:val="center"/>
        </w:trPr>
        <w:tc>
          <w:tcPr>
            <w:tcW w:w="3246" w:type="dxa"/>
            <w:vAlign w:val="center"/>
          </w:tcPr>
          <w:p w14:paraId="010C5A50" w14:textId="77777777" w:rsidR="0093441E" w:rsidRPr="002A7673" w:rsidRDefault="0093441E" w:rsidP="0048334E">
            <w:pPr>
              <w:rPr>
                <w:color w:val="000000"/>
              </w:rPr>
            </w:pPr>
            <w:r w:rsidRPr="002A7673">
              <w:rPr>
                <w:color w:val="000000"/>
              </w:rPr>
              <w:t>Dirección de Tecnología de Información</w:t>
            </w:r>
          </w:p>
        </w:tc>
        <w:tc>
          <w:tcPr>
            <w:tcW w:w="1563" w:type="dxa"/>
            <w:vAlign w:val="center"/>
          </w:tcPr>
          <w:p w14:paraId="51F14CE2" w14:textId="77777777" w:rsidR="0093441E" w:rsidRPr="002A7673" w:rsidRDefault="0093441E" w:rsidP="0048334E">
            <w:pPr>
              <w:jc w:val="center"/>
              <w:rPr>
                <w:color w:val="000000"/>
                <w:lang w:eastAsia="es-CR"/>
              </w:rPr>
            </w:pPr>
            <w:r w:rsidRPr="002A7673">
              <w:rPr>
                <w:color w:val="000000"/>
              </w:rPr>
              <w:t>13,8%</w:t>
            </w:r>
          </w:p>
          <w:p w14:paraId="311F5F2F" w14:textId="77777777" w:rsidR="0093441E" w:rsidRPr="002A7673" w:rsidRDefault="0093441E" w:rsidP="0048334E">
            <w:pPr>
              <w:jc w:val="center"/>
              <w:rPr>
                <w:color w:val="000000"/>
              </w:rPr>
            </w:pPr>
          </w:p>
        </w:tc>
        <w:tc>
          <w:tcPr>
            <w:tcW w:w="3999" w:type="dxa"/>
          </w:tcPr>
          <w:p w14:paraId="1B934E4A" w14:textId="77777777" w:rsidR="0093441E" w:rsidRPr="002A7673" w:rsidRDefault="0093441E" w:rsidP="0048334E">
            <w:pPr>
              <w:rPr>
                <w:iCs/>
              </w:rPr>
            </w:pPr>
            <w:r w:rsidRPr="002A7673">
              <w:rPr>
                <w:iCs/>
              </w:rPr>
              <w:t xml:space="preserve">En el oficio N°93-DTI-2021 la Máster Kattia Morales Navarro señala que se hicieron esfuerzos para limitar el presupuesto señalado, pero se tienen aspectos ajenos a su control que lo impiden, </w:t>
            </w:r>
            <w:proofErr w:type="gramStart"/>
            <w:r w:rsidRPr="002A7673">
              <w:rPr>
                <w:iCs/>
              </w:rPr>
              <w:t>como</w:t>
            </w:r>
            <w:proofErr w:type="gramEnd"/>
            <w:r w:rsidRPr="002A7673">
              <w:rPr>
                <w:iCs/>
              </w:rPr>
              <w:t xml:space="preserve"> por ejemplo: nuevos contratos de enlaces de fibra óptica para necesidades institucionales, rediseño del servicio de Data center para clientes empresariales.</w:t>
            </w:r>
          </w:p>
        </w:tc>
      </w:tr>
      <w:tr w:rsidR="0093441E" w:rsidRPr="002A7673" w14:paraId="2BCBE98D" w14:textId="77777777" w:rsidTr="0048334E">
        <w:trPr>
          <w:jc w:val="center"/>
        </w:trPr>
        <w:tc>
          <w:tcPr>
            <w:tcW w:w="3246" w:type="dxa"/>
            <w:vAlign w:val="center"/>
          </w:tcPr>
          <w:p w14:paraId="17CD6EFF" w14:textId="77777777" w:rsidR="0093441E" w:rsidRPr="002A7673" w:rsidRDefault="0093441E" w:rsidP="0048334E">
            <w:pPr>
              <w:rPr>
                <w:iCs/>
              </w:rPr>
            </w:pPr>
            <w:r w:rsidRPr="002A7673">
              <w:rPr>
                <w:color w:val="000000"/>
              </w:rPr>
              <w:t>Administración Circuito Judicial de Cartago</w:t>
            </w:r>
          </w:p>
        </w:tc>
        <w:tc>
          <w:tcPr>
            <w:tcW w:w="1563" w:type="dxa"/>
            <w:vAlign w:val="center"/>
          </w:tcPr>
          <w:p w14:paraId="3F27EDE6" w14:textId="77777777" w:rsidR="0093441E" w:rsidRPr="002A7673" w:rsidRDefault="0093441E" w:rsidP="0048334E">
            <w:pPr>
              <w:jc w:val="center"/>
              <w:rPr>
                <w:color w:val="000000"/>
                <w:lang w:eastAsia="es-CR"/>
              </w:rPr>
            </w:pPr>
            <w:r w:rsidRPr="002A7673">
              <w:rPr>
                <w:color w:val="000000"/>
              </w:rPr>
              <w:t>12,8%</w:t>
            </w:r>
          </w:p>
          <w:p w14:paraId="79DE7268" w14:textId="77777777" w:rsidR="0093441E" w:rsidRPr="002A7673" w:rsidRDefault="0093441E" w:rsidP="0048334E">
            <w:pPr>
              <w:jc w:val="center"/>
              <w:rPr>
                <w:iCs/>
              </w:rPr>
            </w:pPr>
          </w:p>
        </w:tc>
        <w:tc>
          <w:tcPr>
            <w:tcW w:w="3999" w:type="dxa"/>
          </w:tcPr>
          <w:p w14:paraId="65D80886" w14:textId="77777777" w:rsidR="0093441E" w:rsidRPr="002A7673" w:rsidRDefault="0093441E" w:rsidP="0048334E">
            <w:pPr>
              <w:rPr>
                <w:iCs/>
              </w:rPr>
            </w:pPr>
            <w:r w:rsidRPr="002A7673">
              <w:rPr>
                <w:iCs/>
              </w:rPr>
              <w:t xml:space="preserve">Mediante oficio N°03-CAC-2021 el Lic. Luis Solís Jiménez indicó que pese a los esfuerzos por disminuir lo formulado no fue posible cumplir con el límite presupuestario establecido. El principal incremento se da en las subpartidas de servicios públicos y los artículos utilizados para la prevención de la pandemia. Además, existe un aumento en el presupuesto asignado por el Área de Informática y Construcciones para el 2022. </w:t>
            </w:r>
          </w:p>
        </w:tc>
      </w:tr>
      <w:tr w:rsidR="0093441E" w:rsidRPr="002A7673" w14:paraId="03779C60" w14:textId="77777777" w:rsidTr="0048334E">
        <w:trPr>
          <w:jc w:val="center"/>
        </w:trPr>
        <w:tc>
          <w:tcPr>
            <w:tcW w:w="3246" w:type="dxa"/>
            <w:vAlign w:val="center"/>
          </w:tcPr>
          <w:p w14:paraId="48CB9D24" w14:textId="77777777" w:rsidR="0093441E" w:rsidRPr="002A7673" w:rsidRDefault="0093441E" w:rsidP="0048334E">
            <w:r w:rsidRPr="002A7673">
              <w:rPr>
                <w:color w:val="000000"/>
              </w:rPr>
              <w:t>Departamento de Trabajo Social y Psicología</w:t>
            </w:r>
          </w:p>
        </w:tc>
        <w:tc>
          <w:tcPr>
            <w:tcW w:w="1563" w:type="dxa"/>
            <w:vAlign w:val="center"/>
          </w:tcPr>
          <w:p w14:paraId="46583C87" w14:textId="77777777" w:rsidR="0093441E" w:rsidRPr="002A7673" w:rsidRDefault="0093441E" w:rsidP="0048334E">
            <w:pPr>
              <w:jc w:val="center"/>
              <w:rPr>
                <w:color w:val="000000"/>
                <w:lang w:eastAsia="es-CR"/>
              </w:rPr>
            </w:pPr>
            <w:r w:rsidRPr="002A7673">
              <w:rPr>
                <w:color w:val="000000"/>
              </w:rPr>
              <w:t>11,5%</w:t>
            </w:r>
          </w:p>
          <w:p w14:paraId="4216E7B3" w14:textId="77777777" w:rsidR="0093441E" w:rsidRPr="002A7673" w:rsidRDefault="0093441E" w:rsidP="0048334E">
            <w:pPr>
              <w:jc w:val="center"/>
              <w:rPr>
                <w:iCs/>
              </w:rPr>
            </w:pPr>
          </w:p>
        </w:tc>
        <w:tc>
          <w:tcPr>
            <w:tcW w:w="3999" w:type="dxa"/>
          </w:tcPr>
          <w:p w14:paraId="03C3A402" w14:textId="77777777" w:rsidR="0093441E" w:rsidRPr="002A7673" w:rsidRDefault="0093441E" w:rsidP="0048334E">
            <w:pPr>
              <w:rPr>
                <w:iCs/>
              </w:rPr>
            </w:pPr>
            <w:r w:rsidRPr="002A7673">
              <w:rPr>
                <w:iCs/>
              </w:rPr>
              <w:t xml:space="preserve">El Departamento de Trabajo Social y Psicología en el oficio N°DTSP-011-2021 señala </w:t>
            </w:r>
            <w:proofErr w:type="gramStart"/>
            <w:r w:rsidRPr="002A7673">
              <w:rPr>
                <w:iCs/>
              </w:rPr>
              <w:t>que</w:t>
            </w:r>
            <w:proofErr w:type="gramEnd"/>
            <w:r w:rsidRPr="002A7673">
              <w:rPr>
                <w:iCs/>
              </w:rPr>
              <w:t xml:space="preserve"> a pesar de los recortes aplicados en las diferentes subpartidas, no es posible ajustarse al límite presupuestario establecido, </w:t>
            </w:r>
            <w:r w:rsidRPr="002A7673">
              <w:rPr>
                <w:iCs/>
              </w:rPr>
              <w:lastRenderedPageBreak/>
              <w:t>ya que el incremento presentado corresponde a servicios ordinarios e ineludibles, como por ejemplo: alquileres de edificios, servicios públicos, limpieza, vigilancia y Test en Psicología, estas últimas se utilizan en todas las Oficinas de Trabajo Social y Psicología a nivel nacional.</w:t>
            </w:r>
          </w:p>
        </w:tc>
      </w:tr>
      <w:tr w:rsidR="0093441E" w:rsidRPr="002A7673" w14:paraId="26C8D5F3" w14:textId="77777777" w:rsidTr="0048334E">
        <w:trPr>
          <w:jc w:val="center"/>
        </w:trPr>
        <w:tc>
          <w:tcPr>
            <w:tcW w:w="3246" w:type="dxa"/>
            <w:vAlign w:val="center"/>
          </w:tcPr>
          <w:p w14:paraId="1EB6B278" w14:textId="77777777" w:rsidR="0093441E" w:rsidRPr="002A7673" w:rsidRDefault="0093441E" w:rsidP="0048334E">
            <w:r w:rsidRPr="002A7673">
              <w:rPr>
                <w:color w:val="000000"/>
              </w:rPr>
              <w:lastRenderedPageBreak/>
              <w:t>Administración del I Circuito Judicial de la Zona Sur</w:t>
            </w:r>
          </w:p>
        </w:tc>
        <w:tc>
          <w:tcPr>
            <w:tcW w:w="1563" w:type="dxa"/>
            <w:vAlign w:val="center"/>
          </w:tcPr>
          <w:p w14:paraId="61E963C8" w14:textId="77777777" w:rsidR="0093441E" w:rsidRPr="002A7673" w:rsidRDefault="0093441E" w:rsidP="0048334E">
            <w:pPr>
              <w:jc w:val="center"/>
              <w:rPr>
                <w:color w:val="000000"/>
                <w:lang w:eastAsia="es-CR"/>
              </w:rPr>
            </w:pPr>
            <w:r w:rsidRPr="002A7673">
              <w:rPr>
                <w:color w:val="000000"/>
              </w:rPr>
              <w:t>10,3%</w:t>
            </w:r>
          </w:p>
          <w:p w14:paraId="51A5E6B7" w14:textId="77777777" w:rsidR="0093441E" w:rsidRPr="002A7673" w:rsidRDefault="0093441E" w:rsidP="0048334E">
            <w:pPr>
              <w:jc w:val="center"/>
              <w:rPr>
                <w:iCs/>
              </w:rPr>
            </w:pPr>
          </w:p>
        </w:tc>
        <w:tc>
          <w:tcPr>
            <w:tcW w:w="3999" w:type="dxa"/>
          </w:tcPr>
          <w:p w14:paraId="6490EC5F" w14:textId="77777777" w:rsidR="0093441E" w:rsidRPr="002A7673" w:rsidRDefault="0093441E" w:rsidP="0048334E">
            <w:pPr>
              <w:rPr>
                <w:iCs/>
              </w:rPr>
            </w:pPr>
            <w:r w:rsidRPr="002A7673">
              <w:rPr>
                <w:iCs/>
              </w:rPr>
              <w:t xml:space="preserve">El exceso en el presupuesto más allá de lo permitido para el 2022 se justifica en la inclusión por vez primera de los recursos de </w:t>
            </w:r>
            <w:proofErr w:type="gramStart"/>
            <w:r w:rsidRPr="002A7673">
              <w:rPr>
                <w:iCs/>
              </w:rPr>
              <w:t>la  Oficina</w:t>
            </w:r>
            <w:proofErr w:type="gramEnd"/>
            <w:r w:rsidRPr="002A7673">
              <w:rPr>
                <w:iCs/>
              </w:rPr>
              <w:t xml:space="preserve"> de Comunicaciones Judiciales de Buenos Aires (¢9.647.313), incremento en alquileres y servicios básicos.</w:t>
            </w:r>
          </w:p>
        </w:tc>
      </w:tr>
      <w:tr w:rsidR="0093441E" w:rsidRPr="002A7673" w14:paraId="298EAE01" w14:textId="77777777" w:rsidTr="0048334E">
        <w:trPr>
          <w:jc w:val="center"/>
        </w:trPr>
        <w:tc>
          <w:tcPr>
            <w:tcW w:w="3246" w:type="dxa"/>
            <w:vAlign w:val="center"/>
          </w:tcPr>
          <w:p w14:paraId="01C4922A" w14:textId="77777777" w:rsidR="0093441E" w:rsidRPr="002A7673" w:rsidRDefault="0093441E" w:rsidP="0048334E">
            <w:r w:rsidRPr="002A7673">
              <w:rPr>
                <w:color w:val="000000"/>
              </w:rPr>
              <w:t>Secretaría de Género y Acceso a la Justicia</w:t>
            </w:r>
          </w:p>
        </w:tc>
        <w:tc>
          <w:tcPr>
            <w:tcW w:w="1563" w:type="dxa"/>
            <w:vAlign w:val="center"/>
          </w:tcPr>
          <w:p w14:paraId="6D28024A" w14:textId="77777777" w:rsidR="0093441E" w:rsidRPr="002A7673" w:rsidRDefault="0093441E" w:rsidP="0048334E">
            <w:pPr>
              <w:jc w:val="center"/>
              <w:rPr>
                <w:color w:val="000000"/>
                <w:lang w:eastAsia="es-CR"/>
              </w:rPr>
            </w:pPr>
            <w:r w:rsidRPr="002A7673">
              <w:rPr>
                <w:color w:val="000000"/>
              </w:rPr>
              <w:t>9,6%</w:t>
            </w:r>
          </w:p>
          <w:p w14:paraId="32ECB118" w14:textId="77777777" w:rsidR="0093441E" w:rsidRPr="002A7673" w:rsidRDefault="0093441E" w:rsidP="0048334E">
            <w:pPr>
              <w:jc w:val="center"/>
              <w:rPr>
                <w:iCs/>
              </w:rPr>
            </w:pPr>
          </w:p>
        </w:tc>
        <w:tc>
          <w:tcPr>
            <w:tcW w:w="3999" w:type="dxa"/>
          </w:tcPr>
          <w:p w14:paraId="3D52B8F7" w14:textId="77777777" w:rsidR="0093441E" w:rsidRPr="002A7673" w:rsidRDefault="0093441E" w:rsidP="0048334E">
            <w:pPr>
              <w:rPr>
                <w:iCs/>
              </w:rPr>
            </w:pPr>
            <w:r w:rsidRPr="002A7673">
              <w:rPr>
                <w:iCs/>
              </w:rPr>
              <w:t>El crecimiento se presenta en las subpartidas de servicios básicos 10201, 10202 y 10204, el cual pasó de ₡2.544.591 en el año 2021 a ₡4.916.470 para el año 2022.</w:t>
            </w:r>
          </w:p>
        </w:tc>
      </w:tr>
      <w:tr w:rsidR="0093441E" w:rsidRPr="002A7673" w14:paraId="0EB4DF9F" w14:textId="77777777" w:rsidTr="0048334E">
        <w:trPr>
          <w:jc w:val="center"/>
        </w:trPr>
        <w:tc>
          <w:tcPr>
            <w:tcW w:w="3246" w:type="dxa"/>
            <w:vAlign w:val="center"/>
          </w:tcPr>
          <w:p w14:paraId="61B620C5" w14:textId="77777777" w:rsidR="0093441E" w:rsidRPr="002A7673" w:rsidRDefault="0093441E" w:rsidP="0048334E">
            <w:pPr>
              <w:rPr>
                <w:iCs/>
              </w:rPr>
            </w:pPr>
            <w:r w:rsidRPr="002A7673">
              <w:rPr>
                <w:color w:val="000000"/>
              </w:rPr>
              <w:t>Sala Constitucional</w:t>
            </w:r>
          </w:p>
        </w:tc>
        <w:tc>
          <w:tcPr>
            <w:tcW w:w="1563" w:type="dxa"/>
            <w:vAlign w:val="center"/>
          </w:tcPr>
          <w:p w14:paraId="23141F8D" w14:textId="77777777" w:rsidR="0093441E" w:rsidRPr="002A7673" w:rsidRDefault="0093441E" w:rsidP="0048334E">
            <w:pPr>
              <w:jc w:val="center"/>
              <w:rPr>
                <w:color w:val="000000"/>
                <w:lang w:eastAsia="es-CR"/>
              </w:rPr>
            </w:pPr>
            <w:r w:rsidRPr="002A7673">
              <w:rPr>
                <w:color w:val="000000"/>
              </w:rPr>
              <w:t>8,5%</w:t>
            </w:r>
          </w:p>
          <w:p w14:paraId="560B32F9" w14:textId="77777777" w:rsidR="0093441E" w:rsidRPr="002A7673" w:rsidRDefault="0093441E" w:rsidP="0048334E">
            <w:pPr>
              <w:jc w:val="center"/>
              <w:rPr>
                <w:iCs/>
              </w:rPr>
            </w:pPr>
          </w:p>
        </w:tc>
        <w:tc>
          <w:tcPr>
            <w:tcW w:w="3999" w:type="dxa"/>
          </w:tcPr>
          <w:p w14:paraId="06AF50A1" w14:textId="77777777" w:rsidR="0093441E" w:rsidRPr="002A7673" w:rsidRDefault="0093441E" w:rsidP="0048334E">
            <w:pPr>
              <w:rPr>
                <w:color w:val="000000"/>
              </w:rPr>
            </w:pPr>
            <w:r w:rsidRPr="002A7673">
              <w:rPr>
                <w:color w:val="000000"/>
              </w:rPr>
              <w:t>Incremento en el alquiler del edificio de ¢62.142.596 (7,4%). Adicionalmente, a través de Vehículos se aprobaron ¢29.083.148 para la sustitución de dos vehículos todo terreno.</w:t>
            </w:r>
          </w:p>
        </w:tc>
      </w:tr>
      <w:tr w:rsidR="0093441E" w:rsidRPr="002A7673" w14:paraId="13F33C1A" w14:textId="77777777" w:rsidTr="0048334E">
        <w:trPr>
          <w:jc w:val="center"/>
        </w:trPr>
        <w:tc>
          <w:tcPr>
            <w:tcW w:w="3246" w:type="dxa"/>
            <w:vAlign w:val="center"/>
          </w:tcPr>
          <w:p w14:paraId="4BF393E7" w14:textId="77777777" w:rsidR="0093441E" w:rsidRPr="002A7673" w:rsidRDefault="0093441E" w:rsidP="0048334E">
            <w:pPr>
              <w:rPr>
                <w:iCs/>
              </w:rPr>
            </w:pPr>
            <w:r w:rsidRPr="002A7673">
              <w:rPr>
                <w:color w:val="000000"/>
              </w:rPr>
              <w:t>Tercer Circuito Judicial San José</w:t>
            </w:r>
          </w:p>
        </w:tc>
        <w:tc>
          <w:tcPr>
            <w:tcW w:w="1563" w:type="dxa"/>
            <w:vAlign w:val="center"/>
          </w:tcPr>
          <w:p w14:paraId="5A7DE726" w14:textId="77777777" w:rsidR="0093441E" w:rsidRPr="002A7673" w:rsidRDefault="0093441E" w:rsidP="0048334E">
            <w:pPr>
              <w:jc w:val="center"/>
              <w:rPr>
                <w:color w:val="000000"/>
                <w:lang w:eastAsia="es-CR"/>
              </w:rPr>
            </w:pPr>
            <w:r w:rsidRPr="002A7673">
              <w:rPr>
                <w:color w:val="000000"/>
              </w:rPr>
              <w:t>8,4%</w:t>
            </w:r>
          </w:p>
          <w:p w14:paraId="2B197BAA" w14:textId="77777777" w:rsidR="0093441E" w:rsidRPr="002A7673" w:rsidRDefault="0093441E" w:rsidP="0048334E">
            <w:pPr>
              <w:jc w:val="center"/>
              <w:rPr>
                <w:iCs/>
              </w:rPr>
            </w:pPr>
          </w:p>
        </w:tc>
        <w:tc>
          <w:tcPr>
            <w:tcW w:w="3999" w:type="dxa"/>
          </w:tcPr>
          <w:p w14:paraId="0BAA00F4" w14:textId="77777777" w:rsidR="0093441E" w:rsidRPr="002A7673" w:rsidRDefault="0093441E" w:rsidP="0048334E">
            <w:pPr>
              <w:rPr>
                <w:color w:val="000000"/>
              </w:rPr>
            </w:pPr>
            <w:r w:rsidRPr="002A7673">
              <w:rPr>
                <w:color w:val="000000"/>
              </w:rPr>
              <w:t xml:space="preserve">El incremento se presenta en servicios ordinarios e ineludibles:  alquileres de edificios, servicios públicos, limpieza, vigilancia, servicio de fotocopiado, contrato GPS y artículos para la prevención del Covid-19. </w:t>
            </w:r>
            <w:r w:rsidRPr="002A7673">
              <w:rPr>
                <w:iCs/>
              </w:rPr>
              <w:t>También porque los recursos solicitados a través del Área de Informática son más en el 2022, con respecto a los aprobados para el 2021.</w:t>
            </w:r>
          </w:p>
        </w:tc>
      </w:tr>
      <w:tr w:rsidR="0093441E" w:rsidRPr="002A7673" w14:paraId="7FCAE9B7" w14:textId="77777777" w:rsidTr="0048334E">
        <w:trPr>
          <w:jc w:val="center"/>
        </w:trPr>
        <w:tc>
          <w:tcPr>
            <w:tcW w:w="3246" w:type="dxa"/>
            <w:vAlign w:val="center"/>
          </w:tcPr>
          <w:p w14:paraId="75557268" w14:textId="77777777" w:rsidR="0093441E" w:rsidRPr="002A7673" w:rsidRDefault="0093441E" w:rsidP="0048334E">
            <w:r w:rsidRPr="002A7673">
              <w:rPr>
                <w:color w:val="000000"/>
              </w:rPr>
              <w:t>Administración del I Circuito Judicial de la Zona Atlántica</w:t>
            </w:r>
          </w:p>
        </w:tc>
        <w:tc>
          <w:tcPr>
            <w:tcW w:w="1563" w:type="dxa"/>
            <w:vAlign w:val="center"/>
          </w:tcPr>
          <w:p w14:paraId="6A12EC20" w14:textId="77777777" w:rsidR="0093441E" w:rsidRPr="002A7673" w:rsidRDefault="0093441E" w:rsidP="0048334E">
            <w:pPr>
              <w:jc w:val="center"/>
              <w:rPr>
                <w:color w:val="000000"/>
                <w:lang w:eastAsia="es-CR"/>
              </w:rPr>
            </w:pPr>
            <w:r w:rsidRPr="002A7673">
              <w:rPr>
                <w:color w:val="000000"/>
              </w:rPr>
              <w:t>8,3%</w:t>
            </w:r>
          </w:p>
          <w:p w14:paraId="72F97AA3" w14:textId="77777777" w:rsidR="0093441E" w:rsidRPr="002A7673" w:rsidRDefault="0093441E" w:rsidP="0048334E">
            <w:pPr>
              <w:jc w:val="center"/>
              <w:rPr>
                <w:iCs/>
              </w:rPr>
            </w:pPr>
          </w:p>
        </w:tc>
        <w:tc>
          <w:tcPr>
            <w:tcW w:w="3999" w:type="dxa"/>
          </w:tcPr>
          <w:p w14:paraId="67E2B872" w14:textId="77777777" w:rsidR="0093441E" w:rsidRPr="002A7673" w:rsidRDefault="0093441E" w:rsidP="0048334E">
            <w:pPr>
              <w:rPr>
                <w:color w:val="000000"/>
              </w:rPr>
            </w:pPr>
            <w:r w:rsidRPr="002A7673">
              <w:rPr>
                <w:color w:val="000000"/>
              </w:rPr>
              <w:t>El incremento se debe principalmente a los ¢107.451.705 aprobados a través de la Comisión de Construcciones para la realización de cuatro proyectos, dentro de los que destacan los ¢70.142.517 para el cambio de enchapes en los servicios sanitarios del edificio de Tribunales.</w:t>
            </w:r>
          </w:p>
        </w:tc>
      </w:tr>
      <w:tr w:rsidR="0093441E" w:rsidRPr="002A7673" w14:paraId="23F6C15E" w14:textId="77777777" w:rsidTr="0048334E">
        <w:trPr>
          <w:jc w:val="center"/>
        </w:trPr>
        <w:tc>
          <w:tcPr>
            <w:tcW w:w="3246" w:type="dxa"/>
            <w:vAlign w:val="center"/>
          </w:tcPr>
          <w:p w14:paraId="26751ECC" w14:textId="77777777" w:rsidR="0093441E" w:rsidRPr="002A7673" w:rsidRDefault="0093441E" w:rsidP="0048334E">
            <w:r w:rsidRPr="002A7673">
              <w:rPr>
                <w:color w:val="000000"/>
              </w:rPr>
              <w:t>Administración del I Circuito Judicial de Alajuela</w:t>
            </w:r>
          </w:p>
        </w:tc>
        <w:tc>
          <w:tcPr>
            <w:tcW w:w="1563" w:type="dxa"/>
            <w:vAlign w:val="center"/>
          </w:tcPr>
          <w:p w14:paraId="762B41C3" w14:textId="77777777" w:rsidR="0093441E" w:rsidRPr="002A7673" w:rsidRDefault="0093441E" w:rsidP="0048334E">
            <w:pPr>
              <w:jc w:val="center"/>
              <w:rPr>
                <w:color w:val="000000"/>
                <w:lang w:eastAsia="es-CR"/>
              </w:rPr>
            </w:pPr>
            <w:r w:rsidRPr="002A7673">
              <w:rPr>
                <w:color w:val="000000"/>
              </w:rPr>
              <w:t>7,3%</w:t>
            </w:r>
          </w:p>
          <w:p w14:paraId="7486C4E1" w14:textId="77777777" w:rsidR="0093441E" w:rsidRPr="002A7673" w:rsidRDefault="0093441E" w:rsidP="0048334E">
            <w:pPr>
              <w:jc w:val="center"/>
              <w:rPr>
                <w:iCs/>
              </w:rPr>
            </w:pPr>
          </w:p>
        </w:tc>
        <w:tc>
          <w:tcPr>
            <w:tcW w:w="3999" w:type="dxa"/>
          </w:tcPr>
          <w:p w14:paraId="713BF36E" w14:textId="77777777" w:rsidR="0093441E" w:rsidRPr="002A7673" w:rsidRDefault="0093441E" w:rsidP="0048334E">
            <w:pPr>
              <w:rPr>
                <w:color w:val="000000"/>
              </w:rPr>
            </w:pPr>
            <w:r w:rsidRPr="002A7673">
              <w:rPr>
                <w:color w:val="000000"/>
              </w:rPr>
              <w:t xml:space="preserve">El crecimiento obedece principalmente a la inclusión </w:t>
            </w:r>
            <w:proofErr w:type="gramStart"/>
            <w:r w:rsidRPr="002A7673">
              <w:rPr>
                <w:color w:val="000000"/>
              </w:rPr>
              <w:t>de  recursos</w:t>
            </w:r>
            <w:proofErr w:type="gramEnd"/>
            <w:r w:rsidRPr="002A7673">
              <w:rPr>
                <w:color w:val="000000"/>
              </w:rPr>
              <w:t xml:space="preserve"> para realizar  trabajos eléctricos en el edificio de Atenas por ¢55.000.000 y ¢100.200.000 para el cambio de la cubierta de techo del edificio de Tribunales de Justicia de Alajuela.  Además, la inclusión de ¢10.500.000 para la construcción de aceras en los Tribunales de Atenas y ¢8.722.</w:t>
            </w:r>
            <w:proofErr w:type="gramStart"/>
            <w:r w:rsidRPr="002A7673">
              <w:rPr>
                <w:color w:val="000000"/>
              </w:rPr>
              <w:t>464  para</w:t>
            </w:r>
            <w:proofErr w:type="gramEnd"/>
            <w:r w:rsidRPr="002A7673">
              <w:rPr>
                <w:color w:val="000000"/>
              </w:rPr>
              <w:t xml:space="preserve">  la sustitución de los vehículos.  </w:t>
            </w:r>
          </w:p>
        </w:tc>
      </w:tr>
      <w:tr w:rsidR="0093441E" w:rsidRPr="002A7673" w14:paraId="6DB80C80" w14:textId="77777777" w:rsidTr="0048334E">
        <w:trPr>
          <w:jc w:val="center"/>
        </w:trPr>
        <w:tc>
          <w:tcPr>
            <w:tcW w:w="3246" w:type="dxa"/>
            <w:vAlign w:val="center"/>
          </w:tcPr>
          <w:p w14:paraId="4C64F71C" w14:textId="77777777" w:rsidR="0093441E" w:rsidRPr="002A7673" w:rsidRDefault="0093441E" w:rsidP="0048334E">
            <w:pPr>
              <w:rPr>
                <w:iCs/>
              </w:rPr>
            </w:pPr>
            <w:r w:rsidRPr="002A7673">
              <w:rPr>
                <w:color w:val="000000"/>
              </w:rPr>
              <w:t>Auditoría</w:t>
            </w:r>
          </w:p>
        </w:tc>
        <w:tc>
          <w:tcPr>
            <w:tcW w:w="1563" w:type="dxa"/>
            <w:vAlign w:val="center"/>
          </w:tcPr>
          <w:p w14:paraId="5868BD58" w14:textId="77777777" w:rsidR="0093441E" w:rsidRPr="002A7673" w:rsidRDefault="0093441E" w:rsidP="0048334E">
            <w:pPr>
              <w:jc w:val="center"/>
              <w:rPr>
                <w:color w:val="000000"/>
                <w:lang w:eastAsia="es-CR"/>
              </w:rPr>
            </w:pPr>
            <w:r w:rsidRPr="002A7673">
              <w:rPr>
                <w:color w:val="000000"/>
              </w:rPr>
              <w:t>6,6%</w:t>
            </w:r>
          </w:p>
          <w:p w14:paraId="4534C072" w14:textId="77777777" w:rsidR="0093441E" w:rsidRPr="002A7673" w:rsidRDefault="0093441E" w:rsidP="0048334E">
            <w:pPr>
              <w:jc w:val="center"/>
              <w:rPr>
                <w:iCs/>
              </w:rPr>
            </w:pPr>
          </w:p>
        </w:tc>
        <w:tc>
          <w:tcPr>
            <w:tcW w:w="3999" w:type="dxa"/>
          </w:tcPr>
          <w:p w14:paraId="13C7A956" w14:textId="77777777" w:rsidR="0093441E" w:rsidRPr="002A7673" w:rsidRDefault="0093441E" w:rsidP="0048334E">
            <w:pPr>
              <w:rPr>
                <w:color w:val="000000"/>
              </w:rPr>
            </w:pPr>
            <w:r w:rsidRPr="002A7673">
              <w:rPr>
                <w:color w:val="000000"/>
              </w:rPr>
              <w:t>El crecimiento se debe a los recursos formulados para el contrato N°</w:t>
            </w:r>
            <w:proofErr w:type="gramStart"/>
            <w:r w:rsidRPr="002A7673">
              <w:rPr>
                <w:color w:val="000000"/>
              </w:rPr>
              <w:t>029120  de</w:t>
            </w:r>
            <w:proofErr w:type="gramEnd"/>
            <w:r w:rsidRPr="002A7673">
              <w:rPr>
                <w:color w:val="000000"/>
              </w:rPr>
              <w:t xml:space="preserve"> renovación de  las licencias del </w:t>
            </w:r>
            <w:proofErr w:type="spellStart"/>
            <w:r w:rsidRPr="002A7673">
              <w:rPr>
                <w:color w:val="000000"/>
              </w:rPr>
              <w:t>Team</w:t>
            </w:r>
            <w:proofErr w:type="spellEnd"/>
            <w:r w:rsidRPr="002A7673">
              <w:rPr>
                <w:color w:val="000000"/>
              </w:rPr>
              <w:t xml:space="preserve"> Mate </w:t>
            </w:r>
            <w:r w:rsidRPr="002A7673">
              <w:rPr>
                <w:color w:val="000000"/>
              </w:rPr>
              <w:lastRenderedPageBreak/>
              <w:t xml:space="preserve">que presenta un incremento de ¢7.502.922 con respecto al del 2021.  </w:t>
            </w:r>
          </w:p>
        </w:tc>
      </w:tr>
      <w:tr w:rsidR="0093441E" w:rsidRPr="002A7673" w14:paraId="3CAE49CC" w14:textId="77777777" w:rsidTr="0048334E">
        <w:trPr>
          <w:jc w:val="center"/>
        </w:trPr>
        <w:tc>
          <w:tcPr>
            <w:tcW w:w="3246" w:type="dxa"/>
            <w:vAlign w:val="center"/>
          </w:tcPr>
          <w:p w14:paraId="48C4768C" w14:textId="77777777" w:rsidR="0093441E" w:rsidRPr="002A7673" w:rsidRDefault="0093441E" w:rsidP="0048334E">
            <w:pPr>
              <w:rPr>
                <w:iCs/>
              </w:rPr>
            </w:pPr>
            <w:r w:rsidRPr="002A7673">
              <w:rPr>
                <w:color w:val="000000"/>
              </w:rPr>
              <w:lastRenderedPageBreak/>
              <w:t>Administración Regional de Quepos</w:t>
            </w:r>
          </w:p>
        </w:tc>
        <w:tc>
          <w:tcPr>
            <w:tcW w:w="1563" w:type="dxa"/>
            <w:vAlign w:val="center"/>
          </w:tcPr>
          <w:p w14:paraId="3404B001" w14:textId="77777777" w:rsidR="0093441E" w:rsidRPr="002A7673" w:rsidRDefault="0093441E" w:rsidP="0048334E">
            <w:pPr>
              <w:jc w:val="center"/>
              <w:rPr>
                <w:color w:val="000000"/>
                <w:lang w:eastAsia="es-CR"/>
              </w:rPr>
            </w:pPr>
            <w:r w:rsidRPr="002A7673">
              <w:rPr>
                <w:color w:val="000000"/>
              </w:rPr>
              <w:t>3,6%</w:t>
            </w:r>
          </w:p>
          <w:p w14:paraId="32E0D35B" w14:textId="77777777" w:rsidR="0093441E" w:rsidRPr="002A7673" w:rsidRDefault="0093441E" w:rsidP="0048334E">
            <w:pPr>
              <w:jc w:val="center"/>
              <w:rPr>
                <w:iCs/>
              </w:rPr>
            </w:pPr>
          </w:p>
        </w:tc>
        <w:tc>
          <w:tcPr>
            <w:tcW w:w="3999" w:type="dxa"/>
          </w:tcPr>
          <w:p w14:paraId="76191E5A" w14:textId="77777777" w:rsidR="0093441E" w:rsidRPr="002A7673" w:rsidRDefault="0093441E" w:rsidP="0048334E">
            <w:pPr>
              <w:rPr>
                <w:iCs/>
              </w:rPr>
            </w:pPr>
            <w:r w:rsidRPr="002A7673">
              <w:t>El crecimiento se debe a un aumento en el presupuesto formulado por el Área de Informática y del contrato de alquiler N°0005-AR del local del Juzgado Contravencional de Quepos.</w:t>
            </w:r>
          </w:p>
        </w:tc>
      </w:tr>
      <w:tr w:rsidR="0093441E" w:rsidRPr="002A7673" w14:paraId="7BF0DE46" w14:textId="77777777" w:rsidTr="0048334E">
        <w:trPr>
          <w:jc w:val="center"/>
        </w:trPr>
        <w:tc>
          <w:tcPr>
            <w:tcW w:w="3246" w:type="dxa"/>
            <w:vAlign w:val="center"/>
          </w:tcPr>
          <w:p w14:paraId="0551EE8E" w14:textId="77777777" w:rsidR="0093441E" w:rsidRPr="002A7673" w:rsidRDefault="0093441E" w:rsidP="0048334E">
            <w:r w:rsidRPr="002A7673">
              <w:rPr>
                <w:color w:val="000000"/>
              </w:rPr>
              <w:t>Administración del II Circuito Judicial de Guanacaste</w:t>
            </w:r>
          </w:p>
        </w:tc>
        <w:tc>
          <w:tcPr>
            <w:tcW w:w="1563" w:type="dxa"/>
            <w:vAlign w:val="center"/>
          </w:tcPr>
          <w:p w14:paraId="33397017" w14:textId="77777777" w:rsidR="0093441E" w:rsidRPr="002A7673" w:rsidRDefault="0093441E" w:rsidP="0048334E">
            <w:pPr>
              <w:jc w:val="center"/>
              <w:rPr>
                <w:color w:val="000000"/>
                <w:lang w:eastAsia="es-CR"/>
              </w:rPr>
            </w:pPr>
            <w:r w:rsidRPr="002A7673">
              <w:rPr>
                <w:color w:val="000000"/>
              </w:rPr>
              <w:t>3,3%</w:t>
            </w:r>
          </w:p>
          <w:p w14:paraId="3D8DE62B" w14:textId="77777777" w:rsidR="0093441E" w:rsidRPr="002A7673" w:rsidRDefault="0093441E" w:rsidP="0048334E">
            <w:pPr>
              <w:jc w:val="center"/>
              <w:rPr>
                <w:iCs/>
              </w:rPr>
            </w:pPr>
          </w:p>
        </w:tc>
        <w:tc>
          <w:tcPr>
            <w:tcW w:w="3999" w:type="dxa"/>
          </w:tcPr>
          <w:p w14:paraId="07C3C1DD" w14:textId="77777777" w:rsidR="0093441E" w:rsidRPr="002A7673" w:rsidRDefault="0093441E" w:rsidP="0048334E">
            <w:pPr>
              <w:rPr>
                <w:color w:val="000000"/>
              </w:rPr>
            </w:pPr>
            <w:r w:rsidRPr="002A7673">
              <w:rPr>
                <w:color w:val="000000"/>
              </w:rPr>
              <w:t>El incremento se debe al aumento de ¢9.400.000 en el costo del nuevo contrato para el mantenimiento del sistema contra incendio del edificio de Nicoya y de la inclusión de ¢7.700.000 para el mantenimiento de los tomas y tableros. Adicionalmente, a través de la Comisión de Construcciones se aprobaron ¢75.517.467 para tres proyectos, de los cuales destaca la segunda etapa de sustitución de equipo de aire acondicionado en el edificio de Tribunales por ¢50.000.000.</w:t>
            </w:r>
          </w:p>
        </w:tc>
      </w:tr>
      <w:tr w:rsidR="0093441E" w:rsidRPr="002A7673" w14:paraId="25015486" w14:textId="77777777" w:rsidTr="0048334E">
        <w:trPr>
          <w:jc w:val="center"/>
        </w:trPr>
        <w:tc>
          <w:tcPr>
            <w:tcW w:w="3246" w:type="dxa"/>
            <w:vAlign w:val="center"/>
          </w:tcPr>
          <w:p w14:paraId="628C1CF6" w14:textId="77777777" w:rsidR="0093441E" w:rsidRPr="002A7673" w:rsidRDefault="0093441E" w:rsidP="0048334E">
            <w:pPr>
              <w:rPr>
                <w:highlight w:val="yellow"/>
              </w:rPr>
            </w:pPr>
            <w:r w:rsidRPr="002A7673">
              <w:rPr>
                <w:color w:val="000000"/>
              </w:rPr>
              <w:t>Administración Circuito Judicial de Heredia</w:t>
            </w:r>
          </w:p>
        </w:tc>
        <w:tc>
          <w:tcPr>
            <w:tcW w:w="1563" w:type="dxa"/>
            <w:vAlign w:val="center"/>
          </w:tcPr>
          <w:p w14:paraId="343FFB2F" w14:textId="77777777" w:rsidR="0093441E" w:rsidRPr="002A7673" w:rsidRDefault="0093441E" w:rsidP="0048334E">
            <w:pPr>
              <w:jc w:val="center"/>
              <w:rPr>
                <w:color w:val="000000"/>
                <w:lang w:eastAsia="es-CR"/>
              </w:rPr>
            </w:pPr>
            <w:r w:rsidRPr="002A7673">
              <w:rPr>
                <w:color w:val="000000"/>
              </w:rPr>
              <w:t>3,0%</w:t>
            </w:r>
          </w:p>
          <w:p w14:paraId="1594108B" w14:textId="77777777" w:rsidR="0093441E" w:rsidRPr="002A7673" w:rsidRDefault="0093441E" w:rsidP="0048334E">
            <w:pPr>
              <w:jc w:val="center"/>
              <w:rPr>
                <w:highlight w:val="yellow"/>
              </w:rPr>
            </w:pPr>
          </w:p>
        </w:tc>
        <w:tc>
          <w:tcPr>
            <w:tcW w:w="3999" w:type="dxa"/>
          </w:tcPr>
          <w:p w14:paraId="6C4B6F7F" w14:textId="77777777" w:rsidR="0093441E" w:rsidRPr="002A7673" w:rsidRDefault="0093441E" w:rsidP="0048334E">
            <w:pPr>
              <w:rPr>
                <w:color w:val="000000"/>
              </w:rPr>
            </w:pPr>
            <w:r w:rsidRPr="002A7673">
              <w:rPr>
                <w:color w:val="000000"/>
              </w:rPr>
              <w:t>El aumento se debe principalmente al incremento en contratos de alquiler de edificio por ¢24.602.175, servicio de vigilancia que incrementó en ¢22.850.484 y el servicio de limpieza en ¢16.578.572.</w:t>
            </w:r>
          </w:p>
        </w:tc>
      </w:tr>
      <w:tr w:rsidR="0093441E" w:rsidRPr="002A7673" w14:paraId="0E79A011" w14:textId="77777777" w:rsidTr="0048334E">
        <w:trPr>
          <w:jc w:val="center"/>
        </w:trPr>
        <w:tc>
          <w:tcPr>
            <w:tcW w:w="3246" w:type="dxa"/>
            <w:vAlign w:val="center"/>
          </w:tcPr>
          <w:p w14:paraId="3F14560C" w14:textId="77777777" w:rsidR="0093441E" w:rsidRPr="002A7673" w:rsidRDefault="0093441E" w:rsidP="0048334E">
            <w:pPr>
              <w:rPr>
                <w:iCs/>
              </w:rPr>
            </w:pPr>
            <w:r w:rsidRPr="002A7673">
              <w:rPr>
                <w:color w:val="000000"/>
              </w:rPr>
              <w:t>Dirección de Planificación</w:t>
            </w:r>
          </w:p>
        </w:tc>
        <w:tc>
          <w:tcPr>
            <w:tcW w:w="1563" w:type="dxa"/>
            <w:vAlign w:val="center"/>
          </w:tcPr>
          <w:p w14:paraId="0A35DB23" w14:textId="77777777" w:rsidR="0093441E" w:rsidRPr="002A7673" w:rsidRDefault="0093441E" w:rsidP="0048334E">
            <w:pPr>
              <w:jc w:val="center"/>
              <w:rPr>
                <w:color w:val="000000"/>
                <w:lang w:eastAsia="es-CR"/>
              </w:rPr>
            </w:pPr>
            <w:r w:rsidRPr="002A7673">
              <w:rPr>
                <w:color w:val="000000"/>
              </w:rPr>
              <w:t>1,2%</w:t>
            </w:r>
          </w:p>
          <w:p w14:paraId="4F2479D9" w14:textId="77777777" w:rsidR="0093441E" w:rsidRPr="002A7673" w:rsidRDefault="0093441E" w:rsidP="0048334E">
            <w:pPr>
              <w:jc w:val="center"/>
              <w:rPr>
                <w:iCs/>
              </w:rPr>
            </w:pPr>
          </w:p>
        </w:tc>
        <w:tc>
          <w:tcPr>
            <w:tcW w:w="3999" w:type="dxa"/>
          </w:tcPr>
          <w:p w14:paraId="45635326" w14:textId="77777777" w:rsidR="0093441E" w:rsidRPr="002A7673" w:rsidRDefault="0093441E" w:rsidP="0048334E">
            <w:pPr>
              <w:rPr>
                <w:lang w:eastAsia="es-CR"/>
              </w:rPr>
            </w:pPr>
            <w:r w:rsidRPr="002A7673">
              <w:t>El crecimiento se debe a los recursos formulados a través del Área de Informática</w:t>
            </w:r>
            <w:r w:rsidRPr="002A7673">
              <w:rPr>
                <w:lang w:eastAsia="es-CR"/>
              </w:rPr>
              <w:t xml:space="preserve">, ya que en el 2021 se aprobaron ¢12.569.480 y para el 2022 se están solicitando ¢21.706.290, una diferencia de ¢9.136.810. El monto requerido es para mantener las suscripciones actuales de los Administradores de Proyectos Proyect Online, </w:t>
            </w:r>
            <w:proofErr w:type="spellStart"/>
            <w:r w:rsidRPr="002A7673">
              <w:rPr>
                <w:lang w:eastAsia="es-CR"/>
              </w:rPr>
              <w:t>Power</w:t>
            </w:r>
            <w:proofErr w:type="spellEnd"/>
            <w:r w:rsidRPr="002A7673">
              <w:rPr>
                <w:lang w:eastAsia="es-CR"/>
              </w:rPr>
              <w:t xml:space="preserve"> BI, Microsoft VISIO y </w:t>
            </w:r>
            <w:proofErr w:type="spellStart"/>
            <w:r w:rsidRPr="002A7673">
              <w:rPr>
                <w:lang w:eastAsia="es-CR"/>
              </w:rPr>
              <w:t>Survey</w:t>
            </w:r>
            <w:proofErr w:type="spellEnd"/>
            <w:r w:rsidRPr="002A7673">
              <w:rPr>
                <w:lang w:eastAsia="es-CR"/>
              </w:rPr>
              <w:t xml:space="preserve"> </w:t>
            </w:r>
            <w:proofErr w:type="spellStart"/>
            <w:r w:rsidRPr="002A7673">
              <w:rPr>
                <w:lang w:eastAsia="es-CR"/>
              </w:rPr>
              <w:t>Monkey</w:t>
            </w:r>
            <w:proofErr w:type="spellEnd"/>
            <w:r w:rsidRPr="002A7673">
              <w:rPr>
                <w:lang w:eastAsia="es-CR"/>
              </w:rPr>
              <w:t>.</w:t>
            </w:r>
          </w:p>
        </w:tc>
      </w:tr>
      <w:tr w:rsidR="0093441E" w:rsidRPr="002A7673" w14:paraId="3F931CDA" w14:textId="77777777" w:rsidTr="0048334E">
        <w:trPr>
          <w:jc w:val="center"/>
        </w:trPr>
        <w:tc>
          <w:tcPr>
            <w:tcW w:w="3246" w:type="dxa"/>
            <w:vAlign w:val="center"/>
          </w:tcPr>
          <w:p w14:paraId="6AFE55AF" w14:textId="77777777" w:rsidR="0093441E" w:rsidRPr="002A7673" w:rsidRDefault="0093441E" w:rsidP="0048334E">
            <w:pPr>
              <w:rPr>
                <w:iCs/>
              </w:rPr>
            </w:pPr>
            <w:r w:rsidRPr="002A7673">
              <w:rPr>
                <w:color w:val="000000"/>
              </w:rPr>
              <w:t>Administración Regional de Grecia</w:t>
            </w:r>
          </w:p>
        </w:tc>
        <w:tc>
          <w:tcPr>
            <w:tcW w:w="1563" w:type="dxa"/>
            <w:vAlign w:val="center"/>
          </w:tcPr>
          <w:p w14:paraId="3A2A0C8A" w14:textId="77777777" w:rsidR="0093441E" w:rsidRPr="002A7673" w:rsidRDefault="0093441E" w:rsidP="0048334E">
            <w:pPr>
              <w:jc w:val="center"/>
              <w:rPr>
                <w:color w:val="000000"/>
                <w:lang w:eastAsia="es-CR"/>
              </w:rPr>
            </w:pPr>
            <w:r w:rsidRPr="002A7673">
              <w:rPr>
                <w:color w:val="000000"/>
              </w:rPr>
              <w:t>1,1%</w:t>
            </w:r>
          </w:p>
          <w:p w14:paraId="7A2FEE9C" w14:textId="77777777" w:rsidR="0093441E" w:rsidRPr="002A7673" w:rsidRDefault="0093441E" w:rsidP="0048334E">
            <w:pPr>
              <w:spacing w:line="360" w:lineRule="auto"/>
              <w:jc w:val="center"/>
              <w:rPr>
                <w:iCs/>
              </w:rPr>
            </w:pPr>
          </w:p>
        </w:tc>
        <w:tc>
          <w:tcPr>
            <w:tcW w:w="3999" w:type="dxa"/>
          </w:tcPr>
          <w:p w14:paraId="1BE1C6C4" w14:textId="77777777" w:rsidR="0093441E" w:rsidRPr="002A7673" w:rsidRDefault="0093441E" w:rsidP="0048334E">
            <w:pPr>
              <w:rPr>
                <w:iCs/>
              </w:rPr>
            </w:pPr>
            <w:r w:rsidRPr="002A7673">
              <w:rPr>
                <w:iCs/>
              </w:rPr>
              <w:t xml:space="preserve">El crecimiento lo ocasiona principalmente los siguientes servicios: ¢9.592.933 crecimiento en </w:t>
            </w:r>
            <w:proofErr w:type="gramStart"/>
            <w:r w:rsidRPr="002A7673">
              <w:rPr>
                <w:iCs/>
              </w:rPr>
              <w:t>el  contrato</w:t>
            </w:r>
            <w:proofErr w:type="gramEnd"/>
            <w:r w:rsidRPr="002A7673">
              <w:rPr>
                <w:iCs/>
              </w:rPr>
              <w:t xml:space="preserve"> N°016120 del servicio de vigilancia, ¢6.923.341 recursos para la compra del banco de baterías que da soporte a la planta eléctrica del edificio de Tribunales y 4.361.232 para la sustitución de una motocicleta.</w:t>
            </w:r>
          </w:p>
        </w:tc>
      </w:tr>
      <w:tr w:rsidR="0093441E" w:rsidRPr="002A7673" w14:paraId="2769A2FD" w14:textId="77777777" w:rsidTr="0048334E">
        <w:trPr>
          <w:jc w:val="center"/>
        </w:trPr>
        <w:tc>
          <w:tcPr>
            <w:tcW w:w="3246" w:type="dxa"/>
            <w:vAlign w:val="center"/>
          </w:tcPr>
          <w:p w14:paraId="09C6B443" w14:textId="77777777" w:rsidR="0093441E" w:rsidRPr="002A7673" w:rsidRDefault="0093441E" w:rsidP="0048334E">
            <w:pPr>
              <w:rPr>
                <w:iCs/>
              </w:rPr>
            </w:pPr>
            <w:r w:rsidRPr="002A7673">
              <w:rPr>
                <w:color w:val="000000"/>
              </w:rPr>
              <w:t>Secretaría de la Corte</w:t>
            </w:r>
          </w:p>
        </w:tc>
        <w:tc>
          <w:tcPr>
            <w:tcW w:w="1563" w:type="dxa"/>
            <w:vAlign w:val="center"/>
          </w:tcPr>
          <w:p w14:paraId="26FE1262" w14:textId="77777777" w:rsidR="0093441E" w:rsidRPr="002A7673" w:rsidRDefault="0093441E" w:rsidP="0048334E">
            <w:pPr>
              <w:jc w:val="center"/>
              <w:rPr>
                <w:color w:val="000000"/>
                <w:lang w:eastAsia="es-CR"/>
              </w:rPr>
            </w:pPr>
            <w:r w:rsidRPr="002A7673">
              <w:rPr>
                <w:color w:val="000000"/>
              </w:rPr>
              <w:t>1,0%</w:t>
            </w:r>
          </w:p>
          <w:p w14:paraId="7C13FB3C" w14:textId="77777777" w:rsidR="0093441E" w:rsidRPr="002A7673" w:rsidRDefault="0093441E" w:rsidP="0048334E">
            <w:pPr>
              <w:spacing w:line="360" w:lineRule="auto"/>
              <w:jc w:val="center"/>
              <w:rPr>
                <w:iCs/>
              </w:rPr>
            </w:pPr>
          </w:p>
        </w:tc>
        <w:tc>
          <w:tcPr>
            <w:tcW w:w="3999" w:type="dxa"/>
          </w:tcPr>
          <w:p w14:paraId="259A317F" w14:textId="77777777" w:rsidR="0093441E" w:rsidRPr="002A7673" w:rsidRDefault="0093441E" w:rsidP="0048334E">
            <w:pPr>
              <w:rPr>
                <w:iCs/>
              </w:rPr>
            </w:pPr>
            <w:r w:rsidRPr="002A7673">
              <w:rPr>
                <w:iCs/>
              </w:rPr>
              <w:t>El crecimiento se presenta en servicios públicos que creció en ¢215.185 con respecto al probado para el 2021.</w:t>
            </w:r>
          </w:p>
        </w:tc>
      </w:tr>
    </w:tbl>
    <w:p w14:paraId="1A9E9330" w14:textId="77777777" w:rsidR="0093441E" w:rsidRPr="002A7673" w:rsidRDefault="0093441E" w:rsidP="0093441E">
      <w:pPr>
        <w:spacing w:after="0" w:line="240" w:lineRule="auto"/>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w:t>
      </w:r>
    </w:p>
    <w:p w14:paraId="508152A8" w14:textId="77777777" w:rsidR="0093441E" w:rsidRPr="002A7673" w:rsidRDefault="0093441E" w:rsidP="0093441E">
      <w:pPr>
        <w:spacing w:after="0" w:line="360" w:lineRule="auto"/>
        <w:rPr>
          <w:rFonts w:ascii="Times New Roman" w:hAnsi="Times New Roman" w:cs="Times New Roman"/>
        </w:rPr>
      </w:pPr>
    </w:p>
    <w:p w14:paraId="0C4CD60B"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2.2. Centros de Responsabilidad que Presentan un Decrecimiento respecto al 2021</w:t>
      </w:r>
    </w:p>
    <w:p w14:paraId="7ABC23C2"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lastRenderedPageBreak/>
        <w:t>En la siguiente tabla se presentan los centros de responsabilidad que muestran un decrecimiento en el anteproyecto de presupuesto 2022, considerando los recursos aprobados a través de las Áreas de Informática, Construcciones, Vehículos y Seguridad.</w:t>
      </w:r>
    </w:p>
    <w:p w14:paraId="1EB4B96C" w14:textId="77777777" w:rsidR="0093441E" w:rsidRPr="002A7673" w:rsidRDefault="0093441E" w:rsidP="0093441E">
      <w:pPr>
        <w:spacing w:after="0" w:line="360" w:lineRule="auto"/>
        <w:rPr>
          <w:rFonts w:ascii="Times New Roman" w:hAnsi="Times New Roman" w:cs="Times New Roman"/>
          <w:color w:val="000000" w:themeColor="text1"/>
        </w:rPr>
      </w:pPr>
    </w:p>
    <w:tbl>
      <w:tblPr>
        <w:tblW w:w="8534" w:type="dxa"/>
        <w:tblCellMar>
          <w:left w:w="70" w:type="dxa"/>
          <w:right w:w="70" w:type="dxa"/>
        </w:tblCellMar>
        <w:tblLook w:val="04A0" w:firstRow="1" w:lastRow="0" w:firstColumn="1" w:lastColumn="0" w:noHBand="0" w:noVBand="1"/>
      </w:tblPr>
      <w:tblGrid>
        <w:gridCol w:w="6794"/>
        <w:gridCol w:w="1740"/>
      </w:tblGrid>
      <w:tr w:rsidR="0093441E" w:rsidRPr="002A7673" w14:paraId="208BF3C8" w14:textId="77777777" w:rsidTr="0048334E">
        <w:trPr>
          <w:trHeight w:val="630"/>
        </w:trPr>
        <w:tc>
          <w:tcPr>
            <w:tcW w:w="6794" w:type="dxa"/>
            <w:tcBorders>
              <w:top w:val="single" w:sz="8" w:space="0" w:color="auto"/>
              <w:left w:val="single" w:sz="8" w:space="0" w:color="auto"/>
              <w:bottom w:val="single" w:sz="8" w:space="0" w:color="auto"/>
              <w:right w:val="single" w:sz="8" w:space="0" w:color="auto"/>
            </w:tcBorders>
            <w:shd w:val="clear" w:color="000000" w:fill="B4C6E7"/>
            <w:noWrap/>
            <w:vAlign w:val="center"/>
            <w:hideMark/>
          </w:tcPr>
          <w:p w14:paraId="163A2619" w14:textId="77777777" w:rsidR="0093441E" w:rsidRPr="002A7673" w:rsidRDefault="0093441E" w:rsidP="0048334E">
            <w:pPr>
              <w:spacing w:after="0" w:line="240" w:lineRule="auto"/>
              <w:jc w:val="center"/>
              <w:rPr>
                <w:rFonts w:ascii="Times New Roman" w:hAnsi="Times New Roman" w:cs="Times New Roman"/>
                <w:b/>
                <w:lang w:eastAsia="es-CR"/>
              </w:rPr>
            </w:pPr>
            <w:r w:rsidRPr="002A7673">
              <w:rPr>
                <w:rFonts w:ascii="Times New Roman" w:hAnsi="Times New Roman" w:cs="Times New Roman"/>
                <w:b/>
                <w:lang w:eastAsia="es-CR"/>
              </w:rPr>
              <w:t>Centros de Responsabilidad</w:t>
            </w:r>
            <w:r w:rsidRPr="002A7673">
              <w:rPr>
                <w:rFonts w:ascii="Times New Roman" w:hAnsi="Times New Roman" w:cs="Times New Roman"/>
                <w:b/>
                <w:color w:val="000000"/>
                <w:lang w:eastAsia="es-CR"/>
              </w:rPr>
              <w:t xml:space="preserve"> que Presentan Decrecimiento</w:t>
            </w:r>
          </w:p>
        </w:tc>
        <w:tc>
          <w:tcPr>
            <w:tcW w:w="1740" w:type="dxa"/>
            <w:tcBorders>
              <w:top w:val="single" w:sz="8" w:space="0" w:color="auto"/>
              <w:left w:val="nil"/>
              <w:bottom w:val="single" w:sz="8" w:space="0" w:color="auto"/>
              <w:right w:val="single" w:sz="8" w:space="0" w:color="auto"/>
            </w:tcBorders>
            <w:shd w:val="clear" w:color="000000" w:fill="B4C6E7"/>
            <w:vAlign w:val="center"/>
            <w:hideMark/>
          </w:tcPr>
          <w:p w14:paraId="4FD459F5" w14:textId="77777777" w:rsidR="0093441E" w:rsidRPr="002A7673" w:rsidRDefault="0093441E" w:rsidP="0048334E">
            <w:pPr>
              <w:spacing w:after="0" w:line="240" w:lineRule="auto"/>
              <w:jc w:val="center"/>
              <w:rPr>
                <w:rFonts w:ascii="Times New Roman" w:hAnsi="Times New Roman" w:cs="Times New Roman"/>
                <w:b/>
                <w:lang w:eastAsia="es-CR"/>
              </w:rPr>
            </w:pPr>
            <w:r w:rsidRPr="002A7673">
              <w:rPr>
                <w:rFonts w:ascii="Times New Roman" w:hAnsi="Times New Roman" w:cs="Times New Roman"/>
                <w:b/>
                <w:lang w:eastAsia="es-CR"/>
              </w:rPr>
              <w:t>Decrecimiento 2021-2022</w:t>
            </w:r>
          </w:p>
        </w:tc>
      </w:tr>
      <w:tr w:rsidR="0093441E" w:rsidRPr="002A7673" w14:paraId="3AF3BE89"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3414091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Infantil</w:t>
            </w:r>
          </w:p>
        </w:tc>
        <w:tc>
          <w:tcPr>
            <w:tcW w:w="1740" w:type="dxa"/>
            <w:tcBorders>
              <w:top w:val="nil"/>
              <w:left w:val="nil"/>
              <w:bottom w:val="single" w:sz="8" w:space="0" w:color="auto"/>
              <w:right w:val="single" w:sz="8" w:space="0" w:color="auto"/>
            </w:tcBorders>
            <w:shd w:val="clear" w:color="auto" w:fill="auto"/>
            <w:vAlign w:val="center"/>
            <w:hideMark/>
          </w:tcPr>
          <w:p w14:paraId="7FAD6B2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-0,001%</w:t>
            </w:r>
          </w:p>
        </w:tc>
      </w:tr>
      <w:tr w:rsidR="0093441E" w:rsidRPr="002A7673" w14:paraId="57146AD9"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33E156D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 Circuito Judicial de San José</w:t>
            </w:r>
          </w:p>
        </w:tc>
        <w:tc>
          <w:tcPr>
            <w:tcW w:w="1740" w:type="dxa"/>
            <w:tcBorders>
              <w:top w:val="nil"/>
              <w:left w:val="nil"/>
              <w:bottom w:val="single" w:sz="8" w:space="0" w:color="auto"/>
              <w:right w:val="single" w:sz="8" w:space="0" w:color="auto"/>
            </w:tcBorders>
            <w:shd w:val="clear" w:color="auto" w:fill="auto"/>
            <w:vAlign w:val="center"/>
            <w:hideMark/>
          </w:tcPr>
          <w:p w14:paraId="66CCBA5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-1,4%</w:t>
            </w:r>
          </w:p>
        </w:tc>
      </w:tr>
      <w:tr w:rsidR="0093441E" w:rsidRPr="002A7673" w14:paraId="1BACE563"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4553F43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Departamento de Prensa y Comunicación Organizacional</w:t>
            </w:r>
          </w:p>
        </w:tc>
        <w:tc>
          <w:tcPr>
            <w:tcW w:w="1740" w:type="dxa"/>
            <w:tcBorders>
              <w:top w:val="nil"/>
              <w:left w:val="nil"/>
              <w:bottom w:val="single" w:sz="8" w:space="0" w:color="auto"/>
              <w:right w:val="single" w:sz="8" w:space="0" w:color="auto"/>
            </w:tcBorders>
            <w:shd w:val="clear" w:color="auto" w:fill="auto"/>
            <w:vAlign w:val="center"/>
            <w:hideMark/>
          </w:tcPr>
          <w:p w14:paraId="40CD366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-2,4%</w:t>
            </w:r>
          </w:p>
        </w:tc>
      </w:tr>
      <w:tr w:rsidR="0093441E" w:rsidRPr="002A7673" w14:paraId="562B7AD2"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52E8C3E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de Gestión Humana</w:t>
            </w:r>
          </w:p>
        </w:tc>
        <w:tc>
          <w:tcPr>
            <w:tcW w:w="1740" w:type="dxa"/>
            <w:tcBorders>
              <w:top w:val="nil"/>
              <w:left w:val="nil"/>
              <w:bottom w:val="single" w:sz="8" w:space="0" w:color="auto"/>
              <w:right w:val="single" w:sz="8" w:space="0" w:color="auto"/>
            </w:tcBorders>
            <w:shd w:val="clear" w:color="auto" w:fill="auto"/>
            <w:vAlign w:val="center"/>
            <w:hideMark/>
          </w:tcPr>
          <w:p w14:paraId="46AF826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-2,7%</w:t>
            </w:r>
          </w:p>
        </w:tc>
      </w:tr>
      <w:tr w:rsidR="0093441E" w:rsidRPr="002A7673" w14:paraId="13DE79D5"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5D13A15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Unidad de Adiestramiento</w:t>
            </w:r>
          </w:p>
        </w:tc>
        <w:tc>
          <w:tcPr>
            <w:tcW w:w="1740" w:type="dxa"/>
            <w:tcBorders>
              <w:top w:val="nil"/>
              <w:left w:val="nil"/>
              <w:bottom w:val="single" w:sz="8" w:space="0" w:color="auto"/>
              <w:right w:val="single" w:sz="8" w:space="0" w:color="auto"/>
            </w:tcBorders>
            <w:shd w:val="clear" w:color="auto" w:fill="auto"/>
            <w:vAlign w:val="center"/>
            <w:hideMark/>
          </w:tcPr>
          <w:p w14:paraId="5521FC7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-3,0%</w:t>
            </w:r>
          </w:p>
        </w:tc>
      </w:tr>
      <w:tr w:rsidR="0093441E" w:rsidRPr="002A7673" w14:paraId="6DB97804"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58F4A0B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Sala Tercera</w:t>
            </w:r>
          </w:p>
        </w:tc>
        <w:tc>
          <w:tcPr>
            <w:tcW w:w="1740" w:type="dxa"/>
            <w:tcBorders>
              <w:top w:val="nil"/>
              <w:left w:val="nil"/>
              <w:bottom w:val="single" w:sz="8" w:space="0" w:color="auto"/>
              <w:right w:val="single" w:sz="8" w:space="0" w:color="auto"/>
            </w:tcBorders>
            <w:shd w:val="clear" w:color="auto" w:fill="auto"/>
            <w:vAlign w:val="center"/>
            <w:hideMark/>
          </w:tcPr>
          <w:p w14:paraId="3BC773F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-3,3%</w:t>
            </w:r>
          </w:p>
        </w:tc>
      </w:tr>
      <w:tr w:rsidR="0093441E" w:rsidRPr="002A7673" w14:paraId="12EC9EBD"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tcPr>
          <w:p w14:paraId="7F3E19C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Oficina Rectora de Justicia Restaurativa </w:t>
            </w:r>
          </w:p>
        </w:tc>
        <w:tc>
          <w:tcPr>
            <w:tcW w:w="1740" w:type="dxa"/>
            <w:tcBorders>
              <w:top w:val="nil"/>
              <w:left w:val="nil"/>
              <w:bottom w:val="single" w:sz="8" w:space="0" w:color="auto"/>
              <w:right w:val="single" w:sz="8" w:space="0" w:color="auto"/>
            </w:tcBorders>
            <w:shd w:val="clear" w:color="auto" w:fill="auto"/>
            <w:vAlign w:val="center"/>
          </w:tcPr>
          <w:p w14:paraId="0C6ED4F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-3,3%</w:t>
            </w:r>
          </w:p>
        </w:tc>
      </w:tr>
      <w:tr w:rsidR="0093441E" w:rsidRPr="002A7673" w14:paraId="0A763E96"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1A92631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de Conciliación del Poder Judicial</w:t>
            </w:r>
          </w:p>
        </w:tc>
        <w:tc>
          <w:tcPr>
            <w:tcW w:w="1740" w:type="dxa"/>
            <w:tcBorders>
              <w:top w:val="nil"/>
              <w:left w:val="nil"/>
              <w:bottom w:val="single" w:sz="8" w:space="0" w:color="auto"/>
              <w:right w:val="single" w:sz="8" w:space="0" w:color="auto"/>
            </w:tcBorders>
            <w:shd w:val="clear" w:color="auto" w:fill="auto"/>
            <w:vAlign w:val="center"/>
            <w:hideMark/>
          </w:tcPr>
          <w:p w14:paraId="7CEF7C0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-5,0%</w:t>
            </w:r>
          </w:p>
        </w:tc>
      </w:tr>
      <w:tr w:rsidR="0093441E" w:rsidRPr="002A7673" w14:paraId="28C825E1"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754BC7B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Secretaría de Ética y Valores</w:t>
            </w:r>
          </w:p>
        </w:tc>
        <w:tc>
          <w:tcPr>
            <w:tcW w:w="1740" w:type="dxa"/>
            <w:tcBorders>
              <w:top w:val="nil"/>
              <w:left w:val="nil"/>
              <w:bottom w:val="single" w:sz="8" w:space="0" w:color="auto"/>
              <w:right w:val="single" w:sz="8" w:space="0" w:color="auto"/>
            </w:tcBorders>
            <w:shd w:val="clear" w:color="auto" w:fill="auto"/>
            <w:vAlign w:val="center"/>
            <w:hideMark/>
          </w:tcPr>
          <w:p w14:paraId="773AE09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-5,0%</w:t>
            </w:r>
          </w:p>
        </w:tc>
      </w:tr>
      <w:tr w:rsidR="0093441E" w:rsidRPr="002A7673" w14:paraId="757FBB31"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2161F4C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Despacho de la Presidencia</w:t>
            </w:r>
          </w:p>
        </w:tc>
        <w:tc>
          <w:tcPr>
            <w:tcW w:w="1740" w:type="dxa"/>
            <w:tcBorders>
              <w:top w:val="nil"/>
              <w:left w:val="nil"/>
              <w:bottom w:val="single" w:sz="8" w:space="0" w:color="auto"/>
              <w:right w:val="single" w:sz="8" w:space="0" w:color="auto"/>
            </w:tcBorders>
            <w:shd w:val="clear" w:color="auto" w:fill="auto"/>
            <w:vAlign w:val="center"/>
            <w:hideMark/>
          </w:tcPr>
          <w:p w14:paraId="45F8D13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-5,1%</w:t>
            </w:r>
          </w:p>
        </w:tc>
      </w:tr>
      <w:tr w:rsidR="0093441E" w:rsidRPr="002A7673" w14:paraId="0A14F13D"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403D432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Inspección Judicial</w:t>
            </w:r>
          </w:p>
        </w:tc>
        <w:tc>
          <w:tcPr>
            <w:tcW w:w="1740" w:type="dxa"/>
            <w:tcBorders>
              <w:top w:val="nil"/>
              <w:left w:val="nil"/>
              <w:bottom w:val="single" w:sz="8" w:space="0" w:color="auto"/>
              <w:right w:val="single" w:sz="8" w:space="0" w:color="auto"/>
            </w:tcBorders>
            <w:shd w:val="clear" w:color="auto" w:fill="auto"/>
            <w:vAlign w:val="center"/>
            <w:hideMark/>
          </w:tcPr>
          <w:p w14:paraId="094729A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-5,3%</w:t>
            </w:r>
          </w:p>
        </w:tc>
      </w:tr>
      <w:tr w:rsidR="0093441E" w:rsidRPr="002A7673" w14:paraId="6D8A18B3"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60776C4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Jurídica</w:t>
            </w:r>
          </w:p>
        </w:tc>
        <w:tc>
          <w:tcPr>
            <w:tcW w:w="1740" w:type="dxa"/>
            <w:tcBorders>
              <w:top w:val="nil"/>
              <w:left w:val="nil"/>
              <w:bottom w:val="single" w:sz="8" w:space="0" w:color="auto"/>
              <w:right w:val="single" w:sz="8" w:space="0" w:color="auto"/>
            </w:tcBorders>
            <w:shd w:val="clear" w:color="auto" w:fill="auto"/>
            <w:vAlign w:val="center"/>
            <w:hideMark/>
          </w:tcPr>
          <w:p w14:paraId="6081C5B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-5,8%</w:t>
            </w:r>
          </w:p>
        </w:tc>
      </w:tr>
      <w:tr w:rsidR="0093441E" w:rsidRPr="002A7673" w14:paraId="7C5A3C1A"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65E27F7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Contraloría de Servicios</w:t>
            </w:r>
          </w:p>
        </w:tc>
        <w:tc>
          <w:tcPr>
            <w:tcW w:w="1740" w:type="dxa"/>
            <w:tcBorders>
              <w:top w:val="nil"/>
              <w:left w:val="nil"/>
              <w:bottom w:val="single" w:sz="8" w:space="0" w:color="auto"/>
              <w:right w:val="single" w:sz="8" w:space="0" w:color="auto"/>
            </w:tcBorders>
            <w:shd w:val="clear" w:color="auto" w:fill="auto"/>
            <w:vAlign w:val="center"/>
            <w:hideMark/>
          </w:tcPr>
          <w:p w14:paraId="3D40DC8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-6,0%</w:t>
            </w:r>
          </w:p>
        </w:tc>
      </w:tr>
      <w:tr w:rsidR="0093441E" w:rsidRPr="002A7673" w14:paraId="51FDB4EC"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2CC0AFB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Nacional Mejoramiento Administración de Justicia</w:t>
            </w:r>
          </w:p>
        </w:tc>
        <w:tc>
          <w:tcPr>
            <w:tcW w:w="1740" w:type="dxa"/>
            <w:tcBorders>
              <w:top w:val="nil"/>
              <w:left w:val="nil"/>
              <w:bottom w:val="single" w:sz="8" w:space="0" w:color="auto"/>
              <w:right w:val="single" w:sz="8" w:space="0" w:color="auto"/>
            </w:tcBorders>
            <w:shd w:val="clear" w:color="auto" w:fill="auto"/>
            <w:vAlign w:val="center"/>
            <w:hideMark/>
          </w:tcPr>
          <w:p w14:paraId="7721426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-6,4%</w:t>
            </w:r>
          </w:p>
        </w:tc>
      </w:tr>
      <w:tr w:rsidR="0093441E" w:rsidRPr="002A7673" w14:paraId="5F485F7C"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0D12A87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de Gestión de la Calidad</w:t>
            </w:r>
          </w:p>
        </w:tc>
        <w:tc>
          <w:tcPr>
            <w:tcW w:w="1740" w:type="dxa"/>
            <w:tcBorders>
              <w:top w:val="nil"/>
              <w:left w:val="nil"/>
              <w:bottom w:val="single" w:sz="8" w:space="0" w:color="auto"/>
              <w:right w:val="single" w:sz="8" w:space="0" w:color="auto"/>
            </w:tcBorders>
            <w:shd w:val="clear" w:color="auto" w:fill="auto"/>
            <w:vAlign w:val="center"/>
            <w:hideMark/>
          </w:tcPr>
          <w:p w14:paraId="1FD591D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-9,6%</w:t>
            </w:r>
          </w:p>
        </w:tc>
      </w:tr>
      <w:tr w:rsidR="0093441E" w:rsidRPr="002A7673" w14:paraId="5774E413"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7684005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Turrialba</w:t>
            </w:r>
          </w:p>
        </w:tc>
        <w:tc>
          <w:tcPr>
            <w:tcW w:w="1740" w:type="dxa"/>
            <w:tcBorders>
              <w:top w:val="nil"/>
              <w:left w:val="nil"/>
              <w:bottom w:val="single" w:sz="8" w:space="0" w:color="auto"/>
              <w:right w:val="single" w:sz="8" w:space="0" w:color="auto"/>
            </w:tcBorders>
            <w:shd w:val="clear" w:color="auto" w:fill="auto"/>
            <w:vAlign w:val="center"/>
            <w:hideMark/>
          </w:tcPr>
          <w:p w14:paraId="410E2A2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-13,4%</w:t>
            </w:r>
          </w:p>
        </w:tc>
      </w:tr>
      <w:tr w:rsidR="0093441E" w:rsidRPr="002A7673" w14:paraId="1ED4594E"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3A5EA40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 la Ciudad Judicial de San Joaquín de Flores</w:t>
            </w:r>
          </w:p>
        </w:tc>
        <w:tc>
          <w:tcPr>
            <w:tcW w:w="1740" w:type="dxa"/>
            <w:tcBorders>
              <w:top w:val="nil"/>
              <w:left w:val="nil"/>
              <w:bottom w:val="single" w:sz="8" w:space="0" w:color="auto"/>
              <w:right w:val="single" w:sz="8" w:space="0" w:color="auto"/>
            </w:tcBorders>
            <w:shd w:val="clear" w:color="auto" w:fill="auto"/>
            <w:vAlign w:val="center"/>
            <w:hideMark/>
          </w:tcPr>
          <w:p w14:paraId="5BC7E62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-15,0%</w:t>
            </w:r>
          </w:p>
        </w:tc>
      </w:tr>
      <w:tr w:rsidR="0093441E" w:rsidRPr="002A7673" w14:paraId="39266B52"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5372CC9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Consejo Superior</w:t>
            </w:r>
          </w:p>
        </w:tc>
        <w:tc>
          <w:tcPr>
            <w:tcW w:w="1740" w:type="dxa"/>
            <w:tcBorders>
              <w:top w:val="nil"/>
              <w:left w:val="nil"/>
              <w:bottom w:val="single" w:sz="8" w:space="0" w:color="auto"/>
              <w:right w:val="single" w:sz="8" w:space="0" w:color="auto"/>
            </w:tcBorders>
            <w:shd w:val="clear" w:color="auto" w:fill="auto"/>
            <w:vAlign w:val="center"/>
            <w:hideMark/>
          </w:tcPr>
          <w:p w14:paraId="761FB31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-16,3%</w:t>
            </w:r>
          </w:p>
        </w:tc>
      </w:tr>
      <w:tr w:rsidR="0093441E" w:rsidRPr="002A7673" w14:paraId="636536C2"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11F00D4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 Circuito Judicial de la Zona Sur</w:t>
            </w:r>
          </w:p>
        </w:tc>
        <w:tc>
          <w:tcPr>
            <w:tcW w:w="1740" w:type="dxa"/>
            <w:tcBorders>
              <w:top w:val="nil"/>
              <w:left w:val="nil"/>
              <w:bottom w:val="single" w:sz="8" w:space="0" w:color="auto"/>
              <w:right w:val="single" w:sz="8" w:space="0" w:color="auto"/>
            </w:tcBorders>
            <w:shd w:val="clear" w:color="auto" w:fill="auto"/>
            <w:vAlign w:val="center"/>
            <w:hideMark/>
          </w:tcPr>
          <w:p w14:paraId="4139D9C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-17,5%</w:t>
            </w:r>
          </w:p>
        </w:tc>
      </w:tr>
      <w:tr w:rsidR="0093441E" w:rsidRPr="002A7673" w14:paraId="0DA3BCC6"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3CF28D8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Sarapiquí</w:t>
            </w:r>
          </w:p>
        </w:tc>
        <w:tc>
          <w:tcPr>
            <w:tcW w:w="1740" w:type="dxa"/>
            <w:tcBorders>
              <w:top w:val="nil"/>
              <w:left w:val="nil"/>
              <w:bottom w:val="single" w:sz="8" w:space="0" w:color="auto"/>
              <w:right w:val="single" w:sz="8" w:space="0" w:color="auto"/>
            </w:tcBorders>
            <w:shd w:val="clear" w:color="auto" w:fill="auto"/>
            <w:vAlign w:val="center"/>
            <w:hideMark/>
          </w:tcPr>
          <w:p w14:paraId="402CB18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-17,7%</w:t>
            </w:r>
          </w:p>
        </w:tc>
      </w:tr>
      <w:tr w:rsidR="0093441E" w:rsidRPr="002A7673" w14:paraId="24B4BAF9"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5D8DAFE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I Circuito Judicial de San José</w:t>
            </w:r>
          </w:p>
        </w:tc>
        <w:tc>
          <w:tcPr>
            <w:tcW w:w="1740" w:type="dxa"/>
            <w:tcBorders>
              <w:top w:val="nil"/>
              <w:left w:val="nil"/>
              <w:bottom w:val="single" w:sz="8" w:space="0" w:color="auto"/>
              <w:right w:val="single" w:sz="8" w:space="0" w:color="auto"/>
            </w:tcBorders>
            <w:shd w:val="clear" w:color="auto" w:fill="auto"/>
            <w:vAlign w:val="center"/>
            <w:hideMark/>
          </w:tcPr>
          <w:p w14:paraId="1FA1FEB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-21,1%</w:t>
            </w:r>
          </w:p>
        </w:tc>
      </w:tr>
      <w:tr w:rsidR="0093441E" w:rsidRPr="002A7673" w14:paraId="640BB2AC"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4475A0C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Ejecutiva</w:t>
            </w:r>
          </w:p>
        </w:tc>
        <w:tc>
          <w:tcPr>
            <w:tcW w:w="1740" w:type="dxa"/>
            <w:tcBorders>
              <w:top w:val="nil"/>
              <w:left w:val="nil"/>
              <w:bottom w:val="single" w:sz="8" w:space="0" w:color="auto"/>
              <w:right w:val="single" w:sz="8" w:space="0" w:color="auto"/>
            </w:tcBorders>
            <w:shd w:val="clear" w:color="auto" w:fill="auto"/>
            <w:vAlign w:val="center"/>
            <w:hideMark/>
          </w:tcPr>
          <w:p w14:paraId="6FA690B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-21,8%</w:t>
            </w:r>
          </w:p>
        </w:tc>
      </w:tr>
      <w:tr w:rsidR="0093441E" w:rsidRPr="002A7673" w14:paraId="0E3E007C"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2FD24ED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Santa Cruz</w:t>
            </w:r>
          </w:p>
        </w:tc>
        <w:tc>
          <w:tcPr>
            <w:tcW w:w="1740" w:type="dxa"/>
            <w:tcBorders>
              <w:top w:val="nil"/>
              <w:left w:val="nil"/>
              <w:bottom w:val="single" w:sz="8" w:space="0" w:color="auto"/>
              <w:right w:val="single" w:sz="8" w:space="0" w:color="auto"/>
            </w:tcBorders>
            <w:shd w:val="clear" w:color="auto" w:fill="auto"/>
            <w:vAlign w:val="center"/>
            <w:hideMark/>
          </w:tcPr>
          <w:p w14:paraId="32269C1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-21,8%</w:t>
            </w:r>
          </w:p>
        </w:tc>
      </w:tr>
      <w:tr w:rsidR="0093441E" w:rsidRPr="002A7673" w14:paraId="2101664F"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7BA5536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Oficina de Cumplimiento</w:t>
            </w:r>
          </w:p>
        </w:tc>
        <w:tc>
          <w:tcPr>
            <w:tcW w:w="1740" w:type="dxa"/>
            <w:tcBorders>
              <w:top w:val="nil"/>
              <w:left w:val="nil"/>
              <w:bottom w:val="single" w:sz="8" w:space="0" w:color="auto"/>
              <w:right w:val="single" w:sz="8" w:space="0" w:color="auto"/>
            </w:tcBorders>
            <w:shd w:val="clear" w:color="auto" w:fill="auto"/>
            <w:vAlign w:val="center"/>
            <w:hideMark/>
          </w:tcPr>
          <w:p w14:paraId="107CDB9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-23,3%</w:t>
            </w:r>
          </w:p>
        </w:tc>
      </w:tr>
      <w:tr w:rsidR="0093441E" w:rsidRPr="002A7673" w14:paraId="0CEEB6B3"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4DBEA37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Oficina de Control Interno</w:t>
            </w:r>
          </w:p>
        </w:tc>
        <w:tc>
          <w:tcPr>
            <w:tcW w:w="1740" w:type="dxa"/>
            <w:tcBorders>
              <w:top w:val="nil"/>
              <w:left w:val="nil"/>
              <w:bottom w:val="single" w:sz="8" w:space="0" w:color="auto"/>
              <w:right w:val="single" w:sz="8" w:space="0" w:color="auto"/>
            </w:tcBorders>
            <w:shd w:val="clear" w:color="auto" w:fill="auto"/>
            <w:vAlign w:val="center"/>
            <w:hideMark/>
          </w:tcPr>
          <w:p w14:paraId="2592D47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-31,9%</w:t>
            </w:r>
          </w:p>
        </w:tc>
      </w:tr>
      <w:tr w:rsidR="0093441E" w:rsidRPr="002A7673" w14:paraId="5E775989" w14:textId="77777777" w:rsidTr="0048334E">
        <w:trPr>
          <w:trHeight w:val="320"/>
        </w:trPr>
        <w:tc>
          <w:tcPr>
            <w:tcW w:w="6794" w:type="dxa"/>
            <w:tcBorders>
              <w:top w:val="nil"/>
              <w:left w:val="single" w:sz="8" w:space="0" w:color="auto"/>
              <w:bottom w:val="single" w:sz="8" w:space="0" w:color="auto"/>
              <w:right w:val="single" w:sz="8" w:space="0" w:color="auto"/>
            </w:tcBorders>
            <w:shd w:val="clear" w:color="auto" w:fill="auto"/>
            <w:vAlign w:val="center"/>
            <w:hideMark/>
          </w:tcPr>
          <w:p w14:paraId="3CE3AB1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de Apoyo, Coordinación y Mejoramiento Función Jurisdiccional</w:t>
            </w:r>
          </w:p>
        </w:tc>
        <w:tc>
          <w:tcPr>
            <w:tcW w:w="1740" w:type="dxa"/>
            <w:tcBorders>
              <w:top w:val="nil"/>
              <w:left w:val="nil"/>
              <w:bottom w:val="single" w:sz="8" w:space="0" w:color="auto"/>
              <w:right w:val="single" w:sz="8" w:space="0" w:color="auto"/>
            </w:tcBorders>
            <w:shd w:val="clear" w:color="auto" w:fill="auto"/>
            <w:vAlign w:val="center"/>
            <w:hideMark/>
          </w:tcPr>
          <w:p w14:paraId="0527AF2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-96,5%</w:t>
            </w:r>
          </w:p>
        </w:tc>
      </w:tr>
    </w:tbl>
    <w:p w14:paraId="23B2CBF7" w14:textId="77777777" w:rsidR="0093441E" w:rsidRPr="002A7673" w:rsidRDefault="0093441E" w:rsidP="0093441E">
      <w:pPr>
        <w:spacing w:after="0" w:line="360" w:lineRule="auto"/>
        <w:rPr>
          <w:rFonts w:ascii="Times New Roman" w:hAnsi="Times New Roman" w:cs="Times New Roman"/>
          <w:sz w:val="20"/>
          <w:szCs w:val="20"/>
        </w:rPr>
      </w:pPr>
      <w:r w:rsidRPr="002A7673">
        <w:rPr>
          <w:rFonts w:ascii="Times New Roman" w:hAnsi="Times New Roman" w:cs="Times New Roman"/>
          <w:b/>
          <w:bCs/>
          <w:sz w:val="20"/>
          <w:szCs w:val="20"/>
        </w:rPr>
        <w:lastRenderedPageBreak/>
        <w:t xml:space="preserve">Fuente: </w:t>
      </w:r>
      <w:r w:rsidRPr="002A7673">
        <w:rPr>
          <w:rFonts w:ascii="Times New Roman" w:hAnsi="Times New Roman" w:cs="Times New Roman"/>
          <w:sz w:val="20"/>
          <w:szCs w:val="20"/>
        </w:rPr>
        <w:t>Elaboración propia con información del Sistema SIGA-PJ.</w:t>
      </w:r>
    </w:p>
    <w:p w14:paraId="1D478B7D" w14:textId="77777777" w:rsidR="0093441E" w:rsidRPr="002A7673" w:rsidRDefault="0093441E" w:rsidP="0093441E">
      <w:pPr>
        <w:spacing w:after="0" w:line="360" w:lineRule="auto"/>
        <w:rPr>
          <w:rFonts w:ascii="Times New Roman" w:hAnsi="Times New Roman" w:cs="Times New Roman"/>
        </w:rPr>
      </w:pPr>
    </w:p>
    <w:p w14:paraId="5CBEFC32" w14:textId="77777777" w:rsidR="0093441E" w:rsidRPr="002A7673" w:rsidRDefault="0093441E" w:rsidP="0093441E">
      <w:pPr>
        <w:spacing w:line="360" w:lineRule="auto"/>
        <w:contextualSpacing/>
        <w:rPr>
          <w:rFonts w:ascii="Times New Roman" w:hAnsi="Times New Roman" w:cs="Times New Roman"/>
          <w:b/>
          <w:bCs/>
        </w:rPr>
      </w:pPr>
    </w:p>
    <w:tbl>
      <w:tblPr>
        <w:tblStyle w:val="Tablaconcuadrcula"/>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164"/>
        <w:gridCol w:w="1816"/>
        <w:gridCol w:w="3828"/>
      </w:tblGrid>
      <w:tr w:rsidR="0093441E" w:rsidRPr="002A7673" w14:paraId="11CB8981" w14:textId="77777777" w:rsidTr="0048334E">
        <w:trPr>
          <w:jc w:val="center"/>
        </w:trPr>
        <w:tc>
          <w:tcPr>
            <w:tcW w:w="3164" w:type="dxa"/>
            <w:shd w:val="clear" w:color="auto" w:fill="BDD6EE" w:themeFill="accent1" w:themeFillTint="66"/>
            <w:vAlign w:val="center"/>
          </w:tcPr>
          <w:p w14:paraId="25DDF670" w14:textId="77777777" w:rsidR="0093441E" w:rsidRPr="002A7673" w:rsidRDefault="0093441E" w:rsidP="0048334E">
            <w:pPr>
              <w:jc w:val="center"/>
              <w:rPr>
                <w:b/>
                <w:lang w:eastAsia="es-CR"/>
              </w:rPr>
            </w:pPr>
            <w:bookmarkStart w:id="126" w:name="_Hlk65502925"/>
            <w:r w:rsidRPr="002A7673">
              <w:rPr>
                <w:b/>
                <w:lang w:eastAsia="es-CR"/>
              </w:rPr>
              <w:t>Centro de Responsabilidad</w:t>
            </w:r>
          </w:p>
        </w:tc>
        <w:tc>
          <w:tcPr>
            <w:tcW w:w="1816" w:type="dxa"/>
            <w:shd w:val="clear" w:color="auto" w:fill="BDD6EE" w:themeFill="accent1" w:themeFillTint="66"/>
            <w:vAlign w:val="center"/>
          </w:tcPr>
          <w:p w14:paraId="4F43EC38" w14:textId="77777777" w:rsidR="0093441E" w:rsidRPr="002A7673" w:rsidRDefault="0093441E" w:rsidP="0048334E">
            <w:pPr>
              <w:jc w:val="center"/>
              <w:rPr>
                <w:b/>
                <w:lang w:eastAsia="es-CR"/>
              </w:rPr>
            </w:pPr>
            <w:r w:rsidRPr="002A7673">
              <w:rPr>
                <w:b/>
                <w:lang w:eastAsia="es-CR"/>
              </w:rPr>
              <w:t>Decrecimiento</w:t>
            </w:r>
          </w:p>
        </w:tc>
        <w:tc>
          <w:tcPr>
            <w:tcW w:w="3828" w:type="dxa"/>
            <w:shd w:val="clear" w:color="auto" w:fill="BDD6EE" w:themeFill="accent1" w:themeFillTint="66"/>
            <w:vAlign w:val="center"/>
          </w:tcPr>
          <w:p w14:paraId="7BCA0FC2" w14:textId="77777777" w:rsidR="0093441E" w:rsidRPr="002A7673" w:rsidRDefault="0093441E" w:rsidP="0048334E">
            <w:pPr>
              <w:jc w:val="center"/>
              <w:rPr>
                <w:b/>
                <w:lang w:eastAsia="es-CR"/>
              </w:rPr>
            </w:pPr>
            <w:r w:rsidRPr="002A7673">
              <w:rPr>
                <w:b/>
                <w:lang w:eastAsia="es-CR"/>
              </w:rPr>
              <w:t>Justificación</w:t>
            </w:r>
          </w:p>
        </w:tc>
      </w:tr>
      <w:tr w:rsidR="0093441E" w:rsidRPr="002A7673" w14:paraId="76A543ED" w14:textId="77777777" w:rsidTr="0048334E">
        <w:trPr>
          <w:jc w:val="center"/>
        </w:trPr>
        <w:tc>
          <w:tcPr>
            <w:tcW w:w="3164" w:type="dxa"/>
            <w:vAlign w:val="center"/>
          </w:tcPr>
          <w:p w14:paraId="4866CF70" w14:textId="77777777" w:rsidR="0093441E" w:rsidRPr="002A7673" w:rsidRDefault="0093441E" w:rsidP="0048334E">
            <w:pPr>
              <w:rPr>
                <w:color w:val="000000"/>
                <w:lang w:eastAsia="es-CR"/>
              </w:rPr>
            </w:pPr>
            <w:r w:rsidRPr="002A7673">
              <w:rPr>
                <w:color w:val="000000"/>
              </w:rPr>
              <w:t>Centro Infantil</w:t>
            </w:r>
          </w:p>
          <w:p w14:paraId="2B30D0A8" w14:textId="77777777" w:rsidR="0093441E" w:rsidRPr="002A7673" w:rsidRDefault="0093441E" w:rsidP="0048334E">
            <w:pPr>
              <w:rPr>
                <w:iCs/>
              </w:rPr>
            </w:pPr>
          </w:p>
        </w:tc>
        <w:tc>
          <w:tcPr>
            <w:tcW w:w="1816" w:type="dxa"/>
            <w:vAlign w:val="center"/>
          </w:tcPr>
          <w:p w14:paraId="0AC19620" w14:textId="77777777" w:rsidR="0093441E" w:rsidRPr="002A7673" w:rsidRDefault="0093441E" w:rsidP="0048334E">
            <w:pPr>
              <w:jc w:val="center"/>
              <w:rPr>
                <w:color w:val="000000"/>
                <w:lang w:eastAsia="es-CR"/>
              </w:rPr>
            </w:pPr>
            <w:r w:rsidRPr="002A7673">
              <w:rPr>
                <w:color w:val="000000"/>
              </w:rPr>
              <w:t>-0,001%</w:t>
            </w:r>
          </w:p>
          <w:p w14:paraId="3FA8FBFA" w14:textId="77777777" w:rsidR="0093441E" w:rsidRPr="002A7673" w:rsidRDefault="0093441E" w:rsidP="0048334E">
            <w:pPr>
              <w:spacing w:line="360" w:lineRule="auto"/>
              <w:jc w:val="center"/>
              <w:rPr>
                <w:iCs/>
              </w:rPr>
            </w:pPr>
          </w:p>
        </w:tc>
        <w:tc>
          <w:tcPr>
            <w:tcW w:w="3828" w:type="dxa"/>
          </w:tcPr>
          <w:p w14:paraId="50D7820E" w14:textId="77777777" w:rsidR="0093441E" w:rsidRPr="002A7673" w:rsidRDefault="0093441E" w:rsidP="0048334E">
            <w:pPr>
              <w:rPr>
                <w:color w:val="000000"/>
              </w:rPr>
            </w:pPr>
            <w:r w:rsidRPr="002A7673">
              <w:rPr>
                <w:color w:val="000000"/>
              </w:rPr>
              <w:t>El presupuesto solicitado se intentó ajustar al -4% autorizado por Corte Plena; sin embargo, no fue posible y finalmente quedó prácticamente en el mismo monto aprobado para el 2021.</w:t>
            </w:r>
          </w:p>
        </w:tc>
      </w:tr>
      <w:tr w:rsidR="0093441E" w:rsidRPr="002A7673" w14:paraId="4A19422D" w14:textId="77777777" w:rsidTr="0048334E">
        <w:trPr>
          <w:jc w:val="center"/>
        </w:trPr>
        <w:tc>
          <w:tcPr>
            <w:tcW w:w="3164" w:type="dxa"/>
            <w:vAlign w:val="center"/>
          </w:tcPr>
          <w:p w14:paraId="3D2BCA11" w14:textId="77777777" w:rsidR="0093441E" w:rsidRPr="002A7673" w:rsidRDefault="0093441E" w:rsidP="0048334E">
            <w:pPr>
              <w:rPr>
                <w:color w:val="000000"/>
                <w:lang w:eastAsia="es-CR"/>
              </w:rPr>
            </w:pPr>
            <w:r w:rsidRPr="002A7673">
              <w:rPr>
                <w:color w:val="000000"/>
              </w:rPr>
              <w:t>Administración del II Circuito Judicial de San José</w:t>
            </w:r>
          </w:p>
          <w:p w14:paraId="53F3C877" w14:textId="77777777" w:rsidR="0093441E" w:rsidRPr="002A7673" w:rsidRDefault="0093441E" w:rsidP="0048334E">
            <w:pPr>
              <w:rPr>
                <w:iCs/>
              </w:rPr>
            </w:pPr>
          </w:p>
        </w:tc>
        <w:tc>
          <w:tcPr>
            <w:tcW w:w="1816" w:type="dxa"/>
            <w:vAlign w:val="center"/>
          </w:tcPr>
          <w:p w14:paraId="4A5E5259" w14:textId="77777777" w:rsidR="0093441E" w:rsidRPr="002A7673" w:rsidRDefault="0093441E" w:rsidP="0048334E">
            <w:pPr>
              <w:jc w:val="center"/>
              <w:rPr>
                <w:color w:val="000000"/>
                <w:lang w:eastAsia="es-CR"/>
              </w:rPr>
            </w:pPr>
            <w:r w:rsidRPr="002A7673">
              <w:rPr>
                <w:color w:val="000000"/>
              </w:rPr>
              <w:t>-1,4%</w:t>
            </w:r>
          </w:p>
          <w:p w14:paraId="1F8A075C" w14:textId="77777777" w:rsidR="0093441E" w:rsidRPr="002A7673" w:rsidRDefault="0093441E" w:rsidP="0048334E">
            <w:pPr>
              <w:spacing w:line="360" w:lineRule="auto"/>
              <w:jc w:val="center"/>
              <w:rPr>
                <w:iCs/>
              </w:rPr>
            </w:pPr>
          </w:p>
        </w:tc>
        <w:tc>
          <w:tcPr>
            <w:tcW w:w="3828" w:type="dxa"/>
          </w:tcPr>
          <w:p w14:paraId="0D4924E6" w14:textId="77777777" w:rsidR="0093441E" w:rsidRPr="002A7673" w:rsidRDefault="0093441E" w:rsidP="0048334E">
            <w:pPr>
              <w:rPr>
                <w:color w:val="000000"/>
              </w:rPr>
            </w:pPr>
            <w:r w:rsidRPr="002A7673">
              <w:rPr>
                <w:color w:val="000000"/>
              </w:rPr>
              <w:t>El decrecimiento se debe principalmente a la disminución del presupuesto aprobado en ambos años por Construcciones, que pasó de ¢434.140.000 en 2021 a ¢357.917.500 en el 2022.</w:t>
            </w:r>
          </w:p>
        </w:tc>
      </w:tr>
      <w:tr w:rsidR="0093441E" w:rsidRPr="002A7673" w14:paraId="189D0A4D" w14:textId="77777777" w:rsidTr="0048334E">
        <w:trPr>
          <w:jc w:val="center"/>
        </w:trPr>
        <w:tc>
          <w:tcPr>
            <w:tcW w:w="3164" w:type="dxa"/>
            <w:vAlign w:val="center"/>
          </w:tcPr>
          <w:p w14:paraId="460CA225" w14:textId="77777777" w:rsidR="0093441E" w:rsidRPr="002A7673" w:rsidRDefault="0093441E" w:rsidP="0048334E">
            <w:pPr>
              <w:rPr>
                <w:color w:val="000000"/>
                <w:lang w:eastAsia="es-CR"/>
              </w:rPr>
            </w:pPr>
            <w:r w:rsidRPr="002A7673">
              <w:rPr>
                <w:color w:val="000000"/>
              </w:rPr>
              <w:t>Departamento de Prensa y Comunicación Organizacional</w:t>
            </w:r>
          </w:p>
          <w:p w14:paraId="6DB5518F" w14:textId="77777777" w:rsidR="0093441E" w:rsidRPr="002A7673" w:rsidRDefault="0093441E" w:rsidP="0048334E">
            <w:pPr>
              <w:rPr>
                <w:iCs/>
              </w:rPr>
            </w:pPr>
          </w:p>
        </w:tc>
        <w:tc>
          <w:tcPr>
            <w:tcW w:w="1816" w:type="dxa"/>
            <w:vAlign w:val="center"/>
          </w:tcPr>
          <w:p w14:paraId="6006DF45" w14:textId="77777777" w:rsidR="0093441E" w:rsidRPr="002A7673" w:rsidRDefault="0093441E" w:rsidP="0048334E">
            <w:pPr>
              <w:jc w:val="center"/>
              <w:rPr>
                <w:color w:val="000000"/>
                <w:lang w:eastAsia="es-CR"/>
              </w:rPr>
            </w:pPr>
            <w:r w:rsidRPr="002A7673">
              <w:rPr>
                <w:color w:val="000000"/>
              </w:rPr>
              <w:t>-2,4%</w:t>
            </w:r>
          </w:p>
          <w:p w14:paraId="02B051E1" w14:textId="77777777" w:rsidR="0093441E" w:rsidRPr="002A7673" w:rsidRDefault="0093441E" w:rsidP="0048334E">
            <w:pPr>
              <w:spacing w:line="360" w:lineRule="auto"/>
              <w:jc w:val="center"/>
              <w:rPr>
                <w:iCs/>
              </w:rPr>
            </w:pPr>
          </w:p>
        </w:tc>
        <w:tc>
          <w:tcPr>
            <w:tcW w:w="3828" w:type="dxa"/>
          </w:tcPr>
          <w:p w14:paraId="4141E939" w14:textId="77777777" w:rsidR="0093441E" w:rsidRPr="002A7673" w:rsidRDefault="0093441E" w:rsidP="0048334E">
            <w:pPr>
              <w:rPr>
                <w:color w:val="000000"/>
              </w:rPr>
            </w:pPr>
            <w:r w:rsidRPr="002A7673">
              <w:rPr>
                <w:color w:val="000000"/>
              </w:rPr>
              <w:t xml:space="preserve">El decrecimiento se debe en primera instancia a que el centro de responsabilidad se ajustó al decrecimiento del -4% autorizado por Corte Plena </w:t>
            </w:r>
            <w:proofErr w:type="gramStart"/>
            <w:r w:rsidRPr="002A7673">
              <w:rPr>
                <w:color w:val="000000"/>
              </w:rPr>
              <w:t>y</w:t>
            </w:r>
            <w:proofErr w:type="gramEnd"/>
            <w:r w:rsidRPr="002A7673">
              <w:rPr>
                <w:color w:val="000000"/>
              </w:rPr>
              <w:t xml:space="preserve"> además, a que el presupuesto aprobado a través del Área de Informática para el 2022 es superior en poco más de ¢2.000.000 al aprobado para 2021.</w:t>
            </w:r>
          </w:p>
        </w:tc>
      </w:tr>
      <w:tr w:rsidR="0093441E" w:rsidRPr="002A7673" w14:paraId="521874BD" w14:textId="77777777" w:rsidTr="0048334E">
        <w:trPr>
          <w:jc w:val="center"/>
        </w:trPr>
        <w:tc>
          <w:tcPr>
            <w:tcW w:w="3164" w:type="dxa"/>
            <w:vAlign w:val="center"/>
          </w:tcPr>
          <w:p w14:paraId="5BA0E73D" w14:textId="77777777" w:rsidR="0093441E" w:rsidRPr="002A7673" w:rsidRDefault="0093441E" w:rsidP="0048334E">
            <w:pPr>
              <w:rPr>
                <w:color w:val="000000"/>
                <w:lang w:eastAsia="es-CR"/>
              </w:rPr>
            </w:pPr>
            <w:r w:rsidRPr="002A7673">
              <w:rPr>
                <w:color w:val="000000"/>
              </w:rPr>
              <w:t>Dirección de Gestión Humana</w:t>
            </w:r>
          </w:p>
          <w:p w14:paraId="46D40300" w14:textId="77777777" w:rsidR="0093441E" w:rsidRPr="002A7673" w:rsidRDefault="0093441E" w:rsidP="0048334E"/>
        </w:tc>
        <w:tc>
          <w:tcPr>
            <w:tcW w:w="1816" w:type="dxa"/>
            <w:vAlign w:val="center"/>
          </w:tcPr>
          <w:p w14:paraId="4E83E9CC" w14:textId="77777777" w:rsidR="0093441E" w:rsidRPr="002A7673" w:rsidRDefault="0093441E" w:rsidP="0048334E">
            <w:pPr>
              <w:jc w:val="center"/>
              <w:rPr>
                <w:color w:val="000000"/>
                <w:lang w:eastAsia="es-CR"/>
              </w:rPr>
            </w:pPr>
            <w:r w:rsidRPr="002A7673">
              <w:rPr>
                <w:color w:val="000000"/>
              </w:rPr>
              <w:t>-2,7%</w:t>
            </w:r>
          </w:p>
          <w:p w14:paraId="35AD05EF" w14:textId="77777777" w:rsidR="0093441E" w:rsidRPr="002A7673" w:rsidRDefault="0093441E" w:rsidP="0048334E">
            <w:pPr>
              <w:spacing w:line="360" w:lineRule="auto"/>
              <w:jc w:val="center"/>
              <w:rPr>
                <w:iCs/>
              </w:rPr>
            </w:pPr>
          </w:p>
        </w:tc>
        <w:tc>
          <w:tcPr>
            <w:tcW w:w="3828" w:type="dxa"/>
          </w:tcPr>
          <w:p w14:paraId="49C97EF6" w14:textId="77777777" w:rsidR="0093441E" w:rsidRPr="002A7673" w:rsidRDefault="0093441E" w:rsidP="0048334E">
            <w:pPr>
              <w:rPr>
                <w:color w:val="000000"/>
              </w:rPr>
            </w:pPr>
            <w:r w:rsidRPr="002A7673">
              <w:rPr>
                <w:color w:val="000000" w:themeColor="text1"/>
              </w:rPr>
              <w:t xml:space="preserve">El decrecimiento obedece a que su presupuesto se intentó </w:t>
            </w:r>
            <w:proofErr w:type="gramStart"/>
            <w:r w:rsidRPr="002A7673">
              <w:rPr>
                <w:color w:val="000000" w:themeColor="text1"/>
              </w:rPr>
              <w:t>ajustar  a</w:t>
            </w:r>
            <w:proofErr w:type="gramEnd"/>
            <w:r w:rsidRPr="002A7673">
              <w:rPr>
                <w:color w:val="000000" w:themeColor="text1"/>
              </w:rPr>
              <w:t xml:space="preserve"> lo acordado por Corte Plena de un rebajo de -4%.  </w:t>
            </w:r>
          </w:p>
        </w:tc>
      </w:tr>
      <w:tr w:rsidR="0093441E" w:rsidRPr="002A7673" w14:paraId="0A5280F9" w14:textId="77777777" w:rsidTr="0048334E">
        <w:trPr>
          <w:jc w:val="center"/>
        </w:trPr>
        <w:tc>
          <w:tcPr>
            <w:tcW w:w="3164" w:type="dxa"/>
            <w:vAlign w:val="center"/>
          </w:tcPr>
          <w:p w14:paraId="0F435A8B" w14:textId="77777777" w:rsidR="0093441E" w:rsidRPr="002A7673" w:rsidRDefault="0093441E" w:rsidP="0048334E">
            <w:pPr>
              <w:rPr>
                <w:color w:val="000000"/>
                <w:lang w:eastAsia="es-CR"/>
              </w:rPr>
            </w:pPr>
            <w:r w:rsidRPr="002A7673">
              <w:rPr>
                <w:color w:val="000000"/>
              </w:rPr>
              <w:t>Unidad de Adiestramiento</w:t>
            </w:r>
          </w:p>
          <w:p w14:paraId="25F53ED8" w14:textId="77777777" w:rsidR="0093441E" w:rsidRPr="002A7673" w:rsidRDefault="0093441E" w:rsidP="0048334E"/>
        </w:tc>
        <w:tc>
          <w:tcPr>
            <w:tcW w:w="1816" w:type="dxa"/>
            <w:vAlign w:val="center"/>
          </w:tcPr>
          <w:p w14:paraId="4C78AEB9" w14:textId="77777777" w:rsidR="0093441E" w:rsidRPr="002A7673" w:rsidRDefault="0093441E" w:rsidP="0048334E">
            <w:pPr>
              <w:jc w:val="center"/>
              <w:rPr>
                <w:color w:val="000000"/>
                <w:lang w:eastAsia="es-CR"/>
              </w:rPr>
            </w:pPr>
            <w:r w:rsidRPr="002A7673">
              <w:rPr>
                <w:color w:val="000000"/>
              </w:rPr>
              <w:t>-3,0%</w:t>
            </w:r>
          </w:p>
          <w:p w14:paraId="4CD3C945" w14:textId="77777777" w:rsidR="0093441E" w:rsidRPr="002A7673" w:rsidRDefault="0093441E" w:rsidP="0048334E">
            <w:pPr>
              <w:spacing w:line="360" w:lineRule="auto"/>
              <w:jc w:val="center"/>
              <w:rPr>
                <w:iCs/>
              </w:rPr>
            </w:pPr>
          </w:p>
        </w:tc>
        <w:tc>
          <w:tcPr>
            <w:tcW w:w="3828" w:type="dxa"/>
          </w:tcPr>
          <w:p w14:paraId="73DD42A4" w14:textId="77777777" w:rsidR="0093441E" w:rsidRPr="002A7673" w:rsidRDefault="0093441E" w:rsidP="0048334E">
            <w:pPr>
              <w:rPr>
                <w:color w:val="000000"/>
              </w:rPr>
            </w:pPr>
            <w:r w:rsidRPr="002A7673">
              <w:rPr>
                <w:color w:val="000000" w:themeColor="text1"/>
              </w:rPr>
              <w:t xml:space="preserve">El decrecimiento se debe en primera instancia a que el centro de responsabilidad se intentó ajustar al decrecimiento del -4% acordado por Corte Plena </w:t>
            </w:r>
            <w:proofErr w:type="gramStart"/>
            <w:r w:rsidRPr="002A7673">
              <w:rPr>
                <w:color w:val="000000" w:themeColor="text1"/>
              </w:rPr>
              <w:t>y</w:t>
            </w:r>
            <w:proofErr w:type="gramEnd"/>
            <w:r w:rsidRPr="002A7673">
              <w:rPr>
                <w:color w:val="000000" w:themeColor="text1"/>
              </w:rPr>
              <w:t xml:space="preserve"> además, a que para el 2021 no se aprobaron recursos a través de las áreas y para el 2022 se está incluyendo ¢1.900.584 a través del Área de Informática.</w:t>
            </w:r>
          </w:p>
        </w:tc>
      </w:tr>
      <w:tr w:rsidR="0093441E" w:rsidRPr="002A7673" w14:paraId="1321065E" w14:textId="77777777" w:rsidTr="0048334E">
        <w:trPr>
          <w:jc w:val="center"/>
        </w:trPr>
        <w:tc>
          <w:tcPr>
            <w:tcW w:w="3164" w:type="dxa"/>
            <w:vAlign w:val="center"/>
          </w:tcPr>
          <w:p w14:paraId="1A2A7972" w14:textId="77777777" w:rsidR="0093441E" w:rsidRPr="002A7673" w:rsidRDefault="0093441E" w:rsidP="0048334E">
            <w:pPr>
              <w:rPr>
                <w:color w:val="000000"/>
                <w:lang w:eastAsia="es-CR"/>
              </w:rPr>
            </w:pPr>
            <w:r w:rsidRPr="002A7673">
              <w:rPr>
                <w:color w:val="000000"/>
              </w:rPr>
              <w:t>Sala Tercera</w:t>
            </w:r>
          </w:p>
          <w:p w14:paraId="6A81CB99" w14:textId="77777777" w:rsidR="0093441E" w:rsidRPr="002A7673" w:rsidRDefault="0093441E" w:rsidP="0048334E">
            <w:pPr>
              <w:rPr>
                <w:iCs/>
              </w:rPr>
            </w:pPr>
          </w:p>
        </w:tc>
        <w:tc>
          <w:tcPr>
            <w:tcW w:w="1816" w:type="dxa"/>
            <w:vAlign w:val="center"/>
          </w:tcPr>
          <w:p w14:paraId="106CADD6" w14:textId="77777777" w:rsidR="0093441E" w:rsidRPr="002A7673" w:rsidRDefault="0093441E" w:rsidP="0048334E">
            <w:pPr>
              <w:jc w:val="center"/>
              <w:rPr>
                <w:color w:val="000000"/>
                <w:lang w:eastAsia="es-CR"/>
              </w:rPr>
            </w:pPr>
            <w:r w:rsidRPr="002A7673">
              <w:rPr>
                <w:color w:val="000000"/>
              </w:rPr>
              <w:t>-3,3%</w:t>
            </w:r>
          </w:p>
          <w:p w14:paraId="3455AAE2" w14:textId="77777777" w:rsidR="0093441E" w:rsidRPr="002A7673" w:rsidRDefault="0093441E" w:rsidP="0048334E">
            <w:pPr>
              <w:spacing w:line="360" w:lineRule="auto"/>
              <w:jc w:val="center"/>
              <w:rPr>
                <w:iCs/>
              </w:rPr>
            </w:pPr>
          </w:p>
        </w:tc>
        <w:tc>
          <w:tcPr>
            <w:tcW w:w="3828" w:type="dxa"/>
          </w:tcPr>
          <w:p w14:paraId="55896629" w14:textId="77777777" w:rsidR="0093441E" w:rsidRPr="002A7673" w:rsidRDefault="0093441E" w:rsidP="0048334E">
            <w:pPr>
              <w:rPr>
                <w:iCs/>
              </w:rPr>
            </w:pPr>
            <w:r w:rsidRPr="002A7673">
              <w:rPr>
                <w:iCs/>
              </w:rPr>
              <w:t>La disminución de debe al ajuste del -4% aprobado por Corte Plena, además que para el 2021 le fueron aprobados recursos para llevar cabo un proyecto de remodelación y pintura</w:t>
            </w:r>
            <w:r w:rsidRPr="002A7673">
              <w:t>, necesidades que ya no se tienen de cara al 2022</w:t>
            </w:r>
            <w:r w:rsidRPr="002A7673">
              <w:rPr>
                <w:iCs/>
              </w:rPr>
              <w:t>.</w:t>
            </w:r>
          </w:p>
        </w:tc>
      </w:tr>
      <w:tr w:rsidR="0093441E" w:rsidRPr="002A7673" w14:paraId="742E398C" w14:textId="77777777" w:rsidTr="0048334E">
        <w:trPr>
          <w:jc w:val="center"/>
        </w:trPr>
        <w:tc>
          <w:tcPr>
            <w:tcW w:w="3164" w:type="dxa"/>
            <w:vAlign w:val="center"/>
          </w:tcPr>
          <w:p w14:paraId="74FE04F5" w14:textId="77777777" w:rsidR="0093441E" w:rsidRPr="002A7673" w:rsidRDefault="0093441E" w:rsidP="0048334E">
            <w:pPr>
              <w:rPr>
                <w:color w:val="000000"/>
                <w:lang w:eastAsia="es-CR"/>
              </w:rPr>
            </w:pPr>
            <w:r w:rsidRPr="002A7673">
              <w:rPr>
                <w:color w:val="000000"/>
              </w:rPr>
              <w:t xml:space="preserve">Oficina Rectora de Justicia Restaurativa </w:t>
            </w:r>
          </w:p>
          <w:p w14:paraId="50112FC7" w14:textId="77777777" w:rsidR="0093441E" w:rsidRPr="002A7673" w:rsidRDefault="0093441E" w:rsidP="0048334E">
            <w:pPr>
              <w:rPr>
                <w:color w:val="000000"/>
              </w:rPr>
            </w:pPr>
          </w:p>
        </w:tc>
        <w:tc>
          <w:tcPr>
            <w:tcW w:w="1816" w:type="dxa"/>
            <w:vAlign w:val="center"/>
          </w:tcPr>
          <w:p w14:paraId="3E62BA0A" w14:textId="77777777" w:rsidR="0093441E" w:rsidRPr="002A7673" w:rsidRDefault="0093441E" w:rsidP="0048334E">
            <w:pPr>
              <w:jc w:val="center"/>
              <w:rPr>
                <w:color w:val="000000"/>
                <w:lang w:eastAsia="es-CR"/>
              </w:rPr>
            </w:pPr>
            <w:r w:rsidRPr="002A7673">
              <w:rPr>
                <w:color w:val="000000"/>
              </w:rPr>
              <w:t>-3,3%</w:t>
            </w:r>
          </w:p>
          <w:p w14:paraId="6C87D5D1" w14:textId="77777777" w:rsidR="0093441E" w:rsidRPr="002A7673" w:rsidRDefault="0093441E" w:rsidP="0048334E">
            <w:pPr>
              <w:jc w:val="center"/>
              <w:rPr>
                <w:color w:val="000000"/>
              </w:rPr>
            </w:pPr>
          </w:p>
        </w:tc>
        <w:tc>
          <w:tcPr>
            <w:tcW w:w="3828" w:type="dxa"/>
          </w:tcPr>
          <w:p w14:paraId="32229801" w14:textId="77777777" w:rsidR="0093441E" w:rsidRPr="002A7673" w:rsidRDefault="0093441E" w:rsidP="0048334E">
            <w:pPr>
              <w:rPr>
                <w:iCs/>
              </w:rPr>
            </w:pPr>
            <w:r w:rsidRPr="002A7673">
              <w:rPr>
                <w:color w:val="000000"/>
              </w:rPr>
              <w:t>El decrecimiento se debe a que el centro de responsabilidad hizo esfuerzos por ajustarse al límite presupuestario establecido.</w:t>
            </w:r>
          </w:p>
        </w:tc>
      </w:tr>
      <w:tr w:rsidR="0093441E" w:rsidRPr="002A7673" w14:paraId="5C7A481A" w14:textId="77777777" w:rsidTr="0048334E">
        <w:trPr>
          <w:jc w:val="center"/>
        </w:trPr>
        <w:tc>
          <w:tcPr>
            <w:tcW w:w="3164" w:type="dxa"/>
            <w:vAlign w:val="center"/>
          </w:tcPr>
          <w:p w14:paraId="2C62B23C" w14:textId="77777777" w:rsidR="0093441E" w:rsidRPr="002A7673" w:rsidRDefault="0093441E" w:rsidP="0048334E">
            <w:pPr>
              <w:rPr>
                <w:color w:val="000000"/>
                <w:lang w:eastAsia="es-CR"/>
              </w:rPr>
            </w:pPr>
            <w:r w:rsidRPr="002A7673">
              <w:rPr>
                <w:color w:val="000000"/>
              </w:rPr>
              <w:t>Centro de Conciliación del Poder Judicial</w:t>
            </w:r>
          </w:p>
          <w:p w14:paraId="615C83BB" w14:textId="77777777" w:rsidR="0093441E" w:rsidRPr="002A7673" w:rsidRDefault="0093441E" w:rsidP="0048334E">
            <w:pPr>
              <w:rPr>
                <w:iCs/>
              </w:rPr>
            </w:pPr>
          </w:p>
        </w:tc>
        <w:tc>
          <w:tcPr>
            <w:tcW w:w="1816" w:type="dxa"/>
            <w:vAlign w:val="center"/>
          </w:tcPr>
          <w:p w14:paraId="35369844" w14:textId="77777777" w:rsidR="0093441E" w:rsidRPr="002A7673" w:rsidRDefault="0093441E" w:rsidP="0048334E">
            <w:pPr>
              <w:jc w:val="center"/>
              <w:rPr>
                <w:color w:val="000000"/>
                <w:lang w:eastAsia="es-CR"/>
              </w:rPr>
            </w:pPr>
            <w:r w:rsidRPr="002A7673">
              <w:rPr>
                <w:color w:val="000000"/>
              </w:rPr>
              <w:t>-5,0%</w:t>
            </w:r>
          </w:p>
          <w:p w14:paraId="0A7C41CC" w14:textId="77777777" w:rsidR="0093441E" w:rsidRPr="002A7673" w:rsidRDefault="0093441E" w:rsidP="0048334E">
            <w:pPr>
              <w:jc w:val="center"/>
              <w:rPr>
                <w:iCs/>
              </w:rPr>
            </w:pPr>
          </w:p>
        </w:tc>
        <w:tc>
          <w:tcPr>
            <w:tcW w:w="3828" w:type="dxa"/>
          </w:tcPr>
          <w:p w14:paraId="5BF4E176" w14:textId="77777777" w:rsidR="0093441E" w:rsidRPr="002A7673" w:rsidRDefault="0093441E" w:rsidP="0048334E">
            <w:pPr>
              <w:rPr>
                <w:iCs/>
              </w:rPr>
            </w:pPr>
            <w:r w:rsidRPr="002A7673">
              <w:rPr>
                <w:iCs/>
              </w:rPr>
              <w:t xml:space="preserve">El decrecimiento se da principalmente por la disminución en la subpartida 10502 Viáticos dentro del País ya que para el 2021 le aprobaron como requerimiento adicional la suma de ¢9.286.267 para impulsar la política institucional sobre el tratamiento de los diferentes métodos alternos de solución de conflictos. Adicionalmente, este centro no </w:t>
            </w:r>
            <w:r w:rsidRPr="002A7673">
              <w:rPr>
                <w:iCs/>
              </w:rPr>
              <w:lastRenderedPageBreak/>
              <w:t xml:space="preserve">incluyó dentro del anteproyecto los recursos para atender el </w:t>
            </w:r>
            <w:r w:rsidRPr="002A7673">
              <w:rPr>
                <w:b/>
                <w:i/>
              </w:rPr>
              <w:t>Proyecto número 963-CC-P01 Política de tratamiento de métodos alternos de resolución de conflicto</w:t>
            </w:r>
            <w:r w:rsidRPr="002A7673">
              <w:rPr>
                <w:b/>
              </w:rPr>
              <w:t>s,</w:t>
            </w:r>
            <w:r w:rsidRPr="002A7673">
              <w:rPr>
                <w:iCs/>
              </w:rPr>
              <w:t xml:space="preserve"> mismos que se están solicitando como requerimiento adicional</w:t>
            </w:r>
            <w:r w:rsidRPr="002A7673">
              <w:t xml:space="preserve"> por un total de </w:t>
            </w:r>
            <w:r w:rsidRPr="002A7673">
              <w:rPr>
                <w:iCs/>
              </w:rPr>
              <w:t>¢2.689.792.</w:t>
            </w:r>
          </w:p>
        </w:tc>
      </w:tr>
      <w:tr w:rsidR="0093441E" w:rsidRPr="002A7673" w14:paraId="6207EBDD" w14:textId="77777777" w:rsidTr="0048334E">
        <w:trPr>
          <w:jc w:val="center"/>
        </w:trPr>
        <w:tc>
          <w:tcPr>
            <w:tcW w:w="3164" w:type="dxa"/>
            <w:vAlign w:val="center"/>
          </w:tcPr>
          <w:p w14:paraId="5A2CFE49" w14:textId="77777777" w:rsidR="0093441E" w:rsidRPr="002A7673" w:rsidRDefault="0093441E" w:rsidP="0048334E">
            <w:pPr>
              <w:rPr>
                <w:color w:val="000000"/>
                <w:lang w:eastAsia="es-CR"/>
              </w:rPr>
            </w:pPr>
            <w:r w:rsidRPr="002A7673">
              <w:rPr>
                <w:color w:val="000000"/>
              </w:rPr>
              <w:lastRenderedPageBreak/>
              <w:t>Secretaría de Ética y Valores</w:t>
            </w:r>
          </w:p>
          <w:p w14:paraId="0B24257E" w14:textId="77777777" w:rsidR="0093441E" w:rsidRPr="002A7673" w:rsidRDefault="0093441E" w:rsidP="0048334E">
            <w:pPr>
              <w:rPr>
                <w:iCs/>
              </w:rPr>
            </w:pPr>
          </w:p>
        </w:tc>
        <w:tc>
          <w:tcPr>
            <w:tcW w:w="1816" w:type="dxa"/>
            <w:vAlign w:val="center"/>
          </w:tcPr>
          <w:p w14:paraId="04BF06A1" w14:textId="77777777" w:rsidR="0093441E" w:rsidRPr="002A7673" w:rsidRDefault="0093441E" w:rsidP="0048334E">
            <w:pPr>
              <w:jc w:val="center"/>
              <w:rPr>
                <w:color w:val="000000"/>
                <w:lang w:eastAsia="es-CR"/>
              </w:rPr>
            </w:pPr>
            <w:r w:rsidRPr="002A7673">
              <w:rPr>
                <w:color w:val="000000"/>
              </w:rPr>
              <w:t>-5,0%</w:t>
            </w:r>
          </w:p>
          <w:p w14:paraId="2F6DF647" w14:textId="77777777" w:rsidR="0093441E" w:rsidRPr="002A7673" w:rsidRDefault="0093441E" w:rsidP="0048334E">
            <w:pPr>
              <w:spacing w:line="360" w:lineRule="auto"/>
              <w:jc w:val="center"/>
              <w:rPr>
                <w:iCs/>
              </w:rPr>
            </w:pPr>
          </w:p>
        </w:tc>
        <w:tc>
          <w:tcPr>
            <w:tcW w:w="3828" w:type="dxa"/>
          </w:tcPr>
          <w:p w14:paraId="288DC694" w14:textId="77777777" w:rsidR="0093441E" w:rsidRPr="002A7673" w:rsidRDefault="0093441E" w:rsidP="0048334E">
            <w:pPr>
              <w:rPr>
                <w:iCs/>
              </w:rPr>
            </w:pPr>
            <w:r w:rsidRPr="002A7673">
              <w:rPr>
                <w:color w:val="000000"/>
              </w:rPr>
              <w:t xml:space="preserve">El decrecimiento se debe a que el centro se ajustó al presupuesto máximo del -4% acordado por Corte Plena. Además, para dar cumplimiento con las directrices presupuestarias se realizaron rebajos en las subpartidas 10303, 10501 y 20203 por un total de ¢78,371. Lo que corresponde a ¢447,394 menos que el 2021. </w:t>
            </w:r>
          </w:p>
        </w:tc>
      </w:tr>
      <w:tr w:rsidR="0093441E" w:rsidRPr="002A7673" w14:paraId="2FB513F5" w14:textId="77777777" w:rsidTr="0048334E">
        <w:trPr>
          <w:jc w:val="center"/>
        </w:trPr>
        <w:tc>
          <w:tcPr>
            <w:tcW w:w="3164" w:type="dxa"/>
            <w:vAlign w:val="center"/>
          </w:tcPr>
          <w:p w14:paraId="64F05DCA" w14:textId="77777777" w:rsidR="0093441E" w:rsidRPr="002A7673" w:rsidRDefault="0093441E" w:rsidP="0048334E">
            <w:pPr>
              <w:rPr>
                <w:color w:val="000000"/>
                <w:lang w:eastAsia="es-CR"/>
              </w:rPr>
            </w:pPr>
            <w:r w:rsidRPr="002A7673">
              <w:rPr>
                <w:color w:val="000000"/>
              </w:rPr>
              <w:t>Despacho de la Presidencia</w:t>
            </w:r>
          </w:p>
          <w:p w14:paraId="744B0CC9" w14:textId="77777777" w:rsidR="0093441E" w:rsidRPr="002A7673" w:rsidRDefault="0093441E" w:rsidP="0048334E">
            <w:pPr>
              <w:rPr>
                <w:iCs/>
              </w:rPr>
            </w:pPr>
          </w:p>
        </w:tc>
        <w:tc>
          <w:tcPr>
            <w:tcW w:w="1816" w:type="dxa"/>
            <w:vAlign w:val="center"/>
          </w:tcPr>
          <w:p w14:paraId="7E366544" w14:textId="77777777" w:rsidR="0093441E" w:rsidRPr="002A7673" w:rsidRDefault="0093441E" w:rsidP="0048334E">
            <w:pPr>
              <w:jc w:val="center"/>
              <w:rPr>
                <w:color w:val="000000"/>
                <w:lang w:eastAsia="es-CR"/>
              </w:rPr>
            </w:pPr>
            <w:r w:rsidRPr="002A7673">
              <w:rPr>
                <w:color w:val="000000"/>
              </w:rPr>
              <w:t>-5,1%</w:t>
            </w:r>
          </w:p>
          <w:p w14:paraId="07D7D16D" w14:textId="77777777" w:rsidR="0093441E" w:rsidRPr="002A7673" w:rsidRDefault="0093441E" w:rsidP="0048334E">
            <w:pPr>
              <w:spacing w:line="360" w:lineRule="auto"/>
              <w:jc w:val="center"/>
              <w:rPr>
                <w:iCs/>
              </w:rPr>
            </w:pPr>
          </w:p>
        </w:tc>
        <w:tc>
          <w:tcPr>
            <w:tcW w:w="3828" w:type="dxa"/>
          </w:tcPr>
          <w:p w14:paraId="7D89EF7A" w14:textId="77777777" w:rsidR="0093441E" w:rsidRPr="002A7673" w:rsidRDefault="0093441E" w:rsidP="0048334E">
            <w:pPr>
              <w:rPr>
                <w:iCs/>
              </w:rPr>
            </w:pPr>
            <w:r w:rsidRPr="002A7673">
              <w:rPr>
                <w:color w:val="000000"/>
              </w:rPr>
              <w:t>El decrecimiento se debe a que el centro de responsabilidad hizo esfuerzos por ajustarse al límite presupuestario establecido.</w:t>
            </w:r>
          </w:p>
        </w:tc>
      </w:tr>
      <w:tr w:rsidR="0093441E" w:rsidRPr="002A7673" w14:paraId="111A4E8C" w14:textId="77777777" w:rsidTr="0048334E">
        <w:trPr>
          <w:jc w:val="center"/>
        </w:trPr>
        <w:tc>
          <w:tcPr>
            <w:tcW w:w="3164" w:type="dxa"/>
            <w:vAlign w:val="center"/>
          </w:tcPr>
          <w:p w14:paraId="50CB6290" w14:textId="77777777" w:rsidR="0093441E" w:rsidRPr="002A7673" w:rsidRDefault="0093441E" w:rsidP="0048334E">
            <w:pPr>
              <w:rPr>
                <w:color w:val="000000"/>
                <w:lang w:eastAsia="es-CR"/>
              </w:rPr>
            </w:pPr>
            <w:r w:rsidRPr="002A7673">
              <w:rPr>
                <w:color w:val="000000"/>
              </w:rPr>
              <w:t>Inspección Judicial</w:t>
            </w:r>
          </w:p>
          <w:p w14:paraId="25910FDF" w14:textId="77777777" w:rsidR="0093441E" w:rsidRPr="002A7673" w:rsidRDefault="0093441E" w:rsidP="0048334E"/>
        </w:tc>
        <w:tc>
          <w:tcPr>
            <w:tcW w:w="1816" w:type="dxa"/>
            <w:vAlign w:val="center"/>
          </w:tcPr>
          <w:p w14:paraId="491AA485" w14:textId="77777777" w:rsidR="0093441E" w:rsidRPr="002A7673" w:rsidRDefault="0093441E" w:rsidP="0048334E">
            <w:pPr>
              <w:jc w:val="center"/>
              <w:rPr>
                <w:color w:val="000000"/>
                <w:lang w:eastAsia="es-CR"/>
              </w:rPr>
            </w:pPr>
            <w:r w:rsidRPr="002A7673">
              <w:rPr>
                <w:color w:val="000000"/>
              </w:rPr>
              <w:t>-5,3%</w:t>
            </w:r>
          </w:p>
          <w:p w14:paraId="1E26593C" w14:textId="77777777" w:rsidR="0093441E" w:rsidRPr="002A7673" w:rsidRDefault="0093441E" w:rsidP="0048334E">
            <w:pPr>
              <w:spacing w:line="360" w:lineRule="auto"/>
              <w:jc w:val="center"/>
              <w:rPr>
                <w:iCs/>
              </w:rPr>
            </w:pPr>
          </w:p>
        </w:tc>
        <w:tc>
          <w:tcPr>
            <w:tcW w:w="3828" w:type="dxa"/>
          </w:tcPr>
          <w:p w14:paraId="403A213F" w14:textId="77777777" w:rsidR="0093441E" w:rsidRPr="002A7673" w:rsidRDefault="0093441E" w:rsidP="0048334E">
            <w:pPr>
              <w:rPr>
                <w:iCs/>
              </w:rPr>
            </w:pPr>
            <w:r w:rsidRPr="002A7673">
              <w:rPr>
                <w:color w:val="000000"/>
              </w:rPr>
              <w:t>El decrecimiento se debe a que el centro de responsabilidad se ajustó al presupuesto máximo del -4% acordado por Corte Plena, disminuyeron la cantidad de artículos solicitados en algunas subpartidas lo que corresponde a ¢1,739,406 menos que el 2021.</w:t>
            </w:r>
          </w:p>
        </w:tc>
      </w:tr>
      <w:tr w:rsidR="0093441E" w:rsidRPr="002A7673" w14:paraId="711FEFC2" w14:textId="77777777" w:rsidTr="0048334E">
        <w:trPr>
          <w:jc w:val="center"/>
        </w:trPr>
        <w:tc>
          <w:tcPr>
            <w:tcW w:w="3164" w:type="dxa"/>
            <w:vAlign w:val="center"/>
          </w:tcPr>
          <w:p w14:paraId="39441079" w14:textId="77777777" w:rsidR="0093441E" w:rsidRPr="002A7673" w:rsidRDefault="0093441E" w:rsidP="0048334E">
            <w:pPr>
              <w:rPr>
                <w:color w:val="000000"/>
                <w:lang w:eastAsia="es-CR"/>
              </w:rPr>
            </w:pPr>
            <w:r w:rsidRPr="002A7673">
              <w:rPr>
                <w:color w:val="000000"/>
              </w:rPr>
              <w:t>Dirección Jurídica</w:t>
            </w:r>
          </w:p>
          <w:p w14:paraId="0338D3F8" w14:textId="77777777" w:rsidR="0093441E" w:rsidRPr="002A7673" w:rsidRDefault="0093441E" w:rsidP="0048334E"/>
        </w:tc>
        <w:tc>
          <w:tcPr>
            <w:tcW w:w="1816" w:type="dxa"/>
            <w:vAlign w:val="center"/>
          </w:tcPr>
          <w:p w14:paraId="362874B0" w14:textId="77777777" w:rsidR="0093441E" w:rsidRPr="002A7673" w:rsidRDefault="0093441E" w:rsidP="0048334E">
            <w:pPr>
              <w:jc w:val="center"/>
              <w:rPr>
                <w:color w:val="000000"/>
                <w:lang w:eastAsia="es-CR"/>
              </w:rPr>
            </w:pPr>
            <w:r w:rsidRPr="002A7673">
              <w:rPr>
                <w:color w:val="000000"/>
              </w:rPr>
              <w:t>-5,8%</w:t>
            </w:r>
          </w:p>
          <w:p w14:paraId="49114221" w14:textId="77777777" w:rsidR="0093441E" w:rsidRPr="002A7673" w:rsidRDefault="0093441E" w:rsidP="0048334E">
            <w:pPr>
              <w:spacing w:line="360" w:lineRule="auto"/>
              <w:jc w:val="center"/>
              <w:rPr>
                <w:iCs/>
              </w:rPr>
            </w:pPr>
          </w:p>
        </w:tc>
        <w:tc>
          <w:tcPr>
            <w:tcW w:w="3828" w:type="dxa"/>
          </w:tcPr>
          <w:p w14:paraId="3622D3B1" w14:textId="77777777" w:rsidR="0093441E" w:rsidRPr="002A7673" w:rsidRDefault="0093441E" w:rsidP="0048334E">
            <w:pPr>
              <w:rPr>
                <w:color w:val="000000"/>
              </w:rPr>
            </w:pPr>
            <w:r w:rsidRPr="002A7673">
              <w:rPr>
                <w:color w:val="000000"/>
              </w:rPr>
              <w:t>El decrecimiento se debe a que el centro de responsabilidad hizo esfuerzos por ajustarse al límite presupuestario establecido.</w:t>
            </w:r>
          </w:p>
        </w:tc>
      </w:tr>
      <w:tr w:rsidR="0093441E" w:rsidRPr="002A7673" w14:paraId="20FF338E" w14:textId="77777777" w:rsidTr="0048334E">
        <w:trPr>
          <w:jc w:val="center"/>
        </w:trPr>
        <w:tc>
          <w:tcPr>
            <w:tcW w:w="3164" w:type="dxa"/>
            <w:vAlign w:val="center"/>
          </w:tcPr>
          <w:p w14:paraId="713DEA19" w14:textId="77777777" w:rsidR="0093441E" w:rsidRPr="002A7673" w:rsidRDefault="0093441E" w:rsidP="0048334E">
            <w:pPr>
              <w:rPr>
                <w:color w:val="000000"/>
                <w:lang w:eastAsia="es-CR"/>
              </w:rPr>
            </w:pPr>
            <w:r w:rsidRPr="002A7673">
              <w:rPr>
                <w:color w:val="000000"/>
              </w:rPr>
              <w:t>Contraloría de Servicios</w:t>
            </w:r>
          </w:p>
          <w:p w14:paraId="6F4AAE66" w14:textId="77777777" w:rsidR="0093441E" w:rsidRPr="002A7673" w:rsidRDefault="0093441E" w:rsidP="0048334E">
            <w:pPr>
              <w:rPr>
                <w:iCs/>
              </w:rPr>
            </w:pPr>
          </w:p>
        </w:tc>
        <w:tc>
          <w:tcPr>
            <w:tcW w:w="1816" w:type="dxa"/>
            <w:vAlign w:val="center"/>
          </w:tcPr>
          <w:p w14:paraId="1F117FDC" w14:textId="77777777" w:rsidR="0093441E" w:rsidRPr="002A7673" w:rsidRDefault="0093441E" w:rsidP="0048334E">
            <w:pPr>
              <w:jc w:val="center"/>
              <w:rPr>
                <w:color w:val="000000"/>
                <w:lang w:eastAsia="es-CR"/>
              </w:rPr>
            </w:pPr>
            <w:r w:rsidRPr="002A7673">
              <w:rPr>
                <w:color w:val="000000"/>
              </w:rPr>
              <w:t>-6,0%</w:t>
            </w:r>
          </w:p>
          <w:p w14:paraId="7D62D7AF" w14:textId="77777777" w:rsidR="0093441E" w:rsidRPr="002A7673" w:rsidRDefault="0093441E" w:rsidP="0048334E">
            <w:pPr>
              <w:spacing w:line="360" w:lineRule="auto"/>
              <w:jc w:val="center"/>
              <w:rPr>
                <w:iCs/>
              </w:rPr>
            </w:pPr>
          </w:p>
        </w:tc>
        <w:tc>
          <w:tcPr>
            <w:tcW w:w="3828" w:type="dxa"/>
          </w:tcPr>
          <w:p w14:paraId="53F960B0" w14:textId="77777777" w:rsidR="0093441E" w:rsidRPr="002A7673" w:rsidRDefault="0093441E" w:rsidP="0048334E">
            <w:pPr>
              <w:rPr>
                <w:color w:val="000000"/>
              </w:rPr>
            </w:pPr>
            <w:r w:rsidRPr="002A7673">
              <w:rPr>
                <w:color w:val="000000"/>
              </w:rPr>
              <w:t>El decrecimiento se debe a la combinación de dos factores, primero que el centro se ajustó al presupuesto máximo del -4% acordado por Corte Plena y segundo, al presupuesto adicional correspondiente a las Áreas para 2022, en total es ¢4.196.615 inferior al del 2021.</w:t>
            </w:r>
          </w:p>
        </w:tc>
      </w:tr>
      <w:tr w:rsidR="0093441E" w:rsidRPr="002A7673" w14:paraId="093FC205" w14:textId="77777777" w:rsidTr="0048334E">
        <w:trPr>
          <w:jc w:val="center"/>
        </w:trPr>
        <w:tc>
          <w:tcPr>
            <w:tcW w:w="3164" w:type="dxa"/>
            <w:vAlign w:val="center"/>
          </w:tcPr>
          <w:p w14:paraId="79698C79" w14:textId="77777777" w:rsidR="0093441E" w:rsidRPr="002A7673" w:rsidRDefault="0093441E" w:rsidP="0048334E">
            <w:pPr>
              <w:rPr>
                <w:color w:val="000000"/>
                <w:lang w:eastAsia="es-CR"/>
              </w:rPr>
            </w:pPr>
            <w:r w:rsidRPr="002A7673">
              <w:rPr>
                <w:color w:val="000000"/>
              </w:rPr>
              <w:t>Comisión Nacional Mejoramiento Administración de Justicia</w:t>
            </w:r>
          </w:p>
          <w:p w14:paraId="613EFF82" w14:textId="77777777" w:rsidR="0093441E" w:rsidRPr="002A7673" w:rsidRDefault="0093441E" w:rsidP="0048334E"/>
        </w:tc>
        <w:tc>
          <w:tcPr>
            <w:tcW w:w="1816" w:type="dxa"/>
            <w:vAlign w:val="center"/>
          </w:tcPr>
          <w:p w14:paraId="48DCFA50" w14:textId="77777777" w:rsidR="0093441E" w:rsidRPr="002A7673" w:rsidRDefault="0093441E" w:rsidP="0048334E">
            <w:pPr>
              <w:jc w:val="center"/>
              <w:rPr>
                <w:color w:val="000000"/>
                <w:lang w:eastAsia="es-CR"/>
              </w:rPr>
            </w:pPr>
            <w:r w:rsidRPr="002A7673">
              <w:rPr>
                <w:color w:val="000000"/>
              </w:rPr>
              <w:t>-6,4%</w:t>
            </w:r>
          </w:p>
          <w:p w14:paraId="607BB1F7" w14:textId="77777777" w:rsidR="0093441E" w:rsidRPr="002A7673" w:rsidRDefault="0093441E" w:rsidP="0048334E">
            <w:pPr>
              <w:spacing w:line="360" w:lineRule="auto"/>
              <w:jc w:val="center"/>
              <w:rPr>
                <w:iCs/>
              </w:rPr>
            </w:pPr>
          </w:p>
        </w:tc>
        <w:tc>
          <w:tcPr>
            <w:tcW w:w="3828" w:type="dxa"/>
          </w:tcPr>
          <w:p w14:paraId="046747F2" w14:textId="77777777" w:rsidR="0093441E" w:rsidRPr="002A7673" w:rsidRDefault="0093441E" w:rsidP="0048334E">
            <w:pPr>
              <w:rPr>
                <w:color w:val="000000"/>
              </w:rPr>
            </w:pPr>
            <w:r w:rsidRPr="002A7673">
              <w:rPr>
                <w:color w:val="000000"/>
              </w:rPr>
              <w:t>El decrecimiento se debe a que el centro se ajustó al presupuesto máximo del -4% acordado por Corte Plena, disminuyeron la cantidad de artículos solicitados en algunas subpartidas lo que corresponde a ¢3.984.463 menos que el 2021.</w:t>
            </w:r>
          </w:p>
        </w:tc>
      </w:tr>
      <w:tr w:rsidR="0093441E" w:rsidRPr="002A7673" w14:paraId="2943BF64" w14:textId="77777777" w:rsidTr="0048334E">
        <w:trPr>
          <w:jc w:val="center"/>
        </w:trPr>
        <w:tc>
          <w:tcPr>
            <w:tcW w:w="3164" w:type="dxa"/>
            <w:vAlign w:val="center"/>
          </w:tcPr>
          <w:p w14:paraId="6E02E8A5" w14:textId="77777777" w:rsidR="0093441E" w:rsidRPr="002A7673" w:rsidRDefault="0093441E" w:rsidP="0048334E">
            <w:pPr>
              <w:rPr>
                <w:color w:val="000000"/>
                <w:lang w:eastAsia="es-CR"/>
              </w:rPr>
            </w:pPr>
            <w:r w:rsidRPr="002A7673">
              <w:rPr>
                <w:color w:val="000000"/>
              </w:rPr>
              <w:t>Centro de Gestión de la Calidad</w:t>
            </w:r>
          </w:p>
          <w:p w14:paraId="00A3EFF1" w14:textId="77777777" w:rsidR="0093441E" w:rsidRPr="002A7673" w:rsidRDefault="0093441E" w:rsidP="0048334E">
            <w:pPr>
              <w:rPr>
                <w:color w:val="000000"/>
              </w:rPr>
            </w:pPr>
          </w:p>
        </w:tc>
        <w:tc>
          <w:tcPr>
            <w:tcW w:w="1816" w:type="dxa"/>
            <w:vAlign w:val="center"/>
          </w:tcPr>
          <w:p w14:paraId="2C38968A" w14:textId="77777777" w:rsidR="0093441E" w:rsidRPr="002A7673" w:rsidRDefault="0093441E" w:rsidP="0048334E">
            <w:pPr>
              <w:jc w:val="center"/>
              <w:rPr>
                <w:color w:val="000000"/>
                <w:lang w:eastAsia="es-CR"/>
              </w:rPr>
            </w:pPr>
            <w:r w:rsidRPr="002A7673">
              <w:rPr>
                <w:color w:val="000000"/>
              </w:rPr>
              <w:t>-9,6%</w:t>
            </w:r>
          </w:p>
          <w:p w14:paraId="11F4097F" w14:textId="77777777" w:rsidR="0093441E" w:rsidRPr="002A7673" w:rsidRDefault="0093441E" w:rsidP="0048334E">
            <w:pPr>
              <w:jc w:val="center"/>
              <w:rPr>
                <w:color w:val="000000"/>
              </w:rPr>
            </w:pPr>
          </w:p>
        </w:tc>
        <w:tc>
          <w:tcPr>
            <w:tcW w:w="3828" w:type="dxa"/>
          </w:tcPr>
          <w:p w14:paraId="5A1D188D" w14:textId="77777777" w:rsidR="0093441E" w:rsidRPr="002A7673" w:rsidRDefault="0093441E" w:rsidP="0048334E">
            <w:pPr>
              <w:rPr>
                <w:iCs/>
              </w:rPr>
            </w:pPr>
            <w:r w:rsidRPr="002A7673">
              <w:rPr>
                <w:color w:val="000000"/>
              </w:rPr>
              <w:t>El decrecimiento se debe a que el centro de responsabilidad hizo esfuerzos por ajustarse al límite presupuestario establecido.</w:t>
            </w:r>
          </w:p>
        </w:tc>
      </w:tr>
      <w:tr w:rsidR="0093441E" w:rsidRPr="002A7673" w14:paraId="4B6BB0B2" w14:textId="77777777" w:rsidTr="0048334E">
        <w:trPr>
          <w:jc w:val="center"/>
        </w:trPr>
        <w:tc>
          <w:tcPr>
            <w:tcW w:w="3164" w:type="dxa"/>
            <w:vAlign w:val="center"/>
          </w:tcPr>
          <w:p w14:paraId="2712192D" w14:textId="77777777" w:rsidR="0093441E" w:rsidRPr="002A7673" w:rsidRDefault="0093441E" w:rsidP="0048334E">
            <w:pPr>
              <w:rPr>
                <w:color w:val="000000"/>
                <w:lang w:eastAsia="es-CR"/>
              </w:rPr>
            </w:pPr>
            <w:r w:rsidRPr="002A7673">
              <w:rPr>
                <w:color w:val="000000"/>
              </w:rPr>
              <w:t>Administración Regional de Turrialba</w:t>
            </w:r>
          </w:p>
          <w:p w14:paraId="7C5C8F83" w14:textId="77777777" w:rsidR="0093441E" w:rsidRPr="002A7673" w:rsidRDefault="0093441E" w:rsidP="0048334E">
            <w:pPr>
              <w:rPr>
                <w:color w:val="000000"/>
              </w:rPr>
            </w:pPr>
          </w:p>
        </w:tc>
        <w:tc>
          <w:tcPr>
            <w:tcW w:w="1816" w:type="dxa"/>
            <w:vAlign w:val="center"/>
          </w:tcPr>
          <w:p w14:paraId="05FA8F54" w14:textId="77777777" w:rsidR="0093441E" w:rsidRPr="002A7673" w:rsidRDefault="0093441E" w:rsidP="0048334E">
            <w:pPr>
              <w:jc w:val="center"/>
              <w:rPr>
                <w:color w:val="000000"/>
                <w:lang w:eastAsia="es-CR"/>
              </w:rPr>
            </w:pPr>
            <w:r w:rsidRPr="002A7673">
              <w:rPr>
                <w:color w:val="000000"/>
              </w:rPr>
              <w:t>-13,4%</w:t>
            </w:r>
          </w:p>
          <w:p w14:paraId="78592B01" w14:textId="77777777" w:rsidR="0093441E" w:rsidRPr="002A7673" w:rsidRDefault="0093441E" w:rsidP="0048334E">
            <w:pPr>
              <w:jc w:val="center"/>
              <w:rPr>
                <w:color w:val="000000"/>
              </w:rPr>
            </w:pPr>
          </w:p>
        </w:tc>
        <w:tc>
          <w:tcPr>
            <w:tcW w:w="3828" w:type="dxa"/>
          </w:tcPr>
          <w:p w14:paraId="0FD3CCFD" w14:textId="77777777" w:rsidR="0093441E" w:rsidRPr="002A7673" w:rsidRDefault="0093441E" w:rsidP="0048334E">
            <w:pPr>
              <w:rPr>
                <w:iCs/>
              </w:rPr>
            </w:pPr>
            <w:r w:rsidRPr="002A7673">
              <w:rPr>
                <w:color w:val="000000"/>
              </w:rPr>
              <w:t xml:space="preserve">El decrecimiento se debe a que el centro de responsabilidad se ajustó al presupuesto máximo del -4% acordado por Corte Plena y </w:t>
            </w:r>
            <w:r w:rsidRPr="002A7673">
              <w:rPr>
                <w:iCs/>
              </w:rPr>
              <w:t>a una disminución en el presupuesto aprobado por Construcciones para el 2022 en relación con el 2021.</w:t>
            </w:r>
          </w:p>
        </w:tc>
      </w:tr>
      <w:tr w:rsidR="0093441E" w:rsidRPr="002A7673" w14:paraId="024CD134" w14:textId="77777777" w:rsidTr="0048334E">
        <w:trPr>
          <w:jc w:val="center"/>
        </w:trPr>
        <w:tc>
          <w:tcPr>
            <w:tcW w:w="3164" w:type="dxa"/>
            <w:vAlign w:val="center"/>
          </w:tcPr>
          <w:p w14:paraId="7D666BA3" w14:textId="77777777" w:rsidR="0093441E" w:rsidRPr="002A7673" w:rsidRDefault="0093441E" w:rsidP="0048334E">
            <w:pPr>
              <w:rPr>
                <w:color w:val="000000"/>
                <w:lang w:eastAsia="es-CR"/>
              </w:rPr>
            </w:pPr>
            <w:r w:rsidRPr="002A7673">
              <w:rPr>
                <w:color w:val="000000"/>
              </w:rPr>
              <w:lastRenderedPageBreak/>
              <w:t>Administración de la Ciudad Judicial de San Joaquín de Flores</w:t>
            </w:r>
          </w:p>
          <w:p w14:paraId="5D3C3749" w14:textId="77777777" w:rsidR="0093441E" w:rsidRPr="002A7673" w:rsidRDefault="0093441E" w:rsidP="0048334E">
            <w:pPr>
              <w:rPr>
                <w:iCs/>
              </w:rPr>
            </w:pPr>
          </w:p>
        </w:tc>
        <w:tc>
          <w:tcPr>
            <w:tcW w:w="1816" w:type="dxa"/>
            <w:vAlign w:val="center"/>
          </w:tcPr>
          <w:p w14:paraId="6A21DB16" w14:textId="77777777" w:rsidR="0093441E" w:rsidRPr="002A7673" w:rsidRDefault="0093441E" w:rsidP="0048334E">
            <w:pPr>
              <w:jc w:val="center"/>
              <w:rPr>
                <w:color w:val="000000"/>
                <w:lang w:eastAsia="es-CR"/>
              </w:rPr>
            </w:pPr>
            <w:r w:rsidRPr="002A7673">
              <w:rPr>
                <w:color w:val="000000"/>
              </w:rPr>
              <w:t>-15,0%</w:t>
            </w:r>
          </w:p>
          <w:p w14:paraId="2FDEC697" w14:textId="77777777" w:rsidR="0093441E" w:rsidRPr="002A7673" w:rsidRDefault="0093441E" w:rsidP="0048334E">
            <w:pPr>
              <w:jc w:val="center"/>
              <w:rPr>
                <w:iCs/>
              </w:rPr>
            </w:pPr>
          </w:p>
        </w:tc>
        <w:tc>
          <w:tcPr>
            <w:tcW w:w="3828" w:type="dxa"/>
          </w:tcPr>
          <w:p w14:paraId="10756267" w14:textId="77777777" w:rsidR="0093441E" w:rsidRPr="002A7673" w:rsidRDefault="0093441E" w:rsidP="0048334E">
            <w:pPr>
              <w:rPr>
                <w:iCs/>
              </w:rPr>
            </w:pPr>
            <w:r w:rsidRPr="002A7673">
              <w:rPr>
                <w:color w:val="000000"/>
              </w:rPr>
              <w:t xml:space="preserve">El decrecimiento se debe a que el centro de responsabilidad se ajustó al presupuesto máximo del -4% acordado por Corte Plena, y </w:t>
            </w:r>
            <w:r w:rsidRPr="002A7673">
              <w:rPr>
                <w:iCs/>
              </w:rPr>
              <w:t>a una disminución en el presupuesto aprobado por Construcciones para el 2022 en relación con el 2021.</w:t>
            </w:r>
          </w:p>
        </w:tc>
      </w:tr>
      <w:tr w:rsidR="0093441E" w:rsidRPr="002A7673" w14:paraId="79CCF6A5" w14:textId="77777777" w:rsidTr="0048334E">
        <w:trPr>
          <w:jc w:val="center"/>
        </w:trPr>
        <w:tc>
          <w:tcPr>
            <w:tcW w:w="3164" w:type="dxa"/>
            <w:vAlign w:val="center"/>
          </w:tcPr>
          <w:p w14:paraId="58026BD1" w14:textId="77777777" w:rsidR="0093441E" w:rsidRPr="002A7673" w:rsidRDefault="0093441E" w:rsidP="0048334E">
            <w:pPr>
              <w:rPr>
                <w:color w:val="000000"/>
                <w:lang w:eastAsia="es-CR"/>
              </w:rPr>
            </w:pPr>
            <w:r w:rsidRPr="002A7673">
              <w:rPr>
                <w:color w:val="000000"/>
              </w:rPr>
              <w:t>Consejo Superior</w:t>
            </w:r>
          </w:p>
          <w:p w14:paraId="6FEF060B" w14:textId="77777777" w:rsidR="0093441E" w:rsidRPr="002A7673" w:rsidRDefault="0093441E" w:rsidP="0048334E"/>
        </w:tc>
        <w:tc>
          <w:tcPr>
            <w:tcW w:w="1816" w:type="dxa"/>
            <w:vAlign w:val="center"/>
          </w:tcPr>
          <w:p w14:paraId="3FC7D207" w14:textId="77777777" w:rsidR="0093441E" w:rsidRPr="002A7673" w:rsidRDefault="0093441E" w:rsidP="0048334E">
            <w:pPr>
              <w:jc w:val="center"/>
              <w:rPr>
                <w:color w:val="000000"/>
                <w:lang w:eastAsia="es-CR"/>
              </w:rPr>
            </w:pPr>
            <w:r w:rsidRPr="002A7673">
              <w:rPr>
                <w:color w:val="000000"/>
              </w:rPr>
              <w:t>-16,3%</w:t>
            </w:r>
          </w:p>
          <w:p w14:paraId="6FD11E19" w14:textId="77777777" w:rsidR="0093441E" w:rsidRPr="002A7673" w:rsidRDefault="0093441E" w:rsidP="0048334E">
            <w:pPr>
              <w:jc w:val="center"/>
              <w:rPr>
                <w:iCs/>
              </w:rPr>
            </w:pPr>
          </w:p>
        </w:tc>
        <w:tc>
          <w:tcPr>
            <w:tcW w:w="3828" w:type="dxa"/>
          </w:tcPr>
          <w:p w14:paraId="447C90D4" w14:textId="77777777" w:rsidR="0093441E" w:rsidRPr="002A7673" w:rsidRDefault="0093441E" w:rsidP="0048334E">
            <w:pPr>
              <w:rPr>
                <w:color w:val="000000"/>
              </w:rPr>
            </w:pPr>
            <w:r w:rsidRPr="002A7673">
              <w:rPr>
                <w:color w:val="000000" w:themeColor="text1"/>
              </w:rPr>
              <w:t>El decrecimiento lo ocasionada principalmente la disminución de recursos para Alimentos y Bebidas por ¢1.832.000, dado a que para la formulación se consideró que se realizarán menos reuniones presenciales.</w:t>
            </w:r>
          </w:p>
        </w:tc>
      </w:tr>
      <w:tr w:rsidR="0093441E" w:rsidRPr="002A7673" w14:paraId="3C5F0A6F" w14:textId="77777777" w:rsidTr="0048334E">
        <w:trPr>
          <w:jc w:val="center"/>
        </w:trPr>
        <w:tc>
          <w:tcPr>
            <w:tcW w:w="3164" w:type="dxa"/>
            <w:vAlign w:val="center"/>
          </w:tcPr>
          <w:p w14:paraId="471F0BC8" w14:textId="77777777" w:rsidR="0093441E" w:rsidRPr="002A7673" w:rsidRDefault="0093441E" w:rsidP="0048334E">
            <w:pPr>
              <w:rPr>
                <w:color w:val="000000"/>
                <w:lang w:eastAsia="es-CR"/>
              </w:rPr>
            </w:pPr>
            <w:r w:rsidRPr="002A7673">
              <w:rPr>
                <w:color w:val="000000"/>
              </w:rPr>
              <w:t>Administración del II Circuito Judicial de la Zona Sur</w:t>
            </w:r>
          </w:p>
          <w:p w14:paraId="0D13CA9B" w14:textId="77777777" w:rsidR="0093441E" w:rsidRPr="002A7673" w:rsidRDefault="0093441E" w:rsidP="0048334E"/>
        </w:tc>
        <w:tc>
          <w:tcPr>
            <w:tcW w:w="1816" w:type="dxa"/>
            <w:vAlign w:val="center"/>
          </w:tcPr>
          <w:p w14:paraId="4B5052B5" w14:textId="77777777" w:rsidR="0093441E" w:rsidRPr="002A7673" w:rsidRDefault="0093441E" w:rsidP="0048334E">
            <w:pPr>
              <w:jc w:val="center"/>
              <w:rPr>
                <w:color w:val="000000"/>
                <w:lang w:eastAsia="es-CR"/>
              </w:rPr>
            </w:pPr>
            <w:r w:rsidRPr="002A7673">
              <w:rPr>
                <w:color w:val="000000"/>
              </w:rPr>
              <w:t>-17,5%</w:t>
            </w:r>
          </w:p>
          <w:p w14:paraId="6381BEA5" w14:textId="77777777" w:rsidR="0093441E" w:rsidRPr="002A7673" w:rsidRDefault="0093441E" w:rsidP="0048334E">
            <w:pPr>
              <w:jc w:val="center"/>
              <w:rPr>
                <w:iCs/>
              </w:rPr>
            </w:pPr>
          </w:p>
        </w:tc>
        <w:tc>
          <w:tcPr>
            <w:tcW w:w="3828" w:type="dxa"/>
          </w:tcPr>
          <w:p w14:paraId="037BB86E" w14:textId="77777777" w:rsidR="0093441E" w:rsidRPr="002A7673" w:rsidRDefault="0093441E" w:rsidP="0048334E">
            <w:pPr>
              <w:rPr>
                <w:iCs/>
              </w:rPr>
            </w:pPr>
            <w:r w:rsidRPr="002A7673">
              <w:rPr>
                <w:color w:val="000000"/>
              </w:rPr>
              <w:t>El decrecimiento se debe principalmente a dos elementos, uno es que el centro de responsabilidad se ajustó al presupuesto máximo del -4% acordado por Corte Plena y que el presupuesto agregado por concepto de las Áreas para 2022 disminuyó en ¢78.000.000 aproximadamente.</w:t>
            </w:r>
          </w:p>
        </w:tc>
      </w:tr>
      <w:tr w:rsidR="0093441E" w:rsidRPr="002A7673" w14:paraId="1F93C85D" w14:textId="77777777" w:rsidTr="0048334E">
        <w:trPr>
          <w:jc w:val="center"/>
        </w:trPr>
        <w:tc>
          <w:tcPr>
            <w:tcW w:w="3164" w:type="dxa"/>
            <w:vAlign w:val="center"/>
          </w:tcPr>
          <w:p w14:paraId="25202030" w14:textId="77777777" w:rsidR="0093441E" w:rsidRPr="002A7673" w:rsidRDefault="0093441E" w:rsidP="0048334E">
            <w:pPr>
              <w:rPr>
                <w:color w:val="000000"/>
                <w:lang w:eastAsia="es-CR"/>
              </w:rPr>
            </w:pPr>
            <w:r w:rsidRPr="002A7673">
              <w:rPr>
                <w:color w:val="000000"/>
              </w:rPr>
              <w:t>Administración Regional de Sarapiquí</w:t>
            </w:r>
          </w:p>
          <w:p w14:paraId="5C7F9F70" w14:textId="77777777" w:rsidR="0093441E" w:rsidRPr="002A7673" w:rsidRDefault="0093441E" w:rsidP="0048334E"/>
        </w:tc>
        <w:tc>
          <w:tcPr>
            <w:tcW w:w="1816" w:type="dxa"/>
            <w:vAlign w:val="center"/>
          </w:tcPr>
          <w:p w14:paraId="271468E6" w14:textId="77777777" w:rsidR="0093441E" w:rsidRPr="002A7673" w:rsidRDefault="0093441E" w:rsidP="0048334E">
            <w:pPr>
              <w:jc w:val="center"/>
              <w:rPr>
                <w:color w:val="000000"/>
                <w:lang w:eastAsia="es-CR"/>
              </w:rPr>
            </w:pPr>
            <w:r w:rsidRPr="002A7673">
              <w:rPr>
                <w:color w:val="000000"/>
              </w:rPr>
              <w:t>-17,7%</w:t>
            </w:r>
          </w:p>
          <w:p w14:paraId="550917E5" w14:textId="77777777" w:rsidR="0093441E" w:rsidRPr="002A7673" w:rsidRDefault="0093441E" w:rsidP="0048334E">
            <w:pPr>
              <w:jc w:val="center"/>
              <w:rPr>
                <w:iCs/>
              </w:rPr>
            </w:pPr>
          </w:p>
        </w:tc>
        <w:tc>
          <w:tcPr>
            <w:tcW w:w="3828" w:type="dxa"/>
          </w:tcPr>
          <w:p w14:paraId="58E68BF3" w14:textId="77777777" w:rsidR="0093441E" w:rsidRPr="002A7673" w:rsidRDefault="0093441E" w:rsidP="0048334E">
            <w:pPr>
              <w:rPr>
                <w:iCs/>
              </w:rPr>
            </w:pPr>
            <w:r w:rsidRPr="002A7673">
              <w:rPr>
                <w:color w:val="000000"/>
              </w:rPr>
              <w:t>El decrecimiento se presenta por los recursos que se incluyeron a través de las Áreas de Informática y Construcciones, ya que para el 2021 fueron mayores.</w:t>
            </w:r>
          </w:p>
        </w:tc>
      </w:tr>
      <w:tr w:rsidR="0093441E" w:rsidRPr="002A7673" w14:paraId="3E0C00FD" w14:textId="77777777" w:rsidTr="0048334E">
        <w:trPr>
          <w:jc w:val="center"/>
        </w:trPr>
        <w:tc>
          <w:tcPr>
            <w:tcW w:w="3164" w:type="dxa"/>
            <w:vAlign w:val="center"/>
          </w:tcPr>
          <w:p w14:paraId="037A5E86" w14:textId="77777777" w:rsidR="0093441E" w:rsidRPr="002A7673" w:rsidRDefault="0093441E" w:rsidP="0048334E">
            <w:pPr>
              <w:rPr>
                <w:color w:val="000000"/>
                <w:lang w:eastAsia="es-CR"/>
              </w:rPr>
            </w:pPr>
            <w:r w:rsidRPr="002A7673">
              <w:rPr>
                <w:color w:val="000000"/>
              </w:rPr>
              <w:t>Administración I Circuito Judicial de San José</w:t>
            </w:r>
          </w:p>
          <w:p w14:paraId="0888D9C7" w14:textId="77777777" w:rsidR="0093441E" w:rsidRPr="002A7673" w:rsidRDefault="0093441E" w:rsidP="0048334E">
            <w:pPr>
              <w:rPr>
                <w:iCs/>
              </w:rPr>
            </w:pPr>
          </w:p>
        </w:tc>
        <w:tc>
          <w:tcPr>
            <w:tcW w:w="1816" w:type="dxa"/>
            <w:vAlign w:val="center"/>
          </w:tcPr>
          <w:p w14:paraId="05176962" w14:textId="77777777" w:rsidR="0093441E" w:rsidRPr="002A7673" w:rsidRDefault="0093441E" w:rsidP="0048334E">
            <w:pPr>
              <w:jc w:val="center"/>
              <w:rPr>
                <w:color w:val="000000"/>
                <w:lang w:eastAsia="es-CR"/>
              </w:rPr>
            </w:pPr>
            <w:r w:rsidRPr="002A7673">
              <w:rPr>
                <w:color w:val="000000"/>
              </w:rPr>
              <w:t>-21,1%</w:t>
            </w:r>
          </w:p>
          <w:p w14:paraId="6E329004" w14:textId="77777777" w:rsidR="0093441E" w:rsidRPr="002A7673" w:rsidRDefault="0093441E" w:rsidP="0048334E">
            <w:pPr>
              <w:jc w:val="center"/>
              <w:rPr>
                <w:iCs/>
              </w:rPr>
            </w:pPr>
          </w:p>
        </w:tc>
        <w:tc>
          <w:tcPr>
            <w:tcW w:w="3828" w:type="dxa"/>
          </w:tcPr>
          <w:p w14:paraId="24CBEB3B" w14:textId="77777777" w:rsidR="0093441E" w:rsidRPr="002A7673" w:rsidRDefault="0093441E" w:rsidP="0048334E">
            <w:pPr>
              <w:rPr>
                <w:color w:val="000000"/>
              </w:rPr>
            </w:pPr>
            <w:r w:rsidRPr="002A7673">
              <w:rPr>
                <w:color w:val="000000"/>
              </w:rPr>
              <w:t>El decrecimiento se presenta por los recursos que se incluyeron a través de Construcciones, ya que para el 2021 fueron mayores.</w:t>
            </w:r>
          </w:p>
        </w:tc>
      </w:tr>
      <w:tr w:rsidR="0093441E" w:rsidRPr="002A7673" w14:paraId="67E3188A" w14:textId="77777777" w:rsidTr="0048334E">
        <w:trPr>
          <w:jc w:val="center"/>
        </w:trPr>
        <w:tc>
          <w:tcPr>
            <w:tcW w:w="3164" w:type="dxa"/>
            <w:vAlign w:val="center"/>
          </w:tcPr>
          <w:p w14:paraId="6D8EB97B" w14:textId="77777777" w:rsidR="0093441E" w:rsidRPr="002A7673" w:rsidRDefault="0093441E" w:rsidP="0048334E">
            <w:pPr>
              <w:rPr>
                <w:color w:val="000000"/>
                <w:lang w:eastAsia="es-CR"/>
              </w:rPr>
            </w:pPr>
            <w:r w:rsidRPr="002A7673">
              <w:rPr>
                <w:color w:val="000000"/>
              </w:rPr>
              <w:t>Dirección Ejecutiva</w:t>
            </w:r>
          </w:p>
          <w:p w14:paraId="176EA024" w14:textId="77777777" w:rsidR="0093441E" w:rsidRPr="002A7673" w:rsidRDefault="0093441E" w:rsidP="0048334E">
            <w:pPr>
              <w:rPr>
                <w:iCs/>
              </w:rPr>
            </w:pPr>
          </w:p>
        </w:tc>
        <w:tc>
          <w:tcPr>
            <w:tcW w:w="1816" w:type="dxa"/>
            <w:vAlign w:val="center"/>
          </w:tcPr>
          <w:p w14:paraId="0A0253AE" w14:textId="77777777" w:rsidR="0093441E" w:rsidRPr="002A7673" w:rsidRDefault="0093441E" w:rsidP="0048334E">
            <w:pPr>
              <w:jc w:val="center"/>
              <w:rPr>
                <w:color w:val="000000"/>
                <w:lang w:eastAsia="es-CR"/>
              </w:rPr>
            </w:pPr>
            <w:r w:rsidRPr="002A7673">
              <w:rPr>
                <w:color w:val="000000"/>
              </w:rPr>
              <w:t>-21,8%</w:t>
            </w:r>
          </w:p>
          <w:p w14:paraId="16510272" w14:textId="77777777" w:rsidR="0093441E" w:rsidRPr="002A7673" w:rsidRDefault="0093441E" w:rsidP="0048334E">
            <w:pPr>
              <w:jc w:val="center"/>
              <w:rPr>
                <w:iCs/>
              </w:rPr>
            </w:pPr>
          </w:p>
        </w:tc>
        <w:tc>
          <w:tcPr>
            <w:tcW w:w="3828" w:type="dxa"/>
          </w:tcPr>
          <w:p w14:paraId="3CD786C9" w14:textId="77777777" w:rsidR="0093441E" w:rsidRPr="002A7673" w:rsidRDefault="0093441E" w:rsidP="0048334E">
            <w:pPr>
              <w:rPr>
                <w:color w:val="000000"/>
              </w:rPr>
            </w:pPr>
            <w:r w:rsidRPr="002A7673">
              <w:rPr>
                <w:color w:val="000000"/>
              </w:rPr>
              <w:t xml:space="preserve">El decrecimiento se presenta en las siguientes líneas: </w:t>
            </w:r>
          </w:p>
          <w:p w14:paraId="335AAFC7" w14:textId="77777777" w:rsidR="0093441E" w:rsidRPr="002A7673" w:rsidRDefault="0093441E" w:rsidP="00FF3FAC">
            <w:pPr>
              <w:widowControl w:val="0"/>
              <w:numPr>
                <w:ilvl w:val="0"/>
                <w:numId w:val="35"/>
              </w:numPr>
              <w:autoSpaceDE w:val="0"/>
              <w:autoSpaceDN w:val="0"/>
              <w:adjustRightInd w:val="0"/>
              <w:contextualSpacing/>
              <w:jc w:val="both"/>
              <w:rPr>
                <w:color w:val="000000"/>
                <w:sz w:val="24"/>
                <w:szCs w:val="24"/>
              </w:rPr>
            </w:pPr>
            <w:r w:rsidRPr="002A7673">
              <w:rPr>
                <w:color w:val="000000"/>
                <w:sz w:val="24"/>
                <w:szCs w:val="24"/>
              </w:rPr>
              <w:t xml:space="preserve">Para el 2022 los recursos para la contratación de peritajes sociales solicitados por órdenes judiciales, según el acuerdo del Consejo Superior tomado en la sesión del 08 de mayo de 2020, artículo XIX, pasan al presupuesto del Departamento de Trabajo Social y Psicología. </w:t>
            </w:r>
          </w:p>
          <w:p w14:paraId="39162834" w14:textId="77777777" w:rsidR="0093441E" w:rsidRPr="002A7673" w:rsidRDefault="0093441E" w:rsidP="00FF3FAC">
            <w:pPr>
              <w:widowControl w:val="0"/>
              <w:numPr>
                <w:ilvl w:val="0"/>
                <w:numId w:val="35"/>
              </w:numPr>
              <w:autoSpaceDE w:val="0"/>
              <w:autoSpaceDN w:val="0"/>
              <w:adjustRightInd w:val="0"/>
              <w:contextualSpacing/>
              <w:jc w:val="both"/>
              <w:rPr>
                <w:color w:val="000000"/>
                <w:sz w:val="24"/>
                <w:szCs w:val="24"/>
              </w:rPr>
            </w:pPr>
            <w:r w:rsidRPr="002A7673">
              <w:rPr>
                <w:color w:val="000000"/>
                <w:sz w:val="24"/>
                <w:szCs w:val="24"/>
              </w:rPr>
              <w:t xml:space="preserve">No se presupuesta la contratación de los accesos a sitios web Bloomberg y </w:t>
            </w:r>
            <w:proofErr w:type="spellStart"/>
            <w:r w:rsidRPr="002A7673">
              <w:rPr>
                <w:color w:val="000000"/>
                <w:sz w:val="24"/>
                <w:szCs w:val="24"/>
              </w:rPr>
              <w:t>Siopel</w:t>
            </w:r>
            <w:proofErr w:type="spellEnd"/>
            <w:r w:rsidRPr="002A7673">
              <w:rPr>
                <w:color w:val="000000"/>
                <w:sz w:val="24"/>
                <w:szCs w:val="24"/>
              </w:rPr>
              <w:t xml:space="preserve"> utilizados en los procesos de análisis, valoración y colocación de las inversiones del Fondo de Jubilaciones y Pensiones del </w:t>
            </w:r>
            <w:r w:rsidRPr="002A7673">
              <w:rPr>
                <w:color w:val="000000"/>
                <w:sz w:val="24"/>
                <w:szCs w:val="24"/>
              </w:rPr>
              <w:lastRenderedPageBreak/>
              <w:t xml:space="preserve">Poder Judicial, ya que en el 2022 serán asumidos por la Junta Administradora. </w:t>
            </w:r>
          </w:p>
          <w:p w14:paraId="22113499" w14:textId="77777777" w:rsidR="0093441E" w:rsidRPr="002A7673" w:rsidRDefault="0093441E" w:rsidP="00FF3FAC">
            <w:pPr>
              <w:widowControl w:val="0"/>
              <w:numPr>
                <w:ilvl w:val="0"/>
                <w:numId w:val="35"/>
              </w:numPr>
              <w:autoSpaceDE w:val="0"/>
              <w:autoSpaceDN w:val="0"/>
              <w:adjustRightInd w:val="0"/>
              <w:contextualSpacing/>
              <w:jc w:val="both"/>
              <w:rPr>
                <w:color w:val="000000"/>
                <w:sz w:val="24"/>
                <w:szCs w:val="24"/>
              </w:rPr>
            </w:pPr>
            <w:r w:rsidRPr="002A7673">
              <w:rPr>
                <w:color w:val="000000"/>
                <w:sz w:val="24"/>
                <w:szCs w:val="24"/>
              </w:rPr>
              <w:t>Decrecimiento en el monto corresponde a la proyección de los recursos para el pago de la renovación anual de las pólizas</w:t>
            </w:r>
          </w:p>
          <w:p w14:paraId="091BA608" w14:textId="77777777" w:rsidR="0093441E" w:rsidRPr="002A7673" w:rsidRDefault="0093441E" w:rsidP="00FF3FAC">
            <w:pPr>
              <w:widowControl w:val="0"/>
              <w:numPr>
                <w:ilvl w:val="0"/>
                <w:numId w:val="35"/>
              </w:numPr>
              <w:autoSpaceDE w:val="0"/>
              <w:autoSpaceDN w:val="0"/>
              <w:adjustRightInd w:val="0"/>
              <w:contextualSpacing/>
              <w:jc w:val="both"/>
              <w:rPr>
                <w:color w:val="000000"/>
                <w:sz w:val="24"/>
                <w:szCs w:val="24"/>
              </w:rPr>
            </w:pPr>
            <w:r w:rsidRPr="002A7673">
              <w:rPr>
                <w:color w:val="000000"/>
                <w:sz w:val="24"/>
                <w:szCs w:val="24"/>
              </w:rPr>
              <w:t>Decrecimiento en la subpartida de papel.</w:t>
            </w:r>
          </w:p>
          <w:p w14:paraId="04BD2939" w14:textId="77777777" w:rsidR="0093441E" w:rsidRPr="002A7673" w:rsidRDefault="0093441E" w:rsidP="0048334E">
            <w:pPr>
              <w:rPr>
                <w:color w:val="000000"/>
              </w:rPr>
            </w:pPr>
          </w:p>
        </w:tc>
      </w:tr>
      <w:tr w:rsidR="0093441E" w:rsidRPr="002A7673" w14:paraId="538011E7" w14:textId="77777777" w:rsidTr="0048334E">
        <w:trPr>
          <w:jc w:val="center"/>
        </w:trPr>
        <w:tc>
          <w:tcPr>
            <w:tcW w:w="3164" w:type="dxa"/>
            <w:vAlign w:val="center"/>
          </w:tcPr>
          <w:p w14:paraId="0E31661D" w14:textId="77777777" w:rsidR="0093441E" w:rsidRPr="002A7673" w:rsidRDefault="0093441E" w:rsidP="0048334E">
            <w:pPr>
              <w:rPr>
                <w:color w:val="000000"/>
                <w:lang w:eastAsia="es-CR"/>
              </w:rPr>
            </w:pPr>
            <w:r w:rsidRPr="002A7673">
              <w:rPr>
                <w:color w:val="000000"/>
              </w:rPr>
              <w:lastRenderedPageBreak/>
              <w:t>Administración Regional de Santa Cruz</w:t>
            </w:r>
          </w:p>
          <w:p w14:paraId="1827234E" w14:textId="77777777" w:rsidR="0093441E" w:rsidRPr="002A7673" w:rsidRDefault="0093441E" w:rsidP="0048334E"/>
        </w:tc>
        <w:tc>
          <w:tcPr>
            <w:tcW w:w="1816" w:type="dxa"/>
            <w:vAlign w:val="center"/>
          </w:tcPr>
          <w:p w14:paraId="308226BA" w14:textId="77777777" w:rsidR="0093441E" w:rsidRPr="002A7673" w:rsidRDefault="0093441E" w:rsidP="0048334E">
            <w:pPr>
              <w:jc w:val="center"/>
              <w:rPr>
                <w:color w:val="000000"/>
                <w:lang w:eastAsia="es-CR"/>
              </w:rPr>
            </w:pPr>
            <w:r w:rsidRPr="002A7673">
              <w:rPr>
                <w:color w:val="000000"/>
              </w:rPr>
              <w:t>-21,8%</w:t>
            </w:r>
          </w:p>
          <w:p w14:paraId="0C147AAD" w14:textId="77777777" w:rsidR="0093441E" w:rsidRPr="002A7673" w:rsidRDefault="0093441E" w:rsidP="0048334E">
            <w:pPr>
              <w:jc w:val="center"/>
              <w:rPr>
                <w:iCs/>
              </w:rPr>
            </w:pPr>
          </w:p>
        </w:tc>
        <w:tc>
          <w:tcPr>
            <w:tcW w:w="3828" w:type="dxa"/>
          </w:tcPr>
          <w:p w14:paraId="08B2EECE" w14:textId="77777777" w:rsidR="0093441E" w:rsidRPr="002A7673" w:rsidRDefault="0093441E" w:rsidP="0048334E">
            <w:pPr>
              <w:rPr>
                <w:color w:val="000000"/>
              </w:rPr>
            </w:pPr>
            <w:r w:rsidRPr="002A7673">
              <w:rPr>
                <w:color w:val="000000"/>
              </w:rPr>
              <w:t>El decrecimiento se debe principalmente a la disminución en el presupuesto aprobado a través de la Comisión de Construcciones que en 2021 fue de ¢357.000.000 mientras que para 2022 es de ¢175.000.000.</w:t>
            </w:r>
          </w:p>
        </w:tc>
      </w:tr>
      <w:tr w:rsidR="0093441E" w:rsidRPr="002A7673" w14:paraId="79513C07" w14:textId="77777777" w:rsidTr="0048334E">
        <w:trPr>
          <w:jc w:val="center"/>
        </w:trPr>
        <w:tc>
          <w:tcPr>
            <w:tcW w:w="3164" w:type="dxa"/>
            <w:vAlign w:val="center"/>
          </w:tcPr>
          <w:p w14:paraId="733BA62E" w14:textId="77777777" w:rsidR="0093441E" w:rsidRPr="002A7673" w:rsidRDefault="0093441E" w:rsidP="0048334E">
            <w:pPr>
              <w:rPr>
                <w:color w:val="000000"/>
                <w:lang w:eastAsia="es-CR"/>
              </w:rPr>
            </w:pPr>
            <w:r w:rsidRPr="002A7673">
              <w:rPr>
                <w:color w:val="000000"/>
              </w:rPr>
              <w:t>Oficina de Cumplimiento</w:t>
            </w:r>
          </w:p>
          <w:p w14:paraId="526315B1" w14:textId="77777777" w:rsidR="0093441E" w:rsidRPr="002A7673" w:rsidRDefault="0093441E" w:rsidP="0048334E">
            <w:pPr>
              <w:rPr>
                <w:highlight w:val="yellow"/>
              </w:rPr>
            </w:pPr>
          </w:p>
        </w:tc>
        <w:tc>
          <w:tcPr>
            <w:tcW w:w="1816" w:type="dxa"/>
            <w:vAlign w:val="center"/>
          </w:tcPr>
          <w:p w14:paraId="3E43FF31" w14:textId="77777777" w:rsidR="0093441E" w:rsidRPr="002A7673" w:rsidRDefault="0093441E" w:rsidP="0048334E">
            <w:pPr>
              <w:jc w:val="center"/>
              <w:rPr>
                <w:color w:val="000000"/>
                <w:lang w:eastAsia="es-CR"/>
              </w:rPr>
            </w:pPr>
            <w:r w:rsidRPr="002A7673">
              <w:rPr>
                <w:color w:val="000000"/>
              </w:rPr>
              <w:t>-23,3%</w:t>
            </w:r>
          </w:p>
          <w:p w14:paraId="51A1D71D" w14:textId="77777777" w:rsidR="0093441E" w:rsidRPr="002A7673" w:rsidRDefault="0093441E" w:rsidP="0048334E">
            <w:pPr>
              <w:jc w:val="center"/>
              <w:rPr>
                <w:iCs/>
              </w:rPr>
            </w:pPr>
          </w:p>
        </w:tc>
        <w:tc>
          <w:tcPr>
            <w:tcW w:w="3828" w:type="dxa"/>
          </w:tcPr>
          <w:p w14:paraId="48C644FB" w14:textId="77777777" w:rsidR="0093441E" w:rsidRPr="002A7673" w:rsidRDefault="0093441E" w:rsidP="0048334E">
            <w:pPr>
              <w:rPr>
                <w:iCs/>
              </w:rPr>
            </w:pPr>
            <w:r w:rsidRPr="002A7673">
              <w:rPr>
                <w:iCs/>
              </w:rPr>
              <w:t>El decrecimiento obedece principalmente a los ajustes aplicados de oficio y por directriz que asciende a la suma de ¢667.060 en los artículos de viáticos y productos de papel.</w:t>
            </w:r>
          </w:p>
        </w:tc>
      </w:tr>
      <w:tr w:rsidR="0093441E" w:rsidRPr="002A7673" w14:paraId="474CCE8F" w14:textId="77777777" w:rsidTr="0048334E">
        <w:trPr>
          <w:jc w:val="center"/>
        </w:trPr>
        <w:tc>
          <w:tcPr>
            <w:tcW w:w="3164" w:type="dxa"/>
            <w:vAlign w:val="center"/>
          </w:tcPr>
          <w:p w14:paraId="3C78D97F" w14:textId="77777777" w:rsidR="0093441E" w:rsidRPr="002A7673" w:rsidRDefault="0093441E" w:rsidP="0048334E">
            <w:pPr>
              <w:rPr>
                <w:color w:val="000000"/>
                <w:lang w:eastAsia="es-CR"/>
              </w:rPr>
            </w:pPr>
            <w:r w:rsidRPr="002A7673">
              <w:rPr>
                <w:color w:val="000000"/>
              </w:rPr>
              <w:t>Oficina de Control Interno</w:t>
            </w:r>
          </w:p>
          <w:p w14:paraId="033CA7D8" w14:textId="77777777" w:rsidR="0093441E" w:rsidRPr="002A7673" w:rsidRDefault="0093441E" w:rsidP="0048334E">
            <w:pPr>
              <w:rPr>
                <w:iCs/>
              </w:rPr>
            </w:pPr>
          </w:p>
        </w:tc>
        <w:tc>
          <w:tcPr>
            <w:tcW w:w="1816" w:type="dxa"/>
            <w:vAlign w:val="center"/>
          </w:tcPr>
          <w:p w14:paraId="48FFC09E" w14:textId="77777777" w:rsidR="0093441E" w:rsidRPr="002A7673" w:rsidRDefault="0093441E" w:rsidP="0048334E">
            <w:pPr>
              <w:jc w:val="center"/>
              <w:rPr>
                <w:color w:val="000000"/>
                <w:lang w:eastAsia="es-CR"/>
              </w:rPr>
            </w:pPr>
            <w:r w:rsidRPr="002A7673">
              <w:rPr>
                <w:color w:val="000000"/>
              </w:rPr>
              <w:t>-31,9%</w:t>
            </w:r>
          </w:p>
          <w:p w14:paraId="168D3B41" w14:textId="77777777" w:rsidR="0093441E" w:rsidRPr="002A7673" w:rsidRDefault="0093441E" w:rsidP="0048334E">
            <w:pPr>
              <w:jc w:val="center"/>
              <w:rPr>
                <w:iCs/>
              </w:rPr>
            </w:pPr>
          </w:p>
        </w:tc>
        <w:tc>
          <w:tcPr>
            <w:tcW w:w="3828" w:type="dxa"/>
          </w:tcPr>
          <w:p w14:paraId="4326EC87" w14:textId="77777777" w:rsidR="0093441E" w:rsidRPr="002A7673" w:rsidRDefault="0093441E" w:rsidP="0048334E">
            <w:pPr>
              <w:rPr>
                <w:iCs/>
              </w:rPr>
            </w:pPr>
            <w:r w:rsidRPr="002A7673">
              <w:rPr>
                <w:color w:val="000000"/>
              </w:rPr>
              <w:t>El decrecimiento se debe a que el centro se ajustó al presupuesto máximo del -4% acordado por Corte Plena, disminuyeron la cantidad de artículos solicitados en algunas subpartidas lo que corresponde a ¢2.959.706 menos que el 2021.</w:t>
            </w:r>
          </w:p>
        </w:tc>
      </w:tr>
      <w:tr w:rsidR="0093441E" w:rsidRPr="002A7673" w14:paraId="3038336B" w14:textId="77777777" w:rsidTr="0048334E">
        <w:trPr>
          <w:jc w:val="center"/>
        </w:trPr>
        <w:tc>
          <w:tcPr>
            <w:tcW w:w="3164" w:type="dxa"/>
            <w:vAlign w:val="center"/>
          </w:tcPr>
          <w:p w14:paraId="689D23C8" w14:textId="77777777" w:rsidR="0093441E" w:rsidRPr="002A7673" w:rsidRDefault="0093441E" w:rsidP="0048334E">
            <w:pPr>
              <w:rPr>
                <w:color w:val="000000"/>
                <w:lang w:eastAsia="es-CR"/>
              </w:rPr>
            </w:pPr>
            <w:r w:rsidRPr="002A7673">
              <w:rPr>
                <w:color w:val="000000"/>
              </w:rPr>
              <w:t>Centro de Apoyo, Coordinación y Mejoramiento Función Jurisdiccional</w:t>
            </w:r>
          </w:p>
          <w:p w14:paraId="6F7295B5" w14:textId="77777777" w:rsidR="0093441E" w:rsidRPr="002A7673" w:rsidRDefault="0093441E" w:rsidP="0048334E"/>
        </w:tc>
        <w:tc>
          <w:tcPr>
            <w:tcW w:w="1816" w:type="dxa"/>
            <w:vAlign w:val="center"/>
          </w:tcPr>
          <w:p w14:paraId="19E629BB" w14:textId="77777777" w:rsidR="0093441E" w:rsidRPr="002A7673" w:rsidRDefault="0093441E" w:rsidP="0048334E">
            <w:pPr>
              <w:jc w:val="center"/>
              <w:rPr>
                <w:color w:val="000000"/>
                <w:lang w:eastAsia="es-CR"/>
              </w:rPr>
            </w:pPr>
            <w:r w:rsidRPr="002A7673">
              <w:rPr>
                <w:color w:val="000000"/>
              </w:rPr>
              <w:t>-96,5%</w:t>
            </w:r>
          </w:p>
          <w:p w14:paraId="2DDBB0D8" w14:textId="77777777" w:rsidR="0093441E" w:rsidRPr="002A7673" w:rsidRDefault="0093441E" w:rsidP="0048334E">
            <w:pPr>
              <w:jc w:val="center"/>
              <w:rPr>
                <w:iCs/>
              </w:rPr>
            </w:pPr>
          </w:p>
        </w:tc>
        <w:tc>
          <w:tcPr>
            <w:tcW w:w="3828" w:type="dxa"/>
          </w:tcPr>
          <w:p w14:paraId="601C1400" w14:textId="77777777" w:rsidR="0093441E" w:rsidRPr="002A7673" w:rsidRDefault="0093441E" w:rsidP="0048334E">
            <w:pPr>
              <w:rPr>
                <w:color w:val="000000"/>
              </w:rPr>
            </w:pPr>
            <w:r w:rsidRPr="002A7673">
              <w:rPr>
                <w:color w:val="000000" w:themeColor="text1"/>
              </w:rPr>
              <w:t>El decrecimiento se presenta por los recursos que se incluyeron a través del Área de Informática, ya que para el 2021 se incluyó lo correspondiente a necesidades de obsolescencia de equipo de cómputo del programa 927, necesidades que ya no se contemplan para el 2022.</w:t>
            </w:r>
          </w:p>
        </w:tc>
      </w:tr>
    </w:tbl>
    <w:p w14:paraId="77196D87" w14:textId="77777777" w:rsidR="0093441E" w:rsidRPr="002A7673" w:rsidRDefault="0093441E" w:rsidP="0093441E">
      <w:pPr>
        <w:spacing w:after="0" w:line="240" w:lineRule="auto"/>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w:t>
      </w:r>
    </w:p>
    <w:p w14:paraId="258BD632" w14:textId="77777777" w:rsidR="0093441E" w:rsidRPr="002A7673" w:rsidRDefault="0093441E" w:rsidP="0093441E">
      <w:pPr>
        <w:rPr>
          <w:rFonts w:ascii="Times New Roman" w:hAnsi="Times New Roman" w:cs="Times New Roman"/>
          <w:b/>
          <w:bCs/>
          <w:kern w:val="32"/>
        </w:rPr>
      </w:pPr>
      <w:r w:rsidRPr="002A7673">
        <w:rPr>
          <w:rFonts w:ascii="Times New Roman" w:hAnsi="Times New Roman" w:cs="Times New Roman"/>
          <w:b/>
          <w:bCs/>
          <w:kern w:val="32"/>
        </w:rPr>
        <w:br w:type="page"/>
      </w:r>
    </w:p>
    <w:p w14:paraId="557B565E" w14:textId="12105CC8" w:rsidR="0093441E" w:rsidRPr="002A7673" w:rsidRDefault="0093441E" w:rsidP="0083072D">
      <w:pPr>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lastRenderedPageBreak/>
        <w:t xml:space="preserve">3. Análisis del Presupuesto Asociado a la Ejecución de Proyectos Estratégicos </w:t>
      </w:r>
      <w:bookmarkEnd w:id="126"/>
    </w:p>
    <w:p w14:paraId="48E42A64" w14:textId="4160EB61" w:rsidR="0093441E" w:rsidRPr="002A7673" w:rsidRDefault="0093441E" w:rsidP="00FF3FAC">
      <w:pPr>
        <w:numPr>
          <w:ilvl w:val="1"/>
          <w:numId w:val="30"/>
        </w:numPr>
        <w:spacing w:after="0" w:line="480" w:lineRule="auto"/>
        <w:ind w:left="0" w:firstLine="709"/>
        <w:contextualSpacing/>
        <w:jc w:val="both"/>
        <w:rPr>
          <w:rFonts w:ascii="Times New Roman" w:eastAsia="Times New Roman" w:hAnsi="Times New Roman" w:cs="Times New Roman"/>
          <w:b/>
          <w:bCs/>
          <w:i/>
          <w:iCs/>
          <w:sz w:val="28"/>
          <w:szCs w:val="28"/>
          <w:lang w:val="es-ES" w:eastAsia="es-ES"/>
        </w:rPr>
      </w:pPr>
      <w:r w:rsidRPr="002A7673">
        <w:rPr>
          <w:rFonts w:ascii="Times New Roman" w:eastAsia="Times New Roman" w:hAnsi="Times New Roman" w:cs="Times New Roman"/>
          <w:b/>
          <w:bCs/>
          <w:i/>
          <w:iCs/>
          <w:sz w:val="28"/>
          <w:szCs w:val="28"/>
          <w:lang w:val="es-ES" w:eastAsia="es-ES"/>
        </w:rPr>
        <w:t>Proyectos que Formularon Recursos en el Sistema de Proyección Plurianual (SPP)</w:t>
      </w:r>
    </w:p>
    <w:p w14:paraId="743B268D"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t>Como parte de la implementación del Sistema de Proyección Plurianual, a partir del mes de octubre del año 2020 se les solicitó a las oficinas realizar la inclusión de recursos en dicho sistema. De esta forma, en el caso específico de los programas 926 Dirección y Administración y 927 Servicio Jurisdiccional, a continuación, se tiene el detalle por estado de los proyectos estratégicos.</w:t>
      </w:r>
    </w:p>
    <w:p w14:paraId="1C42E277" w14:textId="77777777" w:rsidR="0093441E" w:rsidRPr="002A7673" w:rsidRDefault="0093441E" w:rsidP="0093441E">
      <w:pPr>
        <w:spacing w:after="0" w:line="360" w:lineRule="auto"/>
        <w:jc w:val="center"/>
        <w:rPr>
          <w:rFonts w:ascii="Times New Roman" w:hAnsi="Times New Roman" w:cs="Times New Roman"/>
          <w:color w:val="000000" w:themeColor="text1"/>
        </w:rPr>
      </w:pPr>
    </w:p>
    <w:p w14:paraId="4CF6B0CB" w14:textId="77777777" w:rsidR="0093441E" w:rsidRPr="002A7673" w:rsidRDefault="0093441E" w:rsidP="0093441E">
      <w:pPr>
        <w:spacing w:after="0" w:line="360" w:lineRule="auto"/>
        <w:jc w:val="center"/>
        <w:rPr>
          <w:rFonts w:ascii="Times New Roman" w:hAnsi="Times New Roman" w:cs="Times New Roman"/>
          <w:color w:val="000000" w:themeColor="text1"/>
        </w:rPr>
      </w:pPr>
      <w:r w:rsidRPr="002A7673">
        <w:rPr>
          <w:rFonts w:ascii="Times New Roman" w:hAnsi="Times New Roman" w:cs="Times New Roman"/>
          <w:noProof/>
        </w:rPr>
        <w:drawing>
          <wp:inline distT="0" distB="0" distL="0" distR="0" wp14:anchorId="76D874D9" wp14:editId="6907AA15">
            <wp:extent cx="3822700" cy="1809750"/>
            <wp:effectExtent l="0" t="0" r="635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22700" cy="1809750"/>
                    </a:xfrm>
                    <a:prstGeom prst="rect">
                      <a:avLst/>
                    </a:prstGeom>
                    <a:noFill/>
                    <a:ln>
                      <a:noFill/>
                    </a:ln>
                  </pic:spPr>
                </pic:pic>
              </a:graphicData>
            </a:graphic>
          </wp:inline>
        </w:drawing>
      </w:r>
    </w:p>
    <w:p w14:paraId="2EE9331D" w14:textId="77777777" w:rsidR="0093441E" w:rsidRPr="002A7673" w:rsidRDefault="0093441E" w:rsidP="0093441E">
      <w:pPr>
        <w:spacing w:after="0" w:line="240" w:lineRule="auto"/>
        <w:ind w:left="1418" w:right="1418"/>
        <w:rPr>
          <w:rFonts w:ascii="Times New Roman" w:hAnsi="Times New Roman" w:cs="Times New Roman"/>
          <w:color w:val="000000" w:themeColor="text1"/>
          <w:sz w:val="20"/>
          <w:szCs w:val="20"/>
        </w:rPr>
      </w:pPr>
      <w:r w:rsidRPr="002A7673">
        <w:rPr>
          <w:rFonts w:ascii="Times New Roman" w:hAnsi="Times New Roman" w:cs="Times New Roman"/>
          <w:b/>
          <w:bCs/>
          <w:color w:val="000000" w:themeColor="text1"/>
          <w:sz w:val="20"/>
          <w:szCs w:val="20"/>
        </w:rPr>
        <w:t>Fuente:</w:t>
      </w:r>
      <w:r w:rsidRPr="002A7673">
        <w:rPr>
          <w:rFonts w:ascii="Times New Roman" w:hAnsi="Times New Roman" w:cs="Times New Roman"/>
          <w:color w:val="000000" w:themeColor="text1"/>
          <w:sz w:val="20"/>
          <w:szCs w:val="20"/>
        </w:rPr>
        <w:t xml:space="preserve"> Elaboración propia con información del MS Project Online al 23-02-2021.</w:t>
      </w:r>
    </w:p>
    <w:p w14:paraId="6E1C295B" w14:textId="77777777" w:rsidR="003105EF" w:rsidRPr="002A7673" w:rsidRDefault="003105EF" w:rsidP="0093441E">
      <w:pPr>
        <w:spacing w:after="0" w:line="480" w:lineRule="auto"/>
        <w:ind w:firstLine="709"/>
        <w:jc w:val="both"/>
        <w:rPr>
          <w:rFonts w:ascii="Times New Roman" w:hAnsi="Times New Roman" w:cs="Times New Roman"/>
          <w:color w:val="000000" w:themeColor="text1"/>
        </w:rPr>
      </w:pPr>
    </w:p>
    <w:p w14:paraId="386420D7" w14:textId="1DB61A50"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t>A continuación, se muestra la cantidad de proyectos agrupados por año de acuerdo con el período previsto de finalización de cada uno.</w:t>
      </w:r>
    </w:p>
    <w:p w14:paraId="744CA4FB" w14:textId="77777777" w:rsidR="0093441E" w:rsidRPr="002A7673" w:rsidRDefault="0093441E" w:rsidP="0093441E">
      <w:pPr>
        <w:spacing w:after="0" w:line="360" w:lineRule="auto"/>
        <w:rPr>
          <w:rFonts w:ascii="Times New Roman" w:hAnsi="Times New Roman" w:cs="Times New Roman"/>
          <w:color w:val="000000" w:themeColor="text1"/>
        </w:rPr>
      </w:pPr>
    </w:p>
    <w:p w14:paraId="3B6218F6" w14:textId="77777777" w:rsidR="0093441E" w:rsidRPr="002A7673" w:rsidRDefault="0093441E" w:rsidP="0093441E">
      <w:pPr>
        <w:spacing w:after="0" w:line="360" w:lineRule="auto"/>
        <w:jc w:val="center"/>
        <w:rPr>
          <w:rFonts w:ascii="Times New Roman" w:hAnsi="Times New Roman" w:cs="Times New Roman"/>
          <w:color w:val="000000" w:themeColor="text1"/>
        </w:rPr>
      </w:pPr>
      <w:r w:rsidRPr="002A7673">
        <w:rPr>
          <w:rFonts w:ascii="Times New Roman" w:hAnsi="Times New Roman" w:cs="Times New Roman"/>
          <w:noProof/>
        </w:rPr>
        <w:lastRenderedPageBreak/>
        <w:drawing>
          <wp:inline distT="0" distB="0" distL="0" distR="0" wp14:anchorId="6614CE34" wp14:editId="47379448">
            <wp:extent cx="4216400" cy="3416300"/>
            <wp:effectExtent l="0" t="0" r="0" b="0"/>
            <wp:docPr id="1263269059" name="Imagen 126326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16400" cy="3416300"/>
                    </a:xfrm>
                    <a:prstGeom prst="rect">
                      <a:avLst/>
                    </a:prstGeom>
                    <a:noFill/>
                    <a:ln>
                      <a:noFill/>
                    </a:ln>
                  </pic:spPr>
                </pic:pic>
              </a:graphicData>
            </a:graphic>
          </wp:inline>
        </w:drawing>
      </w:r>
    </w:p>
    <w:p w14:paraId="3D645EDF" w14:textId="77777777" w:rsidR="0093441E" w:rsidRPr="002A7673" w:rsidRDefault="0093441E" w:rsidP="0093441E">
      <w:pPr>
        <w:spacing w:after="0" w:line="240" w:lineRule="auto"/>
        <w:ind w:left="1191" w:right="1134"/>
        <w:rPr>
          <w:rFonts w:ascii="Times New Roman" w:hAnsi="Times New Roman" w:cs="Times New Roman"/>
          <w:color w:val="000000" w:themeColor="text1"/>
          <w:sz w:val="20"/>
          <w:szCs w:val="20"/>
        </w:rPr>
      </w:pPr>
      <w:r w:rsidRPr="002A7673">
        <w:rPr>
          <w:rFonts w:ascii="Times New Roman" w:hAnsi="Times New Roman" w:cs="Times New Roman"/>
          <w:b/>
          <w:bCs/>
          <w:color w:val="000000" w:themeColor="text1"/>
          <w:sz w:val="20"/>
          <w:szCs w:val="20"/>
        </w:rPr>
        <w:t>Fuente:</w:t>
      </w:r>
      <w:r w:rsidRPr="002A7673">
        <w:rPr>
          <w:rFonts w:ascii="Times New Roman" w:hAnsi="Times New Roman" w:cs="Times New Roman"/>
          <w:color w:val="000000" w:themeColor="text1"/>
          <w:sz w:val="20"/>
          <w:szCs w:val="20"/>
        </w:rPr>
        <w:t xml:space="preserve"> Elaboración propia con información del MS Project Online al 23-02-2021.</w:t>
      </w:r>
    </w:p>
    <w:p w14:paraId="4E98721E" w14:textId="77777777" w:rsidR="0093441E" w:rsidRPr="002A7673" w:rsidRDefault="0093441E" w:rsidP="0093441E">
      <w:pPr>
        <w:spacing w:after="0" w:line="360" w:lineRule="auto"/>
        <w:ind w:left="708"/>
        <w:rPr>
          <w:rFonts w:ascii="Times New Roman" w:hAnsi="Times New Roman" w:cs="Times New Roman"/>
          <w:color w:val="000000" w:themeColor="text1"/>
        </w:rPr>
      </w:pPr>
    </w:p>
    <w:p w14:paraId="55B7836E" w14:textId="13971A9F" w:rsidR="0093441E" w:rsidRPr="002A7673" w:rsidRDefault="0093441E" w:rsidP="003105EF">
      <w:pPr>
        <w:spacing w:after="0"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t xml:space="preserve">Para el 2022 contemplando los proyectos que finalizan ese año como los que finalizan en años posteriores, se tendrían un total de </w:t>
      </w:r>
      <w:r w:rsidRPr="002A7673">
        <w:rPr>
          <w:rFonts w:ascii="Times New Roman" w:hAnsi="Times New Roman" w:cs="Times New Roman"/>
          <w:b/>
          <w:color w:val="000000" w:themeColor="text1"/>
          <w:sz w:val="28"/>
          <w:szCs w:val="28"/>
        </w:rPr>
        <w:t>47 proyectos activos de acuerdo con la programación y cronogramas que actualmente se encuentran cargados en la plataforma de MS Project Online.</w:t>
      </w:r>
      <w:r w:rsidRPr="002A7673">
        <w:rPr>
          <w:rFonts w:ascii="Times New Roman" w:hAnsi="Times New Roman" w:cs="Times New Roman"/>
          <w:color w:val="000000" w:themeColor="text1"/>
          <w:sz w:val="28"/>
          <w:szCs w:val="28"/>
        </w:rPr>
        <w:t xml:space="preserve"> </w:t>
      </w:r>
    </w:p>
    <w:p w14:paraId="7C3A0586" w14:textId="06D513C0"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Proyectos que Formularon Recursos en el Sistema de Proyección Plurianual (SPP)</w:t>
      </w:r>
    </w:p>
    <w:p w14:paraId="58F2DB77" w14:textId="77777777" w:rsidR="0093441E" w:rsidRPr="002A7673" w:rsidRDefault="0093441E" w:rsidP="0093441E">
      <w:pPr>
        <w:spacing w:after="0" w:line="360" w:lineRule="auto"/>
        <w:jc w:val="center"/>
        <w:rPr>
          <w:rFonts w:ascii="Times New Roman" w:hAnsi="Times New Roman" w:cs="Times New Roman"/>
        </w:rPr>
      </w:pPr>
      <w:r w:rsidRPr="002A7673">
        <w:rPr>
          <w:rFonts w:ascii="Times New Roman" w:hAnsi="Times New Roman" w:cs="Times New Roman"/>
          <w:noProof/>
        </w:rPr>
        <w:lastRenderedPageBreak/>
        <w:drawing>
          <wp:inline distT="0" distB="0" distL="0" distR="0" wp14:anchorId="3A405D82" wp14:editId="5250056A">
            <wp:extent cx="5612130" cy="3681730"/>
            <wp:effectExtent l="0" t="0" r="7620" b="0"/>
            <wp:docPr id="1263269060" name="Imagen 126326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12130" cy="3681730"/>
                    </a:xfrm>
                    <a:prstGeom prst="rect">
                      <a:avLst/>
                    </a:prstGeom>
                    <a:noFill/>
                    <a:ln>
                      <a:noFill/>
                    </a:ln>
                  </pic:spPr>
                </pic:pic>
              </a:graphicData>
            </a:graphic>
          </wp:inline>
        </w:drawing>
      </w:r>
    </w:p>
    <w:p w14:paraId="77DA52BF" w14:textId="77777777" w:rsidR="0093441E" w:rsidRPr="002A7673" w:rsidRDefault="0093441E" w:rsidP="0093441E">
      <w:pPr>
        <w:spacing w:after="0" w:line="360" w:lineRule="auto"/>
        <w:rPr>
          <w:rFonts w:ascii="Times New Roman" w:hAnsi="Times New Roman" w:cs="Times New Roman"/>
        </w:rPr>
      </w:pPr>
    </w:p>
    <w:p w14:paraId="1D5ABCFB" w14:textId="2624D3FE" w:rsidR="0093441E" w:rsidRPr="002A7673" w:rsidRDefault="0093441E" w:rsidP="0057402B">
      <w:pPr>
        <w:spacing w:after="0" w:line="480" w:lineRule="auto"/>
        <w:ind w:firstLine="709"/>
        <w:jc w:val="both"/>
        <w:rPr>
          <w:rFonts w:ascii="Times New Roman" w:hAnsi="Times New Roman" w:cs="Times New Roman"/>
          <w:b/>
          <w:bCs/>
          <w:i/>
          <w:iCs/>
          <w:sz w:val="28"/>
          <w:szCs w:val="28"/>
        </w:rPr>
      </w:pPr>
      <w:r w:rsidRPr="002A7673">
        <w:rPr>
          <w:rFonts w:ascii="Times New Roman" w:hAnsi="Times New Roman" w:cs="Times New Roman"/>
          <w:b/>
          <w:bCs/>
          <w:i/>
          <w:iCs/>
          <w:sz w:val="28"/>
          <w:szCs w:val="28"/>
        </w:rPr>
        <w:t>3.2. Proyectos que NO Formularon Recursos en Sistema de Proyección Plurianual (SPP)</w:t>
      </w:r>
    </w:p>
    <w:p w14:paraId="3D10B9A8"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t xml:space="preserve">Actualmente en los programas 926 Dirección y Administración y 927 Servicio Jurisdiccional, se tiene un total de 58 proyectos </w:t>
      </w:r>
      <w:proofErr w:type="gramStart"/>
      <w:r w:rsidRPr="002A7673">
        <w:rPr>
          <w:rFonts w:ascii="Times New Roman" w:hAnsi="Times New Roman" w:cs="Times New Roman"/>
          <w:color w:val="000000" w:themeColor="text1"/>
          <w:sz w:val="28"/>
          <w:szCs w:val="28"/>
        </w:rPr>
        <w:t>en  estado</w:t>
      </w:r>
      <w:proofErr w:type="gramEnd"/>
      <w:r w:rsidRPr="002A7673">
        <w:rPr>
          <w:rFonts w:ascii="Times New Roman" w:hAnsi="Times New Roman" w:cs="Times New Roman"/>
          <w:color w:val="000000" w:themeColor="text1"/>
          <w:sz w:val="28"/>
          <w:szCs w:val="28"/>
        </w:rPr>
        <w:t xml:space="preserve"> “Progreso” de los cuales, 40 no requieren recurso de gasto variable para  su ejecución. En el archivo adjunto se muestran los proyectos para los cuales no se formularon recursos en el anteproyecto de presupuesto 2022, con las justificaciones correspondientes. </w:t>
      </w:r>
    </w:p>
    <w:p w14:paraId="45AF3F04" w14:textId="77777777" w:rsidR="0093441E" w:rsidRPr="002A7673" w:rsidRDefault="0093441E" w:rsidP="0093441E">
      <w:pPr>
        <w:spacing w:after="0" w:line="360" w:lineRule="auto"/>
        <w:rPr>
          <w:rFonts w:ascii="Times New Roman" w:hAnsi="Times New Roman" w:cs="Times New Roman"/>
          <w:color w:val="000000" w:themeColor="text1"/>
        </w:rPr>
      </w:pPr>
    </w:p>
    <w:bookmarkStart w:id="127" w:name="_MON_1679932059"/>
    <w:bookmarkEnd w:id="127"/>
    <w:p w14:paraId="6F116640" w14:textId="77777777" w:rsidR="0093441E" w:rsidRPr="002A7673" w:rsidRDefault="0093441E" w:rsidP="0093441E">
      <w:pPr>
        <w:spacing w:after="0" w:line="360" w:lineRule="auto"/>
        <w:jc w:val="center"/>
        <w:rPr>
          <w:rFonts w:ascii="Times New Roman" w:hAnsi="Times New Roman" w:cs="Times New Roman"/>
          <w:highlight w:val="yellow"/>
        </w:rPr>
      </w:pPr>
      <w:r w:rsidRPr="002A7673">
        <w:rPr>
          <w:rFonts w:ascii="Times New Roman" w:hAnsi="Times New Roman" w:cs="Times New Roman"/>
          <w:color w:val="000000" w:themeColor="text1"/>
        </w:rPr>
        <w:object w:dxaOrig="1376" w:dyaOrig="893" w14:anchorId="0B252301">
          <v:shape id="_x0000_i1072" type="#_x0000_t75" style="width:64.5pt;height:43.5pt" o:ole="">
            <v:imagedata r:id="rId170" o:title=""/>
          </v:shape>
          <o:OLEObject Type="Embed" ProgID="Excel.Sheet.12" ShapeID="_x0000_i1072" DrawAspect="Icon" ObjectID="_1684067015" r:id="rId171"/>
        </w:object>
      </w:r>
    </w:p>
    <w:p w14:paraId="098C9160" w14:textId="77777777" w:rsidR="0093441E" w:rsidRPr="002A7673" w:rsidRDefault="0093441E" w:rsidP="0093441E">
      <w:pPr>
        <w:spacing w:after="0" w:line="360" w:lineRule="auto"/>
        <w:rPr>
          <w:rFonts w:ascii="Times New Roman" w:hAnsi="Times New Roman" w:cs="Times New Roman"/>
          <w:color w:val="000000" w:themeColor="text1"/>
        </w:rPr>
      </w:pPr>
    </w:p>
    <w:p w14:paraId="70B1C78B" w14:textId="77777777" w:rsidR="0093441E" w:rsidRPr="002A7673" w:rsidRDefault="0093441E" w:rsidP="0093441E">
      <w:pPr>
        <w:spacing w:after="0" w:line="480" w:lineRule="auto"/>
        <w:ind w:firstLine="709"/>
        <w:jc w:val="both"/>
        <w:rPr>
          <w:rFonts w:ascii="Times New Roman" w:hAnsi="Times New Roman" w:cs="Times New Roman"/>
          <w:b/>
          <w:bCs/>
          <w:i/>
          <w:iCs/>
          <w:sz w:val="28"/>
          <w:szCs w:val="28"/>
        </w:rPr>
      </w:pPr>
      <w:r w:rsidRPr="002A7673">
        <w:rPr>
          <w:rFonts w:ascii="Times New Roman" w:hAnsi="Times New Roman" w:cs="Times New Roman"/>
          <w:b/>
          <w:bCs/>
          <w:i/>
          <w:iCs/>
          <w:sz w:val="28"/>
          <w:szCs w:val="28"/>
        </w:rPr>
        <w:t xml:space="preserve">3.3. Análisis de los Recursos Formulados para el 2022 Relacionados con la Ejecución de los Proyectos Estratégicos </w:t>
      </w:r>
    </w:p>
    <w:p w14:paraId="6F411E1F"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302D8A91"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t xml:space="preserve">En cuanto a los programas 926 Dirección y Administración y 927 Servicio Jurisdiccional, se tienen recursos formulados para el 2022 en el Sistema de Proyección Plurianual y en el Sistema SIGA-PJ de 18 proyectos, en el archivo adjunto se muestran el detalle de cada uno de ellos. </w:t>
      </w:r>
    </w:p>
    <w:p w14:paraId="5E29A787" w14:textId="77777777" w:rsidR="0093441E" w:rsidRPr="002A7673" w:rsidRDefault="0093441E" w:rsidP="0093441E">
      <w:pPr>
        <w:spacing w:after="0" w:line="240" w:lineRule="auto"/>
        <w:rPr>
          <w:rFonts w:ascii="Times New Roman" w:hAnsi="Times New Roman" w:cs="Times New Roman"/>
        </w:rPr>
      </w:pPr>
    </w:p>
    <w:bookmarkStart w:id="128" w:name="_MON_1679988228"/>
    <w:bookmarkEnd w:id="128"/>
    <w:p w14:paraId="7F0CD17D" w14:textId="5F0B47AD" w:rsidR="0093441E" w:rsidRPr="002A7673" w:rsidRDefault="0093441E" w:rsidP="0093441E">
      <w:pPr>
        <w:spacing w:after="0" w:line="240" w:lineRule="auto"/>
        <w:jc w:val="center"/>
        <w:rPr>
          <w:rFonts w:ascii="Times New Roman" w:hAnsi="Times New Roman" w:cs="Times New Roman"/>
        </w:rPr>
      </w:pPr>
      <w:r w:rsidRPr="002A7673">
        <w:rPr>
          <w:rFonts w:ascii="Times New Roman" w:hAnsi="Times New Roman" w:cs="Times New Roman"/>
        </w:rPr>
        <w:object w:dxaOrig="1508" w:dyaOrig="983" w14:anchorId="2ABC98DC">
          <v:shape id="_x0000_i1073" type="#_x0000_t75" style="width:79.5pt;height:50pt" o:ole="">
            <v:imagedata r:id="rId172" o:title=""/>
          </v:shape>
          <o:OLEObject Type="Embed" ProgID="Excel.Sheet.12" ShapeID="_x0000_i1073" DrawAspect="Icon" ObjectID="_1684067016" r:id="rId173"/>
        </w:object>
      </w:r>
    </w:p>
    <w:p w14:paraId="4EC99189" w14:textId="77777777" w:rsidR="00403501" w:rsidRPr="002A7673" w:rsidRDefault="00403501" w:rsidP="0093441E">
      <w:pPr>
        <w:spacing w:after="0" w:line="240" w:lineRule="auto"/>
        <w:jc w:val="center"/>
        <w:rPr>
          <w:rFonts w:ascii="Times New Roman" w:hAnsi="Times New Roman" w:cs="Times New Roman"/>
          <w:b/>
          <w:bCs/>
        </w:rPr>
      </w:pPr>
    </w:p>
    <w:p w14:paraId="1C1D01D0" w14:textId="54EE8FB0" w:rsidR="0093441E" w:rsidRPr="002A7673" w:rsidRDefault="0093441E" w:rsidP="00403501">
      <w:pPr>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4. Detalle de Requerimientos Adicionales</w:t>
      </w:r>
    </w:p>
    <w:p w14:paraId="3B10A0FC" w14:textId="3408A86C" w:rsidR="0093441E" w:rsidRPr="002A7673" w:rsidRDefault="0093441E" w:rsidP="00403501">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A continuación, se detallan los requerimientos adicionales solicitados por centro de responsabilidad dentro de los programas 926 Dirección, Administración y Otros Órganos de Apoyo y 927 Servicio Jurisdiccional. Se presentan en tablas distintas, primero los requerimientos que fueron incluidos en los análisis de subpartidas sensibles, luego los incluidos en los análisis de cada centro de responsabilidad y </w:t>
      </w:r>
      <w:r w:rsidRPr="002A7673">
        <w:rPr>
          <w:rFonts w:ascii="Times New Roman" w:hAnsi="Times New Roman" w:cs="Times New Roman"/>
          <w:sz w:val="28"/>
          <w:szCs w:val="28"/>
        </w:rPr>
        <w:lastRenderedPageBreak/>
        <w:t>finalmente, los otros requerimientos operativos que cuentan con la aprobación de la Dirección Ejecutiva.</w:t>
      </w:r>
    </w:p>
    <w:p w14:paraId="4B32127F" w14:textId="77777777" w:rsidR="00403501" w:rsidRPr="002A7673" w:rsidRDefault="00403501" w:rsidP="00403501">
      <w:pPr>
        <w:spacing w:after="0" w:line="480" w:lineRule="auto"/>
        <w:ind w:firstLine="709"/>
        <w:jc w:val="both"/>
        <w:rPr>
          <w:rFonts w:ascii="Times New Roman" w:hAnsi="Times New Roman" w:cs="Times New Roman"/>
          <w:sz w:val="28"/>
          <w:szCs w:val="28"/>
        </w:rPr>
      </w:pPr>
    </w:p>
    <w:p w14:paraId="02E3D435" w14:textId="5334F863" w:rsidR="0093441E" w:rsidRPr="002A7673" w:rsidRDefault="0093441E" w:rsidP="00FF3FAC">
      <w:pPr>
        <w:numPr>
          <w:ilvl w:val="0"/>
          <w:numId w:val="41"/>
        </w:numPr>
        <w:spacing w:after="0" w:line="480" w:lineRule="auto"/>
        <w:ind w:left="0"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Requerimientos Adicionales Incluidos en los Informes de Subpartidas Sensibles</w:t>
      </w:r>
    </w:p>
    <w:p w14:paraId="795096AB"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Como se indicó anteriormente, estos requerimientos fueron incluidos en los informes de subpartidas sensibles los cuales ya fueron conocidos y aprobados por el Consejo Superior.</w:t>
      </w:r>
    </w:p>
    <w:p w14:paraId="23B11EC7" w14:textId="77777777" w:rsidR="0093441E" w:rsidRPr="002A7673" w:rsidRDefault="0093441E" w:rsidP="0093441E">
      <w:pPr>
        <w:spacing w:after="0" w:line="360" w:lineRule="auto"/>
        <w:rPr>
          <w:rFonts w:ascii="Times New Roman" w:hAnsi="Times New Roman" w:cs="Times New Roman"/>
          <w:b/>
          <w:bCs/>
        </w:rPr>
      </w:pPr>
    </w:p>
    <w:tbl>
      <w:tblPr>
        <w:tblW w:w="11240" w:type="dxa"/>
        <w:jc w:val="center"/>
        <w:tblCellMar>
          <w:left w:w="70" w:type="dxa"/>
          <w:right w:w="70" w:type="dxa"/>
        </w:tblCellMar>
        <w:tblLook w:val="04A0" w:firstRow="1" w:lastRow="0" w:firstColumn="1" w:lastColumn="0" w:noHBand="0" w:noVBand="1"/>
      </w:tblPr>
      <w:tblGrid>
        <w:gridCol w:w="2045"/>
        <w:gridCol w:w="1639"/>
        <w:gridCol w:w="1588"/>
        <w:gridCol w:w="5822"/>
        <w:gridCol w:w="146"/>
      </w:tblGrid>
      <w:tr w:rsidR="0093441E" w:rsidRPr="002A7673" w14:paraId="4F4EB36F" w14:textId="77777777" w:rsidTr="0048334E">
        <w:trPr>
          <w:gridAfter w:val="1"/>
          <w:wAfter w:w="146" w:type="dxa"/>
          <w:trHeight w:val="630"/>
          <w:jc w:val="center"/>
        </w:trPr>
        <w:tc>
          <w:tcPr>
            <w:tcW w:w="2045"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5CF67E0D"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Centro de Responsabilidad</w:t>
            </w:r>
          </w:p>
        </w:tc>
        <w:tc>
          <w:tcPr>
            <w:tcW w:w="1639" w:type="dxa"/>
            <w:tcBorders>
              <w:top w:val="single" w:sz="8" w:space="0" w:color="auto"/>
              <w:left w:val="nil"/>
              <w:bottom w:val="single" w:sz="8" w:space="0" w:color="auto"/>
              <w:right w:val="single" w:sz="8" w:space="0" w:color="auto"/>
            </w:tcBorders>
            <w:shd w:val="clear" w:color="000000" w:fill="B4C6E7"/>
            <w:vAlign w:val="center"/>
            <w:hideMark/>
          </w:tcPr>
          <w:p w14:paraId="774E96AE"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Subpartida</w:t>
            </w:r>
          </w:p>
        </w:tc>
        <w:tc>
          <w:tcPr>
            <w:tcW w:w="1588" w:type="dxa"/>
            <w:tcBorders>
              <w:top w:val="single" w:sz="8" w:space="0" w:color="auto"/>
              <w:left w:val="nil"/>
              <w:bottom w:val="single" w:sz="8" w:space="0" w:color="auto"/>
              <w:right w:val="single" w:sz="8" w:space="0" w:color="auto"/>
            </w:tcBorders>
            <w:shd w:val="clear" w:color="000000" w:fill="B4C6E7"/>
            <w:vAlign w:val="center"/>
            <w:hideMark/>
          </w:tcPr>
          <w:p w14:paraId="1CF788E0"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Monto Solicitado</w:t>
            </w:r>
          </w:p>
        </w:tc>
        <w:tc>
          <w:tcPr>
            <w:tcW w:w="5822" w:type="dxa"/>
            <w:tcBorders>
              <w:top w:val="single" w:sz="8" w:space="0" w:color="auto"/>
              <w:left w:val="nil"/>
              <w:bottom w:val="single" w:sz="8" w:space="0" w:color="auto"/>
              <w:right w:val="single" w:sz="8" w:space="0" w:color="auto"/>
            </w:tcBorders>
            <w:shd w:val="clear" w:color="000000" w:fill="B4C6E7"/>
            <w:vAlign w:val="center"/>
            <w:hideMark/>
          </w:tcPr>
          <w:p w14:paraId="5F4AAFFF"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Justificación</w:t>
            </w:r>
          </w:p>
        </w:tc>
      </w:tr>
      <w:tr w:rsidR="0093441E" w:rsidRPr="002A7673" w14:paraId="5D389005" w14:textId="77777777" w:rsidTr="0048334E">
        <w:trPr>
          <w:gridAfter w:val="1"/>
          <w:wAfter w:w="146" w:type="dxa"/>
          <w:trHeight w:val="750"/>
          <w:jc w:val="center"/>
        </w:trPr>
        <w:tc>
          <w:tcPr>
            <w:tcW w:w="2045" w:type="dxa"/>
            <w:vMerge w:val="restart"/>
            <w:tcBorders>
              <w:top w:val="nil"/>
              <w:left w:val="single" w:sz="8" w:space="0" w:color="auto"/>
              <w:bottom w:val="single" w:sz="8" w:space="0" w:color="000000"/>
              <w:right w:val="single" w:sz="8" w:space="0" w:color="auto"/>
            </w:tcBorders>
            <w:shd w:val="clear" w:color="auto" w:fill="auto"/>
            <w:vAlign w:val="center"/>
            <w:hideMark/>
          </w:tcPr>
          <w:p w14:paraId="1946957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Ejecutiva</w:t>
            </w:r>
          </w:p>
        </w:tc>
        <w:tc>
          <w:tcPr>
            <w:tcW w:w="1639" w:type="dxa"/>
            <w:vMerge w:val="restart"/>
            <w:tcBorders>
              <w:top w:val="nil"/>
              <w:left w:val="single" w:sz="8" w:space="0" w:color="auto"/>
              <w:bottom w:val="single" w:sz="8" w:space="0" w:color="000000"/>
              <w:right w:val="single" w:sz="8" w:space="0" w:color="auto"/>
            </w:tcBorders>
            <w:shd w:val="clear" w:color="auto" w:fill="auto"/>
            <w:vAlign w:val="center"/>
            <w:hideMark/>
          </w:tcPr>
          <w:p w14:paraId="43E0146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10801 Mantenimiento de Edificios y Locales</w:t>
            </w:r>
          </w:p>
        </w:tc>
        <w:tc>
          <w:tcPr>
            <w:tcW w:w="1588" w:type="dxa"/>
            <w:vMerge w:val="restart"/>
            <w:tcBorders>
              <w:top w:val="nil"/>
              <w:left w:val="single" w:sz="8" w:space="0" w:color="auto"/>
              <w:bottom w:val="single" w:sz="8" w:space="0" w:color="000000"/>
              <w:right w:val="single" w:sz="8" w:space="0" w:color="auto"/>
            </w:tcBorders>
            <w:shd w:val="clear" w:color="auto" w:fill="auto"/>
            <w:vAlign w:val="center"/>
            <w:hideMark/>
          </w:tcPr>
          <w:p w14:paraId="067A782D"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14 000 000 </w:t>
            </w:r>
          </w:p>
        </w:tc>
        <w:tc>
          <w:tcPr>
            <w:tcW w:w="5822" w:type="dxa"/>
            <w:tcBorders>
              <w:top w:val="nil"/>
              <w:left w:val="nil"/>
              <w:bottom w:val="nil"/>
              <w:right w:val="single" w:sz="8" w:space="0" w:color="auto"/>
            </w:tcBorders>
            <w:shd w:val="clear" w:color="auto" w:fill="auto"/>
            <w:vAlign w:val="center"/>
            <w:hideMark/>
          </w:tcPr>
          <w:p w14:paraId="23610CE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Recursos excluidos del presupuesto por limitaciones presupuestarias. Se requieren para realizar labores de pintura de las siguientes oficinas:</w:t>
            </w:r>
          </w:p>
        </w:tc>
      </w:tr>
      <w:tr w:rsidR="0093441E" w:rsidRPr="002A7673" w14:paraId="6D3A342E" w14:textId="77777777" w:rsidTr="0048334E">
        <w:trPr>
          <w:gridAfter w:val="1"/>
          <w:wAfter w:w="146" w:type="dxa"/>
          <w:trHeight w:val="290"/>
          <w:jc w:val="center"/>
        </w:trPr>
        <w:tc>
          <w:tcPr>
            <w:tcW w:w="2045" w:type="dxa"/>
            <w:vMerge/>
            <w:tcBorders>
              <w:top w:val="nil"/>
              <w:left w:val="single" w:sz="8" w:space="0" w:color="auto"/>
              <w:bottom w:val="single" w:sz="8" w:space="0" w:color="000000"/>
              <w:right w:val="single" w:sz="8" w:space="0" w:color="auto"/>
            </w:tcBorders>
            <w:vAlign w:val="center"/>
            <w:hideMark/>
          </w:tcPr>
          <w:p w14:paraId="5DFA000F"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639" w:type="dxa"/>
            <w:vMerge/>
            <w:tcBorders>
              <w:top w:val="nil"/>
              <w:left w:val="single" w:sz="8" w:space="0" w:color="auto"/>
              <w:bottom w:val="single" w:sz="8" w:space="0" w:color="000000"/>
              <w:right w:val="single" w:sz="8" w:space="0" w:color="auto"/>
            </w:tcBorders>
            <w:vAlign w:val="center"/>
            <w:hideMark/>
          </w:tcPr>
          <w:p w14:paraId="5AE11D09"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588" w:type="dxa"/>
            <w:vMerge/>
            <w:tcBorders>
              <w:top w:val="nil"/>
              <w:left w:val="single" w:sz="8" w:space="0" w:color="auto"/>
              <w:bottom w:val="single" w:sz="8" w:space="0" w:color="000000"/>
              <w:right w:val="single" w:sz="8" w:space="0" w:color="auto"/>
            </w:tcBorders>
            <w:vAlign w:val="center"/>
            <w:hideMark/>
          </w:tcPr>
          <w:p w14:paraId="0923B718"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5822" w:type="dxa"/>
            <w:tcBorders>
              <w:top w:val="nil"/>
              <w:left w:val="nil"/>
              <w:bottom w:val="nil"/>
              <w:right w:val="single" w:sz="8" w:space="0" w:color="auto"/>
            </w:tcBorders>
            <w:shd w:val="clear" w:color="auto" w:fill="auto"/>
            <w:vAlign w:val="center"/>
            <w:hideMark/>
          </w:tcPr>
          <w:p w14:paraId="3A33B882" w14:textId="77777777" w:rsidR="0093441E" w:rsidRPr="002A7673" w:rsidRDefault="0093441E" w:rsidP="0048334E">
            <w:pPr>
              <w:spacing w:after="0" w:line="240" w:lineRule="auto"/>
              <w:rPr>
                <w:rFonts w:ascii="Times New Roman" w:hAnsi="Times New Roman" w:cs="Times New Roman"/>
                <w:color w:val="000000"/>
                <w:lang w:eastAsia="es-CR"/>
              </w:rPr>
            </w:pPr>
          </w:p>
        </w:tc>
      </w:tr>
      <w:tr w:rsidR="0093441E" w:rsidRPr="002A7673" w14:paraId="776697D1" w14:textId="77777777" w:rsidTr="0048334E">
        <w:trPr>
          <w:gridAfter w:val="1"/>
          <w:wAfter w:w="146" w:type="dxa"/>
          <w:trHeight w:val="1500"/>
          <w:jc w:val="center"/>
        </w:trPr>
        <w:tc>
          <w:tcPr>
            <w:tcW w:w="2045" w:type="dxa"/>
            <w:vMerge/>
            <w:tcBorders>
              <w:top w:val="nil"/>
              <w:left w:val="single" w:sz="8" w:space="0" w:color="auto"/>
              <w:bottom w:val="single" w:sz="8" w:space="0" w:color="000000"/>
              <w:right w:val="single" w:sz="8" w:space="0" w:color="auto"/>
            </w:tcBorders>
            <w:vAlign w:val="center"/>
            <w:hideMark/>
          </w:tcPr>
          <w:p w14:paraId="6CF0CA8F"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639" w:type="dxa"/>
            <w:vMerge/>
            <w:tcBorders>
              <w:top w:val="nil"/>
              <w:left w:val="single" w:sz="8" w:space="0" w:color="auto"/>
              <w:bottom w:val="single" w:sz="8" w:space="0" w:color="000000"/>
              <w:right w:val="single" w:sz="8" w:space="0" w:color="auto"/>
            </w:tcBorders>
            <w:vAlign w:val="center"/>
            <w:hideMark/>
          </w:tcPr>
          <w:p w14:paraId="6C97C7E8"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588" w:type="dxa"/>
            <w:vMerge/>
            <w:tcBorders>
              <w:top w:val="nil"/>
              <w:left w:val="single" w:sz="8" w:space="0" w:color="auto"/>
              <w:bottom w:val="single" w:sz="8" w:space="0" w:color="000000"/>
              <w:right w:val="single" w:sz="8" w:space="0" w:color="auto"/>
            </w:tcBorders>
            <w:vAlign w:val="center"/>
            <w:hideMark/>
          </w:tcPr>
          <w:p w14:paraId="15DD0825"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5822" w:type="dxa"/>
            <w:tcBorders>
              <w:top w:val="nil"/>
              <w:left w:val="nil"/>
              <w:bottom w:val="nil"/>
              <w:right w:val="single" w:sz="8" w:space="0" w:color="auto"/>
            </w:tcBorders>
            <w:shd w:val="clear" w:color="auto" w:fill="auto"/>
            <w:vAlign w:val="center"/>
            <w:hideMark/>
          </w:tcPr>
          <w:p w14:paraId="5B8E267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a. ¢4.000.000 del Departamento de Artes Gráficas solicitados para realizar pintura interna del Departamento </w:t>
            </w:r>
            <w:proofErr w:type="spellStart"/>
            <w:r w:rsidRPr="002A7673">
              <w:rPr>
                <w:rFonts w:ascii="Times New Roman" w:hAnsi="Times New Roman" w:cs="Times New Roman"/>
                <w:color w:val="000000"/>
                <w:lang w:eastAsia="es-CR"/>
              </w:rPr>
              <w:t>por que</w:t>
            </w:r>
            <w:proofErr w:type="spellEnd"/>
            <w:r w:rsidRPr="002A7673">
              <w:rPr>
                <w:rFonts w:ascii="Times New Roman" w:hAnsi="Times New Roman" w:cs="Times New Roman"/>
                <w:color w:val="000000"/>
                <w:lang w:eastAsia="es-CR"/>
              </w:rPr>
              <w:t xml:space="preserve"> hace 5 años no se pinta. Adicionalmente se indicó que se presupuesta amparados a la circular N°121-2019 de la Dirección Ejecutiva que se indica que los edificios del Gran Área Metropolitana deben ser pintados cada 5 años.</w:t>
            </w:r>
          </w:p>
        </w:tc>
      </w:tr>
      <w:tr w:rsidR="0093441E" w:rsidRPr="002A7673" w14:paraId="393A9479" w14:textId="77777777" w:rsidTr="0048334E">
        <w:trPr>
          <w:gridAfter w:val="1"/>
          <w:wAfter w:w="146" w:type="dxa"/>
          <w:trHeight w:val="290"/>
          <w:jc w:val="center"/>
        </w:trPr>
        <w:tc>
          <w:tcPr>
            <w:tcW w:w="2045" w:type="dxa"/>
            <w:vMerge/>
            <w:tcBorders>
              <w:top w:val="nil"/>
              <w:left w:val="single" w:sz="8" w:space="0" w:color="auto"/>
              <w:bottom w:val="single" w:sz="8" w:space="0" w:color="000000"/>
              <w:right w:val="single" w:sz="8" w:space="0" w:color="auto"/>
            </w:tcBorders>
            <w:vAlign w:val="center"/>
            <w:hideMark/>
          </w:tcPr>
          <w:p w14:paraId="35DB1F0B"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639" w:type="dxa"/>
            <w:vMerge/>
            <w:tcBorders>
              <w:top w:val="nil"/>
              <w:left w:val="single" w:sz="8" w:space="0" w:color="auto"/>
              <w:bottom w:val="single" w:sz="8" w:space="0" w:color="000000"/>
              <w:right w:val="single" w:sz="8" w:space="0" w:color="auto"/>
            </w:tcBorders>
            <w:vAlign w:val="center"/>
            <w:hideMark/>
          </w:tcPr>
          <w:p w14:paraId="3242B50D"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588" w:type="dxa"/>
            <w:vMerge/>
            <w:tcBorders>
              <w:top w:val="nil"/>
              <w:left w:val="single" w:sz="8" w:space="0" w:color="auto"/>
              <w:bottom w:val="single" w:sz="8" w:space="0" w:color="000000"/>
              <w:right w:val="single" w:sz="8" w:space="0" w:color="auto"/>
            </w:tcBorders>
            <w:vAlign w:val="center"/>
            <w:hideMark/>
          </w:tcPr>
          <w:p w14:paraId="44287536"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5822" w:type="dxa"/>
            <w:tcBorders>
              <w:top w:val="nil"/>
              <w:left w:val="nil"/>
              <w:bottom w:val="nil"/>
              <w:right w:val="single" w:sz="8" w:space="0" w:color="auto"/>
            </w:tcBorders>
            <w:shd w:val="clear" w:color="auto" w:fill="auto"/>
            <w:vAlign w:val="center"/>
            <w:hideMark/>
          </w:tcPr>
          <w:p w14:paraId="5F25690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w:t>
            </w:r>
          </w:p>
        </w:tc>
      </w:tr>
      <w:tr w:rsidR="0093441E" w:rsidRPr="002A7673" w14:paraId="020CB237" w14:textId="77777777" w:rsidTr="0048334E">
        <w:trPr>
          <w:gridAfter w:val="1"/>
          <w:wAfter w:w="146" w:type="dxa"/>
          <w:trHeight w:val="1160"/>
          <w:jc w:val="center"/>
        </w:trPr>
        <w:tc>
          <w:tcPr>
            <w:tcW w:w="2045" w:type="dxa"/>
            <w:vMerge/>
            <w:tcBorders>
              <w:top w:val="nil"/>
              <w:left w:val="single" w:sz="8" w:space="0" w:color="auto"/>
              <w:bottom w:val="single" w:sz="8" w:space="0" w:color="000000"/>
              <w:right w:val="single" w:sz="8" w:space="0" w:color="auto"/>
            </w:tcBorders>
            <w:vAlign w:val="center"/>
            <w:hideMark/>
          </w:tcPr>
          <w:p w14:paraId="175EAD84"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639" w:type="dxa"/>
            <w:vMerge/>
            <w:tcBorders>
              <w:top w:val="nil"/>
              <w:left w:val="single" w:sz="8" w:space="0" w:color="auto"/>
              <w:bottom w:val="single" w:sz="8" w:space="0" w:color="000000"/>
              <w:right w:val="single" w:sz="8" w:space="0" w:color="auto"/>
            </w:tcBorders>
            <w:vAlign w:val="center"/>
            <w:hideMark/>
          </w:tcPr>
          <w:p w14:paraId="26336657"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588" w:type="dxa"/>
            <w:vMerge/>
            <w:tcBorders>
              <w:top w:val="nil"/>
              <w:left w:val="single" w:sz="8" w:space="0" w:color="auto"/>
              <w:bottom w:val="single" w:sz="8" w:space="0" w:color="000000"/>
              <w:right w:val="single" w:sz="8" w:space="0" w:color="auto"/>
            </w:tcBorders>
            <w:vAlign w:val="center"/>
            <w:hideMark/>
          </w:tcPr>
          <w:p w14:paraId="1CE9D2BA"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5822" w:type="dxa"/>
            <w:tcBorders>
              <w:top w:val="nil"/>
              <w:left w:val="nil"/>
              <w:bottom w:val="single" w:sz="8" w:space="0" w:color="auto"/>
              <w:right w:val="single" w:sz="8" w:space="0" w:color="auto"/>
            </w:tcBorders>
            <w:shd w:val="clear" w:color="auto" w:fill="auto"/>
            <w:vAlign w:val="center"/>
            <w:hideMark/>
          </w:tcPr>
          <w:p w14:paraId="5145E91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b. ¢10.000.000 del Departamento de Seguridad requeridos para la pintura del área administrativa del departamento y otras áreas dígase COSE, cuartos de oficiales del personal de seguridad, y para imprevistos relacionados con mantenimientos en edificios.</w:t>
            </w:r>
          </w:p>
        </w:tc>
      </w:tr>
      <w:tr w:rsidR="0093441E" w:rsidRPr="002A7673" w14:paraId="6CF933B7" w14:textId="77777777" w:rsidTr="0048334E">
        <w:trPr>
          <w:gridAfter w:val="1"/>
          <w:wAfter w:w="146" w:type="dxa"/>
          <w:trHeight w:val="1230"/>
          <w:jc w:val="center"/>
        </w:trPr>
        <w:tc>
          <w:tcPr>
            <w:tcW w:w="2045" w:type="dxa"/>
            <w:vMerge w:val="restart"/>
            <w:tcBorders>
              <w:top w:val="nil"/>
              <w:left w:val="single" w:sz="8" w:space="0" w:color="auto"/>
              <w:bottom w:val="single" w:sz="8" w:space="0" w:color="000000"/>
              <w:right w:val="single" w:sz="8" w:space="0" w:color="auto"/>
            </w:tcBorders>
            <w:shd w:val="clear" w:color="auto" w:fill="auto"/>
            <w:vAlign w:val="center"/>
            <w:hideMark/>
          </w:tcPr>
          <w:p w14:paraId="3C1D8FB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Jurídica</w:t>
            </w:r>
          </w:p>
        </w:tc>
        <w:tc>
          <w:tcPr>
            <w:tcW w:w="1639" w:type="dxa"/>
            <w:vMerge w:val="restart"/>
            <w:tcBorders>
              <w:top w:val="nil"/>
              <w:left w:val="single" w:sz="8" w:space="0" w:color="auto"/>
              <w:bottom w:val="single" w:sz="8" w:space="0" w:color="000000"/>
              <w:right w:val="single" w:sz="8" w:space="0" w:color="auto"/>
            </w:tcBorders>
            <w:shd w:val="clear" w:color="auto" w:fill="auto"/>
            <w:vAlign w:val="center"/>
            <w:hideMark/>
          </w:tcPr>
          <w:p w14:paraId="551E5D7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10301 Información</w:t>
            </w:r>
          </w:p>
        </w:tc>
        <w:tc>
          <w:tcPr>
            <w:tcW w:w="1588" w:type="dxa"/>
            <w:vMerge w:val="restart"/>
            <w:tcBorders>
              <w:top w:val="nil"/>
              <w:left w:val="single" w:sz="8" w:space="0" w:color="auto"/>
              <w:bottom w:val="single" w:sz="8" w:space="0" w:color="000000"/>
              <w:right w:val="single" w:sz="8" w:space="0" w:color="auto"/>
            </w:tcBorders>
            <w:shd w:val="clear" w:color="auto" w:fill="auto"/>
            <w:vAlign w:val="center"/>
            <w:hideMark/>
          </w:tcPr>
          <w:p w14:paraId="08F522E9"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202 000 </w:t>
            </w:r>
          </w:p>
        </w:tc>
        <w:tc>
          <w:tcPr>
            <w:tcW w:w="5822" w:type="dxa"/>
            <w:vMerge w:val="restart"/>
            <w:tcBorders>
              <w:top w:val="nil"/>
              <w:left w:val="single" w:sz="8" w:space="0" w:color="auto"/>
              <w:bottom w:val="single" w:sz="8" w:space="0" w:color="000000"/>
              <w:right w:val="single" w:sz="8" w:space="0" w:color="auto"/>
            </w:tcBorders>
            <w:shd w:val="clear" w:color="auto" w:fill="auto"/>
            <w:vAlign w:val="center"/>
            <w:hideMark/>
          </w:tcPr>
          <w:p w14:paraId="3F48F55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Los recursos solicitados corresponden a la estimación del costo para la realización de tres publicaciones en el diario oficial La Gaceta, publicación mínima para los procedimientos administrativos cobratorios, en donde no es posible la </w:t>
            </w:r>
            <w:r w:rsidRPr="002A7673">
              <w:rPr>
                <w:rFonts w:ascii="Times New Roman" w:hAnsi="Times New Roman" w:cs="Times New Roman"/>
                <w:color w:val="000000"/>
                <w:lang w:eastAsia="es-CR"/>
              </w:rPr>
              <w:lastRenderedPageBreak/>
              <w:t>notificación personal por no poder ubicar a la persona. La Ley General de la Administración Pública, artículo N°241, inciso 4, establece dichas publicaciones y no posibilita la publicación por otros medios, lo contrario estaría sujeto a nulidad.</w:t>
            </w:r>
          </w:p>
        </w:tc>
      </w:tr>
      <w:tr w:rsidR="0093441E" w:rsidRPr="002A7673" w14:paraId="3CBA1ACB" w14:textId="77777777" w:rsidTr="0048334E">
        <w:trPr>
          <w:trHeight w:val="1090"/>
          <w:jc w:val="center"/>
        </w:trPr>
        <w:tc>
          <w:tcPr>
            <w:tcW w:w="2045" w:type="dxa"/>
            <w:vMerge/>
            <w:tcBorders>
              <w:top w:val="nil"/>
              <w:left w:val="single" w:sz="8" w:space="0" w:color="auto"/>
              <w:bottom w:val="single" w:sz="8" w:space="0" w:color="000000"/>
              <w:right w:val="single" w:sz="8" w:space="0" w:color="auto"/>
            </w:tcBorders>
            <w:vAlign w:val="center"/>
            <w:hideMark/>
          </w:tcPr>
          <w:p w14:paraId="2F41F243"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639" w:type="dxa"/>
            <w:vMerge/>
            <w:tcBorders>
              <w:top w:val="nil"/>
              <w:left w:val="single" w:sz="8" w:space="0" w:color="auto"/>
              <w:bottom w:val="single" w:sz="8" w:space="0" w:color="000000"/>
              <w:right w:val="single" w:sz="8" w:space="0" w:color="auto"/>
            </w:tcBorders>
            <w:vAlign w:val="center"/>
            <w:hideMark/>
          </w:tcPr>
          <w:p w14:paraId="0FF7B4B5"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588" w:type="dxa"/>
            <w:vMerge/>
            <w:tcBorders>
              <w:top w:val="nil"/>
              <w:left w:val="single" w:sz="8" w:space="0" w:color="auto"/>
              <w:bottom w:val="single" w:sz="8" w:space="0" w:color="000000"/>
              <w:right w:val="single" w:sz="8" w:space="0" w:color="auto"/>
            </w:tcBorders>
            <w:vAlign w:val="center"/>
            <w:hideMark/>
          </w:tcPr>
          <w:p w14:paraId="2CDC385B"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5822" w:type="dxa"/>
            <w:vMerge/>
            <w:tcBorders>
              <w:top w:val="nil"/>
              <w:left w:val="single" w:sz="8" w:space="0" w:color="auto"/>
              <w:bottom w:val="single" w:sz="8" w:space="0" w:color="000000"/>
              <w:right w:val="single" w:sz="8" w:space="0" w:color="auto"/>
            </w:tcBorders>
            <w:vAlign w:val="center"/>
            <w:hideMark/>
          </w:tcPr>
          <w:p w14:paraId="176AC22B"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46" w:type="dxa"/>
            <w:tcBorders>
              <w:top w:val="nil"/>
              <w:left w:val="nil"/>
              <w:bottom w:val="nil"/>
              <w:right w:val="nil"/>
            </w:tcBorders>
            <w:shd w:val="clear" w:color="auto" w:fill="auto"/>
            <w:noWrap/>
            <w:vAlign w:val="bottom"/>
            <w:hideMark/>
          </w:tcPr>
          <w:p w14:paraId="75A7AD8E"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p>
        </w:tc>
      </w:tr>
      <w:tr w:rsidR="0093441E" w:rsidRPr="002A7673" w14:paraId="27809299" w14:textId="77777777" w:rsidTr="0048334E">
        <w:trPr>
          <w:trHeight w:val="4250"/>
          <w:jc w:val="center"/>
        </w:trPr>
        <w:tc>
          <w:tcPr>
            <w:tcW w:w="2045" w:type="dxa"/>
            <w:tcBorders>
              <w:top w:val="nil"/>
              <w:left w:val="single" w:sz="8" w:space="0" w:color="auto"/>
              <w:bottom w:val="single" w:sz="8" w:space="0" w:color="auto"/>
              <w:right w:val="single" w:sz="8" w:space="0" w:color="auto"/>
            </w:tcBorders>
            <w:shd w:val="clear" w:color="auto" w:fill="auto"/>
            <w:vAlign w:val="center"/>
            <w:hideMark/>
          </w:tcPr>
          <w:p w14:paraId="4AA2C17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Oficina Rectora de Justicia Restaurativa</w:t>
            </w:r>
          </w:p>
        </w:tc>
        <w:tc>
          <w:tcPr>
            <w:tcW w:w="1639" w:type="dxa"/>
            <w:tcBorders>
              <w:top w:val="nil"/>
              <w:left w:val="nil"/>
              <w:bottom w:val="single" w:sz="8" w:space="0" w:color="auto"/>
              <w:right w:val="single" w:sz="8" w:space="0" w:color="auto"/>
            </w:tcBorders>
            <w:shd w:val="clear" w:color="auto" w:fill="auto"/>
            <w:vAlign w:val="center"/>
            <w:hideMark/>
          </w:tcPr>
          <w:p w14:paraId="60E5361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10701 Actividades de Capacitación</w:t>
            </w:r>
          </w:p>
        </w:tc>
        <w:tc>
          <w:tcPr>
            <w:tcW w:w="1588" w:type="dxa"/>
            <w:tcBorders>
              <w:top w:val="nil"/>
              <w:left w:val="nil"/>
              <w:bottom w:val="single" w:sz="8" w:space="0" w:color="auto"/>
              <w:right w:val="single" w:sz="8" w:space="0" w:color="auto"/>
            </w:tcBorders>
            <w:shd w:val="clear" w:color="auto" w:fill="auto"/>
            <w:vAlign w:val="center"/>
            <w:hideMark/>
          </w:tcPr>
          <w:p w14:paraId="54590937"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1 581 600 </w:t>
            </w:r>
          </w:p>
        </w:tc>
        <w:tc>
          <w:tcPr>
            <w:tcW w:w="5822" w:type="dxa"/>
            <w:tcBorders>
              <w:top w:val="nil"/>
              <w:left w:val="nil"/>
              <w:bottom w:val="single" w:sz="8" w:space="0" w:color="auto"/>
              <w:right w:val="single" w:sz="8" w:space="0" w:color="auto"/>
            </w:tcBorders>
            <w:shd w:val="clear" w:color="auto" w:fill="auto"/>
            <w:vAlign w:val="center"/>
            <w:hideMark/>
          </w:tcPr>
          <w:p w14:paraId="76C35C4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Para capacitaciones en nuevos ámbitos de aplicación del proceso restaurativo, por ejemplo: contravenciones, ejecución de la pena, población indígena. Esto en cumplimiento a la Ley de Justicia Restaurativa sobre ampliación de cobertura a nivel nacional, así como los compromisos institucionales, como el cumplimiento de los ODS y acuerdos de acompañamiento de poblaciones vulnerables. Para el 2022 no se cuenta con proyectos de cooperación internacional, los cuales en su mayoría han contribuido en las capacitaciones sobre Justicia Restaurativa. Adicionalmente, el Plan Anual Operativo contempla la realización del Tercer Congreso Internacional de Justicia Restaurativa y la actividad formativa en conmemoración del décimo aniversario de la implementación de Justicia Restaurativa en el Poder Judicial de Costa Rica. Por último, se tiene la necesidad del desarrollo de la actividad formativa para los Mentores Judiciales, los cuales darán acompañamiento a las personas menores de edad que tienen medidas alternas. </w:t>
            </w:r>
          </w:p>
        </w:tc>
        <w:tc>
          <w:tcPr>
            <w:tcW w:w="146" w:type="dxa"/>
            <w:vAlign w:val="center"/>
            <w:hideMark/>
          </w:tcPr>
          <w:p w14:paraId="3FB896DE" w14:textId="77777777" w:rsidR="0093441E" w:rsidRPr="002A7673" w:rsidRDefault="0093441E" w:rsidP="0048334E">
            <w:pPr>
              <w:spacing w:after="0" w:line="240" w:lineRule="auto"/>
              <w:rPr>
                <w:rFonts w:ascii="Times New Roman" w:hAnsi="Times New Roman" w:cs="Times New Roman"/>
                <w:sz w:val="20"/>
                <w:szCs w:val="20"/>
                <w:lang w:eastAsia="es-CR"/>
              </w:rPr>
            </w:pPr>
          </w:p>
        </w:tc>
      </w:tr>
      <w:tr w:rsidR="0093441E" w:rsidRPr="002A7673" w14:paraId="27942114" w14:textId="77777777" w:rsidTr="0048334E">
        <w:trPr>
          <w:trHeight w:val="300"/>
          <w:jc w:val="center"/>
        </w:trPr>
        <w:tc>
          <w:tcPr>
            <w:tcW w:w="3684" w:type="dxa"/>
            <w:gridSpan w:val="2"/>
            <w:tcBorders>
              <w:top w:val="single" w:sz="8" w:space="0" w:color="auto"/>
              <w:left w:val="single" w:sz="8" w:space="0" w:color="auto"/>
              <w:bottom w:val="single" w:sz="8" w:space="0" w:color="auto"/>
              <w:right w:val="single" w:sz="8" w:space="0" w:color="000000"/>
            </w:tcBorders>
            <w:shd w:val="clear" w:color="000000" w:fill="B4C6E7"/>
            <w:vAlign w:val="center"/>
            <w:hideMark/>
          </w:tcPr>
          <w:p w14:paraId="0A84CA28"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TOTAL</w:t>
            </w:r>
          </w:p>
        </w:tc>
        <w:tc>
          <w:tcPr>
            <w:tcW w:w="1588" w:type="dxa"/>
            <w:tcBorders>
              <w:top w:val="nil"/>
              <w:left w:val="nil"/>
              <w:bottom w:val="single" w:sz="8" w:space="0" w:color="auto"/>
              <w:right w:val="single" w:sz="8" w:space="0" w:color="auto"/>
            </w:tcBorders>
            <w:shd w:val="clear" w:color="000000" w:fill="B4C6E7"/>
            <w:vAlign w:val="center"/>
            <w:hideMark/>
          </w:tcPr>
          <w:p w14:paraId="234C1A74"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 xml:space="preserve">        15 783 600 </w:t>
            </w:r>
          </w:p>
        </w:tc>
        <w:tc>
          <w:tcPr>
            <w:tcW w:w="5822" w:type="dxa"/>
            <w:tcBorders>
              <w:top w:val="nil"/>
              <w:left w:val="nil"/>
              <w:bottom w:val="single" w:sz="8" w:space="0" w:color="auto"/>
              <w:right w:val="single" w:sz="8" w:space="0" w:color="auto"/>
            </w:tcBorders>
            <w:shd w:val="clear" w:color="000000" w:fill="B4C6E7"/>
            <w:vAlign w:val="center"/>
            <w:hideMark/>
          </w:tcPr>
          <w:p w14:paraId="399F9747"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 </w:t>
            </w:r>
          </w:p>
        </w:tc>
        <w:tc>
          <w:tcPr>
            <w:tcW w:w="146" w:type="dxa"/>
            <w:vAlign w:val="center"/>
            <w:hideMark/>
          </w:tcPr>
          <w:p w14:paraId="3A7B4F0B" w14:textId="77777777" w:rsidR="0093441E" w:rsidRPr="002A7673" w:rsidRDefault="0093441E" w:rsidP="0048334E">
            <w:pPr>
              <w:spacing w:after="0" w:line="240" w:lineRule="auto"/>
              <w:rPr>
                <w:rFonts w:ascii="Times New Roman" w:hAnsi="Times New Roman" w:cs="Times New Roman"/>
                <w:sz w:val="20"/>
                <w:szCs w:val="20"/>
                <w:lang w:eastAsia="es-CR"/>
              </w:rPr>
            </w:pPr>
          </w:p>
        </w:tc>
      </w:tr>
    </w:tbl>
    <w:p w14:paraId="78C5CC10" w14:textId="77777777" w:rsidR="0093441E" w:rsidRPr="002A7673" w:rsidRDefault="0093441E" w:rsidP="0093441E">
      <w:pPr>
        <w:spacing w:after="0" w:line="360" w:lineRule="auto"/>
        <w:rPr>
          <w:rFonts w:ascii="Times New Roman" w:hAnsi="Times New Roman" w:cs="Times New Roman"/>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w:t>
      </w:r>
    </w:p>
    <w:p w14:paraId="70984EFE" w14:textId="77777777" w:rsidR="00B83A62" w:rsidRPr="002A7673" w:rsidRDefault="00B83A62" w:rsidP="0093441E">
      <w:pPr>
        <w:spacing w:after="0" w:line="360" w:lineRule="auto"/>
        <w:rPr>
          <w:rFonts w:ascii="Times New Roman" w:hAnsi="Times New Roman" w:cs="Times New Roman"/>
          <w:b/>
          <w:bCs/>
        </w:rPr>
      </w:pPr>
    </w:p>
    <w:p w14:paraId="1FDADE2F" w14:textId="77777777" w:rsidR="00B83A62" w:rsidRPr="002A7673" w:rsidRDefault="00B83A62" w:rsidP="00FF3FAC">
      <w:pPr>
        <w:numPr>
          <w:ilvl w:val="0"/>
          <w:numId w:val="41"/>
        </w:numPr>
        <w:spacing w:after="0" w:line="480" w:lineRule="auto"/>
        <w:ind w:left="0"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Requerimientos Adicionales Incluidos en los Informes por Centro de Responsabilidad</w:t>
      </w:r>
    </w:p>
    <w:p w14:paraId="3CFBB851" w14:textId="77777777" w:rsidR="00B83A62" w:rsidRPr="002A7673" w:rsidRDefault="00B83A62" w:rsidP="0093441E">
      <w:pPr>
        <w:spacing w:after="0" w:line="360" w:lineRule="auto"/>
        <w:rPr>
          <w:rFonts w:ascii="Times New Roman" w:hAnsi="Times New Roman" w:cs="Times New Roman"/>
          <w:b/>
          <w:bCs/>
        </w:rPr>
      </w:pPr>
    </w:p>
    <w:tbl>
      <w:tblPr>
        <w:tblW w:w="11047" w:type="dxa"/>
        <w:jc w:val="center"/>
        <w:tblCellMar>
          <w:left w:w="70" w:type="dxa"/>
          <w:right w:w="70" w:type="dxa"/>
        </w:tblCellMar>
        <w:tblLook w:val="04A0" w:firstRow="1" w:lastRow="0" w:firstColumn="1" w:lastColumn="0" w:noHBand="0" w:noVBand="1"/>
      </w:tblPr>
      <w:tblGrid>
        <w:gridCol w:w="1989"/>
        <w:gridCol w:w="1718"/>
        <w:gridCol w:w="1367"/>
        <w:gridCol w:w="5973"/>
      </w:tblGrid>
      <w:tr w:rsidR="0093441E" w:rsidRPr="002A7673" w14:paraId="117A4A0C" w14:textId="77777777" w:rsidTr="0048334E">
        <w:trPr>
          <w:trHeight w:val="630"/>
          <w:jc w:val="center"/>
        </w:trPr>
        <w:tc>
          <w:tcPr>
            <w:tcW w:w="1989"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7191FA89"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Centro de Responsabilidad</w:t>
            </w:r>
          </w:p>
        </w:tc>
        <w:tc>
          <w:tcPr>
            <w:tcW w:w="1718" w:type="dxa"/>
            <w:tcBorders>
              <w:top w:val="single" w:sz="8" w:space="0" w:color="auto"/>
              <w:left w:val="nil"/>
              <w:bottom w:val="single" w:sz="8" w:space="0" w:color="auto"/>
              <w:right w:val="single" w:sz="8" w:space="0" w:color="auto"/>
            </w:tcBorders>
            <w:shd w:val="clear" w:color="000000" w:fill="B4C6E7"/>
            <w:vAlign w:val="center"/>
            <w:hideMark/>
          </w:tcPr>
          <w:p w14:paraId="08454C30"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Subpartida</w:t>
            </w:r>
          </w:p>
        </w:tc>
        <w:tc>
          <w:tcPr>
            <w:tcW w:w="1367" w:type="dxa"/>
            <w:tcBorders>
              <w:top w:val="single" w:sz="8" w:space="0" w:color="auto"/>
              <w:left w:val="nil"/>
              <w:bottom w:val="single" w:sz="8" w:space="0" w:color="auto"/>
              <w:right w:val="single" w:sz="8" w:space="0" w:color="auto"/>
            </w:tcBorders>
            <w:shd w:val="clear" w:color="000000" w:fill="B4C6E7"/>
            <w:vAlign w:val="center"/>
            <w:hideMark/>
          </w:tcPr>
          <w:p w14:paraId="65888EFF"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Monto Solicitado</w:t>
            </w:r>
          </w:p>
        </w:tc>
        <w:tc>
          <w:tcPr>
            <w:tcW w:w="5973" w:type="dxa"/>
            <w:tcBorders>
              <w:top w:val="single" w:sz="8" w:space="0" w:color="auto"/>
              <w:left w:val="nil"/>
              <w:bottom w:val="single" w:sz="8" w:space="0" w:color="auto"/>
              <w:right w:val="single" w:sz="8" w:space="0" w:color="auto"/>
            </w:tcBorders>
            <w:shd w:val="clear" w:color="000000" w:fill="B4C6E7"/>
            <w:vAlign w:val="center"/>
            <w:hideMark/>
          </w:tcPr>
          <w:p w14:paraId="42E2CA5E"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Justificación</w:t>
            </w:r>
          </w:p>
        </w:tc>
      </w:tr>
      <w:tr w:rsidR="0093441E" w:rsidRPr="002A7673" w14:paraId="5C6DF425" w14:textId="77777777" w:rsidTr="0048334E">
        <w:trPr>
          <w:trHeight w:val="1200"/>
          <w:jc w:val="center"/>
        </w:trPr>
        <w:tc>
          <w:tcPr>
            <w:tcW w:w="1989" w:type="dxa"/>
            <w:tcBorders>
              <w:top w:val="nil"/>
              <w:left w:val="single" w:sz="8" w:space="0" w:color="auto"/>
              <w:bottom w:val="single" w:sz="8" w:space="0" w:color="auto"/>
              <w:right w:val="single" w:sz="8" w:space="0" w:color="auto"/>
            </w:tcBorders>
            <w:shd w:val="clear" w:color="auto" w:fill="auto"/>
            <w:vAlign w:val="center"/>
            <w:hideMark/>
          </w:tcPr>
          <w:p w14:paraId="1B77764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de Gestión Humana</w:t>
            </w:r>
          </w:p>
        </w:tc>
        <w:tc>
          <w:tcPr>
            <w:tcW w:w="1718" w:type="dxa"/>
            <w:tcBorders>
              <w:top w:val="nil"/>
              <w:left w:val="nil"/>
              <w:bottom w:val="single" w:sz="8" w:space="0" w:color="auto"/>
              <w:right w:val="single" w:sz="8" w:space="0" w:color="auto"/>
            </w:tcBorders>
            <w:shd w:val="clear" w:color="auto" w:fill="auto"/>
            <w:vAlign w:val="center"/>
            <w:hideMark/>
          </w:tcPr>
          <w:p w14:paraId="5101DD1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10499 Otros Servicios de Gestión y Apoyo</w:t>
            </w:r>
          </w:p>
        </w:tc>
        <w:tc>
          <w:tcPr>
            <w:tcW w:w="1367" w:type="dxa"/>
            <w:tcBorders>
              <w:top w:val="nil"/>
              <w:left w:val="nil"/>
              <w:bottom w:val="single" w:sz="8" w:space="0" w:color="auto"/>
              <w:right w:val="single" w:sz="8" w:space="0" w:color="auto"/>
            </w:tcBorders>
            <w:shd w:val="clear" w:color="auto" w:fill="auto"/>
            <w:vAlign w:val="center"/>
            <w:hideMark/>
          </w:tcPr>
          <w:p w14:paraId="4F8C480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10 000 000 </w:t>
            </w:r>
          </w:p>
        </w:tc>
        <w:tc>
          <w:tcPr>
            <w:tcW w:w="5973" w:type="dxa"/>
            <w:tcBorders>
              <w:top w:val="nil"/>
              <w:left w:val="nil"/>
              <w:bottom w:val="single" w:sz="8" w:space="0" w:color="auto"/>
              <w:right w:val="single" w:sz="8" w:space="0" w:color="auto"/>
            </w:tcBorders>
            <w:shd w:val="clear" w:color="auto" w:fill="auto"/>
            <w:vAlign w:val="center"/>
            <w:hideMark/>
          </w:tcPr>
          <w:p w14:paraId="53B4DC2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Para contratar servicios profesionales y técnicos para el desarrollo de herramientas tecnológicas con el fin de satisfacer necesidades de capacitación que desde el Subproceso de Gestión de la Capacitación no es posible atender por el nivel de especialidad técnica que se requiere. </w:t>
            </w:r>
          </w:p>
        </w:tc>
      </w:tr>
      <w:tr w:rsidR="0093441E" w:rsidRPr="002A7673" w14:paraId="7354C3E8" w14:textId="77777777" w:rsidTr="0048334E">
        <w:trPr>
          <w:trHeight w:val="4480"/>
          <w:jc w:val="center"/>
        </w:trPr>
        <w:tc>
          <w:tcPr>
            <w:tcW w:w="1989" w:type="dxa"/>
            <w:tcBorders>
              <w:top w:val="nil"/>
              <w:left w:val="single" w:sz="8" w:space="0" w:color="auto"/>
              <w:bottom w:val="single" w:sz="8" w:space="0" w:color="auto"/>
              <w:right w:val="single" w:sz="8" w:space="0" w:color="auto"/>
            </w:tcBorders>
            <w:shd w:val="clear" w:color="auto" w:fill="auto"/>
            <w:vAlign w:val="center"/>
            <w:hideMark/>
          </w:tcPr>
          <w:p w14:paraId="013C099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Segundo Circuito Judicial de la Zona Atlántica</w:t>
            </w:r>
          </w:p>
        </w:tc>
        <w:tc>
          <w:tcPr>
            <w:tcW w:w="1718" w:type="dxa"/>
            <w:tcBorders>
              <w:top w:val="nil"/>
              <w:left w:val="nil"/>
              <w:bottom w:val="single" w:sz="8" w:space="0" w:color="auto"/>
              <w:right w:val="single" w:sz="8" w:space="0" w:color="auto"/>
            </w:tcBorders>
            <w:shd w:val="clear" w:color="auto" w:fill="auto"/>
            <w:vAlign w:val="center"/>
            <w:hideMark/>
          </w:tcPr>
          <w:p w14:paraId="7748604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10502 Viáticos dentro del País</w:t>
            </w:r>
          </w:p>
        </w:tc>
        <w:tc>
          <w:tcPr>
            <w:tcW w:w="1367" w:type="dxa"/>
            <w:tcBorders>
              <w:top w:val="nil"/>
              <w:left w:val="nil"/>
              <w:bottom w:val="single" w:sz="8" w:space="0" w:color="auto"/>
              <w:right w:val="single" w:sz="8" w:space="0" w:color="auto"/>
            </w:tcBorders>
            <w:shd w:val="clear" w:color="auto" w:fill="auto"/>
            <w:vAlign w:val="center"/>
            <w:hideMark/>
          </w:tcPr>
          <w:p w14:paraId="2EA3A5F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2 407 500 </w:t>
            </w:r>
          </w:p>
        </w:tc>
        <w:tc>
          <w:tcPr>
            <w:tcW w:w="5973" w:type="dxa"/>
            <w:tcBorders>
              <w:top w:val="nil"/>
              <w:left w:val="nil"/>
              <w:bottom w:val="single" w:sz="8" w:space="0" w:color="auto"/>
              <w:right w:val="single" w:sz="8" w:space="0" w:color="auto"/>
            </w:tcBorders>
            <w:shd w:val="clear" w:color="auto" w:fill="auto"/>
            <w:vAlign w:val="center"/>
            <w:hideMark/>
          </w:tcPr>
          <w:p w14:paraId="5722F66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Recursos que fueron recortados por directrices. Indica el Lic. Miguel Gutiérrez que la pandemia del Covid-19 afectó las giras, ayudas económicas y actividades del circuito para el 2020, sobre todo en localidades como Pococí, Guácimo y Siquirres que son cantones en alerta naranja. Las medidas adoptadas por el Ministerio de Salud hicieron que la afluencia del público a los despachos judiciales se viera disminuida, incluso existieron lapsos en que se atendieron solamente servicios esenciales, todos estos elementos afectaron y disminuyeron la ejecución presupuestaria, pero para el 2022 se estima la normalidad en las actividades. Un factor que incide en el incremento de los recursos solicitados, es la estimación de enviar dos personas juzgadoras cuatro días a la semana del Tribunal de Juicio de Pococí para atender asuntos en Siquirres, siendo que solo existe un Juez en esa zona y los otros tres que completan el equipo, corresponden a permisos con goce de salario o plazas extraordinarias las cuales se ven en riesgo de no prorrogarse ante la necesidad de minimizar los permisos por el artículo 44, aún y cuando en el rediseño del despacho la Dirección de Planificación se definió que es necesario un equipo completo en Siquirres.</w:t>
            </w:r>
          </w:p>
        </w:tc>
      </w:tr>
      <w:tr w:rsidR="0093441E" w:rsidRPr="002A7673" w14:paraId="6A5576E0" w14:textId="77777777" w:rsidTr="0048334E">
        <w:trPr>
          <w:trHeight w:val="1050"/>
          <w:jc w:val="center"/>
        </w:trPr>
        <w:tc>
          <w:tcPr>
            <w:tcW w:w="1989" w:type="dxa"/>
            <w:tcBorders>
              <w:top w:val="nil"/>
              <w:left w:val="single" w:sz="8" w:space="0" w:color="auto"/>
              <w:bottom w:val="single" w:sz="8" w:space="0" w:color="auto"/>
              <w:right w:val="single" w:sz="8" w:space="0" w:color="auto"/>
            </w:tcBorders>
            <w:shd w:val="clear" w:color="auto" w:fill="auto"/>
            <w:vAlign w:val="center"/>
            <w:hideMark/>
          </w:tcPr>
          <w:p w14:paraId="15EC9558"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Centro Judicial de Intervención de las Comunicaciones</w:t>
            </w:r>
          </w:p>
        </w:tc>
        <w:tc>
          <w:tcPr>
            <w:tcW w:w="1718" w:type="dxa"/>
            <w:tcBorders>
              <w:top w:val="nil"/>
              <w:left w:val="nil"/>
              <w:bottom w:val="single" w:sz="8" w:space="0" w:color="auto"/>
              <w:right w:val="single" w:sz="8" w:space="0" w:color="auto"/>
            </w:tcBorders>
            <w:shd w:val="clear" w:color="auto" w:fill="auto"/>
            <w:vAlign w:val="center"/>
            <w:hideMark/>
          </w:tcPr>
          <w:p w14:paraId="302A0066"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50104 Equipo y Mobiliario de Oficina</w:t>
            </w:r>
          </w:p>
        </w:tc>
        <w:tc>
          <w:tcPr>
            <w:tcW w:w="1367" w:type="dxa"/>
            <w:tcBorders>
              <w:top w:val="nil"/>
              <w:left w:val="nil"/>
              <w:bottom w:val="single" w:sz="8" w:space="0" w:color="auto"/>
              <w:right w:val="single" w:sz="8" w:space="0" w:color="auto"/>
            </w:tcBorders>
            <w:shd w:val="clear" w:color="auto" w:fill="auto"/>
            <w:vAlign w:val="center"/>
            <w:hideMark/>
          </w:tcPr>
          <w:p w14:paraId="565E2212"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5 000 000 </w:t>
            </w:r>
          </w:p>
        </w:tc>
        <w:tc>
          <w:tcPr>
            <w:tcW w:w="5973" w:type="dxa"/>
            <w:tcBorders>
              <w:top w:val="nil"/>
              <w:left w:val="nil"/>
              <w:bottom w:val="single" w:sz="8" w:space="0" w:color="auto"/>
              <w:right w:val="single" w:sz="8" w:space="0" w:color="auto"/>
            </w:tcBorders>
            <w:shd w:val="clear" w:color="auto" w:fill="auto"/>
            <w:vAlign w:val="center"/>
            <w:hideMark/>
          </w:tcPr>
          <w:p w14:paraId="744DDE48"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Para la compra de muebles modulares debido a las condiciones de hacinamiento de esta oficina basado en el estudio técnico de la Unidad de Salud Ocupacional.</w:t>
            </w:r>
          </w:p>
        </w:tc>
      </w:tr>
      <w:tr w:rsidR="0093441E" w:rsidRPr="002A7673" w14:paraId="4C0FD50F" w14:textId="77777777" w:rsidTr="0048334E">
        <w:trPr>
          <w:trHeight w:val="1050"/>
          <w:jc w:val="center"/>
        </w:trPr>
        <w:tc>
          <w:tcPr>
            <w:tcW w:w="1989" w:type="dxa"/>
            <w:vMerge w:val="restart"/>
            <w:tcBorders>
              <w:top w:val="nil"/>
              <w:left w:val="single" w:sz="8" w:space="0" w:color="auto"/>
              <w:bottom w:val="single" w:sz="8" w:space="0" w:color="000000"/>
              <w:right w:val="single" w:sz="8" w:space="0" w:color="auto"/>
            </w:tcBorders>
            <w:shd w:val="clear" w:color="auto" w:fill="auto"/>
            <w:vAlign w:val="center"/>
            <w:hideMark/>
          </w:tcPr>
          <w:p w14:paraId="6BBE5FFD"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Centro de Conciliación</w:t>
            </w:r>
          </w:p>
        </w:tc>
        <w:tc>
          <w:tcPr>
            <w:tcW w:w="1718" w:type="dxa"/>
            <w:tcBorders>
              <w:top w:val="nil"/>
              <w:left w:val="nil"/>
              <w:bottom w:val="single" w:sz="8" w:space="0" w:color="auto"/>
              <w:right w:val="single" w:sz="8" w:space="0" w:color="auto"/>
            </w:tcBorders>
            <w:shd w:val="clear" w:color="auto" w:fill="auto"/>
            <w:vAlign w:val="center"/>
            <w:hideMark/>
          </w:tcPr>
          <w:p w14:paraId="01756D57"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10301 Información</w:t>
            </w:r>
          </w:p>
        </w:tc>
        <w:tc>
          <w:tcPr>
            <w:tcW w:w="1367" w:type="dxa"/>
            <w:tcBorders>
              <w:top w:val="nil"/>
              <w:left w:val="nil"/>
              <w:bottom w:val="single" w:sz="8" w:space="0" w:color="auto"/>
              <w:right w:val="single" w:sz="8" w:space="0" w:color="auto"/>
            </w:tcBorders>
            <w:shd w:val="clear" w:color="auto" w:fill="auto"/>
            <w:vAlign w:val="center"/>
            <w:hideMark/>
          </w:tcPr>
          <w:p w14:paraId="10F062F9"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200 000 </w:t>
            </w:r>
          </w:p>
        </w:tc>
        <w:tc>
          <w:tcPr>
            <w:tcW w:w="5973" w:type="dxa"/>
            <w:vMerge w:val="restart"/>
            <w:tcBorders>
              <w:top w:val="nil"/>
              <w:left w:val="single" w:sz="8" w:space="0" w:color="auto"/>
              <w:bottom w:val="single" w:sz="8" w:space="0" w:color="000000"/>
              <w:right w:val="single" w:sz="8" w:space="0" w:color="auto"/>
            </w:tcBorders>
            <w:shd w:val="clear" w:color="auto" w:fill="auto"/>
            <w:vAlign w:val="center"/>
            <w:hideMark/>
          </w:tcPr>
          <w:p w14:paraId="71119F0E"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Recursos requeridos para el Proyecto 963-CC-P01 "Política de tratamiento de métodos alternos de resolución de conflictos "los cuales fueron formulados en el Sistema de Presupuestación Plurianual pero no en el SIGA y por tratarse en todos los casos de subpartidas restringidas se presentan al Consejo Superior en este apartado para su correspondiente valoración.</w:t>
            </w:r>
          </w:p>
        </w:tc>
      </w:tr>
      <w:tr w:rsidR="0093441E" w:rsidRPr="002A7673" w14:paraId="318527F7" w14:textId="77777777" w:rsidTr="0048334E">
        <w:trPr>
          <w:trHeight w:val="1050"/>
          <w:jc w:val="center"/>
        </w:trPr>
        <w:tc>
          <w:tcPr>
            <w:tcW w:w="1989" w:type="dxa"/>
            <w:vMerge/>
            <w:tcBorders>
              <w:top w:val="nil"/>
              <w:left w:val="single" w:sz="8" w:space="0" w:color="auto"/>
              <w:bottom w:val="single" w:sz="8" w:space="0" w:color="000000"/>
              <w:right w:val="single" w:sz="8" w:space="0" w:color="auto"/>
            </w:tcBorders>
            <w:vAlign w:val="center"/>
            <w:hideMark/>
          </w:tcPr>
          <w:p w14:paraId="166D7126" w14:textId="77777777" w:rsidR="0093441E" w:rsidRPr="002A7673" w:rsidRDefault="0093441E" w:rsidP="0048334E">
            <w:pPr>
              <w:spacing w:after="0" w:line="240" w:lineRule="auto"/>
              <w:rPr>
                <w:rFonts w:ascii="Times New Roman" w:hAnsi="Times New Roman" w:cs="Times New Roman"/>
                <w:lang w:eastAsia="es-CR"/>
              </w:rPr>
            </w:pPr>
          </w:p>
        </w:tc>
        <w:tc>
          <w:tcPr>
            <w:tcW w:w="1718" w:type="dxa"/>
            <w:tcBorders>
              <w:top w:val="nil"/>
              <w:left w:val="nil"/>
              <w:bottom w:val="single" w:sz="8" w:space="0" w:color="auto"/>
              <w:right w:val="single" w:sz="8" w:space="0" w:color="auto"/>
            </w:tcBorders>
            <w:shd w:val="clear" w:color="auto" w:fill="auto"/>
            <w:vAlign w:val="center"/>
            <w:hideMark/>
          </w:tcPr>
          <w:p w14:paraId="7F9A8A54"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10303 Impresión, Encuadernación y Otros</w:t>
            </w:r>
          </w:p>
        </w:tc>
        <w:tc>
          <w:tcPr>
            <w:tcW w:w="1367" w:type="dxa"/>
            <w:tcBorders>
              <w:top w:val="nil"/>
              <w:left w:val="nil"/>
              <w:bottom w:val="single" w:sz="8" w:space="0" w:color="auto"/>
              <w:right w:val="single" w:sz="8" w:space="0" w:color="auto"/>
            </w:tcBorders>
            <w:shd w:val="clear" w:color="auto" w:fill="auto"/>
            <w:vAlign w:val="center"/>
            <w:hideMark/>
          </w:tcPr>
          <w:p w14:paraId="66B9BC50"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300 000 </w:t>
            </w:r>
          </w:p>
        </w:tc>
        <w:tc>
          <w:tcPr>
            <w:tcW w:w="5973" w:type="dxa"/>
            <w:vMerge/>
            <w:tcBorders>
              <w:top w:val="nil"/>
              <w:left w:val="single" w:sz="8" w:space="0" w:color="auto"/>
              <w:bottom w:val="single" w:sz="8" w:space="0" w:color="000000"/>
              <w:right w:val="single" w:sz="8" w:space="0" w:color="auto"/>
            </w:tcBorders>
            <w:vAlign w:val="center"/>
            <w:hideMark/>
          </w:tcPr>
          <w:p w14:paraId="7E7A3661" w14:textId="77777777" w:rsidR="0093441E" w:rsidRPr="002A7673" w:rsidRDefault="0093441E" w:rsidP="0048334E">
            <w:pPr>
              <w:spacing w:after="0" w:line="240" w:lineRule="auto"/>
              <w:rPr>
                <w:rFonts w:ascii="Times New Roman" w:hAnsi="Times New Roman" w:cs="Times New Roman"/>
                <w:lang w:eastAsia="es-CR"/>
              </w:rPr>
            </w:pPr>
          </w:p>
        </w:tc>
      </w:tr>
      <w:tr w:rsidR="0093441E" w:rsidRPr="002A7673" w14:paraId="0673F7B4" w14:textId="77777777" w:rsidTr="0048334E">
        <w:trPr>
          <w:trHeight w:val="1050"/>
          <w:jc w:val="center"/>
        </w:trPr>
        <w:tc>
          <w:tcPr>
            <w:tcW w:w="1989" w:type="dxa"/>
            <w:vMerge/>
            <w:tcBorders>
              <w:top w:val="nil"/>
              <w:left w:val="single" w:sz="8" w:space="0" w:color="auto"/>
              <w:bottom w:val="single" w:sz="8" w:space="0" w:color="000000"/>
              <w:right w:val="single" w:sz="8" w:space="0" w:color="auto"/>
            </w:tcBorders>
            <w:vAlign w:val="center"/>
            <w:hideMark/>
          </w:tcPr>
          <w:p w14:paraId="5C5B0AF7" w14:textId="77777777" w:rsidR="0093441E" w:rsidRPr="002A7673" w:rsidRDefault="0093441E" w:rsidP="0048334E">
            <w:pPr>
              <w:spacing w:after="0" w:line="240" w:lineRule="auto"/>
              <w:rPr>
                <w:rFonts w:ascii="Times New Roman" w:hAnsi="Times New Roman" w:cs="Times New Roman"/>
                <w:lang w:eastAsia="es-CR"/>
              </w:rPr>
            </w:pPr>
          </w:p>
        </w:tc>
        <w:tc>
          <w:tcPr>
            <w:tcW w:w="1718" w:type="dxa"/>
            <w:tcBorders>
              <w:top w:val="nil"/>
              <w:left w:val="nil"/>
              <w:bottom w:val="single" w:sz="8" w:space="0" w:color="auto"/>
              <w:right w:val="single" w:sz="8" w:space="0" w:color="auto"/>
            </w:tcBorders>
            <w:shd w:val="clear" w:color="auto" w:fill="auto"/>
            <w:vAlign w:val="center"/>
            <w:hideMark/>
          </w:tcPr>
          <w:p w14:paraId="2BC09693"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10501 Transporte dentro del País</w:t>
            </w:r>
          </w:p>
        </w:tc>
        <w:tc>
          <w:tcPr>
            <w:tcW w:w="1367" w:type="dxa"/>
            <w:tcBorders>
              <w:top w:val="nil"/>
              <w:left w:val="nil"/>
              <w:bottom w:val="single" w:sz="8" w:space="0" w:color="auto"/>
              <w:right w:val="single" w:sz="8" w:space="0" w:color="auto"/>
            </w:tcBorders>
            <w:shd w:val="clear" w:color="auto" w:fill="auto"/>
            <w:vAlign w:val="center"/>
            <w:hideMark/>
          </w:tcPr>
          <w:p w14:paraId="165D4E03"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50 000 </w:t>
            </w:r>
          </w:p>
        </w:tc>
        <w:tc>
          <w:tcPr>
            <w:tcW w:w="5973" w:type="dxa"/>
            <w:vMerge/>
            <w:tcBorders>
              <w:top w:val="nil"/>
              <w:left w:val="single" w:sz="8" w:space="0" w:color="auto"/>
              <w:bottom w:val="single" w:sz="8" w:space="0" w:color="000000"/>
              <w:right w:val="single" w:sz="8" w:space="0" w:color="auto"/>
            </w:tcBorders>
            <w:vAlign w:val="center"/>
            <w:hideMark/>
          </w:tcPr>
          <w:p w14:paraId="14867CF1" w14:textId="77777777" w:rsidR="0093441E" w:rsidRPr="002A7673" w:rsidRDefault="0093441E" w:rsidP="0048334E">
            <w:pPr>
              <w:spacing w:after="0" w:line="240" w:lineRule="auto"/>
              <w:rPr>
                <w:rFonts w:ascii="Times New Roman" w:hAnsi="Times New Roman" w:cs="Times New Roman"/>
                <w:lang w:eastAsia="es-CR"/>
              </w:rPr>
            </w:pPr>
          </w:p>
        </w:tc>
      </w:tr>
      <w:tr w:rsidR="0093441E" w:rsidRPr="002A7673" w14:paraId="1CE7C32E" w14:textId="77777777" w:rsidTr="0048334E">
        <w:trPr>
          <w:trHeight w:val="1050"/>
          <w:jc w:val="center"/>
        </w:trPr>
        <w:tc>
          <w:tcPr>
            <w:tcW w:w="1989" w:type="dxa"/>
            <w:vMerge/>
            <w:tcBorders>
              <w:top w:val="nil"/>
              <w:left w:val="single" w:sz="8" w:space="0" w:color="auto"/>
              <w:bottom w:val="single" w:sz="8" w:space="0" w:color="000000"/>
              <w:right w:val="single" w:sz="8" w:space="0" w:color="auto"/>
            </w:tcBorders>
            <w:vAlign w:val="center"/>
            <w:hideMark/>
          </w:tcPr>
          <w:p w14:paraId="29F2792D" w14:textId="77777777" w:rsidR="0093441E" w:rsidRPr="002A7673" w:rsidRDefault="0093441E" w:rsidP="0048334E">
            <w:pPr>
              <w:spacing w:after="0" w:line="240" w:lineRule="auto"/>
              <w:rPr>
                <w:rFonts w:ascii="Times New Roman" w:hAnsi="Times New Roman" w:cs="Times New Roman"/>
                <w:lang w:eastAsia="es-CR"/>
              </w:rPr>
            </w:pPr>
          </w:p>
        </w:tc>
        <w:tc>
          <w:tcPr>
            <w:tcW w:w="1718" w:type="dxa"/>
            <w:tcBorders>
              <w:top w:val="nil"/>
              <w:left w:val="nil"/>
              <w:bottom w:val="single" w:sz="8" w:space="0" w:color="auto"/>
              <w:right w:val="single" w:sz="8" w:space="0" w:color="auto"/>
            </w:tcBorders>
            <w:shd w:val="clear" w:color="auto" w:fill="auto"/>
            <w:vAlign w:val="center"/>
            <w:hideMark/>
          </w:tcPr>
          <w:p w14:paraId="561F8372"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10502 Viáticos dentro del País</w:t>
            </w:r>
          </w:p>
        </w:tc>
        <w:tc>
          <w:tcPr>
            <w:tcW w:w="1367" w:type="dxa"/>
            <w:tcBorders>
              <w:top w:val="nil"/>
              <w:left w:val="nil"/>
              <w:bottom w:val="single" w:sz="8" w:space="0" w:color="auto"/>
              <w:right w:val="single" w:sz="8" w:space="0" w:color="auto"/>
            </w:tcBorders>
            <w:shd w:val="clear" w:color="auto" w:fill="auto"/>
            <w:vAlign w:val="center"/>
            <w:hideMark/>
          </w:tcPr>
          <w:p w14:paraId="12028CED"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250 000 </w:t>
            </w:r>
          </w:p>
        </w:tc>
        <w:tc>
          <w:tcPr>
            <w:tcW w:w="5973" w:type="dxa"/>
            <w:vMerge/>
            <w:tcBorders>
              <w:top w:val="nil"/>
              <w:left w:val="single" w:sz="8" w:space="0" w:color="auto"/>
              <w:bottom w:val="single" w:sz="8" w:space="0" w:color="000000"/>
              <w:right w:val="single" w:sz="8" w:space="0" w:color="auto"/>
            </w:tcBorders>
            <w:vAlign w:val="center"/>
            <w:hideMark/>
          </w:tcPr>
          <w:p w14:paraId="06E511C7" w14:textId="77777777" w:rsidR="0093441E" w:rsidRPr="002A7673" w:rsidRDefault="0093441E" w:rsidP="0048334E">
            <w:pPr>
              <w:spacing w:after="0" w:line="240" w:lineRule="auto"/>
              <w:rPr>
                <w:rFonts w:ascii="Times New Roman" w:hAnsi="Times New Roman" w:cs="Times New Roman"/>
                <w:lang w:eastAsia="es-CR"/>
              </w:rPr>
            </w:pPr>
          </w:p>
        </w:tc>
      </w:tr>
      <w:tr w:rsidR="0093441E" w:rsidRPr="002A7673" w14:paraId="40F8D631" w14:textId="77777777" w:rsidTr="0048334E">
        <w:trPr>
          <w:trHeight w:val="1050"/>
          <w:jc w:val="center"/>
        </w:trPr>
        <w:tc>
          <w:tcPr>
            <w:tcW w:w="1989" w:type="dxa"/>
            <w:vMerge/>
            <w:tcBorders>
              <w:top w:val="nil"/>
              <w:left w:val="single" w:sz="8" w:space="0" w:color="auto"/>
              <w:bottom w:val="single" w:sz="8" w:space="0" w:color="000000"/>
              <w:right w:val="single" w:sz="8" w:space="0" w:color="auto"/>
            </w:tcBorders>
            <w:vAlign w:val="center"/>
            <w:hideMark/>
          </w:tcPr>
          <w:p w14:paraId="023784EC" w14:textId="77777777" w:rsidR="0093441E" w:rsidRPr="002A7673" w:rsidRDefault="0093441E" w:rsidP="0048334E">
            <w:pPr>
              <w:spacing w:after="0" w:line="240" w:lineRule="auto"/>
              <w:rPr>
                <w:rFonts w:ascii="Times New Roman" w:hAnsi="Times New Roman" w:cs="Times New Roman"/>
                <w:lang w:eastAsia="es-CR"/>
              </w:rPr>
            </w:pPr>
          </w:p>
        </w:tc>
        <w:tc>
          <w:tcPr>
            <w:tcW w:w="1718" w:type="dxa"/>
            <w:tcBorders>
              <w:top w:val="nil"/>
              <w:left w:val="nil"/>
              <w:bottom w:val="single" w:sz="8" w:space="0" w:color="auto"/>
              <w:right w:val="single" w:sz="8" w:space="0" w:color="auto"/>
            </w:tcBorders>
            <w:shd w:val="clear" w:color="auto" w:fill="auto"/>
            <w:vAlign w:val="center"/>
            <w:hideMark/>
          </w:tcPr>
          <w:p w14:paraId="26F2F09B"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50105 Equipo de Cómputo</w:t>
            </w:r>
          </w:p>
        </w:tc>
        <w:tc>
          <w:tcPr>
            <w:tcW w:w="1367" w:type="dxa"/>
            <w:tcBorders>
              <w:top w:val="nil"/>
              <w:left w:val="nil"/>
              <w:bottom w:val="single" w:sz="8" w:space="0" w:color="auto"/>
              <w:right w:val="single" w:sz="8" w:space="0" w:color="auto"/>
            </w:tcBorders>
            <w:shd w:val="clear" w:color="auto" w:fill="auto"/>
            <w:vAlign w:val="center"/>
            <w:hideMark/>
          </w:tcPr>
          <w:p w14:paraId="51053DDB"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1 889 792 </w:t>
            </w:r>
          </w:p>
        </w:tc>
        <w:tc>
          <w:tcPr>
            <w:tcW w:w="5973" w:type="dxa"/>
            <w:vMerge/>
            <w:tcBorders>
              <w:top w:val="nil"/>
              <w:left w:val="single" w:sz="8" w:space="0" w:color="auto"/>
              <w:bottom w:val="single" w:sz="8" w:space="0" w:color="000000"/>
              <w:right w:val="single" w:sz="8" w:space="0" w:color="auto"/>
            </w:tcBorders>
            <w:vAlign w:val="center"/>
            <w:hideMark/>
          </w:tcPr>
          <w:p w14:paraId="5122D958" w14:textId="77777777" w:rsidR="0093441E" w:rsidRPr="002A7673" w:rsidRDefault="0093441E" w:rsidP="0048334E">
            <w:pPr>
              <w:spacing w:after="0" w:line="240" w:lineRule="auto"/>
              <w:rPr>
                <w:rFonts w:ascii="Times New Roman" w:hAnsi="Times New Roman" w:cs="Times New Roman"/>
                <w:lang w:eastAsia="es-CR"/>
              </w:rPr>
            </w:pPr>
          </w:p>
        </w:tc>
      </w:tr>
      <w:tr w:rsidR="0093441E" w:rsidRPr="002A7673" w14:paraId="7C46BF42" w14:textId="77777777" w:rsidTr="0048334E">
        <w:trPr>
          <w:trHeight w:val="300"/>
          <w:jc w:val="center"/>
        </w:trPr>
        <w:tc>
          <w:tcPr>
            <w:tcW w:w="3707" w:type="dxa"/>
            <w:gridSpan w:val="2"/>
            <w:tcBorders>
              <w:top w:val="single" w:sz="8" w:space="0" w:color="auto"/>
              <w:left w:val="single" w:sz="8" w:space="0" w:color="auto"/>
              <w:bottom w:val="single" w:sz="8" w:space="0" w:color="auto"/>
              <w:right w:val="single" w:sz="8" w:space="0" w:color="000000"/>
            </w:tcBorders>
            <w:shd w:val="clear" w:color="000000" w:fill="B4C6E7"/>
            <w:vAlign w:val="center"/>
            <w:hideMark/>
          </w:tcPr>
          <w:p w14:paraId="253DEBBF"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TOTAL</w:t>
            </w:r>
          </w:p>
        </w:tc>
        <w:tc>
          <w:tcPr>
            <w:tcW w:w="1367" w:type="dxa"/>
            <w:tcBorders>
              <w:top w:val="nil"/>
              <w:left w:val="nil"/>
              <w:bottom w:val="single" w:sz="8" w:space="0" w:color="auto"/>
              <w:right w:val="single" w:sz="8" w:space="0" w:color="auto"/>
            </w:tcBorders>
            <w:shd w:val="clear" w:color="000000" w:fill="B4C6E7"/>
            <w:vAlign w:val="center"/>
            <w:hideMark/>
          </w:tcPr>
          <w:p w14:paraId="5389BEF9" w14:textId="77777777" w:rsidR="0093441E" w:rsidRPr="002A7673" w:rsidRDefault="0093441E" w:rsidP="0048334E">
            <w:pPr>
              <w:spacing w:after="0" w:line="240" w:lineRule="auto"/>
              <w:rPr>
                <w:rFonts w:ascii="Times New Roman" w:hAnsi="Times New Roman" w:cs="Times New Roman"/>
                <w:b/>
                <w:color w:val="000000"/>
                <w:lang w:eastAsia="es-CR"/>
              </w:rPr>
            </w:pPr>
            <w:r w:rsidRPr="002A7673">
              <w:rPr>
                <w:rFonts w:ascii="Times New Roman" w:hAnsi="Times New Roman" w:cs="Times New Roman"/>
                <w:b/>
                <w:color w:val="000000"/>
                <w:lang w:eastAsia="es-CR"/>
              </w:rPr>
              <w:t xml:space="preserve">    20 097 292 </w:t>
            </w:r>
          </w:p>
        </w:tc>
        <w:tc>
          <w:tcPr>
            <w:tcW w:w="5973" w:type="dxa"/>
            <w:tcBorders>
              <w:top w:val="nil"/>
              <w:left w:val="nil"/>
              <w:bottom w:val="single" w:sz="8" w:space="0" w:color="auto"/>
              <w:right w:val="single" w:sz="8" w:space="0" w:color="auto"/>
            </w:tcBorders>
            <w:shd w:val="clear" w:color="000000" w:fill="B4C6E7"/>
            <w:vAlign w:val="center"/>
            <w:hideMark/>
          </w:tcPr>
          <w:p w14:paraId="66704653"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 </w:t>
            </w:r>
          </w:p>
        </w:tc>
      </w:tr>
    </w:tbl>
    <w:p w14:paraId="41243067" w14:textId="77777777" w:rsidR="0093441E" w:rsidRPr="002A7673" w:rsidRDefault="0093441E" w:rsidP="0093441E">
      <w:pPr>
        <w:spacing w:after="0" w:line="360" w:lineRule="auto"/>
        <w:rPr>
          <w:rFonts w:ascii="Times New Roman" w:hAnsi="Times New Roman" w:cs="Times New Roman"/>
          <w:b/>
          <w:bCs/>
        </w:rPr>
      </w:pPr>
      <w:r w:rsidRPr="002A7673">
        <w:rPr>
          <w:rFonts w:ascii="Times New Roman" w:hAnsi="Times New Roman" w:cs="Times New Roman"/>
          <w:b/>
          <w:bCs/>
          <w:sz w:val="20"/>
          <w:szCs w:val="20"/>
        </w:rPr>
        <w:lastRenderedPageBreak/>
        <w:t xml:space="preserve">Fuente: </w:t>
      </w:r>
      <w:r w:rsidRPr="002A7673">
        <w:rPr>
          <w:rFonts w:ascii="Times New Roman" w:hAnsi="Times New Roman" w:cs="Times New Roman"/>
          <w:sz w:val="20"/>
          <w:szCs w:val="20"/>
        </w:rPr>
        <w:t>Elaboración propia.</w:t>
      </w:r>
    </w:p>
    <w:p w14:paraId="2461A8C6" w14:textId="77777777" w:rsidR="0093441E" w:rsidRPr="002A7673" w:rsidRDefault="0093441E" w:rsidP="0093441E">
      <w:pPr>
        <w:spacing w:after="0" w:line="480" w:lineRule="auto"/>
        <w:ind w:firstLine="709"/>
        <w:jc w:val="both"/>
        <w:rPr>
          <w:rFonts w:ascii="Times New Roman" w:hAnsi="Times New Roman" w:cs="Times New Roman"/>
          <w:b/>
          <w:bCs/>
          <w:sz w:val="28"/>
          <w:szCs w:val="28"/>
        </w:rPr>
      </w:pPr>
    </w:p>
    <w:p w14:paraId="4A0FBBBF" w14:textId="34F5D213" w:rsidR="0093441E" w:rsidRPr="002A7673" w:rsidRDefault="0093441E" w:rsidP="00FF3FAC">
      <w:pPr>
        <w:numPr>
          <w:ilvl w:val="0"/>
          <w:numId w:val="41"/>
        </w:numPr>
        <w:spacing w:after="0" w:line="480" w:lineRule="auto"/>
        <w:ind w:left="0"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Otros Requerimientos Operativos Aprobados por la Dirección Ejecutiva</w:t>
      </w:r>
    </w:p>
    <w:p w14:paraId="58A27D48"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Estos requerimientos operativos ya fueron conocidos y aprobados por el Consejo Superior.</w:t>
      </w:r>
    </w:p>
    <w:p w14:paraId="6CAD0666" w14:textId="77777777" w:rsidR="0093441E" w:rsidRPr="002A7673" w:rsidRDefault="0093441E" w:rsidP="0093441E">
      <w:pPr>
        <w:spacing w:after="0" w:line="360" w:lineRule="auto"/>
        <w:rPr>
          <w:rFonts w:ascii="Times New Roman" w:hAnsi="Times New Roman" w:cs="Times New Roman"/>
          <w:b/>
          <w:bCs/>
        </w:rPr>
      </w:pPr>
    </w:p>
    <w:tbl>
      <w:tblPr>
        <w:tblW w:w="11047" w:type="dxa"/>
        <w:jc w:val="center"/>
        <w:tblCellMar>
          <w:left w:w="70" w:type="dxa"/>
          <w:right w:w="70" w:type="dxa"/>
        </w:tblCellMar>
        <w:tblLook w:val="04A0" w:firstRow="1" w:lastRow="0" w:firstColumn="1" w:lastColumn="0" w:noHBand="0" w:noVBand="1"/>
      </w:tblPr>
      <w:tblGrid>
        <w:gridCol w:w="1839"/>
        <w:gridCol w:w="1837"/>
        <w:gridCol w:w="1559"/>
        <w:gridCol w:w="5812"/>
      </w:tblGrid>
      <w:tr w:rsidR="0093441E" w:rsidRPr="002A7673" w14:paraId="46DFE1B8" w14:textId="77777777" w:rsidTr="0048334E">
        <w:trPr>
          <w:trHeight w:val="630"/>
          <w:jc w:val="center"/>
        </w:trPr>
        <w:tc>
          <w:tcPr>
            <w:tcW w:w="1839"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hideMark/>
          </w:tcPr>
          <w:p w14:paraId="44DB6FB0"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themeColor="text1"/>
                <w:lang w:eastAsia="es-CR"/>
              </w:rPr>
              <w:t>Centro de Responsabilidad</w:t>
            </w:r>
          </w:p>
        </w:tc>
        <w:tc>
          <w:tcPr>
            <w:tcW w:w="1837" w:type="dxa"/>
            <w:tcBorders>
              <w:top w:val="single" w:sz="8" w:space="0" w:color="auto"/>
              <w:left w:val="nil"/>
              <w:bottom w:val="single" w:sz="8" w:space="0" w:color="auto"/>
              <w:right w:val="single" w:sz="8" w:space="0" w:color="auto"/>
            </w:tcBorders>
            <w:shd w:val="clear" w:color="auto" w:fill="BDD6EE" w:themeFill="accent1" w:themeFillTint="66"/>
            <w:vAlign w:val="center"/>
            <w:hideMark/>
          </w:tcPr>
          <w:p w14:paraId="31589DDD"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themeColor="text1"/>
                <w:lang w:eastAsia="es-CR"/>
              </w:rPr>
              <w:t>Subpartida</w:t>
            </w:r>
          </w:p>
        </w:tc>
        <w:tc>
          <w:tcPr>
            <w:tcW w:w="1559" w:type="dxa"/>
            <w:tcBorders>
              <w:top w:val="single" w:sz="8" w:space="0" w:color="auto"/>
              <w:left w:val="nil"/>
              <w:bottom w:val="single" w:sz="8" w:space="0" w:color="auto"/>
              <w:right w:val="single" w:sz="8" w:space="0" w:color="auto"/>
            </w:tcBorders>
            <w:shd w:val="clear" w:color="auto" w:fill="BDD6EE" w:themeFill="accent1" w:themeFillTint="66"/>
            <w:vAlign w:val="center"/>
            <w:hideMark/>
          </w:tcPr>
          <w:p w14:paraId="2FACE27B"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themeColor="text1"/>
                <w:lang w:eastAsia="es-CR"/>
              </w:rPr>
              <w:t>Monto Solicitado</w:t>
            </w:r>
          </w:p>
        </w:tc>
        <w:tc>
          <w:tcPr>
            <w:tcW w:w="5812" w:type="dxa"/>
            <w:tcBorders>
              <w:top w:val="single" w:sz="8" w:space="0" w:color="auto"/>
              <w:left w:val="nil"/>
              <w:bottom w:val="single" w:sz="8" w:space="0" w:color="auto"/>
              <w:right w:val="single" w:sz="8" w:space="0" w:color="auto"/>
            </w:tcBorders>
            <w:shd w:val="clear" w:color="auto" w:fill="BDD6EE" w:themeFill="accent1" w:themeFillTint="66"/>
            <w:vAlign w:val="center"/>
            <w:hideMark/>
          </w:tcPr>
          <w:p w14:paraId="16794F32"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themeColor="text1"/>
                <w:lang w:eastAsia="es-CR"/>
              </w:rPr>
              <w:t>Justificación</w:t>
            </w:r>
          </w:p>
        </w:tc>
      </w:tr>
      <w:tr w:rsidR="0093441E" w:rsidRPr="002A7673" w14:paraId="6A6EDF7B" w14:textId="77777777" w:rsidTr="0048334E">
        <w:trPr>
          <w:trHeight w:val="1010"/>
          <w:jc w:val="center"/>
        </w:trPr>
        <w:tc>
          <w:tcPr>
            <w:tcW w:w="1839"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15E31E4C"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Primer Circuito Judicial de San José</w:t>
            </w:r>
          </w:p>
        </w:tc>
        <w:tc>
          <w:tcPr>
            <w:tcW w:w="1837" w:type="dxa"/>
            <w:tcBorders>
              <w:top w:val="single" w:sz="8" w:space="0" w:color="auto"/>
              <w:left w:val="nil"/>
              <w:bottom w:val="single" w:sz="8" w:space="0" w:color="auto"/>
              <w:right w:val="single" w:sz="8" w:space="0" w:color="auto"/>
            </w:tcBorders>
            <w:shd w:val="clear" w:color="auto" w:fill="auto"/>
            <w:vAlign w:val="center"/>
            <w:hideMark/>
          </w:tcPr>
          <w:p w14:paraId="450E03E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10101 Alquiler de Edificios, Locales y Terrenos</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45B89AE5"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18 725 765 </w:t>
            </w:r>
          </w:p>
        </w:tc>
        <w:tc>
          <w:tcPr>
            <w:tcW w:w="5812" w:type="dxa"/>
            <w:tcBorders>
              <w:top w:val="single" w:sz="8" w:space="0" w:color="auto"/>
              <w:left w:val="nil"/>
              <w:bottom w:val="single" w:sz="8" w:space="0" w:color="auto"/>
              <w:right w:val="single" w:sz="8" w:space="0" w:color="auto"/>
            </w:tcBorders>
            <w:shd w:val="clear" w:color="auto" w:fill="auto"/>
            <w:vAlign w:val="center"/>
            <w:hideMark/>
          </w:tcPr>
          <w:p w14:paraId="561B2532"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Para ampliación del inmueble del Juzgado Penal de Pavas (¢7.000.773) e incremento en el costo del Juzgado de Pensiones y Violencia Doméstica de Escazú (¢11.774.992).</w:t>
            </w:r>
          </w:p>
        </w:tc>
      </w:tr>
      <w:tr w:rsidR="0093441E" w:rsidRPr="002A7673" w14:paraId="790D2EDC" w14:textId="77777777" w:rsidTr="0048334E">
        <w:trPr>
          <w:trHeight w:val="1030"/>
          <w:jc w:val="center"/>
        </w:trPr>
        <w:tc>
          <w:tcPr>
            <w:tcW w:w="1839" w:type="dxa"/>
            <w:vMerge/>
            <w:tcBorders>
              <w:top w:val="single" w:sz="8" w:space="0" w:color="000000" w:themeColor="text1"/>
              <w:left w:val="single" w:sz="8" w:space="0" w:color="auto"/>
              <w:bottom w:val="single" w:sz="8" w:space="0" w:color="auto"/>
              <w:right w:val="single" w:sz="8" w:space="0" w:color="auto"/>
            </w:tcBorders>
            <w:vAlign w:val="center"/>
            <w:hideMark/>
          </w:tcPr>
          <w:p w14:paraId="3A80563D"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837" w:type="dxa"/>
            <w:tcBorders>
              <w:top w:val="nil"/>
              <w:left w:val="single" w:sz="8" w:space="0" w:color="auto"/>
              <w:bottom w:val="single" w:sz="8" w:space="0" w:color="auto"/>
              <w:right w:val="single" w:sz="8" w:space="0" w:color="auto"/>
            </w:tcBorders>
            <w:shd w:val="clear" w:color="auto" w:fill="auto"/>
            <w:vAlign w:val="center"/>
            <w:hideMark/>
          </w:tcPr>
          <w:p w14:paraId="687932DB"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10406 Servicios Generales</w:t>
            </w:r>
          </w:p>
        </w:tc>
        <w:tc>
          <w:tcPr>
            <w:tcW w:w="1559" w:type="dxa"/>
            <w:tcBorders>
              <w:top w:val="nil"/>
              <w:left w:val="nil"/>
              <w:bottom w:val="single" w:sz="8" w:space="0" w:color="auto"/>
              <w:right w:val="single" w:sz="8" w:space="0" w:color="auto"/>
            </w:tcBorders>
            <w:shd w:val="clear" w:color="auto" w:fill="auto"/>
            <w:vAlign w:val="center"/>
            <w:hideMark/>
          </w:tcPr>
          <w:p w14:paraId="0CA0ED74"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19 663 667 </w:t>
            </w:r>
          </w:p>
        </w:tc>
        <w:tc>
          <w:tcPr>
            <w:tcW w:w="5812" w:type="dxa"/>
            <w:tcBorders>
              <w:top w:val="nil"/>
              <w:left w:val="nil"/>
              <w:bottom w:val="single" w:sz="8" w:space="0" w:color="auto"/>
              <w:right w:val="single" w:sz="8" w:space="0" w:color="auto"/>
            </w:tcBorders>
            <w:shd w:val="clear" w:color="auto" w:fill="auto"/>
            <w:vAlign w:val="center"/>
            <w:hideMark/>
          </w:tcPr>
          <w:p w14:paraId="14C2323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Para la contratación de dos puestos adicionales de limpieza para el Anexo "E" (¢18.080.000) y ampliación del servicio de limpieza en el Juzgado Penal de Pavas (¢1.583.667).</w:t>
            </w:r>
          </w:p>
        </w:tc>
      </w:tr>
      <w:tr w:rsidR="0093441E" w:rsidRPr="002A7673" w14:paraId="2FF04D4B" w14:textId="77777777" w:rsidTr="0048334E">
        <w:trPr>
          <w:trHeight w:val="1710"/>
          <w:jc w:val="center"/>
        </w:trPr>
        <w:tc>
          <w:tcPr>
            <w:tcW w:w="1839"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9CBA7AF"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Tercer Circuito Judicial de San José</w:t>
            </w:r>
          </w:p>
        </w:tc>
        <w:tc>
          <w:tcPr>
            <w:tcW w:w="1837" w:type="dxa"/>
            <w:tcBorders>
              <w:top w:val="nil"/>
              <w:left w:val="nil"/>
              <w:bottom w:val="single" w:sz="8" w:space="0" w:color="auto"/>
              <w:right w:val="single" w:sz="8" w:space="0" w:color="auto"/>
            </w:tcBorders>
            <w:shd w:val="clear" w:color="auto" w:fill="auto"/>
            <w:vAlign w:val="center"/>
            <w:hideMark/>
          </w:tcPr>
          <w:p w14:paraId="64EC9E7E"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10101 Alquiler de Edificios, Locales y Terrenos</w:t>
            </w:r>
          </w:p>
        </w:tc>
        <w:tc>
          <w:tcPr>
            <w:tcW w:w="1559" w:type="dxa"/>
            <w:tcBorders>
              <w:top w:val="nil"/>
              <w:left w:val="nil"/>
              <w:bottom w:val="single" w:sz="8" w:space="0" w:color="auto"/>
              <w:right w:val="single" w:sz="8" w:space="0" w:color="auto"/>
            </w:tcBorders>
            <w:shd w:val="clear" w:color="auto" w:fill="auto"/>
            <w:vAlign w:val="center"/>
            <w:hideMark/>
          </w:tcPr>
          <w:p w14:paraId="64893145"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20 178 432 </w:t>
            </w:r>
          </w:p>
        </w:tc>
        <w:tc>
          <w:tcPr>
            <w:tcW w:w="5812" w:type="dxa"/>
            <w:tcBorders>
              <w:top w:val="nil"/>
              <w:left w:val="nil"/>
              <w:bottom w:val="single" w:sz="8" w:space="0" w:color="auto"/>
              <w:right w:val="single" w:sz="8" w:space="0" w:color="auto"/>
            </w:tcBorders>
            <w:shd w:val="clear" w:color="auto" w:fill="auto"/>
            <w:vAlign w:val="center"/>
            <w:hideMark/>
          </w:tcPr>
          <w:p w14:paraId="7E341AAD"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Para reubicación del Juzgado de Familia del Tercer Circuito Judicial de San José (Desamparados) (¢10.000.000), reajuste de precio de la Oficina de Comunicaciones Judiciales del Tercer Circuito Judicial de San José (Desamparados) (¢5.000.000) y reajuste de precio del Tribunal Penal del Tercer Circuito Judicial de San José (Pavas) (¢5.178.432).</w:t>
            </w:r>
          </w:p>
        </w:tc>
      </w:tr>
      <w:tr w:rsidR="0093441E" w:rsidRPr="002A7673" w14:paraId="331D3DF4" w14:textId="77777777" w:rsidTr="0048334E">
        <w:trPr>
          <w:trHeight w:val="640"/>
          <w:jc w:val="center"/>
        </w:trPr>
        <w:tc>
          <w:tcPr>
            <w:tcW w:w="1839" w:type="dxa"/>
            <w:vMerge/>
            <w:tcBorders>
              <w:top w:val="single" w:sz="8" w:space="0" w:color="000000" w:themeColor="text1"/>
              <w:left w:val="single" w:sz="8" w:space="0" w:color="auto"/>
              <w:bottom w:val="single" w:sz="8" w:space="0" w:color="auto"/>
              <w:right w:val="single" w:sz="8" w:space="0" w:color="auto"/>
            </w:tcBorders>
            <w:vAlign w:val="center"/>
            <w:hideMark/>
          </w:tcPr>
          <w:p w14:paraId="30D20632"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837" w:type="dxa"/>
            <w:tcBorders>
              <w:top w:val="nil"/>
              <w:left w:val="single" w:sz="8" w:space="0" w:color="auto"/>
              <w:bottom w:val="single" w:sz="8" w:space="0" w:color="auto"/>
              <w:right w:val="single" w:sz="8" w:space="0" w:color="auto"/>
            </w:tcBorders>
            <w:shd w:val="clear" w:color="auto" w:fill="auto"/>
            <w:vAlign w:val="center"/>
            <w:hideMark/>
          </w:tcPr>
          <w:p w14:paraId="04447EBD"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10406 Servicios Generales</w:t>
            </w:r>
          </w:p>
        </w:tc>
        <w:tc>
          <w:tcPr>
            <w:tcW w:w="1559" w:type="dxa"/>
            <w:tcBorders>
              <w:top w:val="nil"/>
              <w:left w:val="nil"/>
              <w:bottom w:val="single" w:sz="8" w:space="0" w:color="auto"/>
              <w:right w:val="single" w:sz="8" w:space="0" w:color="auto"/>
            </w:tcBorders>
            <w:shd w:val="clear" w:color="auto" w:fill="auto"/>
            <w:vAlign w:val="center"/>
            <w:hideMark/>
          </w:tcPr>
          <w:p w14:paraId="52BED294"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2 444 928 </w:t>
            </w:r>
          </w:p>
        </w:tc>
        <w:tc>
          <w:tcPr>
            <w:tcW w:w="5812" w:type="dxa"/>
            <w:tcBorders>
              <w:top w:val="nil"/>
              <w:left w:val="nil"/>
              <w:bottom w:val="single" w:sz="8" w:space="0" w:color="auto"/>
              <w:right w:val="single" w:sz="8" w:space="0" w:color="auto"/>
            </w:tcBorders>
            <w:shd w:val="clear" w:color="auto" w:fill="auto"/>
            <w:vAlign w:val="center"/>
            <w:hideMark/>
          </w:tcPr>
          <w:p w14:paraId="7DA16143"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Para ampliación del servicio de limpieza en el Juzgado Contravencional de Alajuelita.</w:t>
            </w:r>
          </w:p>
        </w:tc>
      </w:tr>
      <w:tr w:rsidR="0093441E" w:rsidRPr="002A7673" w14:paraId="6EFAA808" w14:textId="77777777" w:rsidTr="0048334E">
        <w:trPr>
          <w:trHeight w:val="1580"/>
          <w:jc w:val="center"/>
        </w:trPr>
        <w:tc>
          <w:tcPr>
            <w:tcW w:w="183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3DE81CD"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Segundo Circuito Judicial de Alajuela</w:t>
            </w:r>
          </w:p>
        </w:tc>
        <w:tc>
          <w:tcPr>
            <w:tcW w:w="1837" w:type="dxa"/>
            <w:tcBorders>
              <w:top w:val="nil"/>
              <w:left w:val="nil"/>
              <w:bottom w:val="single" w:sz="8" w:space="0" w:color="auto"/>
              <w:right w:val="single" w:sz="8" w:space="0" w:color="auto"/>
            </w:tcBorders>
            <w:shd w:val="clear" w:color="auto" w:fill="auto"/>
            <w:vAlign w:val="center"/>
            <w:hideMark/>
          </w:tcPr>
          <w:p w14:paraId="0A2645E1"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10406 Servicios Generales</w:t>
            </w:r>
          </w:p>
        </w:tc>
        <w:tc>
          <w:tcPr>
            <w:tcW w:w="1559" w:type="dxa"/>
            <w:tcBorders>
              <w:top w:val="nil"/>
              <w:left w:val="nil"/>
              <w:bottom w:val="single" w:sz="8" w:space="0" w:color="auto"/>
              <w:right w:val="single" w:sz="8" w:space="0" w:color="auto"/>
            </w:tcBorders>
            <w:shd w:val="clear" w:color="auto" w:fill="auto"/>
            <w:vAlign w:val="center"/>
            <w:hideMark/>
          </w:tcPr>
          <w:p w14:paraId="79538940"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16 639 072 </w:t>
            </w:r>
          </w:p>
        </w:tc>
        <w:tc>
          <w:tcPr>
            <w:tcW w:w="5812" w:type="dxa"/>
            <w:tcBorders>
              <w:top w:val="nil"/>
              <w:left w:val="nil"/>
              <w:bottom w:val="single" w:sz="8" w:space="0" w:color="auto"/>
              <w:right w:val="single" w:sz="8" w:space="0" w:color="auto"/>
            </w:tcBorders>
            <w:shd w:val="clear" w:color="auto" w:fill="auto"/>
            <w:vAlign w:val="center"/>
            <w:hideMark/>
          </w:tcPr>
          <w:p w14:paraId="14C5452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Para ampliar el servicio de limpieza en el Edificio de Tribunales de Los Chiles (¢7.039.115), para darle continuidad al servicio de limpieza del Tribunal Penal de Upala (¢1.930.630) y darle continuidad al servicio de limpieza del Juzgado Contravencional y Tránsito del Segundo Circuito de Alajuela (¢7.669.327).</w:t>
            </w:r>
          </w:p>
        </w:tc>
      </w:tr>
      <w:tr w:rsidR="0093441E" w:rsidRPr="002A7673" w14:paraId="06DE7FF2" w14:textId="77777777" w:rsidTr="0048334E">
        <w:trPr>
          <w:trHeight w:val="630"/>
          <w:jc w:val="center"/>
        </w:trPr>
        <w:tc>
          <w:tcPr>
            <w:tcW w:w="1839" w:type="dxa"/>
            <w:tcBorders>
              <w:top w:val="nil"/>
              <w:left w:val="single" w:sz="8" w:space="0" w:color="auto"/>
              <w:bottom w:val="single" w:sz="8" w:space="0" w:color="auto"/>
              <w:right w:val="single" w:sz="8" w:space="0" w:color="auto"/>
            </w:tcBorders>
            <w:shd w:val="clear" w:color="auto" w:fill="auto"/>
            <w:vAlign w:val="center"/>
            <w:hideMark/>
          </w:tcPr>
          <w:p w14:paraId="210D23F5"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Primer Circuito Judicial de Guanacaste</w:t>
            </w:r>
          </w:p>
        </w:tc>
        <w:tc>
          <w:tcPr>
            <w:tcW w:w="1837" w:type="dxa"/>
            <w:tcBorders>
              <w:top w:val="nil"/>
              <w:left w:val="nil"/>
              <w:bottom w:val="single" w:sz="8" w:space="0" w:color="auto"/>
              <w:right w:val="single" w:sz="8" w:space="0" w:color="auto"/>
            </w:tcBorders>
            <w:shd w:val="clear" w:color="auto" w:fill="auto"/>
            <w:vAlign w:val="center"/>
            <w:hideMark/>
          </w:tcPr>
          <w:p w14:paraId="10293AF5"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10406 Servicios Generales</w:t>
            </w:r>
          </w:p>
        </w:tc>
        <w:tc>
          <w:tcPr>
            <w:tcW w:w="1559" w:type="dxa"/>
            <w:tcBorders>
              <w:top w:val="nil"/>
              <w:left w:val="nil"/>
              <w:bottom w:val="single" w:sz="8" w:space="0" w:color="auto"/>
              <w:right w:val="single" w:sz="8" w:space="0" w:color="auto"/>
            </w:tcBorders>
            <w:shd w:val="clear" w:color="auto" w:fill="auto"/>
            <w:vAlign w:val="center"/>
            <w:hideMark/>
          </w:tcPr>
          <w:p w14:paraId="18C79163"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2 583 858 </w:t>
            </w:r>
          </w:p>
        </w:tc>
        <w:tc>
          <w:tcPr>
            <w:tcW w:w="5812" w:type="dxa"/>
            <w:tcBorders>
              <w:top w:val="nil"/>
              <w:left w:val="nil"/>
              <w:bottom w:val="single" w:sz="8" w:space="0" w:color="auto"/>
              <w:right w:val="single" w:sz="8" w:space="0" w:color="auto"/>
            </w:tcBorders>
            <w:shd w:val="clear" w:color="auto" w:fill="auto"/>
            <w:vAlign w:val="center"/>
            <w:hideMark/>
          </w:tcPr>
          <w:p w14:paraId="3B214846"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Para completar el servicio de limpieza en el Juzgado de Tránsito del Primer Circuito Judicial de Guanacaste.</w:t>
            </w:r>
          </w:p>
        </w:tc>
      </w:tr>
      <w:tr w:rsidR="0093441E" w:rsidRPr="002A7673" w14:paraId="304CCE0B" w14:textId="77777777" w:rsidTr="0048334E">
        <w:trPr>
          <w:trHeight w:val="1150"/>
          <w:jc w:val="center"/>
        </w:trPr>
        <w:tc>
          <w:tcPr>
            <w:tcW w:w="1839" w:type="dxa"/>
            <w:tcBorders>
              <w:top w:val="nil"/>
              <w:left w:val="single" w:sz="8" w:space="0" w:color="auto"/>
              <w:bottom w:val="single" w:sz="8" w:space="0" w:color="auto"/>
              <w:right w:val="single" w:sz="8" w:space="0" w:color="auto"/>
            </w:tcBorders>
            <w:shd w:val="clear" w:color="auto" w:fill="auto"/>
            <w:vAlign w:val="center"/>
            <w:hideMark/>
          </w:tcPr>
          <w:p w14:paraId="20DF2A94"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lastRenderedPageBreak/>
              <w:t>Segundo Circuito Judicial de Guanacaste</w:t>
            </w:r>
          </w:p>
        </w:tc>
        <w:tc>
          <w:tcPr>
            <w:tcW w:w="1837" w:type="dxa"/>
            <w:tcBorders>
              <w:top w:val="nil"/>
              <w:left w:val="nil"/>
              <w:bottom w:val="single" w:sz="8" w:space="0" w:color="auto"/>
              <w:right w:val="single" w:sz="8" w:space="0" w:color="auto"/>
            </w:tcBorders>
            <w:shd w:val="clear" w:color="auto" w:fill="auto"/>
            <w:vAlign w:val="center"/>
            <w:hideMark/>
          </w:tcPr>
          <w:p w14:paraId="2C712411"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10101 Alquiler de Edificios, Locales y Terrenos</w:t>
            </w:r>
          </w:p>
        </w:tc>
        <w:tc>
          <w:tcPr>
            <w:tcW w:w="1559" w:type="dxa"/>
            <w:tcBorders>
              <w:top w:val="nil"/>
              <w:left w:val="nil"/>
              <w:bottom w:val="single" w:sz="8" w:space="0" w:color="auto"/>
              <w:right w:val="single" w:sz="8" w:space="0" w:color="auto"/>
            </w:tcBorders>
            <w:shd w:val="clear" w:color="auto" w:fill="auto"/>
            <w:vAlign w:val="center"/>
            <w:hideMark/>
          </w:tcPr>
          <w:p w14:paraId="0B8171C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21 289 276 </w:t>
            </w:r>
          </w:p>
        </w:tc>
        <w:tc>
          <w:tcPr>
            <w:tcW w:w="5812" w:type="dxa"/>
            <w:tcBorders>
              <w:top w:val="nil"/>
              <w:left w:val="nil"/>
              <w:bottom w:val="single" w:sz="8" w:space="0" w:color="auto"/>
              <w:right w:val="single" w:sz="8" w:space="0" w:color="auto"/>
            </w:tcBorders>
            <w:shd w:val="clear" w:color="auto" w:fill="auto"/>
            <w:vAlign w:val="center"/>
            <w:hideMark/>
          </w:tcPr>
          <w:p w14:paraId="7FF68B59"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Para alquiler de local para el Juzgado Penal Juvenil del Segundo Circuito Judicial de Guanacaste (¢17.061.092) y alquiler de una sala de juicios solicitado por la Administración Regional Supernumerarios (¢4.228.184).</w:t>
            </w:r>
          </w:p>
        </w:tc>
      </w:tr>
      <w:tr w:rsidR="0093441E" w:rsidRPr="002A7673" w14:paraId="2C1AF590" w14:textId="77777777" w:rsidTr="0048334E">
        <w:trPr>
          <w:trHeight w:val="1210"/>
          <w:jc w:val="center"/>
        </w:trPr>
        <w:tc>
          <w:tcPr>
            <w:tcW w:w="1839"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0D894774"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Circuito Judicial de Puntarenas</w:t>
            </w:r>
          </w:p>
        </w:tc>
        <w:tc>
          <w:tcPr>
            <w:tcW w:w="183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686DD3E"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10101 Alquiler de Edificios, Locales y Terrenos</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EE284E3"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726 728 921 </w:t>
            </w:r>
          </w:p>
        </w:tc>
        <w:tc>
          <w:tcPr>
            <w:tcW w:w="581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310F1DA"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Recurso requerido para alquiler de nuevo edificio de los Tribunales de Justicia de Puntarenas, el cual se proyecta a ser entregado el 01/09/2022. Lo anterior basado según el contrato de arrendamiento operativo Fideicomiso Inmobiliario Poder Judicial 2015.</w:t>
            </w:r>
          </w:p>
        </w:tc>
      </w:tr>
      <w:tr w:rsidR="0093441E" w:rsidRPr="002A7673" w14:paraId="26FCF2E4" w14:textId="77777777" w:rsidTr="0048334E">
        <w:trPr>
          <w:trHeight w:val="630"/>
          <w:jc w:val="center"/>
        </w:trPr>
        <w:tc>
          <w:tcPr>
            <w:tcW w:w="1839" w:type="dxa"/>
            <w:vMerge/>
            <w:tcBorders>
              <w:top w:val="single" w:sz="8" w:space="0" w:color="auto"/>
              <w:left w:val="single" w:sz="8" w:space="0" w:color="auto"/>
              <w:bottom w:val="single" w:sz="8" w:space="0" w:color="auto"/>
              <w:right w:val="single" w:sz="8" w:space="0" w:color="auto"/>
            </w:tcBorders>
            <w:vAlign w:val="center"/>
            <w:hideMark/>
          </w:tcPr>
          <w:p w14:paraId="214B6616"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83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4982C7D"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10406 Servicios Generales</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CEF90BA"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30 542 521 </w:t>
            </w:r>
          </w:p>
        </w:tc>
        <w:tc>
          <w:tcPr>
            <w:tcW w:w="581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D8FF6D4"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Recurso requerido para atender las labores de limpieza para el nuevo edificio.</w:t>
            </w:r>
          </w:p>
        </w:tc>
      </w:tr>
      <w:tr w:rsidR="0093441E" w:rsidRPr="002A7673" w14:paraId="19FC1D32" w14:textId="77777777" w:rsidTr="0048334E">
        <w:trPr>
          <w:trHeight w:val="1130"/>
          <w:jc w:val="center"/>
        </w:trPr>
        <w:tc>
          <w:tcPr>
            <w:tcW w:w="1839" w:type="dxa"/>
            <w:vMerge/>
            <w:tcBorders>
              <w:top w:val="single" w:sz="8" w:space="0" w:color="auto"/>
              <w:left w:val="single" w:sz="8" w:space="0" w:color="auto"/>
              <w:bottom w:val="single" w:sz="8" w:space="0" w:color="auto"/>
              <w:right w:val="single" w:sz="8" w:space="0" w:color="auto"/>
            </w:tcBorders>
            <w:vAlign w:val="center"/>
            <w:hideMark/>
          </w:tcPr>
          <w:p w14:paraId="50FEE06E" w14:textId="77777777" w:rsidR="0093441E" w:rsidRPr="002A7673" w:rsidRDefault="0093441E" w:rsidP="0048334E">
            <w:pPr>
              <w:spacing w:after="0" w:line="240" w:lineRule="auto"/>
              <w:rPr>
                <w:rFonts w:ascii="Times New Roman" w:hAnsi="Times New Roman" w:cs="Times New Roman"/>
                <w:color w:val="000000"/>
                <w:lang w:eastAsia="es-CR"/>
              </w:rPr>
            </w:pPr>
          </w:p>
        </w:tc>
        <w:tc>
          <w:tcPr>
            <w:tcW w:w="183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CF4C05D"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10406 Servicios Generales</w:t>
            </w:r>
          </w:p>
        </w:tc>
        <w:tc>
          <w:tcPr>
            <w:tcW w:w="155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8498E9"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      21 040 162 </w:t>
            </w:r>
          </w:p>
        </w:tc>
        <w:tc>
          <w:tcPr>
            <w:tcW w:w="581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DEAF66A"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color w:val="000000" w:themeColor="text1"/>
                <w:lang w:eastAsia="es-CR"/>
              </w:rPr>
              <w:t xml:space="preserve">Recurso requerido para atender la seguridad para el nuevo edificio (durante 2 meses, considerando como fecha estimada de entrega el 01/11/2022), </w:t>
            </w:r>
            <w:proofErr w:type="gramStart"/>
            <w:r w:rsidRPr="002A7673">
              <w:rPr>
                <w:rFonts w:ascii="Times New Roman" w:hAnsi="Times New Roman" w:cs="Times New Roman"/>
                <w:color w:val="000000" w:themeColor="text1"/>
                <w:lang w:eastAsia="es-CR"/>
              </w:rPr>
              <w:t>de acuerdo a</w:t>
            </w:r>
            <w:proofErr w:type="gramEnd"/>
            <w:r w:rsidRPr="002A7673">
              <w:rPr>
                <w:rFonts w:ascii="Times New Roman" w:hAnsi="Times New Roman" w:cs="Times New Roman"/>
                <w:color w:val="000000" w:themeColor="text1"/>
                <w:lang w:eastAsia="es-CR"/>
              </w:rPr>
              <w:t xml:space="preserve"> las consideraciones del Departamento de Seguridad se requiere un mínimo de 3 puestos fijos.</w:t>
            </w:r>
          </w:p>
        </w:tc>
      </w:tr>
      <w:tr w:rsidR="0093441E" w:rsidRPr="002A7673" w14:paraId="3E0C0DBC" w14:textId="77777777" w:rsidTr="0048334E">
        <w:trPr>
          <w:trHeight w:val="1010"/>
          <w:jc w:val="center"/>
        </w:trPr>
        <w:tc>
          <w:tcPr>
            <w:tcW w:w="1839" w:type="dxa"/>
            <w:vMerge w:val="restart"/>
            <w:tcBorders>
              <w:top w:val="single" w:sz="8" w:space="0" w:color="auto"/>
              <w:left w:val="single" w:sz="8" w:space="0" w:color="auto"/>
              <w:bottom w:val="single" w:sz="8" w:space="0" w:color="auto"/>
              <w:right w:val="nil"/>
            </w:tcBorders>
            <w:shd w:val="clear" w:color="auto" w:fill="auto"/>
            <w:vAlign w:val="center"/>
            <w:hideMark/>
          </w:tcPr>
          <w:p w14:paraId="77F8D516" w14:textId="77777777" w:rsidR="0093441E" w:rsidRPr="002A7673" w:rsidRDefault="0093441E"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lang w:eastAsia="es-CR"/>
              </w:rPr>
              <w:t>Segundo Circuito Judicial de la Zona Sur</w:t>
            </w:r>
          </w:p>
        </w:tc>
        <w:tc>
          <w:tcPr>
            <w:tcW w:w="183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013A99A" w14:textId="77777777" w:rsidR="0093441E" w:rsidRPr="002A7673" w:rsidRDefault="0093441E"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lang w:eastAsia="es-CR"/>
              </w:rPr>
              <w:t>10101 Alquiler de Edificios, Locales y Terrenos</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2D5E2F1F" w14:textId="77777777" w:rsidR="0093441E" w:rsidRPr="002A7673" w:rsidRDefault="0093441E"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lang w:eastAsia="es-CR"/>
              </w:rPr>
              <w:t xml:space="preserve">      23 730 000 </w:t>
            </w:r>
          </w:p>
        </w:tc>
        <w:tc>
          <w:tcPr>
            <w:tcW w:w="5812" w:type="dxa"/>
            <w:tcBorders>
              <w:top w:val="single" w:sz="8" w:space="0" w:color="auto"/>
              <w:left w:val="nil"/>
              <w:bottom w:val="single" w:sz="8" w:space="0" w:color="auto"/>
              <w:right w:val="single" w:sz="8" w:space="0" w:color="auto"/>
            </w:tcBorders>
            <w:shd w:val="clear" w:color="auto" w:fill="auto"/>
            <w:vAlign w:val="center"/>
            <w:hideMark/>
          </w:tcPr>
          <w:p w14:paraId="11427841" w14:textId="77777777" w:rsidR="0093441E" w:rsidRPr="002A7673" w:rsidRDefault="0093441E"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lang w:eastAsia="es-CR"/>
              </w:rPr>
              <w:t>Para alquiler de un predio que permita albergar vehículos y motocicletas.</w:t>
            </w:r>
          </w:p>
        </w:tc>
      </w:tr>
      <w:tr w:rsidR="0093441E" w:rsidRPr="002A7673" w14:paraId="20D9E164" w14:textId="77777777" w:rsidTr="0048334E">
        <w:trPr>
          <w:trHeight w:val="850"/>
          <w:jc w:val="center"/>
        </w:trPr>
        <w:tc>
          <w:tcPr>
            <w:tcW w:w="1839" w:type="dxa"/>
            <w:vMerge/>
            <w:tcBorders>
              <w:top w:val="single" w:sz="8" w:space="0" w:color="000000" w:themeColor="text1"/>
              <w:left w:val="single" w:sz="8" w:space="0" w:color="auto"/>
              <w:bottom w:val="single" w:sz="8" w:space="0" w:color="auto"/>
            </w:tcBorders>
            <w:vAlign w:val="center"/>
            <w:hideMark/>
          </w:tcPr>
          <w:p w14:paraId="6F77C102" w14:textId="77777777" w:rsidR="0093441E" w:rsidRPr="002A7673" w:rsidRDefault="0093441E" w:rsidP="0048334E">
            <w:pPr>
              <w:spacing w:after="0" w:line="240" w:lineRule="auto"/>
              <w:rPr>
                <w:rFonts w:ascii="Times New Roman" w:hAnsi="Times New Roman" w:cs="Times New Roman"/>
                <w:lang w:eastAsia="es-CR"/>
              </w:rPr>
            </w:pPr>
          </w:p>
        </w:tc>
        <w:tc>
          <w:tcPr>
            <w:tcW w:w="1837" w:type="dxa"/>
            <w:tcBorders>
              <w:top w:val="nil"/>
              <w:left w:val="single" w:sz="8" w:space="0" w:color="auto"/>
              <w:bottom w:val="single" w:sz="8" w:space="0" w:color="auto"/>
              <w:right w:val="single" w:sz="8" w:space="0" w:color="auto"/>
            </w:tcBorders>
            <w:shd w:val="clear" w:color="auto" w:fill="auto"/>
            <w:vAlign w:val="center"/>
            <w:hideMark/>
          </w:tcPr>
          <w:p w14:paraId="60345027" w14:textId="77777777" w:rsidR="0093441E" w:rsidRPr="002A7673" w:rsidRDefault="0093441E"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lang w:eastAsia="es-CR"/>
              </w:rPr>
              <w:t>10406 Servicios Generales</w:t>
            </w:r>
          </w:p>
        </w:tc>
        <w:tc>
          <w:tcPr>
            <w:tcW w:w="1559" w:type="dxa"/>
            <w:tcBorders>
              <w:top w:val="nil"/>
              <w:left w:val="nil"/>
              <w:bottom w:val="single" w:sz="8" w:space="0" w:color="auto"/>
              <w:right w:val="single" w:sz="8" w:space="0" w:color="auto"/>
            </w:tcBorders>
            <w:shd w:val="clear" w:color="auto" w:fill="auto"/>
            <w:vAlign w:val="center"/>
            <w:hideMark/>
          </w:tcPr>
          <w:p w14:paraId="51F3CDB2" w14:textId="77777777" w:rsidR="0093441E" w:rsidRPr="002A7673" w:rsidRDefault="0093441E"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lang w:eastAsia="es-CR"/>
              </w:rPr>
              <w:t xml:space="preserve">      42 080 324 </w:t>
            </w:r>
          </w:p>
        </w:tc>
        <w:tc>
          <w:tcPr>
            <w:tcW w:w="5812" w:type="dxa"/>
            <w:tcBorders>
              <w:top w:val="nil"/>
              <w:left w:val="nil"/>
              <w:bottom w:val="single" w:sz="8" w:space="0" w:color="auto"/>
              <w:right w:val="single" w:sz="8" w:space="0" w:color="auto"/>
            </w:tcBorders>
            <w:shd w:val="clear" w:color="auto" w:fill="auto"/>
            <w:vAlign w:val="center"/>
            <w:hideMark/>
          </w:tcPr>
          <w:p w14:paraId="1127043A" w14:textId="77777777" w:rsidR="0093441E" w:rsidRPr="002A7673" w:rsidRDefault="0093441E"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lang w:eastAsia="es-CR"/>
              </w:rPr>
              <w:t>Para la contratación de servicio de vigilancia, para atender una orden sanitaria MS-DRRSBRU-ARSC-OS-2005-2020 referente a los vehículos decomisados que se mantienen en los alrededores del edificio de los Tribunales de Corredores.</w:t>
            </w:r>
          </w:p>
        </w:tc>
      </w:tr>
      <w:tr w:rsidR="0093441E" w:rsidRPr="002A7673" w14:paraId="1DF1B28A" w14:textId="77777777" w:rsidTr="0048334E">
        <w:trPr>
          <w:trHeight w:val="300"/>
          <w:jc w:val="center"/>
        </w:trPr>
        <w:tc>
          <w:tcPr>
            <w:tcW w:w="3676" w:type="dxa"/>
            <w:gridSpan w:val="2"/>
            <w:tcBorders>
              <w:top w:val="single" w:sz="8" w:space="0" w:color="auto"/>
              <w:left w:val="single" w:sz="8" w:space="0" w:color="auto"/>
              <w:bottom w:val="single" w:sz="8" w:space="0" w:color="auto"/>
              <w:right w:val="single" w:sz="8" w:space="0" w:color="000000" w:themeColor="text1"/>
            </w:tcBorders>
            <w:shd w:val="clear" w:color="auto" w:fill="BDD6EE" w:themeFill="accent1" w:themeFillTint="66"/>
            <w:vAlign w:val="center"/>
            <w:hideMark/>
          </w:tcPr>
          <w:p w14:paraId="61A87545" w14:textId="77777777" w:rsidR="0093441E" w:rsidRPr="002A7673" w:rsidRDefault="0093441E" w:rsidP="0048334E">
            <w:pPr>
              <w:spacing w:after="0" w:line="240" w:lineRule="auto"/>
              <w:jc w:val="center"/>
              <w:rPr>
                <w:rFonts w:ascii="Times New Roman" w:hAnsi="Times New Roman" w:cs="Times New Roman"/>
                <w:b/>
                <w:color w:val="000000"/>
                <w:sz w:val="20"/>
                <w:szCs w:val="20"/>
                <w:lang w:eastAsia="es-CR"/>
              </w:rPr>
            </w:pPr>
            <w:r w:rsidRPr="002A7673">
              <w:rPr>
                <w:rFonts w:ascii="Times New Roman" w:hAnsi="Times New Roman" w:cs="Times New Roman"/>
                <w:b/>
                <w:color w:val="000000" w:themeColor="text1"/>
                <w:lang w:eastAsia="es-CR"/>
              </w:rPr>
              <w:t>TOTAL</w:t>
            </w:r>
          </w:p>
        </w:tc>
        <w:tc>
          <w:tcPr>
            <w:tcW w:w="1559" w:type="dxa"/>
            <w:tcBorders>
              <w:top w:val="nil"/>
              <w:left w:val="nil"/>
              <w:bottom w:val="single" w:sz="8" w:space="0" w:color="auto"/>
              <w:right w:val="single" w:sz="8" w:space="0" w:color="auto"/>
            </w:tcBorders>
            <w:shd w:val="clear" w:color="auto" w:fill="BDD6EE" w:themeFill="accent1" w:themeFillTint="66"/>
            <w:vAlign w:val="center"/>
            <w:hideMark/>
          </w:tcPr>
          <w:p w14:paraId="16A7BDE6" w14:textId="77777777" w:rsidR="0093441E" w:rsidRPr="002A7673" w:rsidRDefault="0093441E" w:rsidP="0048334E">
            <w:pPr>
              <w:spacing w:after="0" w:line="240" w:lineRule="auto"/>
              <w:rPr>
                <w:rFonts w:ascii="Times New Roman" w:hAnsi="Times New Roman" w:cs="Times New Roman"/>
                <w:b/>
                <w:color w:val="000000"/>
                <w:sz w:val="20"/>
                <w:szCs w:val="20"/>
                <w:lang w:eastAsia="es-CR"/>
              </w:rPr>
            </w:pPr>
            <w:r w:rsidRPr="002A7673">
              <w:rPr>
                <w:rFonts w:ascii="Times New Roman" w:hAnsi="Times New Roman" w:cs="Times New Roman"/>
                <w:b/>
                <w:color w:val="000000" w:themeColor="text1"/>
                <w:lang w:eastAsia="es-CR"/>
              </w:rPr>
              <w:t xml:space="preserve">    945 646 926 </w:t>
            </w:r>
          </w:p>
        </w:tc>
        <w:tc>
          <w:tcPr>
            <w:tcW w:w="5812" w:type="dxa"/>
            <w:tcBorders>
              <w:top w:val="nil"/>
              <w:left w:val="nil"/>
              <w:bottom w:val="single" w:sz="8" w:space="0" w:color="auto"/>
              <w:right w:val="single" w:sz="8" w:space="0" w:color="auto"/>
            </w:tcBorders>
            <w:shd w:val="clear" w:color="auto" w:fill="BDD6EE" w:themeFill="accent1" w:themeFillTint="66"/>
            <w:vAlign w:val="center"/>
            <w:hideMark/>
          </w:tcPr>
          <w:p w14:paraId="3C2CCE43" w14:textId="77777777" w:rsidR="0093441E" w:rsidRPr="002A7673" w:rsidRDefault="0093441E" w:rsidP="0048334E">
            <w:pPr>
              <w:spacing w:after="0" w:line="240" w:lineRule="auto"/>
              <w:rPr>
                <w:rFonts w:ascii="Times New Roman" w:hAnsi="Times New Roman" w:cs="Times New Roman"/>
                <w:b/>
                <w:color w:val="000000"/>
                <w:sz w:val="20"/>
                <w:szCs w:val="20"/>
                <w:lang w:eastAsia="es-CR"/>
              </w:rPr>
            </w:pPr>
            <w:r w:rsidRPr="002A7673">
              <w:rPr>
                <w:rFonts w:ascii="Times New Roman" w:hAnsi="Times New Roman" w:cs="Times New Roman"/>
                <w:b/>
                <w:color w:val="000000" w:themeColor="text1"/>
                <w:lang w:eastAsia="es-CR"/>
              </w:rPr>
              <w:t> </w:t>
            </w:r>
          </w:p>
        </w:tc>
      </w:tr>
    </w:tbl>
    <w:p w14:paraId="5C5B1593" w14:textId="77777777" w:rsidR="0093441E" w:rsidRPr="002A7673" w:rsidRDefault="0093441E" w:rsidP="0093441E">
      <w:pPr>
        <w:spacing w:after="0" w:line="360" w:lineRule="auto"/>
        <w:rPr>
          <w:rFonts w:ascii="Times New Roman" w:hAnsi="Times New Roman" w:cs="Times New Roman"/>
          <w:b/>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w:t>
      </w:r>
    </w:p>
    <w:p w14:paraId="2D578025" w14:textId="77777777" w:rsidR="0093441E" w:rsidRPr="002A7673" w:rsidRDefault="0093441E" w:rsidP="0093441E">
      <w:pPr>
        <w:spacing w:after="0" w:line="360" w:lineRule="auto"/>
        <w:rPr>
          <w:rFonts w:ascii="Times New Roman" w:hAnsi="Times New Roman" w:cs="Times New Roman"/>
          <w:b/>
          <w:bCs/>
        </w:rPr>
      </w:pPr>
    </w:p>
    <w:p w14:paraId="10DBD9D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caso de aprobarse todos estos requerimientos que totalizan ¢981.527.818, al agregarlos a los recursos formulados en el anteproyecto de presupuesto 2022 para los programas 926 Dirección, Administración y Otros Órganos de Apoyo y 927 Servicio Jurisdiccional, el resultado final sería el que se muestra en el siguiente cuadro.</w:t>
      </w:r>
    </w:p>
    <w:p w14:paraId="5D40009D" w14:textId="77777777" w:rsidR="0093441E" w:rsidRPr="002A7673" w:rsidRDefault="0093441E" w:rsidP="0093441E">
      <w:pPr>
        <w:spacing w:after="0" w:line="360" w:lineRule="auto"/>
        <w:rPr>
          <w:rFonts w:ascii="Times New Roman" w:hAnsi="Times New Roman" w:cs="Times New Roman"/>
        </w:rPr>
      </w:pPr>
      <w:r w:rsidRPr="002A7673">
        <w:rPr>
          <w:rFonts w:ascii="Times New Roman" w:hAnsi="Times New Roman" w:cs="Times New Roman"/>
          <w:noProof/>
        </w:rPr>
        <w:drawing>
          <wp:inline distT="0" distB="0" distL="0" distR="0" wp14:anchorId="62EC8E65" wp14:editId="281F9F32">
            <wp:extent cx="5612130" cy="802640"/>
            <wp:effectExtent l="0" t="0" r="7620" b="0"/>
            <wp:docPr id="1263269061" name="Imagen 126326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12130" cy="802640"/>
                    </a:xfrm>
                    <a:prstGeom prst="rect">
                      <a:avLst/>
                    </a:prstGeom>
                    <a:noFill/>
                    <a:ln>
                      <a:noFill/>
                    </a:ln>
                  </pic:spPr>
                </pic:pic>
              </a:graphicData>
            </a:graphic>
          </wp:inline>
        </w:drawing>
      </w:r>
    </w:p>
    <w:p w14:paraId="7B647121" w14:textId="77777777" w:rsidR="0093441E" w:rsidRPr="002A7673" w:rsidRDefault="0093441E" w:rsidP="0093441E">
      <w:pPr>
        <w:spacing w:after="0" w:line="360" w:lineRule="auto"/>
        <w:ind w:firstLine="708"/>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 con información del Sistema SIGA-PJ.</w:t>
      </w:r>
    </w:p>
    <w:p w14:paraId="575506FB"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Como se puede apreciar, el programa 926 Dirección, Administración y Otros Órganos de Apoyo mantendría un comportamiento creciente, en este caso del 10,53% (¢3.216.578.725), mientras que en el caso del programa 927 Servicio Jurisdiccional el decrecimiento sería del 7,87% (¢1.192.312.227).  Por su parte, el comportamiento del gasto corriente ahora mostraría un incremento superior a los ¢1.157 millones y el gasto de capital un aumento de más de ¢866 millones.</w:t>
      </w:r>
    </w:p>
    <w:p w14:paraId="73F9BF18"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4F24FBD8"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Por su parte, el comportamiento del gasto corriente ahora mostraría un incremento superior a los ¢1.012 millones y el gasto de capital un aumento de más de ¢1.005 millones.</w:t>
      </w:r>
    </w:p>
    <w:p w14:paraId="58DE7EAF" w14:textId="77777777" w:rsidR="0093441E" w:rsidRPr="002A7673" w:rsidRDefault="0093441E" w:rsidP="0093441E">
      <w:pPr>
        <w:spacing w:after="0" w:line="360" w:lineRule="auto"/>
        <w:jc w:val="center"/>
        <w:rPr>
          <w:rFonts w:ascii="Times New Roman" w:hAnsi="Times New Roman" w:cs="Times New Roman"/>
          <w:b/>
        </w:rPr>
      </w:pPr>
      <w:r w:rsidRPr="002A7673">
        <w:rPr>
          <w:rFonts w:ascii="Times New Roman" w:hAnsi="Times New Roman" w:cs="Times New Roman"/>
          <w:noProof/>
        </w:rPr>
        <w:drawing>
          <wp:inline distT="0" distB="0" distL="0" distR="0" wp14:anchorId="602B0738" wp14:editId="6DC0E92D">
            <wp:extent cx="4902200" cy="1295400"/>
            <wp:effectExtent l="0" t="0" r="0" b="0"/>
            <wp:docPr id="1263269062" name="Imagen 126326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02200" cy="1295400"/>
                    </a:xfrm>
                    <a:prstGeom prst="rect">
                      <a:avLst/>
                    </a:prstGeom>
                    <a:noFill/>
                    <a:ln>
                      <a:noFill/>
                    </a:ln>
                  </pic:spPr>
                </pic:pic>
              </a:graphicData>
            </a:graphic>
          </wp:inline>
        </w:drawing>
      </w:r>
    </w:p>
    <w:p w14:paraId="6AAEEB05" w14:textId="77777777" w:rsidR="0093441E" w:rsidRPr="002A7673" w:rsidRDefault="0093441E" w:rsidP="0093441E">
      <w:pPr>
        <w:spacing w:after="0" w:line="360" w:lineRule="auto"/>
        <w:ind w:left="708" w:firstLine="708"/>
        <w:rPr>
          <w:rFonts w:ascii="Times New Roman" w:hAnsi="Times New Roman" w:cs="Times New Roman"/>
          <w:b/>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Elaboración propia</w:t>
      </w:r>
    </w:p>
    <w:p w14:paraId="4F72E994" w14:textId="77777777" w:rsidR="00022642" w:rsidRPr="002A7673" w:rsidRDefault="00022642" w:rsidP="0093441E">
      <w:pPr>
        <w:rPr>
          <w:rFonts w:ascii="Times New Roman" w:hAnsi="Times New Roman" w:cs="Times New Roman"/>
          <w:b/>
          <w:bCs/>
          <w:kern w:val="32"/>
        </w:rPr>
      </w:pPr>
    </w:p>
    <w:p w14:paraId="7A7327F3" w14:textId="300ABBAD" w:rsidR="0093441E" w:rsidRPr="002A7673" w:rsidRDefault="0093441E" w:rsidP="00022642">
      <w:pPr>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5. Detalle del Presupuesto Formulado para el 2022</w:t>
      </w:r>
    </w:p>
    <w:p w14:paraId="2ED07F27"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A continuación, se incluyen los reportes con el detalle del gasto del anteproyecto de presupuesto 2022 de cada centro de responsabilidad que conforman los programas </w:t>
      </w:r>
      <w:r w:rsidRPr="002A7673">
        <w:rPr>
          <w:rFonts w:ascii="Times New Roman" w:hAnsi="Times New Roman" w:cs="Times New Roman"/>
          <w:sz w:val="28"/>
          <w:szCs w:val="28"/>
        </w:rPr>
        <w:lastRenderedPageBreak/>
        <w:t>926 Dirección, Administración y Otros Órganos de Apoyo y 927 Servicio Jurisdiccional.</w:t>
      </w:r>
    </w:p>
    <w:p w14:paraId="0FAAC7F9" w14:textId="77777777" w:rsidR="0093441E" w:rsidRPr="002A7673" w:rsidRDefault="0093441E" w:rsidP="0093441E">
      <w:pPr>
        <w:spacing w:after="0" w:line="360" w:lineRule="auto"/>
        <w:rPr>
          <w:rFonts w:ascii="Times New Roman" w:hAnsi="Times New Roman" w:cs="Times New Roman"/>
        </w:rPr>
      </w:pPr>
    </w:p>
    <w:tbl>
      <w:tblPr>
        <w:tblW w:w="8828" w:type="dxa"/>
        <w:tblLayout w:type="fixed"/>
        <w:tblCellMar>
          <w:left w:w="70" w:type="dxa"/>
          <w:right w:w="70" w:type="dxa"/>
        </w:tblCellMar>
        <w:tblLook w:val="04A0" w:firstRow="1" w:lastRow="0" w:firstColumn="1" w:lastColumn="0" w:noHBand="0" w:noVBand="1"/>
      </w:tblPr>
      <w:tblGrid>
        <w:gridCol w:w="6799"/>
        <w:gridCol w:w="2029"/>
      </w:tblGrid>
      <w:tr w:rsidR="0093441E" w:rsidRPr="002A7673" w14:paraId="05B4715D" w14:textId="77777777" w:rsidTr="0048334E">
        <w:trPr>
          <w:trHeight w:val="517"/>
        </w:trPr>
        <w:tc>
          <w:tcPr>
            <w:tcW w:w="6799" w:type="dxa"/>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14:paraId="25C655E7" w14:textId="77777777" w:rsidR="0093441E" w:rsidRPr="002A7673" w:rsidRDefault="0093441E" w:rsidP="0048334E">
            <w:pPr>
              <w:keepNext/>
              <w:shd w:val="clear" w:color="auto" w:fill="FFFFFF"/>
              <w:autoSpaceDE w:val="0"/>
              <w:autoSpaceDN w:val="0"/>
              <w:spacing w:after="0" w:line="240" w:lineRule="auto"/>
              <w:jc w:val="center"/>
              <w:outlineLvl w:val="0"/>
              <w:rPr>
                <w:rFonts w:ascii="Times New Roman" w:hAnsi="Times New Roman" w:cs="Times New Roman"/>
                <w:b/>
                <w:bCs/>
                <w:sz w:val="24"/>
                <w:szCs w:val="24"/>
                <w:lang w:eastAsia="es-ES"/>
              </w:rPr>
            </w:pPr>
            <w:r w:rsidRPr="002A7673">
              <w:rPr>
                <w:rFonts w:ascii="Times New Roman" w:hAnsi="Times New Roman" w:cs="Times New Roman"/>
                <w:b/>
                <w:bCs/>
                <w:sz w:val="24"/>
                <w:szCs w:val="24"/>
                <w:lang w:eastAsia="es-ES"/>
              </w:rPr>
              <w:t>Centro de Responsabilidad</w:t>
            </w:r>
          </w:p>
        </w:tc>
        <w:tc>
          <w:tcPr>
            <w:tcW w:w="2029" w:type="dxa"/>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44DA4C78" w14:textId="77777777" w:rsidR="0093441E" w:rsidRPr="002A7673" w:rsidRDefault="0093441E" w:rsidP="0048334E">
            <w:pPr>
              <w:keepNext/>
              <w:shd w:val="clear" w:color="auto" w:fill="FFFFFF"/>
              <w:autoSpaceDE w:val="0"/>
              <w:autoSpaceDN w:val="0"/>
              <w:spacing w:after="0" w:line="240" w:lineRule="auto"/>
              <w:jc w:val="center"/>
              <w:outlineLvl w:val="0"/>
              <w:rPr>
                <w:rFonts w:ascii="Times New Roman" w:hAnsi="Times New Roman" w:cs="Times New Roman"/>
                <w:b/>
                <w:bCs/>
                <w:sz w:val="24"/>
                <w:szCs w:val="24"/>
                <w:lang w:eastAsia="es-ES"/>
              </w:rPr>
            </w:pPr>
            <w:r w:rsidRPr="002A7673">
              <w:rPr>
                <w:rFonts w:ascii="Times New Roman" w:hAnsi="Times New Roman" w:cs="Times New Roman"/>
                <w:b/>
                <w:bCs/>
                <w:sz w:val="24"/>
                <w:szCs w:val="24"/>
                <w:lang w:eastAsia="es-ES"/>
              </w:rPr>
              <w:t>Detalle del Gasto 2022</w:t>
            </w:r>
          </w:p>
        </w:tc>
      </w:tr>
      <w:tr w:rsidR="0093441E" w:rsidRPr="002A7673" w14:paraId="1A82DA91" w14:textId="77777777" w:rsidTr="0048334E">
        <w:trPr>
          <w:trHeight w:val="458"/>
        </w:trPr>
        <w:tc>
          <w:tcPr>
            <w:tcW w:w="6799"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766DA11F" w14:textId="77777777" w:rsidR="0093441E" w:rsidRPr="002A7673" w:rsidRDefault="0093441E" w:rsidP="0048334E">
            <w:pPr>
              <w:spacing w:after="0" w:line="240" w:lineRule="auto"/>
              <w:rPr>
                <w:rFonts w:ascii="Times New Roman" w:hAnsi="Times New Roman" w:cs="Times New Roman"/>
                <w:b/>
                <w:bCs/>
                <w:color w:val="FFFFFF"/>
                <w:lang w:eastAsia="es-CR"/>
              </w:rPr>
            </w:pPr>
          </w:p>
        </w:tc>
        <w:tc>
          <w:tcPr>
            <w:tcW w:w="2029"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66CB2622" w14:textId="77777777" w:rsidR="0093441E" w:rsidRPr="002A7673" w:rsidRDefault="0093441E" w:rsidP="0048334E">
            <w:pPr>
              <w:spacing w:after="0" w:line="240" w:lineRule="auto"/>
              <w:rPr>
                <w:rFonts w:ascii="Times New Roman" w:hAnsi="Times New Roman" w:cs="Times New Roman"/>
                <w:b/>
                <w:bCs/>
                <w:color w:val="FFFFFF"/>
                <w:lang w:eastAsia="es-CR"/>
              </w:rPr>
            </w:pPr>
          </w:p>
        </w:tc>
      </w:tr>
      <w:tr w:rsidR="0093441E" w:rsidRPr="002A7673" w14:paraId="3E328BEE" w14:textId="77777777" w:rsidTr="0048334E">
        <w:trPr>
          <w:trHeight w:val="300"/>
        </w:trPr>
        <w:tc>
          <w:tcPr>
            <w:tcW w:w="67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07BBF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Consejo Superior</w:t>
            </w:r>
          </w:p>
        </w:tc>
        <w:bookmarkStart w:id="129" w:name="_MON_1679836547"/>
        <w:bookmarkEnd w:id="129"/>
        <w:tc>
          <w:tcPr>
            <w:tcW w:w="202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C239DD"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204102EF">
                <v:shape id="_x0000_i1074" type="#_x0000_t75" style="width:64.5pt;height:43.5pt" o:ole="">
                  <v:imagedata r:id="rId176" o:title=""/>
                </v:shape>
                <o:OLEObject Type="Embed" ProgID="Excel.Sheet.12" ShapeID="_x0000_i1074" DrawAspect="Icon" ObjectID="_1684067017" r:id="rId177"/>
              </w:object>
            </w:r>
          </w:p>
        </w:tc>
      </w:tr>
      <w:tr w:rsidR="0093441E" w:rsidRPr="002A7673" w14:paraId="20BCD367"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2F0F9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Presidencia de la Corte</w:t>
            </w:r>
          </w:p>
        </w:tc>
        <w:bookmarkStart w:id="130" w:name="_MON_1679840379"/>
        <w:bookmarkEnd w:id="130"/>
        <w:tc>
          <w:tcPr>
            <w:tcW w:w="2029" w:type="dxa"/>
            <w:tcBorders>
              <w:top w:val="nil"/>
              <w:left w:val="nil"/>
              <w:bottom w:val="single" w:sz="4" w:space="0" w:color="auto"/>
              <w:right w:val="single" w:sz="4" w:space="0" w:color="auto"/>
            </w:tcBorders>
            <w:shd w:val="clear" w:color="auto" w:fill="FFFFFF" w:themeFill="background1"/>
            <w:vAlign w:val="center"/>
            <w:hideMark/>
          </w:tcPr>
          <w:p w14:paraId="0C75DD70"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91A5F4D">
                <v:shape id="_x0000_i1075" type="#_x0000_t75" style="width:64.5pt;height:43.5pt" o:ole="">
                  <v:imagedata r:id="rId178" o:title=""/>
                </v:shape>
                <o:OLEObject Type="Embed" ProgID="Excel.Sheet.12" ShapeID="_x0000_i1075" DrawAspect="Icon" ObjectID="_1684067018" r:id="rId179"/>
              </w:object>
            </w:r>
          </w:p>
        </w:tc>
      </w:tr>
      <w:tr w:rsidR="0093441E" w:rsidRPr="002A7673" w14:paraId="60276BF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06D55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Despacho de la Presidencia</w:t>
            </w:r>
          </w:p>
        </w:tc>
        <w:bookmarkStart w:id="131" w:name="_MON_1679840387"/>
        <w:bookmarkEnd w:id="131"/>
        <w:tc>
          <w:tcPr>
            <w:tcW w:w="2029" w:type="dxa"/>
            <w:tcBorders>
              <w:top w:val="nil"/>
              <w:left w:val="nil"/>
              <w:bottom w:val="single" w:sz="4" w:space="0" w:color="auto"/>
              <w:right w:val="single" w:sz="4" w:space="0" w:color="auto"/>
            </w:tcBorders>
            <w:shd w:val="clear" w:color="auto" w:fill="FFFFFF" w:themeFill="background1"/>
            <w:vAlign w:val="center"/>
            <w:hideMark/>
          </w:tcPr>
          <w:p w14:paraId="2C33F414"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3C718AE">
                <v:shape id="_x0000_i1076" type="#_x0000_t75" style="width:64.5pt;height:43.5pt" o:ole="">
                  <v:imagedata r:id="rId180" o:title=""/>
                </v:shape>
                <o:OLEObject Type="Embed" ProgID="Excel.Sheet.12" ShapeID="_x0000_i1076" DrawAspect="Icon" ObjectID="_1684067019" r:id="rId181"/>
              </w:object>
            </w:r>
          </w:p>
        </w:tc>
      </w:tr>
      <w:tr w:rsidR="0093441E" w:rsidRPr="002A7673" w14:paraId="7EAD06B1" w14:textId="77777777" w:rsidTr="0048334E">
        <w:trPr>
          <w:trHeight w:val="238"/>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365041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Secretaría de la Corte</w:t>
            </w:r>
          </w:p>
        </w:tc>
        <w:bookmarkStart w:id="132" w:name="_MON_1679840393"/>
        <w:bookmarkEnd w:id="132"/>
        <w:tc>
          <w:tcPr>
            <w:tcW w:w="2029" w:type="dxa"/>
            <w:tcBorders>
              <w:top w:val="nil"/>
              <w:left w:val="nil"/>
              <w:bottom w:val="single" w:sz="4" w:space="0" w:color="auto"/>
              <w:right w:val="single" w:sz="4" w:space="0" w:color="auto"/>
            </w:tcBorders>
            <w:shd w:val="clear" w:color="auto" w:fill="FFFFFF" w:themeFill="background1"/>
            <w:vAlign w:val="center"/>
          </w:tcPr>
          <w:p w14:paraId="355AFD1D"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80A8549">
                <v:shape id="_x0000_i1077" type="#_x0000_t75" style="width:64.5pt;height:43.5pt" o:ole="">
                  <v:imagedata r:id="rId182" o:title=""/>
                </v:shape>
                <o:OLEObject Type="Embed" ProgID="Excel.Sheet.12" ShapeID="_x0000_i1077" DrawAspect="Icon" ObjectID="_1684067020" r:id="rId183"/>
              </w:object>
            </w:r>
          </w:p>
        </w:tc>
      </w:tr>
      <w:tr w:rsidR="0093441E" w:rsidRPr="002A7673" w14:paraId="0ED10C4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EE6A73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Sala Constitucional</w:t>
            </w:r>
          </w:p>
        </w:tc>
        <w:bookmarkStart w:id="133" w:name="_MON_1680090120"/>
        <w:bookmarkEnd w:id="133"/>
        <w:tc>
          <w:tcPr>
            <w:tcW w:w="2029" w:type="dxa"/>
            <w:tcBorders>
              <w:top w:val="nil"/>
              <w:left w:val="nil"/>
              <w:bottom w:val="single" w:sz="4" w:space="0" w:color="auto"/>
              <w:right w:val="single" w:sz="4" w:space="0" w:color="auto"/>
            </w:tcBorders>
            <w:shd w:val="clear" w:color="auto" w:fill="FFFFFF" w:themeFill="background1"/>
            <w:vAlign w:val="center"/>
          </w:tcPr>
          <w:p w14:paraId="01AAC194"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508" w:dyaOrig="983" w14:anchorId="16A7EC3B">
                <v:shape id="_x0000_i1078" type="#_x0000_t75" style="width:79.5pt;height:50pt" o:ole="">
                  <v:imagedata r:id="rId184" o:title=""/>
                </v:shape>
                <o:OLEObject Type="Embed" ProgID="Excel.Sheet.12" ShapeID="_x0000_i1078" DrawAspect="Icon" ObjectID="_1684067021" r:id="rId185"/>
              </w:object>
            </w:r>
          </w:p>
        </w:tc>
      </w:tr>
      <w:tr w:rsidR="0093441E" w:rsidRPr="002A7673" w14:paraId="482DB106"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4CFEA0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Sala Primera</w:t>
            </w:r>
          </w:p>
        </w:tc>
        <w:bookmarkStart w:id="134" w:name="_MON_1680090246"/>
        <w:bookmarkEnd w:id="134"/>
        <w:tc>
          <w:tcPr>
            <w:tcW w:w="2029" w:type="dxa"/>
            <w:tcBorders>
              <w:top w:val="nil"/>
              <w:left w:val="nil"/>
              <w:bottom w:val="single" w:sz="4" w:space="0" w:color="auto"/>
              <w:right w:val="single" w:sz="4" w:space="0" w:color="auto"/>
            </w:tcBorders>
            <w:shd w:val="clear" w:color="auto" w:fill="FFFFFF" w:themeFill="background1"/>
            <w:vAlign w:val="center"/>
          </w:tcPr>
          <w:p w14:paraId="3751621D"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508" w:dyaOrig="983" w14:anchorId="431E5B71">
                <v:shape id="_x0000_i1079" type="#_x0000_t75" style="width:79.5pt;height:50pt" o:ole="">
                  <v:imagedata r:id="rId186" o:title=""/>
                </v:shape>
                <o:OLEObject Type="Embed" ProgID="Excel.Sheet.12" ShapeID="_x0000_i1079" DrawAspect="Icon" ObjectID="_1684067022" r:id="rId187"/>
              </w:object>
            </w:r>
          </w:p>
        </w:tc>
      </w:tr>
      <w:tr w:rsidR="0093441E" w:rsidRPr="002A7673" w14:paraId="460EDF77"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BED1FC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Sala Segunda</w:t>
            </w:r>
          </w:p>
        </w:tc>
        <w:bookmarkStart w:id="135" w:name="_MON_1679840421"/>
        <w:bookmarkEnd w:id="135"/>
        <w:tc>
          <w:tcPr>
            <w:tcW w:w="2029" w:type="dxa"/>
            <w:tcBorders>
              <w:top w:val="nil"/>
              <w:left w:val="nil"/>
              <w:bottom w:val="single" w:sz="4" w:space="0" w:color="auto"/>
              <w:right w:val="single" w:sz="4" w:space="0" w:color="auto"/>
            </w:tcBorders>
            <w:shd w:val="clear" w:color="auto" w:fill="FFFFFF" w:themeFill="background1"/>
            <w:vAlign w:val="center"/>
          </w:tcPr>
          <w:p w14:paraId="72E7EA27"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EA6C6E1">
                <v:shape id="_x0000_i1080" type="#_x0000_t75" style="width:64.5pt;height:43.5pt" o:ole="">
                  <v:imagedata r:id="rId188" o:title=""/>
                </v:shape>
                <o:OLEObject Type="Embed" ProgID="Excel.Sheet.12" ShapeID="_x0000_i1080" DrawAspect="Icon" ObjectID="_1684067023" r:id="rId189"/>
              </w:object>
            </w:r>
          </w:p>
        </w:tc>
      </w:tr>
      <w:tr w:rsidR="0093441E" w:rsidRPr="002A7673" w14:paraId="0DEA6F23"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9FB77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Sala Tercera</w:t>
            </w:r>
          </w:p>
        </w:tc>
        <w:bookmarkStart w:id="136" w:name="_MON_1679840427"/>
        <w:bookmarkEnd w:id="136"/>
        <w:tc>
          <w:tcPr>
            <w:tcW w:w="2029" w:type="dxa"/>
            <w:tcBorders>
              <w:top w:val="nil"/>
              <w:left w:val="nil"/>
              <w:bottom w:val="single" w:sz="4" w:space="0" w:color="auto"/>
              <w:right w:val="single" w:sz="4" w:space="0" w:color="auto"/>
            </w:tcBorders>
            <w:shd w:val="clear" w:color="auto" w:fill="FFFFFF" w:themeFill="background1"/>
            <w:vAlign w:val="center"/>
          </w:tcPr>
          <w:p w14:paraId="614E24E6"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155" w:dyaOrig="747" w14:anchorId="5F2894DB">
                <v:shape id="_x0000_i1081" type="#_x0000_t75" style="width:58pt;height:36pt" o:ole="">
                  <v:imagedata r:id="rId190" o:title=""/>
                </v:shape>
                <o:OLEObject Type="Embed" ProgID="Excel.Sheet.12" ShapeID="_x0000_i1081" DrawAspect="Icon" ObjectID="_1684067024" r:id="rId191"/>
              </w:object>
            </w:r>
          </w:p>
        </w:tc>
      </w:tr>
      <w:tr w:rsidR="0093441E" w:rsidRPr="002A7673" w14:paraId="35F7D90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75B6548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Centro Electrónico de Información Jurisprudencial </w:t>
            </w:r>
          </w:p>
        </w:tc>
        <w:bookmarkStart w:id="137" w:name="_MON_1679840434"/>
        <w:bookmarkEnd w:id="137"/>
        <w:tc>
          <w:tcPr>
            <w:tcW w:w="2029" w:type="dxa"/>
            <w:tcBorders>
              <w:top w:val="nil"/>
              <w:left w:val="nil"/>
              <w:bottom w:val="single" w:sz="4" w:space="0" w:color="auto"/>
              <w:right w:val="single" w:sz="4" w:space="0" w:color="auto"/>
            </w:tcBorders>
            <w:shd w:val="clear" w:color="auto" w:fill="FFFFFF" w:themeFill="background1"/>
            <w:vAlign w:val="center"/>
          </w:tcPr>
          <w:p w14:paraId="6ED67FF5"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2E37DC9">
                <v:shape id="_x0000_i1082" type="#_x0000_t75" style="width:64.5pt;height:43.5pt" o:ole="">
                  <v:imagedata r:id="rId192" o:title=""/>
                </v:shape>
                <o:OLEObject Type="Embed" ProgID="Excel.Sheet.12" ShapeID="_x0000_i1082" DrawAspect="Icon" ObjectID="_1684067025" r:id="rId193"/>
              </w:object>
            </w:r>
          </w:p>
        </w:tc>
      </w:tr>
      <w:tr w:rsidR="0093441E" w:rsidRPr="002A7673" w14:paraId="15AE4D49"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04CF71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de Apoyo, Coordinación y Mejoramiento de la Función Jurisdiccional</w:t>
            </w:r>
          </w:p>
        </w:tc>
        <w:bookmarkStart w:id="138" w:name="_MON_1679840439"/>
        <w:bookmarkEnd w:id="138"/>
        <w:tc>
          <w:tcPr>
            <w:tcW w:w="2029" w:type="dxa"/>
            <w:tcBorders>
              <w:top w:val="nil"/>
              <w:left w:val="nil"/>
              <w:bottom w:val="single" w:sz="4" w:space="0" w:color="auto"/>
              <w:right w:val="single" w:sz="4" w:space="0" w:color="auto"/>
            </w:tcBorders>
            <w:shd w:val="clear" w:color="auto" w:fill="FFFFFF" w:themeFill="background1"/>
            <w:vAlign w:val="center"/>
          </w:tcPr>
          <w:p w14:paraId="23AF431C"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5C5D54E5">
                <v:shape id="_x0000_i1083" type="#_x0000_t75" style="width:64.5pt;height:43.5pt" o:ole="">
                  <v:imagedata r:id="rId194" o:title=""/>
                </v:shape>
                <o:OLEObject Type="Embed" ProgID="Excel.Sheet.12" ShapeID="_x0000_i1083" DrawAspect="Icon" ObjectID="_1684067026" r:id="rId195"/>
              </w:object>
            </w:r>
          </w:p>
        </w:tc>
      </w:tr>
      <w:tr w:rsidR="0093441E" w:rsidRPr="002A7673" w14:paraId="37C512DD"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D7AFA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Centro de Conciliación del Poder Judicial</w:t>
            </w:r>
          </w:p>
        </w:tc>
        <w:bookmarkStart w:id="139" w:name="_MON_1679840445"/>
        <w:bookmarkEnd w:id="139"/>
        <w:tc>
          <w:tcPr>
            <w:tcW w:w="2029" w:type="dxa"/>
            <w:tcBorders>
              <w:top w:val="nil"/>
              <w:left w:val="nil"/>
              <w:bottom w:val="single" w:sz="4" w:space="0" w:color="auto"/>
              <w:right w:val="single" w:sz="4" w:space="0" w:color="auto"/>
            </w:tcBorders>
            <w:shd w:val="clear" w:color="auto" w:fill="FFFFFF" w:themeFill="background1"/>
            <w:vAlign w:val="center"/>
          </w:tcPr>
          <w:p w14:paraId="1F7A741C"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38EBCF9">
                <v:shape id="_x0000_i1084" type="#_x0000_t75" style="width:64.5pt;height:43.5pt" o:ole="">
                  <v:imagedata r:id="rId196" o:title=""/>
                </v:shape>
                <o:OLEObject Type="Embed" ProgID="Excel.Sheet.12" ShapeID="_x0000_i1084" DrawAspect="Icon" ObjectID="_1684067027" r:id="rId197"/>
              </w:object>
            </w:r>
          </w:p>
        </w:tc>
      </w:tr>
      <w:tr w:rsidR="0093441E" w:rsidRPr="002A7673" w14:paraId="2E0CA4C9"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E71871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Judicial de Intervención de las Comunicaciones</w:t>
            </w:r>
          </w:p>
        </w:tc>
        <w:bookmarkStart w:id="140" w:name="_MON_1679840452"/>
        <w:bookmarkEnd w:id="140"/>
        <w:tc>
          <w:tcPr>
            <w:tcW w:w="2029" w:type="dxa"/>
            <w:tcBorders>
              <w:top w:val="nil"/>
              <w:left w:val="nil"/>
              <w:bottom w:val="single" w:sz="4" w:space="0" w:color="auto"/>
              <w:right w:val="single" w:sz="4" w:space="0" w:color="auto"/>
            </w:tcBorders>
            <w:shd w:val="clear" w:color="auto" w:fill="FFFFFF" w:themeFill="background1"/>
            <w:vAlign w:val="center"/>
          </w:tcPr>
          <w:p w14:paraId="04578EC4" w14:textId="08447B56" w:rsidR="0093441E" w:rsidRPr="002A7673" w:rsidRDefault="00CE52AB"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155" w:dyaOrig="747" w14:anchorId="15F43F87">
                <v:shape id="_x0000_i1203" type="#_x0000_t75" style="width:59pt;height:39.5pt" o:ole="">
                  <v:imagedata r:id="rId198" o:title=""/>
                </v:shape>
                <o:OLEObject Type="Embed" ProgID="Excel.Sheet.12" ShapeID="_x0000_i1203" DrawAspect="Icon" ObjectID="_1684067028" r:id="rId199"/>
              </w:object>
            </w:r>
          </w:p>
        </w:tc>
      </w:tr>
      <w:tr w:rsidR="0093441E" w:rsidRPr="002A7673" w14:paraId="241E2C75"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61A739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Oficina Rectora de Justicia Restaurativa</w:t>
            </w:r>
          </w:p>
        </w:tc>
        <w:bookmarkStart w:id="141" w:name="_MON_1679840457"/>
        <w:bookmarkEnd w:id="141"/>
        <w:tc>
          <w:tcPr>
            <w:tcW w:w="2029" w:type="dxa"/>
            <w:tcBorders>
              <w:top w:val="nil"/>
              <w:left w:val="nil"/>
              <w:bottom w:val="single" w:sz="4" w:space="0" w:color="auto"/>
              <w:right w:val="single" w:sz="4" w:space="0" w:color="auto"/>
            </w:tcBorders>
            <w:shd w:val="clear" w:color="auto" w:fill="FFFFFF" w:themeFill="background1"/>
            <w:vAlign w:val="center"/>
          </w:tcPr>
          <w:p w14:paraId="2FD1F12E"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5635D1D1">
                <v:shape id="_x0000_i1086" type="#_x0000_t75" style="width:64.5pt;height:43.5pt" o:ole="">
                  <v:imagedata r:id="rId200" o:title=""/>
                </v:shape>
                <o:OLEObject Type="Embed" ProgID="Excel.Sheet.12" ShapeID="_x0000_i1086" DrawAspect="Icon" ObjectID="_1684067029" r:id="rId201"/>
              </w:object>
            </w:r>
          </w:p>
        </w:tc>
      </w:tr>
      <w:tr w:rsidR="0093441E" w:rsidRPr="002A7673" w14:paraId="3E4BD935"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9C479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Contraloría de Servicios</w:t>
            </w:r>
          </w:p>
        </w:tc>
        <w:bookmarkStart w:id="142" w:name="_MON_1679840476"/>
        <w:bookmarkEnd w:id="142"/>
        <w:tc>
          <w:tcPr>
            <w:tcW w:w="2029" w:type="dxa"/>
            <w:tcBorders>
              <w:top w:val="nil"/>
              <w:left w:val="nil"/>
              <w:bottom w:val="single" w:sz="4" w:space="0" w:color="auto"/>
              <w:right w:val="single" w:sz="4" w:space="0" w:color="auto"/>
            </w:tcBorders>
            <w:shd w:val="clear" w:color="auto" w:fill="FFFFFF" w:themeFill="background1"/>
            <w:vAlign w:val="center"/>
          </w:tcPr>
          <w:p w14:paraId="6A724EF4"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69BF2C78">
                <v:shape id="_x0000_i1087" type="#_x0000_t75" style="width:64.5pt;height:43.5pt" o:ole="">
                  <v:imagedata r:id="rId202" o:title=""/>
                </v:shape>
                <o:OLEObject Type="Embed" ProgID="Excel.Sheet.12" ShapeID="_x0000_i1087" DrawAspect="Icon" ObjectID="_1684067030" r:id="rId203"/>
              </w:object>
            </w:r>
          </w:p>
        </w:tc>
      </w:tr>
      <w:tr w:rsidR="0093441E" w:rsidRPr="002A7673" w14:paraId="65C878FD"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D895A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Auditoría</w:t>
            </w:r>
          </w:p>
        </w:tc>
        <w:bookmarkStart w:id="143" w:name="_MON_1679840512"/>
        <w:bookmarkEnd w:id="143"/>
        <w:tc>
          <w:tcPr>
            <w:tcW w:w="2029" w:type="dxa"/>
            <w:tcBorders>
              <w:top w:val="nil"/>
              <w:left w:val="nil"/>
              <w:bottom w:val="single" w:sz="4" w:space="0" w:color="auto"/>
              <w:right w:val="single" w:sz="4" w:space="0" w:color="auto"/>
            </w:tcBorders>
            <w:shd w:val="clear" w:color="auto" w:fill="FFFFFF" w:themeFill="background1"/>
            <w:vAlign w:val="center"/>
          </w:tcPr>
          <w:p w14:paraId="55F2FC5E"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6619E6DC">
                <v:shape id="_x0000_i1088" type="#_x0000_t75" style="width:64.5pt;height:43.5pt" o:ole="">
                  <v:imagedata r:id="rId204" o:title=""/>
                </v:shape>
                <o:OLEObject Type="Embed" ProgID="Excel.Sheet.12" ShapeID="_x0000_i1088" DrawAspect="Icon" ObjectID="_1684067031" r:id="rId205"/>
              </w:object>
            </w:r>
          </w:p>
        </w:tc>
      </w:tr>
      <w:tr w:rsidR="0093441E" w:rsidRPr="002A7673" w14:paraId="7D8FC76D"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6D66FC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de Gestión de la Calidad</w:t>
            </w:r>
          </w:p>
        </w:tc>
        <w:bookmarkStart w:id="144" w:name="_MON_1679840518"/>
        <w:bookmarkEnd w:id="144"/>
        <w:tc>
          <w:tcPr>
            <w:tcW w:w="2029" w:type="dxa"/>
            <w:tcBorders>
              <w:top w:val="nil"/>
              <w:left w:val="nil"/>
              <w:bottom w:val="single" w:sz="4" w:space="0" w:color="auto"/>
              <w:right w:val="single" w:sz="4" w:space="0" w:color="auto"/>
            </w:tcBorders>
            <w:shd w:val="clear" w:color="auto" w:fill="FFFFFF" w:themeFill="background1"/>
            <w:vAlign w:val="center"/>
          </w:tcPr>
          <w:p w14:paraId="7B8A23E3"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ABA7C03">
                <v:shape id="_x0000_i1089" type="#_x0000_t75" style="width:64.5pt;height:43.5pt" o:ole="">
                  <v:imagedata r:id="rId206" o:title=""/>
                </v:shape>
                <o:OLEObject Type="Embed" ProgID="Excel.Sheet.12" ShapeID="_x0000_i1089" DrawAspect="Icon" ObjectID="_1684067032" r:id="rId207"/>
              </w:object>
            </w:r>
          </w:p>
        </w:tc>
      </w:tr>
      <w:tr w:rsidR="0093441E" w:rsidRPr="002A7673" w14:paraId="4C5A8DA5"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FE2AC7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Inspección Judicial</w:t>
            </w:r>
          </w:p>
        </w:tc>
        <w:bookmarkStart w:id="145" w:name="_MON_1679840524"/>
        <w:bookmarkEnd w:id="145"/>
        <w:tc>
          <w:tcPr>
            <w:tcW w:w="2029" w:type="dxa"/>
            <w:tcBorders>
              <w:top w:val="nil"/>
              <w:left w:val="nil"/>
              <w:bottom w:val="single" w:sz="4" w:space="0" w:color="auto"/>
              <w:right w:val="single" w:sz="4" w:space="0" w:color="auto"/>
            </w:tcBorders>
            <w:shd w:val="clear" w:color="auto" w:fill="FFFFFF" w:themeFill="background1"/>
            <w:vAlign w:val="center"/>
          </w:tcPr>
          <w:p w14:paraId="0600160C"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2F343CC2">
                <v:shape id="_x0000_i1090" type="#_x0000_t75" style="width:64.5pt;height:43.5pt" o:ole="">
                  <v:imagedata r:id="rId208" o:title=""/>
                </v:shape>
                <o:OLEObject Type="Embed" ProgID="Excel.Sheet.12" ShapeID="_x0000_i1090" DrawAspect="Icon" ObjectID="_1684067033" r:id="rId209"/>
              </w:object>
            </w:r>
          </w:p>
        </w:tc>
      </w:tr>
      <w:tr w:rsidR="0093441E" w:rsidRPr="002A7673" w14:paraId="7D88FB8F"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8F8D12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themeColor="text1"/>
                <w:lang w:eastAsia="es-CR"/>
              </w:rPr>
              <w:t>Oficina de Control Interno</w:t>
            </w:r>
          </w:p>
        </w:tc>
        <w:bookmarkStart w:id="146" w:name="_MON_1679840531"/>
        <w:bookmarkEnd w:id="146"/>
        <w:tc>
          <w:tcPr>
            <w:tcW w:w="2029" w:type="dxa"/>
            <w:tcBorders>
              <w:top w:val="nil"/>
              <w:left w:val="nil"/>
              <w:bottom w:val="single" w:sz="4" w:space="0" w:color="auto"/>
              <w:right w:val="single" w:sz="4" w:space="0" w:color="auto"/>
            </w:tcBorders>
            <w:shd w:val="clear" w:color="auto" w:fill="FFFFFF" w:themeFill="background1"/>
            <w:vAlign w:val="center"/>
          </w:tcPr>
          <w:p w14:paraId="0C7B9ED5"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20BA4C3">
                <v:shape id="_x0000_i1091" type="#_x0000_t75" style="width:64.5pt;height:43.5pt" o:ole="">
                  <v:imagedata r:id="rId210" o:title=""/>
                </v:shape>
                <o:OLEObject Type="Embed" ProgID="Excel.Sheet.12" ShapeID="_x0000_i1091" DrawAspect="Icon" ObjectID="_1684067034" r:id="rId211"/>
              </w:object>
            </w:r>
          </w:p>
        </w:tc>
      </w:tr>
      <w:tr w:rsidR="0093441E" w:rsidRPr="002A7673" w14:paraId="0135527B"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B27A74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Secretaría Técnica de Ética y Valores</w:t>
            </w:r>
          </w:p>
        </w:tc>
        <w:bookmarkStart w:id="147" w:name="_MON_1679840543"/>
        <w:bookmarkEnd w:id="147"/>
        <w:tc>
          <w:tcPr>
            <w:tcW w:w="2029" w:type="dxa"/>
            <w:tcBorders>
              <w:top w:val="nil"/>
              <w:left w:val="nil"/>
              <w:bottom w:val="single" w:sz="4" w:space="0" w:color="auto"/>
              <w:right w:val="single" w:sz="4" w:space="0" w:color="auto"/>
            </w:tcBorders>
            <w:shd w:val="clear" w:color="auto" w:fill="FFFFFF" w:themeFill="background1"/>
            <w:vAlign w:val="center"/>
          </w:tcPr>
          <w:p w14:paraId="0B48C189"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13BC8EDB">
                <v:shape id="_x0000_i1092" type="#_x0000_t75" style="width:64.5pt;height:43.5pt" o:ole="">
                  <v:imagedata r:id="rId212" o:title=""/>
                </v:shape>
                <o:OLEObject Type="Embed" ProgID="Excel.Sheet.12" ShapeID="_x0000_i1092" DrawAspect="Icon" ObjectID="_1684067035" r:id="rId213"/>
              </w:object>
            </w:r>
          </w:p>
        </w:tc>
      </w:tr>
      <w:tr w:rsidR="0093441E" w:rsidRPr="002A7673" w14:paraId="3B2218C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5A9E48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Secretaría Técnica de Género y Acceso a la Justicia</w:t>
            </w:r>
          </w:p>
        </w:tc>
        <w:bookmarkStart w:id="148" w:name="_MON_1679840550"/>
        <w:bookmarkEnd w:id="148"/>
        <w:tc>
          <w:tcPr>
            <w:tcW w:w="2029" w:type="dxa"/>
            <w:tcBorders>
              <w:top w:val="nil"/>
              <w:left w:val="nil"/>
              <w:bottom w:val="single" w:sz="4" w:space="0" w:color="auto"/>
              <w:right w:val="single" w:sz="4" w:space="0" w:color="auto"/>
            </w:tcBorders>
            <w:shd w:val="clear" w:color="auto" w:fill="FFFFFF" w:themeFill="background1"/>
            <w:vAlign w:val="center"/>
          </w:tcPr>
          <w:p w14:paraId="11B07FC3"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43C11C03">
                <v:shape id="_x0000_i1093" type="#_x0000_t75" style="width:64.5pt;height:43.5pt" o:ole="">
                  <v:imagedata r:id="rId214" o:title=""/>
                </v:shape>
                <o:OLEObject Type="Embed" ProgID="Excel.Sheet.12" ShapeID="_x0000_i1093" DrawAspect="Icon" ObjectID="_1684067036" r:id="rId215"/>
              </w:object>
            </w:r>
          </w:p>
        </w:tc>
      </w:tr>
      <w:tr w:rsidR="0093441E" w:rsidRPr="002A7673" w14:paraId="252149BC"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61C97C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Escuela Judicial</w:t>
            </w:r>
          </w:p>
        </w:tc>
        <w:bookmarkStart w:id="149" w:name="_MON_1679840562"/>
        <w:bookmarkEnd w:id="149"/>
        <w:tc>
          <w:tcPr>
            <w:tcW w:w="2029" w:type="dxa"/>
            <w:tcBorders>
              <w:top w:val="nil"/>
              <w:left w:val="nil"/>
              <w:bottom w:val="single" w:sz="4" w:space="0" w:color="auto"/>
              <w:right w:val="single" w:sz="4" w:space="0" w:color="auto"/>
            </w:tcBorders>
            <w:shd w:val="clear" w:color="auto" w:fill="FFFFFF" w:themeFill="background1"/>
            <w:vAlign w:val="center"/>
          </w:tcPr>
          <w:p w14:paraId="31F87EB2"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625C6F43">
                <v:shape id="_x0000_i1094" type="#_x0000_t75" style="width:64.5pt;height:43.5pt" o:ole="">
                  <v:imagedata r:id="rId216" o:title=""/>
                </v:shape>
                <o:OLEObject Type="Embed" ProgID="Excel.Sheet.12" ShapeID="_x0000_i1094" DrawAspect="Icon" ObjectID="_1684067037" r:id="rId217"/>
              </w:object>
            </w:r>
          </w:p>
        </w:tc>
      </w:tr>
      <w:tr w:rsidR="0093441E" w:rsidRPr="002A7673" w14:paraId="33E3EA9E"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916675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Unidad de Adiestramiento</w:t>
            </w:r>
          </w:p>
        </w:tc>
        <w:bookmarkStart w:id="150" w:name="_MON_1679840577"/>
        <w:bookmarkEnd w:id="150"/>
        <w:tc>
          <w:tcPr>
            <w:tcW w:w="2029" w:type="dxa"/>
            <w:tcBorders>
              <w:top w:val="nil"/>
              <w:left w:val="nil"/>
              <w:bottom w:val="single" w:sz="4" w:space="0" w:color="auto"/>
              <w:right w:val="single" w:sz="4" w:space="0" w:color="auto"/>
            </w:tcBorders>
            <w:shd w:val="clear" w:color="auto" w:fill="FFFFFF" w:themeFill="background1"/>
            <w:vAlign w:val="center"/>
          </w:tcPr>
          <w:p w14:paraId="3B868D34"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F2544D2">
                <v:shape id="_x0000_i1095" type="#_x0000_t75" style="width:64.5pt;height:43.5pt" o:ole="">
                  <v:imagedata r:id="rId218" o:title=""/>
                </v:shape>
                <o:OLEObject Type="Embed" ProgID="Excel.Sheet.12" ShapeID="_x0000_i1095" DrawAspect="Icon" ObjectID="_1684067038" r:id="rId219"/>
              </w:object>
            </w:r>
          </w:p>
        </w:tc>
      </w:tr>
      <w:tr w:rsidR="0093441E" w:rsidRPr="002A7673" w14:paraId="1B418B2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9AC8A5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de Gestión Humana</w:t>
            </w:r>
          </w:p>
        </w:tc>
        <w:bookmarkStart w:id="151" w:name="_MON_1679840585"/>
        <w:bookmarkEnd w:id="151"/>
        <w:tc>
          <w:tcPr>
            <w:tcW w:w="2029" w:type="dxa"/>
            <w:tcBorders>
              <w:top w:val="nil"/>
              <w:left w:val="nil"/>
              <w:bottom w:val="single" w:sz="4" w:space="0" w:color="auto"/>
              <w:right w:val="single" w:sz="4" w:space="0" w:color="auto"/>
            </w:tcBorders>
            <w:shd w:val="clear" w:color="auto" w:fill="FFFFFF" w:themeFill="background1"/>
            <w:vAlign w:val="center"/>
          </w:tcPr>
          <w:p w14:paraId="7B44D8E4"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23CDD9D9">
                <v:shape id="_x0000_i1096" type="#_x0000_t75" style="width:64.5pt;height:43.5pt" o:ole="">
                  <v:imagedata r:id="rId220" o:title=""/>
                </v:shape>
                <o:OLEObject Type="Embed" ProgID="Excel.Sheet.12" ShapeID="_x0000_i1096" DrawAspect="Icon" ObjectID="_1684067039" r:id="rId221"/>
              </w:object>
            </w:r>
          </w:p>
        </w:tc>
      </w:tr>
      <w:tr w:rsidR="0093441E" w:rsidRPr="002A7673" w14:paraId="4953BA13"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8344D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Dirección de Planificación</w:t>
            </w:r>
          </w:p>
        </w:tc>
        <w:bookmarkStart w:id="152" w:name="_MON_1679840592"/>
        <w:bookmarkEnd w:id="152"/>
        <w:tc>
          <w:tcPr>
            <w:tcW w:w="2029" w:type="dxa"/>
            <w:tcBorders>
              <w:top w:val="nil"/>
              <w:left w:val="nil"/>
              <w:bottom w:val="single" w:sz="4" w:space="0" w:color="auto"/>
              <w:right w:val="single" w:sz="4" w:space="0" w:color="auto"/>
            </w:tcBorders>
            <w:shd w:val="clear" w:color="auto" w:fill="FFFFFF" w:themeFill="background1"/>
            <w:vAlign w:val="center"/>
          </w:tcPr>
          <w:p w14:paraId="12F48309"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2B2B1E18">
                <v:shape id="_x0000_i1097" type="#_x0000_t75" style="width:64.5pt;height:43.5pt" o:ole="">
                  <v:imagedata r:id="rId222" o:title=""/>
                </v:shape>
                <o:OLEObject Type="Embed" ProgID="Excel.Sheet.12" ShapeID="_x0000_i1097" DrawAspect="Icon" ObjectID="_1684067040" r:id="rId223"/>
              </w:object>
            </w:r>
          </w:p>
        </w:tc>
      </w:tr>
      <w:tr w:rsidR="0093441E" w:rsidRPr="002A7673" w14:paraId="5DFF02C1"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C164185"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Dirección de Tecnología de Información</w:t>
            </w:r>
          </w:p>
        </w:tc>
        <w:bookmarkStart w:id="153" w:name="_MON_1679840612"/>
        <w:bookmarkEnd w:id="153"/>
        <w:tc>
          <w:tcPr>
            <w:tcW w:w="2029" w:type="dxa"/>
            <w:tcBorders>
              <w:top w:val="nil"/>
              <w:left w:val="nil"/>
              <w:bottom w:val="single" w:sz="4" w:space="0" w:color="auto"/>
              <w:right w:val="single" w:sz="4" w:space="0" w:color="auto"/>
            </w:tcBorders>
            <w:shd w:val="clear" w:color="auto" w:fill="FFFFFF" w:themeFill="background1"/>
            <w:vAlign w:val="center"/>
          </w:tcPr>
          <w:p w14:paraId="6CDC644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02E4467">
                <v:shape id="_x0000_i1098" type="#_x0000_t75" style="width:64.5pt;height:43.5pt" o:ole="">
                  <v:imagedata r:id="rId224" o:title=""/>
                </v:shape>
                <o:OLEObject Type="Embed" ProgID="Excel.Sheet.12" ShapeID="_x0000_i1098" DrawAspect="Icon" ObjectID="_1684067041" r:id="rId225"/>
              </w:object>
            </w:r>
          </w:p>
        </w:tc>
      </w:tr>
      <w:tr w:rsidR="0093441E" w:rsidRPr="002A7673" w14:paraId="32F8B7B5"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B198ABF"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Dirección Ejecutiva</w:t>
            </w:r>
          </w:p>
        </w:tc>
        <w:bookmarkStart w:id="154" w:name="_MON_1680091899"/>
        <w:bookmarkEnd w:id="154"/>
        <w:tc>
          <w:tcPr>
            <w:tcW w:w="2029" w:type="dxa"/>
            <w:tcBorders>
              <w:top w:val="nil"/>
              <w:left w:val="nil"/>
              <w:bottom w:val="single" w:sz="4" w:space="0" w:color="auto"/>
              <w:right w:val="single" w:sz="4" w:space="0" w:color="auto"/>
            </w:tcBorders>
            <w:shd w:val="clear" w:color="auto" w:fill="FFFFFF" w:themeFill="background1"/>
            <w:vAlign w:val="center"/>
          </w:tcPr>
          <w:p w14:paraId="3DEC72B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508" w:dyaOrig="983" w14:anchorId="7A02FA68">
                <v:shape id="_x0000_i1099" type="#_x0000_t75" style="width:79.5pt;height:50pt" o:ole="">
                  <v:imagedata r:id="rId226" o:title=""/>
                </v:shape>
                <o:OLEObject Type="Embed" ProgID="Excel.Sheet.12" ShapeID="_x0000_i1099" DrawAspect="Icon" ObjectID="_1684067042" r:id="rId227"/>
              </w:object>
            </w:r>
          </w:p>
        </w:tc>
      </w:tr>
      <w:tr w:rsidR="0093441E" w:rsidRPr="002A7673" w14:paraId="534C3C6C"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AAC789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Oficina de Cumplimiento </w:t>
            </w:r>
          </w:p>
        </w:tc>
        <w:bookmarkStart w:id="155" w:name="_MON_1680091999"/>
        <w:bookmarkEnd w:id="155"/>
        <w:tc>
          <w:tcPr>
            <w:tcW w:w="2029" w:type="dxa"/>
            <w:tcBorders>
              <w:top w:val="nil"/>
              <w:left w:val="nil"/>
              <w:bottom w:val="single" w:sz="4" w:space="0" w:color="auto"/>
              <w:right w:val="single" w:sz="4" w:space="0" w:color="auto"/>
            </w:tcBorders>
            <w:shd w:val="clear" w:color="auto" w:fill="FFFFFF" w:themeFill="background1"/>
            <w:vAlign w:val="center"/>
          </w:tcPr>
          <w:p w14:paraId="159A160A"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508" w:dyaOrig="983" w14:anchorId="5F4D6390">
                <v:shape id="_x0000_i1100" type="#_x0000_t75" style="width:79.5pt;height:50pt" o:ole="">
                  <v:imagedata r:id="rId228" o:title=""/>
                </v:shape>
                <o:OLEObject Type="Embed" ProgID="Excel.Sheet.12" ShapeID="_x0000_i1100" DrawAspect="Icon" ObjectID="_1684067043" r:id="rId229"/>
              </w:object>
            </w:r>
          </w:p>
        </w:tc>
      </w:tr>
      <w:tr w:rsidR="0093441E" w:rsidRPr="002A7673" w14:paraId="391F5FC4"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EB6DD5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Jurídica</w:t>
            </w:r>
          </w:p>
        </w:tc>
        <w:bookmarkStart w:id="156" w:name="_MON_1680092017"/>
        <w:bookmarkEnd w:id="156"/>
        <w:tc>
          <w:tcPr>
            <w:tcW w:w="2029" w:type="dxa"/>
            <w:tcBorders>
              <w:top w:val="nil"/>
              <w:left w:val="nil"/>
              <w:bottom w:val="single" w:sz="4" w:space="0" w:color="auto"/>
              <w:right w:val="single" w:sz="4" w:space="0" w:color="auto"/>
            </w:tcBorders>
            <w:shd w:val="clear" w:color="auto" w:fill="FFFFFF" w:themeFill="background1"/>
            <w:vAlign w:val="center"/>
          </w:tcPr>
          <w:p w14:paraId="38553D59"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508" w:dyaOrig="983" w14:anchorId="36F167DA">
                <v:shape id="_x0000_i1101" type="#_x0000_t75" style="width:79.5pt;height:50pt" o:ole="">
                  <v:imagedata r:id="rId230" o:title=""/>
                </v:shape>
                <o:OLEObject Type="Embed" ProgID="Excel.Sheet.12" ShapeID="_x0000_i1101" DrawAspect="Icon" ObjectID="_1684067044" r:id="rId231"/>
              </w:object>
            </w:r>
          </w:p>
        </w:tc>
      </w:tr>
      <w:tr w:rsidR="0093441E" w:rsidRPr="002A7673" w14:paraId="22F3EB4E"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3A9B34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Departamento de Prensa y Comunicación Organizacional</w:t>
            </w:r>
          </w:p>
        </w:tc>
        <w:bookmarkStart w:id="157" w:name="_MON_1679840710"/>
        <w:bookmarkEnd w:id="157"/>
        <w:tc>
          <w:tcPr>
            <w:tcW w:w="2029" w:type="dxa"/>
            <w:tcBorders>
              <w:top w:val="nil"/>
              <w:left w:val="nil"/>
              <w:bottom w:val="single" w:sz="4" w:space="0" w:color="auto"/>
              <w:right w:val="single" w:sz="4" w:space="0" w:color="auto"/>
            </w:tcBorders>
            <w:shd w:val="clear" w:color="auto" w:fill="FFFFFF" w:themeFill="background1"/>
            <w:vAlign w:val="center"/>
          </w:tcPr>
          <w:p w14:paraId="204F72CD"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6629D62F">
                <v:shape id="_x0000_i1102" type="#_x0000_t75" style="width:64.5pt;height:43.5pt" o:ole="">
                  <v:imagedata r:id="rId232" o:title=""/>
                </v:shape>
                <o:OLEObject Type="Embed" ProgID="Excel.Sheet.12" ShapeID="_x0000_i1102" DrawAspect="Icon" ObjectID="_1684067045" r:id="rId233"/>
              </w:object>
            </w:r>
          </w:p>
        </w:tc>
      </w:tr>
      <w:tr w:rsidR="0093441E" w:rsidRPr="002A7673" w14:paraId="6B548B2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96D81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Departamento de Trabajo Social y Psicología</w:t>
            </w:r>
          </w:p>
        </w:tc>
        <w:bookmarkStart w:id="158" w:name="_MON_1679840726"/>
        <w:bookmarkEnd w:id="158"/>
        <w:tc>
          <w:tcPr>
            <w:tcW w:w="2029" w:type="dxa"/>
            <w:tcBorders>
              <w:top w:val="nil"/>
              <w:left w:val="nil"/>
              <w:bottom w:val="single" w:sz="4" w:space="0" w:color="auto"/>
              <w:right w:val="single" w:sz="4" w:space="0" w:color="auto"/>
            </w:tcBorders>
            <w:shd w:val="clear" w:color="auto" w:fill="FFFFFF" w:themeFill="background1"/>
            <w:vAlign w:val="center"/>
          </w:tcPr>
          <w:p w14:paraId="6FECD28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6E0AA78E">
                <v:shape id="_x0000_i1103" type="#_x0000_t75" style="width:64.5pt;height:43.5pt" o:ole="">
                  <v:imagedata r:id="rId234" o:title=""/>
                </v:shape>
                <o:OLEObject Type="Embed" ProgID="Excel.Sheet.12" ShapeID="_x0000_i1103" DrawAspect="Icon" ObjectID="_1684067046" r:id="rId235"/>
              </w:object>
            </w:r>
          </w:p>
        </w:tc>
      </w:tr>
      <w:tr w:rsidR="0093441E" w:rsidRPr="002A7673" w14:paraId="4345254D" w14:textId="77777777" w:rsidTr="0048334E">
        <w:trPr>
          <w:trHeight w:val="567"/>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256A9A4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Nacional para el Mejoramiento Administración de Justicia</w:t>
            </w:r>
          </w:p>
        </w:tc>
        <w:bookmarkStart w:id="159" w:name="_MON_1679841317"/>
        <w:bookmarkEnd w:id="159"/>
        <w:tc>
          <w:tcPr>
            <w:tcW w:w="2029" w:type="dxa"/>
            <w:tcBorders>
              <w:top w:val="nil"/>
              <w:left w:val="nil"/>
              <w:bottom w:val="single" w:sz="4" w:space="0" w:color="auto"/>
              <w:right w:val="single" w:sz="4" w:space="0" w:color="auto"/>
            </w:tcBorders>
            <w:shd w:val="clear" w:color="auto" w:fill="FFFFFF" w:themeFill="background1"/>
            <w:vAlign w:val="center"/>
          </w:tcPr>
          <w:p w14:paraId="05AC6FAE"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29CAF4AA">
                <v:shape id="_x0000_i1104" type="#_x0000_t75" style="width:64.5pt;height:43.5pt" o:ole="">
                  <v:imagedata r:id="rId236" o:title=""/>
                </v:shape>
                <o:OLEObject Type="Embed" ProgID="Excel.Sheet.12" ShapeID="_x0000_i1104" DrawAspect="Icon" ObjectID="_1684067047" r:id="rId237"/>
              </w:object>
            </w:r>
          </w:p>
        </w:tc>
      </w:tr>
      <w:tr w:rsidR="0093441E" w:rsidRPr="002A7673" w14:paraId="0DDCCB78"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4EB4D29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 Circuito Judicial de San José</w:t>
            </w:r>
          </w:p>
        </w:tc>
        <w:bookmarkStart w:id="160" w:name="_MON_1679840748"/>
        <w:bookmarkEnd w:id="160"/>
        <w:tc>
          <w:tcPr>
            <w:tcW w:w="2029" w:type="dxa"/>
            <w:tcBorders>
              <w:top w:val="nil"/>
              <w:left w:val="nil"/>
              <w:bottom w:val="single" w:sz="4" w:space="0" w:color="auto"/>
              <w:right w:val="single" w:sz="4" w:space="0" w:color="auto"/>
            </w:tcBorders>
            <w:shd w:val="clear" w:color="auto" w:fill="FFFFFF" w:themeFill="background1"/>
            <w:vAlign w:val="center"/>
          </w:tcPr>
          <w:p w14:paraId="09FEC51E"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6A18DDD2">
                <v:shape id="_x0000_i1105" type="#_x0000_t75" style="width:64.5pt;height:43.5pt" o:ole="">
                  <v:imagedata r:id="rId238" o:title=""/>
                </v:shape>
                <o:OLEObject Type="Embed" ProgID="Excel.Sheet.12" ShapeID="_x0000_i1105" DrawAspect="Icon" ObjectID="_1684067048" r:id="rId239"/>
              </w:object>
            </w:r>
          </w:p>
        </w:tc>
      </w:tr>
      <w:tr w:rsidR="0093441E" w:rsidRPr="002A7673" w14:paraId="0071E261"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6A767D9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 Circuito Judicial de San José</w:t>
            </w:r>
          </w:p>
        </w:tc>
        <w:bookmarkStart w:id="161" w:name="_MON_1679840761"/>
        <w:bookmarkEnd w:id="161"/>
        <w:tc>
          <w:tcPr>
            <w:tcW w:w="2029" w:type="dxa"/>
            <w:tcBorders>
              <w:top w:val="nil"/>
              <w:left w:val="nil"/>
              <w:bottom w:val="single" w:sz="4" w:space="0" w:color="auto"/>
              <w:right w:val="single" w:sz="4" w:space="0" w:color="auto"/>
            </w:tcBorders>
            <w:shd w:val="clear" w:color="auto" w:fill="FFFFFF" w:themeFill="background1"/>
            <w:vAlign w:val="center"/>
          </w:tcPr>
          <w:p w14:paraId="5EBC7F70"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5702A6BE">
                <v:shape id="_x0000_i1106" type="#_x0000_t75" style="width:64.5pt;height:43.5pt" o:ole="">
                  <v:imagedata r:id="rId240" o:title=""/>
                </v:shape>
                <o:OLEObject Type="Embed" ProgID="Excel.Sheet.12" ShapeID="_x0000_i1106" DrawAspect="Icon" ObjectID="_1684067049" r:id="rId241"/>
              </w:object>
            </w:r>
          </w:p>
        </w:tc>
      </w:tr>
      <w:tr w:rsidR="0093441E" w:rsidRPr="002A7673" w14:paraId="52C138CD"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2C064BE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Tercer Circuito Judicial de San José</w:t>
            </w:r>
          </w:p>
        </w:tc>
        <w:bookmarkStart w:id="162" w:name="_MON_1680092690"/>
        <w:bookmarkEnd w:id="162"/>
        <w:tc>
          <w:tcPr>
            <w:tcW w:w="2029" w:type="dxa"/>
            <w:tcBorders>
              <w:top w:val="nil"/>
              <w:left w:val="nil"/>
              <w:bottom w:val="single" w:sz="4" w:space="0" w:color="auto"/>
              <w:right w:val="single" w:sz="4" w:space="0" w:color="auto"/>
            </w:tcBorders>
            <w:shd w:val="clear" w:color="auto" w:fill="FFFFFF" w:themeFill="background1"/>
            <w:vAlign w:val="center"/>
          </w:tcPr>
          <w:p w14:paraId="089B8EC8"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508" w:dyaOrig="983" w14:anchorId="1BC39E9E">
                <v:shape id="_x0000_i1107" type="#_x0000_t75" style="width:79.5pt;height:50pt" o:ole="">
                  <v:imagedata r:id="rId242" o:title=""/>
                </v:shape>
                <o:OLEObject Type="Embed" ProgID="Excel.Sheet.12" ShapeID="_x0000_i1107" DrawAspect="Icon" ObjectID="_1684067050" r:id="rId243"/>
              </w:object>
            </w:r>
          </w:p>
        </w:tc>
      </w:tr>
      <w:tr w:rsidR="0093441E" w:rsidRPr="002A7673" w14:paraId="2F05A516"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59AD042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 Circuito Judicial de Alajuela</w:t>
            </w:r>
          </w:p>
        </w:tc>
        <w:bookmarkStart w:id="163" w:name="_MON_1679840804"/>
        <w:bookmarkEnd w:id="163"/>
        <w:tc>
          <w:tcPr>
            <w:tcW w:w="2029" w:type="dxa"/>
            <w:tcBorders>
              <w:top w:val="nil"/>
              <w:left w:val="nil"/>
              <w:bottom w:val="single" w:sz="4" w:space="0" w:color="auto"/>
              <w:right w:val="single" w:sz="4" w:space="0" w:color="auto"/>
            </w:tcBorders>
            <w:shd w:val="clear" w:color="auto" w:fill="FFFFFF" w:themeFill="background1"/>
            <w:vAlign w:val="center"/>
          </w:tcPr>
          <w:p w14:paraId="5D841425"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AA8D3D6">
                <v:shape id="_x0000_i1108" type="#_x0000_t75" style="width:64.5pt;height:43.5pt" o:ole="">
                  <v:imagedata r:id="rId244" o:title=""/>
                </v:shape>
                <o:OLEObject Type="Embed" ProgID="Excel.Sheet.12" ShapeID="_x0000_i1108" DrawAspect="Icon" ObjectID="_1684067051" r:id="rId245"/>
              </w:object>
            </w:r>
          </w:p>
        </w:tc>
      </w:tr>
      <w:tr w:rsidR="0093441E" w:rsidRPr="002A7673" w14:paraId="5B303EA6"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069B081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 Circuito Judicial de Alajuela</w:t>
            </w:r>
          </w:p>
        </w:tc>
        <w:bookmarkStart w:id="164" w:name="_MON_1679840820"/>
        <w:bookmarkEnd w:id="164"/>
        <w:tc>
          <w:tcPr>
            <w:tcW w:w="2029" w:type="dxa"/>
            <w:tcBorders>
              <w:top w:val="nil"/>
              <w:left w:val="nil"/>
              <w:bottom w:val="single" w:sz="4" w:space="0" w:color="auto"/>
              <w:right w:val="single" w:sz="4" w:space="0" w:color="auto"/>
            </w:tcBorders>
            <w:shd w:val="clear" w:color="auto" w:fill="FFFFFF" w:themeFill="background1"/>
            <w:vAlign w:val="center"/>
          </w:tcPr>
          <w:p w14:paraId="04917488"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9D39AAC">
                <v:shape id="_x0000_i1109" type="#_x0000_t75" style="width:64.5pt;height:43.5pt" o:ole="">
                  <v:imagedata r:id="rId246" o:title=""/>
                </v:shape>
                <o:OLEObject Type="Embed" ProgID="Excel.Sheet.12" ShapeID="_x0000_i1109" DrawAspect="Icon" ObjectID="_1684067052" r:id="rId247"/>
              </w:object>
            </w:r>
          </w:p>
        </w:tc>
      </w:tr>
      <w:tr w:rsidR="0093441E" w:rsidRPr="002A7673" w14:paraId="42C907A1"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64E05DD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Administración del III Circuito Judicial de Alajuela</w:t>
            </w:r>
          </w:p>
        </w:tc>
        <w:bookmarkStart w:id="165" w:name="_MON_1679840827"/>
        <w:bookmarkEnd w:id="165"/>
        <w:tc>
          <w:tcPr>
            <w:tcW w:w="2029" w:type="dxa"/>
            <w:tcBorders>
              <w:top w:val="nil"/>
              <w:left w:val="nil"/>
              <w:bottom w:val="single" w:sz="4" w:space="0" w:color="auto"/>
              <w:right w:val="single" w:sz="4" w:space="0" w:color="auto"/>
            </w:tcBorders>
            <w:shd w:val="clear" w:color="auto" w:fill="FFFFFF" w:themeFill="background1"/>
            <w:vAlign w:val="center"/>
          </w:tcPr>
          <w:p w14:paraId="0E7BE9E7"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45E1A1D5">
                <v:shape id="_x0000_i1110" type="#_x0000_t75" style="width:64.5pt;height:43.5pt" o:ole="">
                  <v:imagedata r:id="rId248" o:title=""/>
                </v:shape>
                <o:OLEObject Type="Embed" ProgID="Excel.Sheet.12" ShapeID="_x0000_i1110" DrawAspect="Icon" ObjectID="_1684067053" r:id="rId249"/>
              </w:object>
            </w:r>
          </w:p>
        </w:tc>
      </w:tr>
      <w:tr w:rsidR="0093441E" w:rsidRPr="002A7673" w14:paraId="6C680235"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3536749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Grecia</w:t>
            </w:r>
          </w:p>
        </w:tc>
        <w:bookmarkStart w:id="166" w:name="_MON_1679840813"/>
        <w:bookmarkEnd w:id="166"/>
        <w:tc>
          <w:tcPr>
            <w:tcW w:w="2029" w:type="dxa"/>
            <w:tcBorders>
              <w:top w:val="nil"/>
              <w:left w:val="nil"/>
              <w:bottom w:val="single" w:sz="4" w:space="0" w:color="auto"/>
              <w:right w:val="single" w:sz="4" w:space="0" w:color="auto"/>
            </w:tcBorders>
            <w:shd w:val="clear" w:color="auto" w:fill="FFFFFF" w:themeFill="background1"/>
            <w:vAlign w:val="center"/>
          </w:tcPr>
          <w:p w14:paraId="0524B608"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C0A5133">
                <v:shape id="_x0000_i1111" type="#_x0000_t75" style="width:64.5pt;height:43.5pt" o:ole="">
                  <v:imagedata r:id="rId250" o:title=""/>
                </v:shape>
                <o:OLEObject Type="Embed" ProgID="Excel.Sheet.12" ShapeID="_x0000_i1111" DrawAspect="Icon" ObjectID="_1684067054" r:id="rId251"/>
              </w:object>
            </w:r>
          </w:p>
        </w:tc>
      </w:tr>
      <w:tr w:rsidR="0093441E" w:rsidRPr="002A7673" w14:paraId="0CC5AB95"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6D29990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Circuito Judicial de Cartago</w:t>
            </w:r>
          </w:p>
        </w:tc>
        <w:bookmarkStart w:id="167" w:name="_MON_1679840843"/>
        <w:bookmarkEnd w:id="167"/>
        <w:tc>
          <w:tcPr>
            <w:tcW w:w="2029" w:type="dxa"/>
            <w:tcBorders>
              <w:top w:val="nil"/>
              <w:left w:val="nil"/>
              <w:bottom w:val="single" w:sz="4" w:space="0" w:color="auto"/>
              <w:right w:val="single" w:sz="4" w:space="0" w:color="auto"/>
            </w:tcBorders>
            <w:shd w:val="clear" w:color="auto" w:fill="FFFFFF" w:themeFill="background1"/>
            <w:vAlign w:val="center"/>
          </w:tcPr>
          <w:p w14:paraId="6FE05910"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2DA1627">
                <v:shape id="_x0000_i1112" type="#_x0000_t75" style="width:64.5pt;height:43.5pt" o:ole="">
                  <v:imagedata r:id="rId252" o:title=""/>
                </v:shape>
                <o:OLEObject Type="Embed" ProgID="Excel.Sheet.12" ShapeID="_x0000_i1112" DrawAspect="Icon" ObjectID="_1684067055" r:id="rId253"/>
              </w:object>
            </w:r>
          </w:p>
        </w:tc>
      </w:tr>
      <w:tr w:rsidR="0093441E" w:rsidRPr="002A7673" w14:paraId="2B4EE2CD"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165434D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Turrialba</w:t>
            </w:r>
          </w:p>
        </w:tc>
        <w:bookmarkStart w:id="168" w:name="_MON_1679840850"/>
        <w:bookmarkEnd w:id="168"/>
        <w:tc>
          <w:tcPr>
            <w:tcW w:w="2029" w:type="dxa"/>
            <w:tcBorders>
              <w:top w:val="nil"/>
              <w:left w:val="nil"/>
              <w:bottom w:val="single" w:sz="4" w:space="0" w:color="auto"/>
              <w:right w:val="single" w:sz="4" w:space="0" w:color="auto"/>
            </w:tcBorders>
            <w:shd w:val="clear" w:color="auto" w:fill="FFFFFF" w:themeFill="background1"/>
            <w:vAlign w:val="center"/>
          </w:tcPr>
          <w:p w14:paraId="377C0169"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3909D1F">
                <v:shape id="_x0000_i1113" type="#_x0000_t75" style="width:64.5pt;height:43.5pt" o:ole="">
                  <v:imagedata r:id="rId254" o:title=""/>
                </v:shape>
                <o:OLEObject Type="Embed" ProgID="Excel.Sheet.12" ShapeID="_x0000_i1113" DrawAspect="Icon" ObjectID="_1684067056" r:id="rId255"/>
              </w:object>
            </w:r>
          </w:p>
        </w:tc>
      </w:tr>
      <w:tr w:rsidR="0093441E" w:rsidRPr="002A7673" w14:paraId="29DD2EBA"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0C5F9B2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Circuito Judicial de Heredia</w:t>
            </w:r>
          </w:p>
        </w:tc>
        <w:bookmarkStart w:id="169" w:name="_MON_1679840857"/>
        <w:bookmarkEnd w:id="169"/>
        <w:tc>
          <w:tcPr>
            <w:tcW w:w="2029" w:type="dxa"/>
            <w:tcBorders>
              <w:top w:val="nil"/>
              <w:left w:val="nil"/>
              <w:bottom w:val="single" w:sz="4" w:space="0" w:color="auto"/>
              <w:right w:val="single" w:sz="4" w:space="0" w:color="auto"/>
            </w:tcBorders>
            <w:shd w:val="clear" w:color="auto" w:fill="FFFFFF" w:themeFill="background1"/>
            <w:vAlign w:val="center"/>
          </w:tcPr>
          <w:p w14:paraId="4AD0085A"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DE8AEFE">
                <v:shape id="_x0000_i1114" type="#_x0000_t75" style="width:64.5pt;height:43.5pt" o:ole="">
                  <v:imagedata r:id="rId256" o:title=""/>
                </v:shape>
                <o:OLEObject Type="Embed" ProgID="Excel.Sheet.12" ShapeID="_x0000_i1114" DrawAspect="Icon" ObjectID="_1684067057" r:id="rId257"/>
              </w:object>
            </w:r>
          </w:p>
        </w:tc>
      </w:tr>
      <w:tr w:rsidR="0093441E" w:rsidRPr="002A7673" w14:paraId="3F5F617E"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25565AB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Ciudad Judicial San Joaquín de Flores</w:t>
            </w:r>
          </w:p>
        </w:tc>
        <w:bookmarkStart w:id="170" w:name="_MON_1679840863"/>
        <w:bookmarkEnd w:id="170"/>
        <w:tc>
          <w:tcPr>
            <w:tcW w:w="2029" w:type="dxa"/>
            <w:tcBorders>
              <w:top w:val="nil"/>
              <w:left w:val="nil"/>
              <w:bottom w:val="single" w:sz="4" w:space="0" w:color="auto"/>
              <w:right w:val="single" w:sz="4" w:space="0" w:color="auto"/>
            </w:tcBorders>
            <w:shd w:val="clear" w:color="auto" w:fill="FFFFFF" w:themeFill="background1"/>
            <w:vAlign w:val="center"/>
          </w:tcPr>
          <w:p w14:paraId="7CE38482"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28DFC26">
                <v:shape id="_x0000_i1115" type="#_x0000_t75" style="width:64.5pt;height:43.5pt" o:ole="">
                  <v:imagedata r:id="rId258" o:title=""/>
                </v:shape>
                <o:OLEObject Type="Embed" ProgID="Excel.Sheet.12" ShapeID="_x0000_i1115" DrawAspect="Icon" ObjectID="_1684067058" r:id="rId259"/>
              </w:object>
            </w:r>
          </w:p>
        </w:tc>
      </w:tr>
      <w:tr w:rsidR="0093441E" w:rsidRPr="002A7673" w14:paraId="2A967CED"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492BF8C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Sarapiquí</w:t>
            </w:r>
          </w:p>
        </w:tc>
        <w:bookmarkStart w:id="171" w:name="_MON_1679840877"/>
        <w:bookmarkEnd w:id="171"/>
        <w:tc>
          <w:tcPr>
            <w:tcW w:w="2029" w:type="dxa"/>
            <w:tcBorders>
              <w:top w:val="nil"/>
              <w:left w:val="nil"/>
              <w:bottom w:val="single" w:sz="4" w:space="0" w:color="auto"/>
              <w:right w:val="single" w:sz="4" w:space="0" w:color="auto"/>
            </w:tcBorders>
            <w:shd w:val="clear" w:color="auto" w:fill="FFFFFF" w:themeFill="background1"/>
            <w:vAlign w:val="center"/>
          </w:tcPr>
          <w:p w14:paraId="36F33073"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C0F0849">
                <v:shape id="_x0000_i1116" type="#_x0000_t75" style="width:64.5pt;height:43.5pt" o:ole="">
                  <v:imagedata r:id="rId260" o:title=""/>
                </v:shape>
                <o:OLEObject Type="Embed" ProgID="Excel.Sheet.12" ShapeID="_x0000_i1116" DrawAspect="Icon" ObjectID="_1684067059" r:id="rId261"/>
              </w:object>
            </w:r>
          </w:p>
        </w:tc>
      </w:tr>
      <w:tr w:rsidR="0093441E" w:rsidRPr="002A7673" w14:paraId="4E26F02A"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6A435F1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 Circuito Judicial de Guanacaste</w:t>
            </w:r>
          </w:p>
        </w:tc>
        <w:bookmarkStart w:id="172" w:name="_MON_1679840889"/>
        <w:bookmarkEnd w:id="172"/>
        <w:tc>
          <w:tcPr>
            <w:tcW w:w="2029" w:type="dxa"/>
            <w:tcBorders>
              <w:top w:val="nil"/>
              <w:left w:val="nil"/>
              <w:bottom w:val="single" w:sz="4" w:space="0" w:color="auto"/>
              <w:right w:val="single" w:sz="4" w:space="0" w:color="auto"/>
            </w:tcBorders>
            <w:shd w:val="clear" w:color="auto" w:fill="FFFFFF" w:themeFill="background1"/>
            <w:vAlign w:val="center"/>
          </w:tcPr>
          <w:p w14:paraId="35A3209D"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7BDA120">
                <v:shape id="_x0000_i1117" type="#_x0000_t75" style="width:64.5pt;height:43.5pt" o:ole="">
                  <v:imagedata r:id="rId262" o:title=""/>
                </v:shape>
                <o:OLEObject Type="Embed" ProgID="Excel.Sheet.12" ShapeID="_x0000_i1117" DrawAspect="Icon" ObjectID="_1684067060" r:id="rId263"/>
              </w:object>
            </w:r>
          </w:p>
        </w:tc>
      </w:tr>
      <w:tr w:rsidR="0093441E" w:rsidRPr="002A7673" w14:paraId="2EC562C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46D85FE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 Circuito Judicial de Guanacaste</w:t>
            </w:r>
          </w:p>
        </w:tc>
        <w:bookmarkStart w:id="173" w:name="_MON_1679840896"/>
        <w:bookmarkEnd w:id="173"/>
        <w:tc>
          <w:tcPr>
            <w:tcW w:w="2029" w:type="dxa"/>
            <w:tcBorders>
              <w:top w:val="nil"/>
              <w:left w:val="nil"/>
              <w:bottom w:val="single" w:sz="4" w:space="0" w:color="auto"/>
              <w:right w:val="single" w:sz="4" w:space="0" w:color="auto"/>
            </w:tcBorders>
            <w:shd w:val="clear" w:color="auto" w:fill="FFFFFF" w:themeFill="background1"/>
            <w:vAlign w:val="center"/>
          </w:tcPr>
          <w:p w14:paraId="75E35F2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0DB22D8">
                <v:shape id="_x0000_i1118" type="#_x0000_t75" style="width:64.5pt;height:43.5pt" o:ole="">
                  <v:imagedata r:id="rId264" o:title=""/>
                </v:shape>
                <o:OLEObject Type="Embed" ProgID="Excel.Sheet.12" ShapeID="_x0000_i1118" DrawAspect="Icon" ObjectID="_1684067061" r:id="rId265"/>
              </w:object>
            </w:r>
          </w:p>
        </w:tc>
      </w:tr>
      <w:tr w:rsidR="0093441E" w:rsidRPr="002A7673" w14:paraId="29EB259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656A8A5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Santa Cruz</w:t>
            </w:r>
          </w:p>
        </w:tc>
        <w:bookmarkStart w:id="174" w:name="_MON_1679840883"/>
        <w:bookmarkEnd w:id="174"/>
        <w:tc>
          <w:tcPr>
            <w:tcW w:w="2029" w:type="dxa"/>
            <w:tcBorders>
              <w:top w:val="nil"/>
              <w:left w:val="nil"/>
              <w:bottom w:val="single" w:sz="4" w:space="0" w:color="auto"/>
              <w:right w:val="single" w:sz="4" w:space="0" w:color="auto"/>
            </w:tcBorders>
            <w:shd w:val="clear" w:color="auto" w:fill="FFFFFF" w:themeFill="background1"/>
            <w:vAlign w:val="center"/>
          </w:tcPr>
          <w:p w14:paraId="434ADC1D"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1D46041">
                <v:shape id="_x0000_i1119" type="#_x0000_t75" style="width:64.5pt;height:43.5pt" o:ole="">
                  <v:imagedata r:id="rId266" o:title=""/>
                </v:shape>
                <o:OLEObject Type="Embed" ProgID="Excel.Sheet.12" ShapeID="_x0000_i1119" DrawAspect="Icon" ObjectID="_1684067062" r:id="rId267"/>
              </w:object>
            </w:r>
          </w:p>
        </w:tc>
      </w:tr>
      <w:tr w:rsidR="0093441E" w:rsidRPr="002A7673" w14:paraId="1D3DE6F1"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3D0D0E2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Puntarenas</w:t>
            </w:r>
          </w:p>
        </w:tc>
        <w:bookmarkStart w:id="175" w:name="_MON_1679840912"/>
        <w:bookmarkEnd w:id="175"/>
        <w:tc>
          <w:tcPr>
            <w:tcW w:w="2029" w:type="dxa"/>
            <w:tcBorders>
              <w:top w:val="nil"/>
              <w:left w:val="nil"/>
              <w:bottom w:val="single" w:sz="4" w:space="0" w:color="auto"/>
              <w:right w:val="single" w:sz="4" w:space="0" w:color="auto"/>
            </w:tcBorders>
            <w:shd w:val="clear" w:color="auto" w:fill="FFFFFF" w:themeFill="background1"/>
            <w:vAlign w:val="center"/>
          </w:tcPr>
          <w:p w14:paraId="38E3FBC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B7D88C2">
                <v:shape id="_x0000_i1120" type="#_x0000_t75" style="width:64.5pt;height:43.5pt" o:ole="">
                  <v:imagedata r:id="rId268" o:title=""/>
                </v:shape>
                <o:OLEObject Type="Embed" ProgID="Excel.Sheet.12" ShapeID="_x0000_i1120" DrawAspect="Icon" ObjectID="_1684067063" r:id="rId269"/>
              </w:object>
            </w:r>
          </w:p>
        </w:tc>
      </w:tr>
      <w:tr w:rsidR="0093441E" w:rsidRPr="002A7673" w14:paraId="3C1F0E99"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6AD17E7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Quepos</w:t>
            </w:r>
          </w:p>
        </w:tc>
        <w:bookmarkStart w:id="176" w:name="_MON_1679840918"/>
        <w:bookmarkEnd w:id="176"/>
        <w:tc>
          <w:tcPr>
            <w:tcW w:w="2029" w:type="dxa"/>
            <w:tcBorders>
              <w:top w:val="nil"/>
              <w:left w:val="nil"/>
              <w:bottom w:val="single" w:sz="4" w:space="0" w:color="auto"/>
              <w:right w:val="single" w:sz="4" w:space="0" w:color="auto"/>
            </w:tcBorders>
            <w:shd w:val="clear" w:color="auto" w:fill="FFFFFF" w:themeFill="background1"/>
            <w:vAlign w:val="center"/>
          </w:tcPr>
          <w:p w14:paraId="01EEAAE7"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19F47C7B">
                <v:shape id="_x0000_i1121" type="#_x0000_t75" style="width:64.5pt;height:43.5pt" o:ole="">
                  <v:imagedata r:id="rId270" o:title=""/>
                </v:shape>
                <o:OLEObject Type="Embed" ProgID="Excel.Sheet.12" ShapeID="_x0000_i1121" DrawAspect="Icon" ObjectID="_1684067064" r:id="rId271"/>
              </w:object>
            </w:r>
          </w:p>
        </w:tc>
      </w:tr>
      <w:tr w:rsidR="0093441E" w:rsidRPr="002A7673" w14:paraId="328CEFE5"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0E7FE3A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 Circuito Judicial de la Zona Sur</w:t>
            </w:r>
          </w:p>
        </w:tc>
        <w:bookmarkStart w:id="177" w:name="_MON_1679840924"/>
        <w:bookmarkEnd w:id="177"/>
        <w:tc>
          <w:tcPr>
            <w:tcW w:w="2029" w:type="dxa"/>
            <w:tcBorders>
              <w:top w:val="nil"/>
              <w:left w:val="nil"/>
              <w:bottom w:val="single" w:sz="4" w:space="0" w:color="auto"/>
              <w:right w:val="single" w:sz="4" w:space="0" w:color="auto"/>
            </w:tcBorders>
            <w:shd w:val="clear" w:color="auto" w:fill="FFFFFF" w:themeFill="background1"/>
            <w:vAlign w:val="center"/>
          </w:tcPr>
          <w:p w14:paraId="5B4CF62C"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535833DA">
                <v:shape id="_x0000_i1122" type="#_x0000_t75" style="width:64.5pt;height:43.5pt" o:ole="">
                  <v:imagedata r:id="rId272" o:title=""/>
                </v:shape>
                <o:OLEObject Type="Embed" ProgID="Excel.Sheet.12" ShapeID="_x0000_i1122" DrawAspect="Icon" ObjectID="_1684067065" r:id="rId273"/>
              </w:object>
            </w:r>
          </w:p>
        </w:tc>
      </w:tr>
      <w:tr w:rsidR="0093441E" w:rsidRPr="002A7673" w14:paraId="07C9398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63DBEBF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Administración del II Circuito Judicial de la Zona Sur</w:t>
            </w:r>
          </w:p>
        </w:tc>
        <w:bookmarkStart w:id="178" w:name="_MON_1679840948"/>
        <w:bookmarkEnd w:id="178"/>
        <w:tc>
          <w:tcPr>
            <w:tcW w:w="2029" w:type="dxa"/>
            <w:tcBorders>
              <w:top w:val="nil"/>
              <w:left w:val="nil"/>
              <w:bottom w:val="single" w:sz="4" w:space="0" w:color="auto"/>
              <w:right w:val="single" w:sz="4" w:space="0" w:color="auto"/>
            </w:tcBorders>
            <w:shd w:val="clear" w:color="auto" w:fill="FFFFFF" w:themeFill="background1"/>
            <w:vAlign w:val="center"/>
          </w:tcPr>
          <w:p w14:paraId="06F889C0"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9CA22BC">
                <v:shape id="_x0000_i1123" type="#_x0000_t75" style="width:64.5pt;height:43.5pt" o:ole="">
                  <v:imagedata r:id="rId274" o:title=""/>
                </v:shape>
                <o:OLEObject Type="Embed" ProgID="Excel.Sheet.12" ShapeID="_x0000_i1123" DrawAspect="Icon" ObjectID="_1684067066" r:id="rId275"/>
              </w:object>
            </w:r>
          </w:p>
        </w:tc>
      </w:tr>
      <w:tr w:rsidR="0093441E" w:rsidRPr="002A7673" w14:paraId="67BF05F5"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4DAFF0E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Golfito</w:t>
            </w:r>
          </w:p>
        </w:tc>
        <w:bookmarkStart w:id="179" w:name="_MON_1679840931"/>
        <w:bookmarkEnd w:id="179"/>
        <w:tc>
          <w:tcPr>
            <w:tcW w:w="2029" w:type="dxa"/>
            <w:tcBorders>
              <w:top w:val="nil"/>
              <w:left w:val="nil"/>
              <w:bottom w:val="single" w:sz="4" w:space="0" w:color="auto"/>
              <w:right w:val="single" w:sz="4" w:space="0" w:color="auto"/>
            </w:tcBorders>
            <w:shd w:val="clear" w:color="auto" w:fill="FFFFFF" w:themeFill="background1"/>
            <w:vAlign w:val="center"/>
          </w:tcPr>
          <w:p w14:paraId="71B92B4C"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5AA37FC1">
                <v:shape id="_x0000_i1124" type="#_x0000_t75" style="width:64.5pt;height:43.5pt" o:ole="">
                  <v:imagedata r:id="rId276" o:title=""/>
                </v:shape>
                <o:OLEObject Type="Embed" ProgID="Excel.Sheet.12" ShapeID="_x0000_i1124" DrawAspect="Icon" ObjectID="_1684067067" r:id="rId277"/>
              </w:object>
            </w:r>
          </w:p>
        </w:tc>
      </w:tr>
      <w:tr w:rsidR="0093441E" w:rsidRPr="002A7673" w14:paraId="21565C1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265471E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Regional de Osa</w:t>
            </w:r>
          </w:p>
        </w:tc>
        <w:bookmarkStart w:id="180" w:name="_MON_1679840954"/>
        <w:bookmarkEnd w:id="180"/>
        <w:tc>
          <w:tcPr>
            <w:tcW w:w="2029" w:type="dxa"/>
            <w:tcBorders>
              <w:top w:val="nil"/>
              <w:left w:val="nil"/>
              <w:bottom w:val="single" w:sz="4" w:space="0" w:color="auto"/>
              <w:right w:val="single" w:sz="4" w:space="0" w:color="auto"/>
            </w:tcBorders>
            <w:shd w:val="clear" w:color="auto" w:fill="FFFFFF" w:themeFill="background1"/>
            <w:vAlign w:val="center"/>
          </w:tcPr>
          <w:p w14:paraId="10A19178"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4D68F9E3">
                <v:shape id="_x0000_i1125" type="#_x0000_t75" style="width:64.5pt;height:43.5pt" o:ole="">
                  <v:imagedata r:id="rId278" o:title=""/>
                </v:shape>
                <o:OLEObject Type="Embed" ProgID="Excel.Sheet.12" ShapeID="_x0000_i1125" DrawAspect="Icon" ObjectID="_1684067068" r:id="rId279"/>
              </w:object>
            </w:r>
          </w:p>
        </w:tc>
      </w:tr>
      <w:tr w:rsidR="0093441E" w:rsidRPr="002A7673" w14:paraId="2FA117F4"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0916F03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 Circuito Judicial de la Zona Atlántica</w:t>
            </w:r>
          </w:p>
        </w:tc>
        <w:bookmarkStart w:id="181" w:name="_MON_1679840960"/>
        <w:bookmarkEnd w:id="181"/>
        <w:tc>
          <w:tcPr>
            <w:tcW w:w="2029" w:type="dxa"/>
            <w:tcBorders>
              <w:top w:val="nil"/>
              <w:left w:val="nil"/>
              <w:bottom w:val="single" w:sz="4" w:space="0" w:color="auto"/>
              <w:right w:val="single" w:sz="4" w:space="0" w:color="auto"/>
            </w:tcBorders>
            <w:shd w:val="clear" w:color="auto" w:fill="FFFFFF" w:themeFill="background1"/>
            <w:vAlign w:val="center"/>
          </w:tcPr>
          <w:p w14:paraId="500A2102"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4F474D16">
                <v:shape id="_x0000_i1126" type="#_x0000_t75" style="width:64.5pt;height:43.5pt" o:ole="">
                  <v:imagedata r:id="rId280" o:title=""/>
                </v:shape>
                <o:OLEObject Type="Embed" ProgID="Excel.Sheet.12" ShapeID="_x0000_i1126" DrawAspect="Icon" ObjectID="_1684067069" r:id="rId281"/>
              </w:object>
            </w:r>
          </w:p>
        </w:tc>
      </w:tr>
      <w:tr w:rsidR="0093441E" w:rsidRPr="002A7673" w14:paraId="456AA601"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5220B76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del II Circuito Judicial de la Zona Atlántica</w:t>
            </w:r>
          </w:p>
        </w:tc>
        <w:bookmarkStart w:id="182" w:name="_MON_1679840967"/>
        <w:bookmarkEnd w:id="182"/>
        <w:tc>
          <w:tcPr>
            <w:tcW w:w="2029" w:type="dxa"/>
            <w:tcBorders>
              <w:top w:val="nil"/>
              <w:left w:val="nil"/>
              <w:bottom w:val="single" w:sz="4" w:space="0" w:color="auto"/>
              <w:right w:val="single" w:sz="4" w:space="0" w:color="auto"/>
            </w:tcBorders>
            <w:shd w:val="clear" w:color="auto" w:fill="FFFFFF" w:themeFill="background1"/>
            <w:vAlign w:val="center"/>
          </w:tcPr>
          <w:p w14:paraId="4C2869AB"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D6513BD">
                <v:shape id="_x0000_i1127" type="#_x0000_t75" style="width:64.5pt;height:43.5pt" o:ole="">
                  <v:imagedata r:id="rId282" o:title=""/>
                </v:shape>
                <o:OLEObject Type="Embed" ProgID="Excel.Sheet.12" ShapeID="_x0000_i1127" DrawAspect="Icon" ObjectID="_1684067070" r:id="rId283"/>
              </w:object>
            </w:r>
          </w:p>
        </w:tc>
      </w:tr>
      <w:tr w:rsidR="0093441E" w:rsidRPr="002A7673" w14:paraId="4039F977"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76F48E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Contra el Hostigamiento Sexual</w:t>
            </w:r>
          </w:p>
        </w:tc>
        <w:bookmarkStart w:id="183" w:name="_MON_1679840973"/>
        <w:bookmarkEnd w:id="183"/>
        <w:tc>
          <w:tcPr>
            <w:tcW w:w="2029" w:type="dxa"/>
            <w:tcBorders>
              <w:top w:val="nil"/>
              <w:left w:val="nil"/>
              <w:bottom w:val="single" w:sz="4" w:space="0" w:color="auto"/>
              <w:right w:val="single" w:sz="4" w:space="0" w:color="auto"/>
            </w:tcBorders>
            <w:shd w:val="clear" w:color="auto" w:fill="FFFFFF" w:themeFill="background1"/>
            <w:vAlign w:val="center"/>
          </w:tcPr>
          <w:p w14:paraId="734BDBBE"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29B33631">
                <v:shape id="_x0000_i1128" type="#_x0000_t75" style="width:64.5pt;height:43.5pt" o:ole="">
                  <v:imagedata r:id="rId284" o:title=""/>
                </v:shape>
                <o:OLEObject Type="Embed" ProgID="Excel.Sheet.12" ShapeID="_x0000_i1128" DrawAspect="Icon" ObjectID="_1684067071" r:id="rId285"/>
              </w:object>
            </w:r>
          </w:p>
        </w:tc>
      </w:tr>
      <w:tr w:rsidR="0093441E" w:rsidRPr="002A7673" w14:paraId="405DD092"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B24245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de Acceso a la Justicia</w:t>
            </w:r>
          </w:p>
        </w:tc>
        <w:bookmarkStart w:id="184" w:name="_MON_1679841006"/>
        <w:bookmarkEnd w:id="184"/>
        <w:tc>
          <w:tcPr>
            <w:tcW w:w="2029" w:type="dxa"/>
            <w:tcBorders>
              <w:top w:val="nil"/>
              <w:left w:val="nil"/>
              <w:bottom w:val="single" w:sz="4" w:space="0" w:color="auto"/>
              <w:right w:val="single" w:sz="4" w:space="0" w:color="auto"/>
            </w:tcBorders>
            <w:shd w:val="clear" w:color="auto" w:fill="FFFFFF" w:themeFill="background1"/>
            <w:vAlign w:val="center"/>
          </w:tcPr>
          <w:p w14:paraId="049417B3"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5B32CB71">
                <v:shape id="_x0000_i1129" type="#_x0000_t75" style="width:64.5pt;height:43.5pt" o:ole="">
                  <v:imagedata r:id="rId286" o:title=""/>
                </v:shape>
                <o:OLEObject Type="Embed" ProgID="Excel.Sheet.12" ShapeID="_x0000_i1129" DrawAspect="Icon" ObjectID="_1684067072" r:id="rId287"/>
              </w:object>
            </w:r>
          </w:p>
        </w:tc>
      </w:tr>
      <w:tr w:rsidR="0093441E" w:rsidRPr="002A7673" w14:paraId="70239D4B"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A1740C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Comisión de Asuntos Penales </w:t>
            </w:r>
          </w:p>
        </w:tc>
        <w:bookmarkStart w:id="185" w:name="_MON_1679841027"/>
        <w:bookmarkEnd w:id="185"/>
        <w:tc>
          <w:tcPr>
            <w:tcW w:w="2029" w:type="dxa"/>
            <w:tcBorders>
              <w:top w:val="nil"/>
              <w:left w:val="nil"/>
              <w:bottom w:val="single" w:sz="4" w:space="0" w:color="auto"/>
              <w:right w:val="single" w:sz="4" w:space="0" w:color="auto"/>
            </w:tcBorders>
            <w:shd w:val="clear" w:color="auto" w:fill="FFFFFF" w:themeFill="background1"/>
            <w:vAlign w:val="center"/>
          </w:tcPr>
          <w:p w14:paraId="191C5CDF"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46B39F7E">
                <v:shape id="_x0000_i1130" type="#_x0000_t75" style="width:64.5pt;height:43.5pt" o:ole="">
                  <v:imagedata r:id="rId288" o:title=""/>
                </v:shape>
                <o:OLEObject Type="Embed" ProgID="Excel.Sheet.12" ShapeID="_x0000_i1130" DrawAspect="Icon" ObjectID="_1684067073" r:id="rId289"/>
              </w:object>
            </w:r>
          </w:p>
        </w:tc>
      </w:tr>
      <w:tr w:rsidR="0093441E" w:rsidRPr="002A7673" w14:paraId="07ED1ACF"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1562EA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de Atención y Prevención de la Violencia Intrafamiliar</w:t>
            </w:r>
          </w:p>
        </w:tc>
        <w:bookmarkStart w:id="186" w:name="_MON_1679841042"/>
        <w:bookmarkEnd w:id="186"/>
        <w:tc>
          <w:tcPr>
            <w:tcW w:w="2029" w:type="dxa"/>
            <w:tcBorders>
              <w:top w:val="nil"/>
              <w:left w:val="nil"/>
              <w:bottom w:val="single" w:sz="4" w:space="0" w:color="auto"/>
              <w:right w:val="single" w:sz="4" w:space="0" w:color="auto"/>
            </w:tcBorders>
            <w:shd w:val="clear" w:color="auto" w:fill="FFFFFF" w:themeFill="background1"/>
            <w:vAlign w:val="center"/>
          </w:tcPr>
          <w:p w14:paraId="024764A7"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73FA7EC2">
                <v:shape id="_x0000_i1131" type="#_x0000_t75" style="width:64.5pt;height:43.5pt" o:ole="">
                  <v:imagedata r:id="rId290" o:title=""/>
                </v:shape>
                <o:OLEObject Type="Embed" ProgID="Excel.Sheet.12" ShapeID="_x0000_i1131" DrawAspect="Icon" ObjectID="_1684067074" r:id="rId291"/>
              </w:object>
            </w:r>
          </w:p>
        </w:tc>
      </w:tr>
      <w:tr w:rsidR="0093441E" w:rsidRPr="002A7673" w14:paraId="462D78EA"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E2A3D4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de Género</w:t>
            </w:r>
          </w:p>
        </w:tc>
        <w:bookmarkStart w:id="187" w:name="_MON_1679841062"/>
        <w:bookmarkEnd w:id="187"/>
        <w:tc>
          <w:tcPr>
            <w:tcW w:w="2029" w:type="dxa"/>
            <w:tcBorders>
              <w:top w:val="nil"/>
              <w:left w:val="nil"/>
              <w:bottom w:val="single" w:sz="4" w:space="0" w:color="auto"/>
              <w:right w:val="single" w:sz="4" w:space="0" w:color="auto"/>
            </w:tcBorders>
            <w:shd w:val="clear" w:color="auto" w:fill="FFFFFF" w:themeFill="background1"/>
            <w:vAlign w:val="center"/>
          </w:tcPr>
          <w:p w14:paraId="257CF77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6BDDDE72">
                <v:shape id="_x0000_i1132" type="#_x0000_t75" style="width:64.5pt;height:43.5pt" o:ole="">
                  <v:imagedata r:id="rId292" o:title=""/>
                </v:shape>
                <o:OLEObject Type="Embed" ProgID="Excel.Sheet.12" ShapeID="_x0000_i1132" DrawAspect="Icon" ObjectID="_1684067075" r:id="rId293"/>
              </w:object>
            </w:r>
          </w:p>
        </w:tc>
      </w:tr>
      <w:tr w:rsidR="0093441E" w:rsidRPr="002A7673" w14:paraId="05D9996B"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5984767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Comisión Institucional de Selección y Eliminación de Documentos </w:t>
            </w:r>
          </w:p>
        </w:tc>
        <w:bookmarkStart w:id="188" w:name="_MON_1679841081"/>
        <w:bookmarkEnd w:id="188"/>
        <w:tc>
          <w:tcPr>
            <w:tcW w:w="2029" w:type="dxa"/>
            <w:tcBorders>
              <w:top w:val="nil"/>
              <w:left w:val="nil"/>
              <w:bottom w:val="single" w:sz="4" w:space="0" w:color="auto"/>
              <w:right w:val="single" w:sz="4" w:space="0" w:color="auto"/>
            </w:tcBorders>
            <w:shd w:val="clear" w:color="auto" w:fill="FFFFFF" w:themeFill="background1"/>
            <w:vAlign w:val="center"/>
          </w:tcPr>
          <w:p w14:paraId="49C0D5DF"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9ABB2ED">
                <v:shape id="_x0000_i1133" type="#_x0000_t75" style="width:64.5pt;height:43.5pt" o:ole="">
                  <v:imagedata r:id="rId294" o:title=""/>
                </v:shape>
                <o:OLEObject Type="Embed" ProgID="Excel.Sheet.12" ShapeID="_x0000_i1133" DrawAspect="Icon" ObjectID="_1684067076" r:id="rId295"/>
              </w:object>
            </w:r>
          </w:p>
        </w:tc>
      </w:tr>
      <w:tr w:rsidR="0093441E" w:rsidRPr="002A7673" w14:paraId="4431C733"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DF435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Comisión de Gestión Ambiental Institucional </w:t>
            </w:r>
          </w:p>
        </w:tc>
        <w:bookmarkStart w:id="189" w:name="_MON_1679841096"/>
        <w:bookmarkEnd w:id="189"/>
        <w:tc>
          <w:tcPr>
            <w:tcW w:w="2029" w:type="dxa"/>
            <w:tcBorders>
              <w:top w:val="nil"/>
              <w:left w:val="nil"/>
              <w:bottom w:val="single" w:sz="4" w:space="0" w:color="auto"/>
              <w:right w:val="single" w:sz="4" w:space="0" w:color="auto"/>
            </w:tcBorders>
            <w:shd w:val="clear" w:color="auto" w:fill="FFFFFF" w:themeFill="background1"/>
            <w:vAlign w:val="center"/>
          </w:tcPr>
          <w:p w14:paraId="1B270D3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AFBFD27">
                <v:shape id="_x0000_i1134" type="#_x0000_t75" style="width:64.5pt;height:43.5pt" o:ole="">
                  <v:imagedata r:id="rId296" o:title=""/>
                </v:shape>
                <o:OLEObject Type="Embed" ProgID="Excel.Sheet.12" ShapeID="_x0000_i1134" DrawAspect="Icon" ObjectID="_1684067077" r:id="rId297"/>
              </w:object>
            </w:r>
          </w:p>
        </w:tc>
      </w:tr>
      <w:tr w:rsidR="0093441E" w:rsidRPr="002A7673" w14:paraId="27A2C0E6"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4B3C46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de Gestión Integral de la Calidad de la Justicia (GICA)</w:t>
            </w:r>
          </w:p>
        </w:tc>
        <w:bookmarkStart w:id="190" w:name="_MON_1679841112"/>
        <w:bookmarkEnd w:id="190"/>
        <w:tc>
          <w:tcPr>
            <w:tcW w:w="2029" w:type="dxa"/>
            <w:tcBorders>
              <w:top w:val="nil"/>
              <w:left w:val="nil"/>
              <w:bottom w:val="single" w:sz="4" w:space="0" w:color="auto"/>
              <w:right w:val="single" w:sz="4" w:space="0" w:color="auto"/>
            </w:tcBorders>
            <w:shd w:val="clear" w:color="auto" w:fill="FFFFFF" w:themeFill="background1"/>
            <w:vAlign w:val="center"/>
          </w:tcPr>
          <w:p w14:paraId="3F83355B"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02B667D">
                <v:shape id="_x0000_i1135" type="#_x0000_t75" style="width:64.5pt;height:43.5pt" o:ole="">
                  <v:imagedata r:id="rId298" o:title=""/>
                </v:shape>
                <o:OLEObject Type="Embed" ProgID="Excel.Sheet.12" ShapeID="_x0000_i1135" DrawAspect="Icon" ObjectID="_1684067078" r:id="rId299"/>
              </w:object>
            </w:r>
          </w:p>
        </w:tc>
      </w:tr>
      <w:tr w:rsidR="0093441E" w:rsidRPr="002A7673" w14:paraId="11352935"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9CEED0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Comisión de la Jurisdicción Agrario y Agroambiental</w:t>
            </w:r>
          </w:p>
        </w:tc>
        <w:bookmarkStart w:id="191" w:name="_MON_1679841128"/>
        <w:bookmarkEnd w:id="191"/>
        <w:tc>
          <w:tcPr>
            <w:tcW w:w="2029" w:type="dxa"/>
            <w:tcBorders>
              <w:top w:val="nil"/>
              <w:left w:val="nil"/>
              <w:bottom w:val="single" w:sz="4" w:space="0" w:color="auto"/>
              <w:right w:val="single" w:sz="4" w:space="0" w:color="auto"/>
            </w:tcBorders>
            <w:shd w:val="clear" w:color="auto" w:fill="FFFFFF" w:themeFill="background1"/>
            <w:vAlign w:val="center"/>
          </w:tcPr>
          <w:p w14:paraId="02690017"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1C07680F">
                <v:shape id="_x0000_i1136" type="#_x0000_t75" style="width:64.5pt;height:43.5pt" o:ole="">
                  <v:imagedata r:id="rId300" o:title=""/>
                </v:shape>
                <o:OLEObject Type="Embed" ProgID="Excel.Sheet.12" ShapeID="_x0000_i1136" DrawAspect="Icon" ObjectID="_1684067079" r:id="rId301"/>
              </w:object>
            </w:r>
          </w:p>
        </w:tc>
      </w:tr>
      <w:tr w:rsidR="0093441E" w:rsidRPr="002A7673" w14:paraId="7430F22E"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7A883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de la Jurisdicción Civil</w:t>
            </w:r>
          </w:p>
        </w:tc>
        <w:bookmarkStart w:id="192" w:name="_MON_1679841143"/>
        <w:bookmarkEnd w:id="192"/>
        <w:tc>
          <w:tcPr>
            <w:tcW w:w="2029" w:type="dxa"/>
            <w:tcBorders>
              <w:top w:val="nil"/>
              <w:left w:val="nil"/>
              <w:bottom w:val="single" w:sz="4" w:space="0" w:color="auto"/>
              <w:right w:val="single" w:sz="4" w:space="0" w:color="auto"/>
            </w:tcBorders>
            <w:shd w:val="clear" w:color="auto" w:fill="FFFFFF" w:themeFill="background1"/>
            <w:vAlign w:val="center"/>
          </w:tcPr>
          <w:p w14:paraId="5AC93632"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632FC617">
                <v:shape id="_x0000_i1137" type="#_x0000_t75" style="width:64.5pt;height:43.5pt" o:ole="">
                  <v:imagedata r:id="rId302" o:title=""/>
                </v:shape>
                <o:OLEObject Type="Embed" ProgID="Excel.Sheet.12" ShapeID="_x0000_i1137" DrawAspect="Icon" ObjectID="_1684067080" r:id="rId303"/>
              </w:object>
            </w:r>
          </w:p>
        </w:tc>
      </w:tr>
      <w:tr w:rsidR="0093441E" w:rsidRPr="002A7673" w14:paraId="01F4B727"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4C7BCA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de la Jurisdicción Contencioso-Administrativa</w:t>
            </w:r>
          </w:p>
        </w:tc>
        <w:bookmarkStart w:id="193" w:name="_MON_1679841149"/>
        <w:bookmarkEnd w:id="193"/>
        <w:tc>
          <w:tcPr>
            <w:tcW w:w="2029" w:type="dxa"/>
            <w:tcBorders>
              <w:top w:val="nil"/>
              <w:left w:val="nil"/>
              <w:bottom w:val="single" w:sz="4" w:space="0" w:color="auto"/>
              <w:right w:val="single" w:sz="4" w:space="0" w:color="auto"/>
            </w:tcBorders>
            <w:shd w:val="clear" w:color="auto" w:fill="FFFFFF" w:themeFill="background1"/>
            <w:vAlign w:val="center"/>
          </w:tcPr>
          <w:p w14:paraId="4D9C584F"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ACF42E3">
                <v:shape id="_x0000_i1138" type="#_x0000_t75" style="width:64.5pt;height:43.5pt" o:ole="">
                  <v:imagedata r:id="rId304" o:title=""/>
                </v:shape>
                <o:OLEObject Type="Embed" ProgID="Excel.Sheet.12" ShapeID="_x0000_i1138" DrawAspect="Icon" ObjectID="_1684067081" r:id="rId305"/>
              </w:object>
            </w:r>
          </w:p>
        </w:tc>
      </w:tr>
      <w:tr w:rsidR="0093441E" w:rsidRPr="002A7673" w14:paraId="687F84D6"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4230E9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Comisión de la Jurisdicción de Familia, Niñez y Adolescencia </w:t>
            </w:r>
          </w:p>
        </w:tc>
        <w:bookmarkStart w:id="194" w:name="_MON_1679841163"/>
        <w:bookmarkEnd w:id="194"/>
        <w:tc>
          <w:tcPr>
            <w:tcW w:w="2029" w:type="dxa"/>
            <w:tcBorders>
              <w:top w:val="nil"/>
              <w:left w:val="nil"/>
              <w:bottom w:val="single" w:sz="4" w:space="0" w:color="auto"/>
              <w:right w:val="single" w:sz="4" w:space="0" w:color="auto"/>
            </w:tcBorders>
            <w:shd w:val="clear" w:color="auto" w:fill="FFFFFF" w:themeFill="background1"/>
            <w:vAlign w:val="center"/>
          </w:tcPr>
          <w:p w14:paraId="6FF36BE8"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C45D2D6">
                <v:shape id="_x0000_i1139" type="#_x0000_t75" style="width:64.5pt;height:43.5pt" o:ole="">
                  <v:imagedata r:id="rId306" o:title=""/>
                </v:shape>
                <o:OLEObject Type="Embed" ProgID="Excel.Sheet.12" ShapeID="_x0000_i1139" DrawAspect="Icon" ObjectID="_1684067082" r:id="rId307"/>
              </w:object>
            </w:r>
          </w:p>
        </w:tc>
      </w:tr>
      <w:tr w:rsidR="0093441E" w:rsidRPr="002A7673" w14:paraId="3F38FE06"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F17F2C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Comisión de la Jurisdicción Laboral </w:t>
            </w:r>
          </w:p>
        </w:tc>
        <w:bookmarkStart w:id="195" w:name="_MON_1679841177"/>
        <w:bookmarkEnd w:id="195"/>
        <w:tc>
          <w:tcPr>
            <w:tcW w:w="2029" w:type="dxa"/>
            <w:tcBorders>
              <w:top w:val="nil"/>
              <w:left w:val="nil"/>
              <w:bottom w:val="single" w:sz="4" w:space="0" w:color="auto"/>
              <w:right w:val="single" w:sz="4" w:space="0" w:color="auto"/>
            </w:tcBorders>
            <w:shd w:val="clear" w:color="auto" w:fill="FFFFFF" w:themeFill="background1"/>
            <w:vAlign w:val="center"/>
          </w:tcPr>
          <w:p w14:paraId="54C907B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5DB62372">
                <v:shape id="_x0000_i1140" type="#_x0000_t75" style="width:64.5pt;height:43.5pt" o:ole="">
                  <v:imagedata r:id="rId308" o:title=""/>
                </v:shape>
                <o:OLEObject Type="Embed" ProgID="Excel.Sheet.12" ShapeID="_x0000_i1140" DrawAspect="Icon" ObjectID="_1684067083" r:id="rId309"/>
              </w:object>
            </w:r>
          </w:p>
        </w:tc>
      </w:tr>
      <w:tr w:rsidR="0093441E" w:rsidRPr="002A7673" w14:paraId="47C8E666"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875F52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de Relaciones Laborales</w:t>
            </w:r>
          </w:p>
        </w:tc>
        <w:bookmarkStart w:id="196" w:name="_MON_1679841194"/>
        <w:bookmarkEnd w:id="196"/>
        <w:tc>
          <w:tcPr>
            <w:tcW w:w="2029" w:type="dxa"/>
            <w:tcBorders>
              <w:top w:val="nil"/>
              <w:left w:val="nil"/>
              <w:bottom w:val="single" w:sz="4" w:space="0" w:color="auto"/>
              <w:right w:val="single" w:sz="4" w:space="0" w:color="auto"/>
            </w:tcBorders>
            <w:shd w:val="clear" w:color="auto" w:fill="FFFFFF" w:themeFill="background1"/>
            <w:vAlign w:val="center"/>
          </w:tcPr>
          <w:p w14:paraId="304AFC96"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2F7AC619">
                <v:shape id="_x0000_i1141" type="#_x0000_t75" style="width:64.5pt;height:43.5pt" o:ole="">
                  <v:imagedata r:id="rId310" o:title=""/>
                </v:shape>
                <o:OLEObject Type="Embed" ProgID="Excel.Sheet.12" ShapeID="_x0000_i1141" DrawAspect="Icon" ObjectID="_1684067084" r:id="rId311"/>
              </w:object>
            </w:r>
          </w:p>
        </w:tc>
      </w:tr>
      <w:tr w:rsidR="0093441E" w:rsidRPr="002A7673" w14:paraId="199065B0"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13BC41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Comisión de Salud Ocupacional </w:t>
            </w:r>
          </w:p>
        </w:tc>
        <w:bookmarkStart w:id="197" w:name="_MON_1680095828"/>
        <w:bookmarkEnd w:id="197"/>
        <w:tc>
          <w:tcPr>
            <w:tcW w:w="2029" w:type="dxa"/>
            <w:tcBorders>
              <w:top w:val="nil"/>
              <w:left w:val="nil"/>
              <w:bottom w:val="single" w:sz="4" w:space="0" w:color="auto"/>
              <w:right w:val="single" w:sz="4" w:space="0" w:color="auto"/>
            </w:tcBorders>
            <w:shd w:val="clear" w:color="auto" w:fill="FFFFFF" w:themeFill="background1"/>
            <w:vAlign w:val="center"/>
          </w:tcPr>
          <w:p w14:paraId="6CDDF1C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140E8653">
                <v:shape id="_x0000_i1142" type="#_x0000_t75" style="width:64.5pt;height:43.5pt" o:ole="">
                  <v:imagedata r:id="rId312" o:title=""/>
                </v:shape>
                <o:OLEObject Type="Embed" ProgID="Excel.Sheet.12" ShapeID="_x0000_i1142" DrawAspect="Icon" ObjectID="_1684067085" r:id="rId313"/>
              </w:object>
            </w:r>
          </w:p>
        </w:tc>
      </w:tr>
      <w:tr w:rsidR="0093441E" w:rsidRPr="002A7673" w14:paraId="6311EA1C"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399D79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Comisión de Transparencia Institucional  </w:t>
            </w:r>
          </w:p>
        </w:tc>
        <w:bookmarkStart w:id="198" w:name="_MON_1680095852"/>
        <w:bookmarkEnd w:id="198"/>
        <w:tc>
          <w:tcPr>
            <w:tcW w:w="2029" w:type="dxa"/>
            <w:tcBorders>
              <w:top w:val="nil"/>
              <w:left w:val="nil"/>
              <w:bottom w:val="single" w:sz="4" w:space="0" w:color="auto"/>
              <w:right w:val="single" w:sz="4" w:space="0" w:color="auto"/>
            </w:tcBorders>
            <w:shd w:val="clear" w:color="auto" w:fill="FFFFFF" w:themeFill="background1"/>
            <w:vAlign w:val="center"/>
          </w:tcPr>
          <w:p w14:paraId="4FF0C712"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0C43DE72">
                <v:shape id="_x0000_i1143" type="#_x0000_t75" style="width:64.5pt;height:43.5pt" o:ole="">
                  <v:imagedata r:id="rId314" o:title=""/>
                </v:shape>
                <o:OLEObject Type="Embed" ProgID="Excel.Sheet.12" ShapeID="_x0000_i1143" DrawAspect="Icon" ObjectID="_1684067086" r:id="rId315"/>
              </w:object>
            </w:r>
          </w:p>
        </w:tc>
      </w:tr>
      <w:tr w:rsidR="0093441E" w:rsidRPr="002A7673" w14:paraId="7F438B2F"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14F159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Comisión Interinstitucional de Tránsito </w:t>
            </w:r>
          </w:p>
        </w:tc>
        <w:bookmarkStart w:id="199" w:name="_MON_1679841304"/>
        <w:bookmarkEnd w:id="199"/>
        <w:tc>
          <w:tcPr>
            <w:tcW w:w="2029" w:type="dxa"/>
            <w:tcBorders>
              <w:top w:val="nil"/>
              <w:left w:val="nil"/>
              <w:bottom w:val="single" w:sz="4" w:space="0" w:color="auto"/>
              <w:right w:val="single" w:sz="4" w:space="0" w:color="auto"/>
            </w:tcBorders>
            <w:shd w:val="clear" w:color="auto" w:fill="FFFFFF" w:themeFill="background1"/>
            <w:vAlign w:val="center"/>
          </w:tcPr>
          <w:p w14:paraId="11FBADB4"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22B9690C">
                <v:shape id="_x0000_i1144" type="#_x0000_t75" style="width:64.5pt;height:43.5pt" o:ole="">
                  <v:imagedata r:id="rId316" o:title=""/>
                </v:shape>
                <o:OLEObject Type="Embed" ProgID="Excel.Sheet.12" ShapeID="_x0000_i1144" DrawAspect="Icon" ObjectID="_1684067087" r:id="rId317"/>
              </w:object>
            </w:r>
          </w:p>
        </w:tc>
      </w:tr>
      <w:tr w:rsidR="0093441E" w:rsidRPr="002A7673" w14:paraId="3B3B6734"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tcPr>
          <w:p w14:paraId="5D3F7E2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Programa Hacia Cero Papel</w:t>
            </w:r>
          </w:p>
        </w:tc>
        <w:tc>
          <w:tcPr>
            <w:tcW w:w="2029" w:type="dxa"/>
            <w:tcBorders>
              <w:top w:val="nil"/>
              <w:left w:val="nil"/>
              <w:bottom w:val="single" w:sz="4" w:space="0" w:color="auto"/>
              <w:right w:val="single" w:sz="4" w:space="0" w:color="auto"/>
            </w:tcBorders>
            <w:shd w:val="clear" w:color="auto" w:fill="FFFFFF" w:themeFill="background1"/>
            <w:vAlign w:val="center"/>
          </w:tcPr>
          <w:p w14:paraId="67D6EC7D"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266" w:dyaOrig="823" w14:anchorId="3DFFBC96">
                <v:shape id="_x0000_i1145" type="#_x0000_t75" style="width:64.5pt;height:43.5pt" o:ole="">
                  <v:imagedata r:id="rId318" o:title=""/>
                </v:shape>
                <o:OLEObject Type="Embed" ProgID="Excel.Sheet.12" ShapeID="_x0000_i1145" DrawAspect="Icon" ObjectID="_1684067088" r:id="rId319"/>
              </w:object>
            </w:r>
          </w:p>
        </w:tc>
      </w:tr>
      <w:tr w:rsidR="0093441E" w:rsidRPr="002A7673" w14:paraId="13E79D6A" w14:textId="77777777" w:rsidTr="0048334E">
        <w:trPr>
          <w:trHeight w:val="300"/>
        </w:trPr>
        <w:tc>
          <w:tcPr>
            <w:tcW w:w="679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0F3100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Consejo de Personal</w:t>
            </w:r>
          </w:p>
        </w:tc>
        <w:bookmarkStart w:id="200" w:name="_MON_1680096193"/>
        <w:bookmarkEnd w:id="200"/>
        <w:tc>
          <w:tcPr>
            <w:tcW w:w="2029" w:type="dxa"/>
            <w:tcBorders>
              <w:top w:val="nil"/>
              <w:left w:val="nil"/>
              <w:bottom w:val="single" w:sz="4" w:space="0" w:color="auto"/>
              <w:right w:val="single" w:sz="4" w:space="0" w:color="auto"/>
            </w:tcBorders>
            <w:shd w:val="clear" w:color="auto" w:fill="FFFFFF" w:themeFill="background1"/>
            <w:vAlign w:val="center"/>
          </w:tcPr>
          <w:p w14:paraId="37BACA17"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object w:dxaOrig="1376" w:dyaOrig="893" w14:anchorId="16F2AE6C">
                <v:shape id="_x0000_i1146" type="#_x0000_t75" style="width:1in;height:43.5pt" o:ole="">
                  <v:imagedata r:id="rId320" o:title=""/>
                </v:shape>
                <o:OLEObject Type="Embed" ProgID="Excel.Sheet.12" ShapeID="_x0000_i1146" DrawAspect="Icon" ObjectID="_1684067089" r:id="rId321"/>
              </w:object>
            </w:r>
          </w:p>
        </w:tc>
      </w:tr>
    </w:tbl>
    <w:p w14:paraId="378EA2CE" w14:textId="77777777" w:rsidR="0093441E" w:rsidRPr="002A7673" w:rsidRDefault="0093441E" w:rsidP="0093441E">
      <w:pPr>
        <w:spacing w:after="0" w:line="360" w:lineRule="auto"/>
        <w:rPr>
          <w:rFonts w:ascii="Times New Roman" w:hAnsi="Times New Roman" w:cs="Times New Roman"/>
        </w:rPr>
      </w:pPr>
    </w:p>
    <w:p w14:paraId="7608949F" w14:textId="26CE96F8" w:rsidR="0093441E" w:rsidRPr="002A7673" w:rsidRDefault="0093441E" w:rsidP="0093441E">
      <w:pPr>
        <w:spacing w:after="0" w:line="360" w:lineRule="auto"/>
        <w:rPr>
          <w:rFonts w:ascii="Times New Roman" w:hAnsi="Times New Roman" w:cs="Times New Roman"/>
          <w:highlight w:val="yellow"/>
        </w:rPr>
      </w:pPr>
    </w:p>
    <w:p w14:paraId="317DD070" w14:textId="77777777" w:rsidR="00022642" w:rsidRPr="002A7673" w:rsidRDefault="00022642" w:rsidP="0093441E">
      <w:pPr>
        <w:spacing w:after="0" w:line="480" w:lineRule="auto"/>
        <w:ind w:firstLine="709"/>
        <w:jc w:val="both"/>
        <w:rPr>
          <w:rFonts w:ascii="Times New Roman" w:hAnsi="Times New Roman" w:cs="Times New Roman"/>
          <w:bCs/>
          <w:lang w:eastAsia="es-ES"/>
        </w:rPr>
      </w:pPr>
    </w:p>
    <w:p w14:paraId="5A1330DD" w14:textId="5CEB82BE" w:rsidR="0093441E" w:rsidRPr="002A7673" w:rsidRDefault="0093441E" w:rsidP="00022642">
      <w:pPr>
        <w:spacing w:after="0" w:line="480" w:lineRule="auto"/>
        <w:ind w:firstLine="709"/>
        <w:jc w:val="both"/>
        <w:rPr>
          <w:rFonts w:ascii="Times New Roman" w:hAnsi="Times New Roman" w:cs="Times New Roman"/>
          <w:b/>
          <w:sz w:val="28"/>
          <w:szCs w:val="28"/>
        </w:rPr>
      </w:pPr>
      <w:r w:rsidRPr="002A7673">
        <w:rPr>
          <w:rFonts w:ascii="Times New Roman" w:hAnsi="Times New Roman" w:cs="Times New Roman"/>
          <w:b/>
          <w:sz w:val="28"/>
          <w:szCs w:val="28"/>
          <w:lang w:eastAsia="es-ES"/>
        </w:rPr>
        <w:t xml:space="preserve">6. </w:t>
      </w:r>
      <w:r w:rsidRPr="002A7673">
        <w:rPr>
          <w:rFonts w:ascii="Times New Roman" w:hAnsi="Times New Roman" w:cs="Times New Roman"/>
          <w:b/>
          <w:sz w:val="28"/>
          <w:szCs w:val="28"/>
        </w:rPr>
        <w:t>Informe Sobre la Carga de Trabajo</w:t>
      </w:r>
    </w:p>
    <w:p w14:paraId="2D466641"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lastRenderedPageBreak/>
        <w:t>A continuación, se muestra un cuadro con el porcentaje de la relación de los casos entrados y los terminados de las oficinas del programa 927 Servicio Jurisdiccional, por circuito judicial para el 2020 y 2021.</w:t>
      </w:r>
    </w:p>
    <w:p w14:paraId="00CD8889" w14:textId="77777777" w:rsidR="0093441E" w:rsidRPr="002A7673" w:rsidRDefault="0093441E" w:rsidP="0093441E">
      <w:pPr>
        <w:spacing w:after="0" w:line="360" w:lineRule="auto"/>
        <w:rPr>
          <w:rFonts w:ascii="Times New Roman" w:hAnsi="Times New Roman" w:cs="Times New Roman"/>
          <w:color w:val="FF0000"/>
        </w:rPr>
      </w:pPr>
    </w:p>
    <w:tbl>
      <w:tblPr>
        <w:tblW w:w="7820" w:type="dxa"/>
        <w:tblCellMar>
          <w:left w:w="70" w:type="dxa"/>
          <w:right w:w="70" w:type="dxa"/>
        </w:tblCellMar>
        <w:tblLook w:val="04A0" w:firstRow="1" w:lastRow="0" w:firstColumn="1" w:lastColumn="0" w:noHBand="0" w:noVBand="1"/>
      </w:tblPr>
      <w:tblGrid>
        <w:gridCol w:w="6102"/>
        <w:gridCol w:w="195"/>
        <w:gridCol w:w="1616"/>
      </w:tblGrid>
      <w:tr w:rsidR="0093441E" w:rsidRPr="002A7673" w14:paraId="39D26F28" w14:textId="77777777" w:rsidTr="0048334E">
        <w:trPr>
          <w:trHeight w:val="280"/>
        </w:trPr>
        <w:tc>
          <w:tcPr>
            <w:tcW w:w="7820" w:type="dxa"/>
            <w:gridSpan w:val="3"/>
            <w:tcBorders>
              <w:top w:val="nil"/>
              <w:left w:val="nil"/>
              <w:bottom w:val="nil"/>
              <w:right w:val="nil"/>
            </w:tcBorders>
            <w:shd w:val="clear" w:color="000000" w:fill="FFFFFF"/>
            <w:vAlign w:val="bottom"/>
            <w:hideMark/>
          </w:tcPr>
          <w:p w14:paraId="67FB96BB"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PROGRAMA 927</w:t>
            </w:r>
            <w:r w:rsidRPr="002A7673">
              <w:rPr>
                <w:rFonts w:ascii="Times New Roman" w:hAnsi="Times New Roman" w:cs="Times New Roman"/>
                <w:b/>
                <w:bCs/>
                <w:color w:val="000000"/>
                <w:lang w:eastAsia="es-CR"/>
              </w:rPr>
              <w:br/>
              <w:t>PERIODO 2017 - 2018</w:t>
            </w:r>
          </w:p>
        </w:tc>
      </w:tr>
      <w:tr w:rsidR="0093441E" w:rsidRPr="002A7673" w14:paraId="1EECA3FB" w14:textId="77777777" w:rsidTr="0048334E">
        <w:trPr>
          <w:trHeight w:val="280"/>
        </w:trPr>
        <w:tc>
          <w:tcPr>
            <w:tcW w:w="6102" w:type="dxa"/>
            <w:tcBorders>
              <w:top w:val="nil"/>
              <w:left w:val="nil"/>
              <w:bottom w:val="nil"/>
              <w:right w:val="nil"/>
            </w:tcBorders>
            <w:shd w:val="clear" w:color="000000" w:fill="FFFFFF"/>
            <w:noWrap/>
            <w:vAlign w:val="bottom"/>
            <w:hideMark/>
          </w:tcPr>
          <w:p w14:paraId="58FF341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02" w:type="dxa"/>
            <w:tcBorders>
              <w:top w:val="nil"/>
              <w:left w:val="nil"/>
              <w:bottom w:val="nil"/>
              <w:right w:val="nil"/>
            </w:tcBorders>
            <w:shd w:val="clear" w:color="000000" w:fill="FFFFFF"/>
            <w:noWrap/>
            <w:vAlign w:val="bottom"/>
            <w:hideMark/>
          </w:tcPr>
          <w:p w14:paraId="517D1E2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noWrap/>
            <w:vAlign w:val="bottom"/>
            <w:hideMark/>
          </w:tcPr>
          <w:p w14:paraId="47FBB8C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r>
      <w:tr w:rsidR="0093441E" w:rsidRPr="002A7673" w14:paraId="4EE12805" w14:textId="77777777" w:rsidTr="0048334E">
        <w:trPr>
          <w:trHeight w:val="580"/>
        </w:trPr>
        <w:tc>
          <w:tcPr>
            <w:tcW w:w="6102" w:type="dxa"/>
            <w:tcBorders>
              <w:top w:val="single" w:sz="4" w:space="0" w:color="auto"/>
              <w:left w:val="nil"/>
              <w:bottom w:val="single" w:sz="4" w:space="0" w:color="auto"/>
              <w:right w:val="single" w:sz="4" w:space="0" w:color="auto"/>
            </w:tcBorders>
            <w:shd w:val="clear" w:color="000000" w:fill="FFFFFF"/>
            <w:noWrap/>
            <w:vAlign w:val="center"/>
            <w:hideMark/>
          </w:tcPr>
          <w:p w14:paraId="775B870F"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Balance General</w:t>
            </w:r>
          </w:p>
        </w:tc>
        <w:tc>
          <w:tcPr>
            <w:tcW w:w="102" w:type="dxa"/>
            <w:tcBorders>
              <w:top w:val="single" w:sz="4" w:space="0" w:color="auto"/>
              <w:left w:val="nil"/>
              <w:bottom w:val="single" w:sz="4" w:space="0" w:color="auto"/>
              <w:right w:val="single" w:sz="4" w:space="0" w:color="auto"/>
            </w:tcBorders>
            <w:shd w:val="clear" w:color="000000" w:fill="FFFFFF"/>
            <w:vAlign w:val="center"/>
            <w:hideMark/>
          </w:tcPr>
          <w:p w14:paraId="0D59311B"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 </w:t>
            </w:r>
          </w:p>
        </w:tc>
        <w:tc>
          <w:tcPr>
            <w:tcW w:w="1616" w:type="dxa"/>
            <w:tcBorders>
              <w:top w:val="single" w:sz="4" w:space="0" w:color="auto"/>
              <w:left w:val="nil"/>
              <w:bottom w:val="single" w:sz="4" w:space="0" w:color="auto"/>
              <w:right w:val="nil"/>
            </w:tcBorders>
            <w:shd w:val="clear" w:color="000000" w:fill="FFFFFF"/>
            <w:vAlign w:val="center"/>
            <w:hideMark/>
          </w:tcPr>
          <w:p w14:paraId="31BD8697"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 xml:space="preserve">Relación Salida </w:t>
            </w:r>
            <w:proofErr w:type="spellStart"/>
            <w:r w:rsidRPr="002A7673">
              <w:rPr>
                <w:rFonts w:ascii="Times New Roman" w:hAnsi="Times New Roman" w:cs="Times New Roman"/>
                <w:b/>
                <w:bCs/>
                <w:color w:val="000000"/>
                <w:lang w:eastAsia="es-CR"/>
              </w:rPr>
              <w:t>vrs</w:t>
            </w:r>
            <w:proofErr w:type="spellEnd"/>
            <w:r w:rsidRPr="002A7673">
              <w:rPr>
                <w:rFonts w:ascii="Times New Roman" w:hAnsi="Times New Roman" w:cs="Times New Roman"/>
                <w:b/>
                <w:bCs/>
                <w:color w:val="000000"/>
                <w:lang w:eastAsia="es-CR"/>
              </w:rPr>
              <w:t xml:space="preserve"> Entrada</w:t>
            </w:r>
          </w:p>
        </w:tc>
      </w:tr>
      <w:tr w:rsidR="0093441E" w:rsidRPr="002A7673" w14:paraId="011E93C7"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2EC9278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02" w:type="dxa"/>
            <w:tcBorders>
              <w:top w:val="nil"/>
              <w:left w:val="nil"/>
              <w:bottom w:val="nil"/>
              <w:right w:val="single" w:sz="4" w:space="0" w:color="auto"/>
            </w:tcBorders>
            <w:shd w:val="clear" w:color="000000" w:fill="FFFFFF"/>
            <w:vAlign w:val="center"/>
            <w:hideMark/>
          </w:tcPr>
          <w:p w14:paraId="75FD319D"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0D654541" w14:textId="77777777" w:rsidR="0093441E" w:rsidRPr="002A7673" w:rsidRDefault="0093441E" w:rsidP="0048334E">
            <w:pPr>
              <w:spacing w:after="0" w:line="240" w:lineRule="auto"/>
              <w:jc w:val="center"/>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r>
      <w:tr w:rsidR="0093441E" w:rsidRPr="002A7673" w14:paraId="64F38BAB"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0D17DF83"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67E64A2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08B6B968"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75%</w:t>
            </w:r>
          </w:p>
        </w:tc>
      </w:tr>
      <w:tr w:rsidR="0093441E" w:rsidRPr="002A7673" w14:paraId="3EA187B5"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6E42047F"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75B3731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00545730"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75%</w:t>
            </w:r>
          </w:p>
        </w:tc>
      </w:tr>
      <w:tr w:rsidR="0093441E" w:rsidRPr="002A7673" w14:paraId="050BCC20" w14:textId="77777777" w:rsidTr="0048334E">
        <w:trPr>
          <w:trHeight w:val="290"/>
        </w:trPr>
        <w:tc>
          <w:tcPr>
            <w:tcW w:w="6102" w:type="dxa"/>
            <w:tcBorders>
              <w:top w:val="nil"/>
              <w:left w:val="nil"/>
              <w:bottom w:val="nil"/>
              <w:right w:val="single" w:sz="4" w:space="0" w:color="auto"/>
            </w:tcBorders>
            <w:shd w:val="clear" w:color="000000" w:fill="FFFFFF"/>
            <w:noWrap/>
            <w:vAlign w:val="bottom"/>
            <w:hideMark/>
          </w:tcPr>
          <w:p w14:paraId="55DFF83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02" w:type="dxa"/>
            <w:tcBorders>
              <w:top w:val="nil"/>
              <w:left w:val="nil"/>
              <w:bottom w:val="nil"/>
              <w:right w:val="single" w:sz="4" w:space="0" w:color="auto"/>
            </w:tcBorders>
            <w:shd w:val="clear" w:color="000000" w:fill="FFFFFF"/>
            <w:vAlign w:val="center"/>
            <w:hideMark/>
          </w:tcPr>
          <w:p w14:paraId="0C42D09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7A4A076D"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1C7D6F6C" w14:textId="77777777" w:rsidTr="0048334E">
        <w:trPr>
          <w:trHeight w:val="290"/>
        </w:trPr>
        <w:tc>
          <w:tcPr>
            <w:tcW w:w="6102" w:type="dxa"/>
            <w:tcBorders>
              <w:top w:val="nil"/>
              <w:left w:val="nil"/>
              <w:bottom w:val="nil"/>
              <w:right w:val="single" w:sz="4" w:space="0" w:color="auto"/>
            </w:tcBorders>
            <w:shd w:val="clear" w:color="000000" w:fill="FFFFFF"/>
            <w:noWrap/>
            <w:vAlign w:val="bottom"/>
            <w:hideMark/>
          </w:tcPr>
          <w:p w14:paraId="30A28DEA"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Detalle del Programa 927 por Centro de Responsabilidad</w:t>
            </w:r>
          </w:p>
        </w:tc>
        <w:tc>
          <w:tcPr>
            <w:tcW w:w="102" w:type="dxa"/>
            <w:tcBorders>
              <w:top w:val="nil"/>
              <w:left w:val="nil"/>
              <w:bottom w:val="nil"/>
              <w:right w:val="single" w:sz="4" w:space="0" w:color="auto"/>
            </w:tcBorders>
            <w:shd w:val="clear" w:color="000000" w:fill="FFFFFF"/>
            <w:vAlign w:val="center"/>
            <w:hideMark/>
          </w:tcPr>
          <w:p w14:paraId="672B1CE0" w14:textId="77777777" w:rsidR="0093441E" w:rsidRPr="002A7673" w:rsidRDefault="0093441E" w:rsidP="0048334E">
            <w:pPr>
              <w:spacing w:after="0" w:line="240" w:lineRule="auto"/>
              <w:jc w:val="right"/>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 </w:t>
            </w:r>
          </w:p>
        </w:tc>
        <w:tc>
          <w:tcPr>
            <w:tcW w:w="1616" w:type="dxa"/>
            <w:tcBorders>
              <w:top w:val="nil"/>
              <w:left w:val="nil"/>
              <w:bottom w:val="nil"/>
              <w:right w:val="nil"/>
            </w:tcBorders>
            <w:shd w:val="clear" w:color="000000" w:fill="FFFFFF"/>
            <w:vAlign w:val="center"/>
            <w:hideMark/>
          </w:tcPr>
          <w:p w14:paraId="7BFFB987"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215D0A13"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132853FC"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Sala Primera</w:t>
            </w:r>
          </w:p>
        </w:tc>
        <w:tc>
          <w:tcPr>
            <w:tcW w:w="102" w:type="dxa"/>
            <w:tcBorders>
              <w:top w:val="nil"/>
              <w:left w:val="nil"/>
              <w:bottom w:val="nil"/>
              <w:right w:val="single" w:sz="4" w:space="0" w:color="auto"/>
            </w:tcBorders>
            <w:shd w:val="clear" w:color="000000" w:fill="EDEDED"/>
            <w:vAlign w:val="center"/>
            <w:hideMark/>
          </w:tcPr>
          <w:p w14:paraId="0D2AA48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37F7329A"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4A8CA445"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0958435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1A1CECB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62B1656B"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144%</w:t>
            </w:r>
          </w:p>
        </w:tc>
      </w:tr>
      <w:tr w:rsidR="0093441E" w:rsidRPr="002A7673" w14:paraId="27210CD5"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1086C23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1CD54E9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3E358AF7"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63%</w:t>
            </w:r>
          </w:p>
        </w:tc>
      </w:tr>
      <w:tr w:rsidR="0093441E" w:rsidRPr="002A7673" w14:paraId="598D9B34"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39F61ED2"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Sala Segunda</w:t>
            </w:r>
          </w:p>
        </w:tc>
        <w:tc>
          <w:tcPr>
            <w:tcW w:w="102" w:type="dxa"/>
            <w:tcBorders>
              <w:top w:val="nil"/>
              <w:left w:val="nil"/>
              <w:bottom w:val="nil"/>
              <w:right w:val="single" w:sz="4" w:space="0" w:color="auto"/>
            </w:tcBorders>
            <w:shd w:val="clear" w:color="000000" w:fill="FFFFFF"/>
            <w:vAlign w:val="center"/>
            <w:hideMark/>
          </w:tcPr>
          <w:p w14:paraId="3209372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2695BD58"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416B9176" w14:textId="77777777" w:rsidTr="0048334E">
        <w:trPr>
          <w:trHeight w:val="290"/>
        </w:trPr>
        <w:tc>
          <w:tcPr>
            <w:tcW w:w="6102" w:type="dxa"/>
            <w:tcBorders>
              <w:top w:val="nil"/>
              <w:left w:val="nil"/>
              <w:bottom w:val="nil"/>
              <w:right w:val="single" w:sz="4" w:space="0" w:color="auto"/>
            </w:tcBorders>
            <w:shd w:val="clear" w:color="auto" w:fill="auto"/>
            <w:noWrap/>
            <w:vAlign w:val="bottom"/>
            <w:hideMark/>
          </w:tcPr>
          <w:p w14:paraId="2888099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05E578D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4F59C1C5"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74%</w:t>
            </w:r>
          </w:p>
        </w:tc>
      </w:tr>
      <w:tr w:rsidR="0093441E" w:rsidRPr="002A7673" w14:paraId="0FAF1E5F"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56B82F1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72F43DC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1EF3F29C"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63%</w:t>
            </w:r>
          </w:p>
        </w:tc>
      </w:tr>
      <w:tr w:rsidR="0093441E" w:rsidRPr="002A7673" w14:paraId="605CD68A"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4C2CD1DE"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Sala Tercera</w:t>
            </w:r>
          </w:p>
        </w:tc>
        <w:tc>
          <w:tcPr>
            <w:tcW w:w="102" w:type="dxa"/>
            <w:tcBorders>
              <w:top w:val="nil"/>
              <w:left w:val="nil"/>
              <w:bottom w:val="nil"/>
              <w:right w:val="single" w:sz="4" w:space="0" w:color="auto"/>
            </w:tcBorders>
            <w:shd w:val="clear" w:color="000000" w:fill="EDEDED"/>
            <w:vAlign w:val="center"/>
            <w:hideMark/>
          </w:tcPr>
          <w:p w14:paraId="6E7C03B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26A69989"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600A5620"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649F47B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4D8E502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67A5D5DC"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112%</w:t>
            </w:r>
          </w:p>
        </w:tc>
      </w:tr>
      <w:tr w:rsidR="0093441E" w:rsidRPr="002A7673" w14:paraId="5D814B10"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0796F77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45A09B5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3D75711D"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99%</w:t>
            </w:r>
          </w:p>
        </w:tc>
      </w:tr>
      <w:tr w:rsidR="0093441E" w:rsidRPr="002A7673" w14:paraId="1D5BE9A3"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4429835F"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Sala Constitucional</w:t>
            </w:r>
          </w:p>
        </w:tc>
        <w:tc>
          <w:tcPr>
            <w:tcW w:w="102" w:type="dxa"/>
            <w:tcBorders>
              <w:top w:val="nil"/>
              <w:left w:val="nil"/>
              <w:bottom w:val="nil"/>
              <w:right w:val="single" w:sz="4" w:space="0" w:color="auto"/>
            </w:tcBorders>
            <w:shd w:val="clear" w:color="000000" w:fill="FFFFFF"/>
            <w:vAlign w:val="center"/>
            <w:hideMark/>
          </w:tcPr>
          <w:p w14:paraId="07A1B63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61D7581B"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4AC8A843"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6A1EE64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3E7550B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35A66049"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100%</w:t>
            </w:r>
          </w:p>
        </w:tc>
      </w:tr>
      <w:tr w:rsidR="0093441E" w:rsidRPr="002A7673" w14:paraId="4A9AD97A"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0EEBE0B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0A18A62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6EABA9B8"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97%</w:t>
            </w:r>
          </w:p>
        </w:tc>
      </w:tr>
      <w:tr w:rsidR="0093441E" w:rsidRPr="002A7673" w14:paraId="7D1AB625"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3195EADF"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 Circuito Judicial San José</w:t>
            </w:r>
          </w:p>
        </w:tc>
        <w:tc>
          <w:tcPr>
            <w:tcW w:w="102" w:type="dxa"/>
            <w:tcBorders>
              <w:top w:val="nil"/>
              <w:left w:val="nil"/>
              <w:bottom w:val="nil"/>
              <w:right w:val="single" w:sz="4" w:space="0" w:color="auto"/>
            </w:tcBorders>
            <w:shd w:val="clear" w:color="000000" w:fill="EDEDED"/>
            <w:vAlign w:val="center"/>
            <w:hideMark/>
          </w:tcPr>
          <w:p w14:paraId="5F6046C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0B880B00"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303EBD6C"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04CA9DA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6C0F056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174E41CB"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62%</w:t>
            </w:r>
          </w:p>
        </w:tc>
      </w:tr>
      <w:tr w:rsidR="0093441E" w:rsidRPr="002A7673" w14:paraId="26F73E16"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71F5A64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77FA08E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4E337408"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69%</w:t>
            </w:r>
          </w:p>
        </w:tc>
      </w:tr>
      <w:tr w:rsidR="0093441E" w:rsidRPr="002A7673" w14:paraId="5FF8932F"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76158A09"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II Circuito Judicial San José</w:t>
            </w:r>
          </w:p>
        </w:tc>
        <w:tc>
          <w:tcPr>
            <w:tcW w:w="102" w:type="dxa"/>
            <w:tcBorders>
              <w:top w:val="nil"/>
              <w:left w:val="nil"/>
              <w:bottom w:val="nil"/>
              <w:right w:val="single" w:sz="4" w:space="0" w:color="auto"/>
            </w:tcBorders>
            <w:shd w:val="clear" w:color="000000" w:fill="FFFFFF"/>
            <w:vAlign w:val="center"/>
            <w:hideMark/>
          </w:tcPr>
          <w:p w14:paraId="335D766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23932B80"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4D069F8A"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5E33491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7086E69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024931C2"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87%</w:t>
            </w:r>
          </w:p>
        </w:tc>
      </w:tr>
      <w:tr w:rsidR="0093441E" w:rsidRPr="002A7673" w14:paraId="7850C666"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1223569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70BDA71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36BFD4BA"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79%</w:t>
            </w:r>
          </w:p>
        </w:tc>
      </w:tr>
      <w:tr w:rsidR="0093441E" w:rsidRPr="002A7673" w14:paraId="0805F8A3"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4DD8274C"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III Circuito Judicial San José</w:t>
            </w:r>
          </w:p>
        </w:tc>
        <w:tc>
          <w:tcPr>
            <w:tcW w:w="102" w:type="dxa"/>
            <w:tcBorders>
              <w:top w:val="nil"/>
              <w:left w:val="nil"/>
              <w:bottom w:val="nil"/>
              <w:right w:val="single" w:sz="4" w:space="0" w:color="auto"/>
            </w:tcBorders>
            <w:shd w:val="clear" w:color="000000" w:fill="EDEDED"/>
            <w:vAlign w:val="center"/>
            <w:hideMark/>
          </w:tcPr>
          <w:p w14:paraId="78686C5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59114EB9"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381A623F"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6820282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34B06C8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6F415302"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95%</w:t>
            </w:r>
          </w:p>
        </w:tc>
      </w:tr>
      <w:tr w:rsidR="0093441E" w:rsidRPr="002A7673" w14:paraId="3E577B1F"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6737E1B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65DB8A6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7E6E6"/>
            <w:vAlign w:val="center"/>
            <w:hideMark/>
          </w:tcPr>
          <w:p w14:paraId="3259E94A"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87%</w:t>
            </w:r>
          </w:p>
        </w:tc>
      </w:tr>
      <w:tr w:rsidR="0093441E" w:rsidRPr="002A7673" w14:paraId="7DA851BC"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3D1B39CA"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 Circuito Judicial Alajuela</w:t>
            </w:r>
          </w:p>
        </w:tc>
        <w:tc>
          <w:tcPr>
            <w:tcW w:w="102" w:type="dxa"/>
            <w:tcBorders>
              <w:top w:val="nil"/>
              <w:left w:val="nil"/>
              <w:bottom w:val="nil"/>
              <w:right w:val="single" w:sz="4" w:space="0" w:color="auto"/>
            </w:tcBorders>
            <w:shd w:val="clear" w:color="000000" w:fill="FFFFFF"/>
            <w:vAlign w:val="center"/>
            <w:hideMark/>
          </w:tcPr>
          <w:p w14:paraId="5884D8F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7B83783A"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2338C596"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3D54A57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735D808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6519A0C0"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81%</w:t>
            </w:r>
          </w:p>
        </w:tc>
      </w:tr>
      <w:tr w:rsidR="0093441E" w:rsidRPr="002A7673" w14:paraId="2F61C77F"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5400CB2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Periodo 2019</w:t>
            </w:r>
          </w:p>
        </w:tc>
        <w:tc>
          <w:tcPr>
            <w:tcW w:w="102" w:type="dxa"/>
            <w:tcBorders>
              <w:top w:val="nil"/>
              <w:left w:val="nil"/>
              <w:bottom w:val="nil"/>
              <w:right w:val="single" w:sz="4" w:space="0" w:color="auto"/>
            </w:tcBorders>
            <w:shd w:val="clear" w:color="000000" w:fill="FFFFFF"/>
            <w:vAlign w:val="center"/>
            <w:hideMark/>
          </w:tcPr>
          <w:p w14:paraId="3D7F8CB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614501C5"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82%</w:t>
            </w:r>
          </w:p>
        </w:tc>
      </w:tr>
      <w:tr w:rsidR="0093441E" w:rsidRPr="002A7673" w14:paraId="77E97A36"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552F2050"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II Circuito Judicial Alajuela (San Carlos)</w:t>
            </w:r>
          </w:p>
        </w:tc>
        <w:tc>
          <w:tcPr>
            <w:tcW w:w="102" w:type="dxa"/>
            <w:tcBorders>
              <w:top w:val="nil"/>
              <w:left w:val="nil"/>
              <w:bottom w:val="nil"/>
              <w:right w:val="single" w:sz="4" w:space="0" w:color="auto"/>
            </w:tcBorders>
            <w:shd w:val="clear" w:color="000000" w:fill="EDEDED"/>
            <w:vAlign w:val="center"/>
            <w:hideMark/>
          </w:tcPr>
          <w:p w14:paraId="0BF77A5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301D87A4"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3BE3AFB1"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53026F7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1F7A056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272E724D"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71%</w:t>
            </w:r>
          </w:p>
        </w:tc>
      </w:tr>
      <w:tr w:rsidR="0093441E" w:rsidRPr="002A7673" w14:paraId="668BD352"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28D7EA3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7E416D2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2F04CF27"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63%</w:t>
            </w:r>
          </w:p>
        </w:tc>
      </w:tr>
      <w:tr w:rsidR="0093441E" w:rsidRPr="002A7673" w14:paraId="56A7883F"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1D36EDEC"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III Circuito Judicial Alajuela (San Ramón)</w:t>
            </w:r>
          </w:p>
        </w:tc>
        <w:tc>
          <w:tcPr>
            <w:tcW w:w="102" w:type="dxa"/>
            <w:tcBorders>
              <w:top w:val="nil"/>
              <w:left w:val="nil"/>
              <w:bottom w:val="nil"/>
              <w:right w:val="single" w:sz="4" w:space="0" w:color="auto"/>
            </w:tcBorders>
            <w:shd w:val="clear" w:color="000000" w:fill="FFFFFF"/>
            <w:vAlign w:val="center"/>
            <w:hideMark/>
          </w:tcPr>
          <w:p w14:paraId="5F52373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701E54C9"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5E9FB269"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7422C20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7479C0D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7DE894C1"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87%</w:t>
            </w:r>
          </w:p>
        </w:tc>
      </w:tr>
      <w:tr w:rsidR="0093441E" w:rsidRPr="002A7673" w14:paraId="2827B65D"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2F8C618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37873E4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5A6D24C0"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82%</w:t>
            </w:r>
          </w:p>
        </w:tc>
      </w:tr>
      <w:tr w:rsidR="0093441E" w:rsidRPr="002A7673" w14:paraId="3D9ECEA1"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168BD4BF"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 Grecia</w:t>
            </w:r>
          </w:p>
        </w:tc>
        <w:tc>
          <w:tcPr>
            <w:tcW w:w="102" w:type="dxa"/>
            <w:tcBorders>
              <w:top w:val="nil"/>
              <w:left w:val="nil"/>
              <w:bottom w:val="nil"/>
              <w:right w:val="single" w:sz="4" w:space="0" w:color="auto"/>
            </w:tcBorders>
            <w:shd w:val="clear" w:color="000000" w:fill="EDEDED"/>
            <w:vAlign w:val="center"/>
            <w:hideMark/>
          </w:tcPr>
          <w:p w14:paraId="0D6D576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36BE4D0D"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6C7654E8"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1069C75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451107B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39617FF3"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51%</w:t>
            </w:r>
          </w:p>
        </w:tc>
      </w:tr>
      <w:tr w:rsidR="0093441E" w:rsidRPr="002A7673" w14:paraId="36D58B6A"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12A43B0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4178261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39596DC9"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67%</w:t>
            </w:r>
          </w:p>
        </w:tc>
      </w:tr>
      <w:tr w:rsidR="0093441E" w:rsidRPr="002A7673" w14:paraId="61D78D92"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395241B7"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Circuito Judicial Cartago</w:t>
            </w:r>
          </w:p>
        </w:tc>
        <w:tc>
          <w:tcPr>
            <w:tcW w:w="102" w:type="dxa"/>
            <w:tcBorders>
              <w:top w:val="nil"/>
              <w:left w:val="nil"/>
              <w:bottom w:val="nil"/>
              <w:right w:val="single" w:sz="4" w:space="0" w:color="auto"/>
            </w:tcBorders>
            <w:shd w:val="clear" w:color="000000" w:fill="FFFFFF"/>
            <w:vAlign w:val="center"/>
            <w:hideMark/>
          </w:tcPr>
          <w:p w14:paraId="23AFEC0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2EFE0376"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47B3ED2C"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255F13B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4B84797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3433F111"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74%</w:t>
            </w:r>
          </w:p>
        </w:tc>
      </w:tr>
      <w:tr w:rsidR="0093441E" w:rsidRPr="002A7673" w14:paraId="4E82B22E"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5C9E7C3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47100B8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4D97AADD"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69%</w:t>
            </w:r>
          </w:p>
        </w:tc>
      </w:tr>
      <w:tr w:rsidR="0093441E" w:rsidRPr="002A7673" w14:paraId="6757F5B5"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06FA7D02"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 Turrialba</w:t>
            </w:r>
          </w:p>
        </w:tc>
        <w:tc>
          <w:tcPr>
            <w:tcW w:w="102" w:type="dxa"/>
            <w:tcBorders>
              <w:top w:val="nil"/>
              <w:left w:val="nil"/>
              <w:bottom w:val="nil"/>
              <w:right w:val="single" w:sz="4" w:space="0" w:color="auto"/>
            </w:tcBorders>
            <w:shd w:val="clear" w:color="000000" w:fill="EDEDED"/>
            <w:vAlign w:val="center"/>
            <w:hideMark/>
          </w:tcPr>
          <w:p w14:paraId="529A779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0AEAA8BC"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19F5ABFB"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347A108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49D9A4F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3D9BB82F"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94%</w:t>
            </w:r>
          </w:p>
        </w:tc>
      </w:tr>
      <w:tr w:rsidR="0093441E" w:rsidRPr="002A7673" w14:paraId="593799CF"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00D38BE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4EAB274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170FEE59"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97%</w:t>
            </w:r>
          </w:p>
        </w:tc>
      </w:tr>
      <w:tr w:rsidR="0093441E" w:rsidRPr="002A7673" w14:paraId="1073DCBD"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45146CFF"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Circuito Judicial Heredia</w:t>
            </w:r>
          </w:p>
        </w:tc>
        <w:tc>
          <w:tcPr>
            <w:tcW w:w="102" w:type="dxa"/>
            <w:tcBorders>
              <w:top w:val="nil"/>
              <w:left w:val="nil"/>
              <w:bottom w:val="nil"/>
              <w:right w:val="single" w:sz="4" w:space="0" w:color="auto"/>
            </w:tcBorders>
            <w:shd w:val="clear" w:color="000000" w:fill="FFFFFF"/>
            <w:vAlign w:val="center"/>
            <w:hideMark/>
          </w:tcPr>
          <w:p w14:paraId="3BA6417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742A2900"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6A43E9DC"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47E7FC5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29C7E8C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753AC27B"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60%</w:t>
            </w:r>
          </w:p>
        </w:tc>
      </w:tr>
      <w:tr w:rsidR="0093441E" w:rsidRPr="002A7673" w14:paraId="6083B4D1"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4A6F7C7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32065EA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396B32AC"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62%</w:t>
            </w:r>
          </w:p>
        </w:tc>
      </w:tr>
      <w:tr w:rsidR="0093441E" w:rsidRPr="002A7673" w14:paraId="3FE26E8F"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37BCA8F1"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 Sarapiquí</w:t>
            </w:r>
          </w:p>
        </w:tc>
        <w:tc>
          <w:tcPr>
            <w:tcW w:w="102" w:type="dxa"/>
            <w:tcBorders>
              <w:top w:val="nil"/>
              <w:left w:val="nil"/>
              <w:bottom w:val="nil"/>
              <w:right w:val="single" w:sz="4" w:space="0" w:color="auto"/>
            </w:tcBorders>
            <w:shd w:val="clear" w:color="000000" w:fill="EDEDED"/>
            <w:vAlign w:val="center"/>
            <w:hideMark/>
          </w:tcPr>
          <w:p w14:paraId="5BA9F86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22AC1D08"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675E2A76"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6CB835B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71F0CE0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3E1C866F"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90%</w:t>
            </w:r>
          </w:p>
        </w:tc>
      </w:tr>
      <w:tr w:rsidR="0093441E" w:rsidRPr="002A7673" w14:paraId="4BEEFE76"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228FDE6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0454516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31C41F3C"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95%</w:t>
            </w:r>
          </w:p>
        </w:tc>
      </w:tr>
      <w:tr w:rsidR="0093441E" w:rsidRPr="002A7673" w14:paraId="03E45009"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2AA4E184"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 la Ciudad Judicial de San Joaquín de Flores</w:t>
            </w:r>
          </w:p>
        </w:tc>
        <w:tc>
          <w:tcPr>
            <w:tcW w:w="102" w:type="dxa"/>
            <w:tcBorders>
              <w:top w:val="nil"/>
              <w:left w:val="nil"/>
              <w:bottom w:val="nil"/>
              <w:right w:val="single" w:sz="4" w:space="0" w:color="auto"/>
            </w:tcBorders>
            <w:shd w:val="clear" w:color="000000" w:fill="FFFFFF"/>
            <w:vAlign w:val="center"/>
            <w:hideMark/>
          </w:tcPr>
          <w:p w14:paraId="126C46F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5EEB4C8B"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251D88F4"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68DF0D1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5005D81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0B3FAEB2"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94%</w:t>
            </w:r>
          </w:p>
        </w:tc>
      </w:tr>
      <w:tr w:rsidR="0093441E" w:rsidRPr="002A7673" w14:paraId="7CD32D03"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791BCB8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3A5B366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584226B1"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98%</w:t>
            </w:r>
          </w:p>
        </w:tc>
      </w:tr>
      <w:tr w:rsidR="0093441E" w:rsidRPr="002A7673" w14:paraId="41A74198"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4C72CEB0"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Circuito Judicial Puntarenas</w:t>
            </w:r>
          </w:p>
        </w:tc>
        <w:tc>
          <w:tcPr>
            <w:tcW w:w="102" w:type="dxa"/>
            <w:tcBorders>
              <w:top w:val="nil"/>
              <w:left w:val="nil"/>
              <w:bottom w:val="nil"/>
              <w:right w:val="single" w:sz="4" w:space="0" w:color="auto"/>
            </w:tcBorders>
            <w:shd w:val="clear" w:color="000000" w:fill="EDEDED"/>
            <w:vAlign w:val="center"/>
            <w:hideMark/>
          </w:tcPr>
          <w:p w14:paraId="6B7026D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488F6F22"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1F3220FE"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488C40A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479A329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0193D3D4"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80%</w:t>
            </w:r>
          </w:p>
        </w:tc>
      </w:tr>
      <w:tr w:rsidR="0093441E" w:rsidRPr="002A7673" w14:paraId="65767818"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612873D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67F19E1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3B4BC94E"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76%</w:t>
            </w:r>
          </w:p>
        </w:tc>
      </w:tr>
      <w:tr w:rsidR="0093441E" w:rsidRPr="002A7673" w14:paraId="64572FC9"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0CEA2ADB"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 Quepos</w:t>
            </w:r>
          </w:p>
        </w:tc>
        <w:tc>
          <w:tcPr>
            <w:tcW w:w="102" w:type="dxa"/>
            <w:tcBorders>
              <w:top w:val="nil"/>
              <w:left w:val="nil"/>
              <w:bottom w:val="nil"/>
              <w:right w:val="single" w:sz="4" w:space="0" w:color="auto"/>
            </w:tcBorders>
            <w:shd w:val="clear" w:color="000000" w:fill="FFFFFF"/>
            <w:vAlign w:val="center"/>
            <w:hideMark/>
          </w:tcPr>
          <w:p w14:paraId="0E7AC9E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179FB108"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304C2DDE"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7FD10E7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1225641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3F7CC2DB"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111%</w:t>
            </w:r>
          </w:p>
        </w:tc>
      </w:tr>
      <w:tr w:rsidR="0093441E" w:rsidRPr="002A7673" w14:paraId="0E4FB16A"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75885D1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0B68F59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54A30DA7"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113%</w:t>
            </w:r>
          </w:p>
        </w:tc>
      </w:tr>
      <w:tr w:rsidR="0093441E" w:rsidRPr="002A7673" w14:paraId="39C04E8A"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2255D8A5"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 Circuito Judicial Zona Sur</w:t>
            </w:r>
          </w:p>
        </w:tc>
        <w:tc>
          <w:tcPr>
            <w:tcW w:w="102" w:type="dxa"/>
            <w:tcBorders>
              <w:top w:val="nil"/>
              <w:left w:val="nil"/>
              <w:bottom w:val="nil"/>
              <w:right w:val="single" w:sz="4" w:space="0" w:color="auto"/>
            </w:tcBorders>
            <w:shd w:val="clear" w:color="000000" w:fill="EDEDED"/>
            <w:vAlign w:val="center"/>
            <w:hideMark/>
          </w:tcPr>
          <w:p w14:paraId="5265011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07E6BBD3"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0F9458C5"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2191E98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75B8173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325F5D8B"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66%</w:t>
            </w:r>
          </w:p>
        </w:tc>
      </w:tr>
      <w:tr w:rsidR="0093441E" w:rsidRPr="002A7673" w14:paraId="29F6175C"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491E24A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2471FA0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4390ED8D"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81%</w:t>
            </w:r>
          </w:p>
        </w:tc>
      </w:tr>
      <w:tr w:rsidR="0093441E" w:rsidRPr="002A7673" w14:paraId="11F22400"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60EAF5CB"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II Circuito Judicial Zona Sur</w:t>
            </w:r>
          </w:p>
        </w:tc>
        <w:tc>
          <w:tcPr>
            <w:tcW w:w="102" w:type="dxa"/>
            <w:tcBorders>
              <w:top w:val="nil"/>
              <w:left w:val="nil"/>
              <w:bottom w:val="nil"/>
              <w:right w:val="single" w:sz="4" w:space="0" w:color="auto"/>
            </w:tcBorders>
            <w:shd w:val="clear" w:color="000000" w:fill="FFFFFF"/>
            <w:vAlign w:val="center"/>
            <w:hideMark/>
          </w:tcPr>
          <w:p w14:paraId="30E450A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41F5E8D6"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0C426198"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115BC7B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0909049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3A027B56"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92%</w:t>
            </w:r>
          </w:p>
        </w:tc>
      </w:tr>
      <w:tr w:rsidR="0093441E" w:rsidRPr="002A7673" w14:paraId="4135372F"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69A6C56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3DF001A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3B7CE3A0"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89%</w:t>
            </w:r>
          </w:p>
        </w:tc>
      </w:tr>
      <w:tr w:rsidR="0093441E" w:rsidRPr="002A7673" w14:paraId="7A81C9EF"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3192D98C"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 Osa</w:t>
            </w:r>
          </w:p>
        </w:tc>
        <w:tc>
          <w:tcPr>
            <w:tcW w:w="102" w:type="dxa"/>
            <w:tcBorders>
              <w:top w:val="nil"/>
              <w:left w:val="nil"/>
              <w:bottom w:val="nil"/>
              <w:right w:val="single" w:sz="4" w:space="0" w:color="auto"/>
            </w:tcBorders>
            <w:shd w:val="clear" w:color="000000" w:fill="EDEDED"/>
            <w:vAlign w:val="center"/>
            <w:hideMark/>
          </w:tcPr>
          <w:p w14:paraId="69B090A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35AAF4E5"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1D6E2AEC"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602CC05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2FDCE1B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47CCF8B6"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84%</w:t>
            </w:r>
          </w:p>
        </w:tc>
      </w:tr>
      <w:tr w:rsidR="0093441E" w:rsidRPr="002A7673" w14:paraId="6FA12E82"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26715A2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659D644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621C381A"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90%</w:t>
            </w:r>
          </w:p>
        </w:tc>
      </w:tr>
      <w:tr w:rsidR="0093441E" w:rsidRPr="002A7673" w14:paraId="7F9B7CAE"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1582351A"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 Golfito</w:t>
            </w:r>
          </w:p>
        </w:tc>
        <w:tc>
          <w:tcPr>
            <w:tcW w:w="102" w:type="dxa"/>
            <w:tcBorders>
              <w:top w:val="nil"/>
              <w:left w:val="nil"/>
              <w:bottom w:val="nil"/>
              <w:right w:val="single" w:sz="4" w:space="0" w:color="auto"/>
            </w:tcBorders>
            <w:shd w:val="clear" w:color="000000" w:fill="FFFFFF"/>
            <w:vAlign w:val="center"/>
            <w:hideMark/>
          </w:tcPr>
          <w:p w14:paraId="3F3BF44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7A17D6E1"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6F7200C1"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0B0B24A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458A2E3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611B4D51"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63%</w:t>
            </w:r>
          </w:p>
        </w:tc>
      </w:tr>
      <w:tr w:rsidR="0093441E" w:rsidRPr="002A7673" w14:paraId="3D7653A8"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0393CE4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Periodo 2019</w:t>
            </w:r>
          </w:p>
        </w:tc>
        <w:tc>
          <w:tcPr>
            <w:tcW w:w="102" w:type="dxa"/>
            <w:tcBorders>
              <w:top w:val="nil"/>
              <w:left w:val="nil"/>
              <w:bottom w:val="nil"/>
              <w:right w:val="single" w:sz="4" w:space="0" w:color="auto"/>
            </w:tcBorders>
            <w:shd w:val="clear" w:color="000000" w:fill="FFFFFF"/>
            <w:vAlign w:val="center"/>
            <w:hideMark/>
          </w:tcPr>
          <w:p w14:paraId="585D051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0399C710"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50%</w:t>
            </w:r>
          </w:p>
        </w:tc>
      </w:tr>
      <w:tr w:rsidR="0093441E" w:rsidRPr="002A7673" w14:paraId="4F1E1111"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7F741943"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 Circuito Judicial de Guanacaste</w:t>
            </w:r>
          </w:p>
        </w:tc>
        <w:tc>
          <w:tcPr>
            <w:tcW w:w="102" w:type="dxa"/>
            <w:tcBorders>
              <w:top w:val="nil"/>
              <w:left w:val="nil"/>
              <w:bottom w:val="nil"/>
              <w:right w:val="single" w:sz="4" w:space="0" w:color="auto"/>
            </w:tcBorders>
            <w:shd w:val="clear" w:color="000000" w:fill="EDEDED"/>
            <w:vAlign w:val="center"/>
            <w:hideMark/>
          </w:tcPr>
          <w:p w14:paraId="23FA194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4CA7741B"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75AF42C0"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4F818A2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379EA16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5BA21FEA"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81%</w:t>
            </w:r>
          </w:p>
        </w:tc>
      </w:tr>
      <w:tr w:rsidR="0093441E" w:rsidRPr="002A7673" w14:paraId="56FC2DB3"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5FA0AB6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31DD28D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0C73F149"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76%</w:t>
            </w:r>
          </w:p>
        </w:tc>
      </w:tr>
      <w:tr w:rsidR="0093441E" w:rsidRPr="002A7673" w14:paraId="7FA9E3A4"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2371FE00"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II Circuito Judicial de Guanacaste</w:t>
            </w:r>
          </w:p>
        </w:tc>
        <w:tc>
          <w:tcPr>
            <w:tcW w:w="102" w:type="dxa"/>
            <w:tcBorders>
              <w:top w:val="nil"/>
              <w:left w:val="nil"/>
              <w:bottom w:val="nil"/>
              <w:right w:val="single" w:sz="4" w:space="0" w:color="auto"/>
            </w:tcBorders>
            <w:shd w:val="clear" w:color="000000" w:fill="FFFFFF"/>
            <w:vAlign w:val="center"/>
            <w:hideMark/>
          </w:tcPr>
          <w:p w14:paraId="672A14E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54709FA8"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0239117A"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338F153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132CFA8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3F92EA73"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93%</w:t>
            </w:r>
          </w:p>
        </w:tc>
      </w:tr>
      <w:tr w:rsidR="0093441E" w:rsidRPr="002A7673" w14:paraId="601EA4BA"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626024A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1D6BD2E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4C868810"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95%</w:t>
            </w:r>
          </w:p>
        </w:tc>
      </w:tr>
      <w:tr w:rsidR="0093441E" w:rsidRPr="002A7673" w14:paraId="5CAE8FB8"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12A26863"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 Santa Cruz</w:t>
            </w:r>
          </w:p>
        </w:tc>
        <w:tc>
          <w:tcPr>
            <w:tcW w:w="102" w:type="dxa"/>
            <w:tcBorders>
              <w:top w:val="nil"/>
              <w:left w:val="nil"/>
              <w:bottom w:val="nil"/>
              <w:right w:val="single" w:sz="4" w:space="0" w:color="auto"/>
            </w:tcBorders>
            <w:shd w:val="clear" w:color="000000" w:fill="EDEDED"/>
            <w:vAlign w:val="center"/>
            <w:hideMark/>
          </w:tcPr>
          <w:p w14:paraId="7B8B584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2BC5C1F5"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114FF1B5"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2FCC7D2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52E93B6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58996F4E"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72%</w:t>
            </w:r>
          </w:p>
        </w:tc>
      </w:tr>
      <w:tr w:rsidR="0093441E" w:rsidRPr="002A7673" w14:paraId="70CB7E8A"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42F8759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50C3C43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014C8D0B"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69%</w:t>
            </w:r>
          </w:p>
        </w:tc>
      </w:tr>
      <w:tr w:rsidR="0093441E" w:rsidRPr="002A7673" w14:paraId="75517D7D"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49C26008"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 Circuito Judicial de la Zona Atlántica</w:t>
            </w:r>
          </w:p>
        </w:tc>
        <w:tc>
          <w:tcPr>
            <w:tcW w:w="102" w:type="dxa"/>
            <w:tcBorders>
              <w:top w:val="nil"/>
              <w:left w:val="nil"/>
              <w:bottom w:val="nil"/>
              <w:right w:val="single" w:sz="4" w:space="0" w:color="auto"/>
            </w:tcBorders>
            <w:shd w:val="clear" w:color="000000" w:fill="FFFFFF"/>
            <w:vAlign w:val="center"/>
            <w:hideMark/>
          </w:tcPr>
          <w:p w14:paraId="40EAE78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FFFF"/>
            <w:vAlign w:val="center"/>
            <w:hideMark/>
          </w:tcPr>
          <w:p w14:paraId="0EBFF61D"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w:t>
            </w:r>
          </w:p>
        </w:tc>
      </w:tr>
      <w:tr w:rsidR="0093441E" w:rsidRPr="002A7673" w14:paraId="4B3A9FDE"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5248252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FFFFFF"/>
            <w:vAlign w:val="center"/>
            <w:hideMark/>
          </w:tcPr>
          <w:p w14:paraId="34C58BF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1996DA1F"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73%</w:t>
            </w:r>
          </w:p>
        </w:tc>
      </w:tr>
      <w:tr w:rsidR="0093441E" w:rsidRPr="002A7673" w14:paraId="543EDC0E" w14:textId="77777777" w:rsidTr="0048334E">
        <w:trPr>
          <w:trHeight w:val="280"/>
        </w:trPr>
        <w:tc>
          <w:tcPr>
            <w:tcW w:w="6102" w:type="dxa"/>
            <w:tcBorders>
              <w:top w:val="nil"/>
              <w:left w:val="nil"/>
              <w:bottom w:val="nil"/>
              <w:right w:val="single" w:sz="4" w:space="0" w:color="auto"/>
            </w:tcBorders>
            <w:shd w:val="clear" w:color="000000" w:fill="FFFFFF"/>
            <w:noWrap/>
            <w:vAlign w:val="bottom"/>
            <w:hideMark/>
          </w:tcPr>
          <w:p w14:paraId="2313E1D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FFFFFF"/>
            <w:vAlign w:val="center"/>
            <w:hideMark/>
          </w:tcPr>
          <w:p w14:paraId="4CCCA96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FFC000"/>
            <w:vAlign w:val="center"/>
            <w:hideMark/>
          </w:tcPr>
          <w:p w14:paraId="628CF278"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78%</w:t>
            </w:r>
          </w:p>
        </w:tc>
      </w:tr>
      <w:tr w:rsidR="0093441E" w:rsidRPr="002A7673" w14:paraId="17F5A047"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0A8CE599" w14:textId="77777777" w:rsidR="0093441E" w:rsidRPr="002A7673" w:rsidRDefault="0093441E" w:rsidP="0048334E">
            <w:pPr>
              <w:spacing w:after="0" w:line="240" w:lineRule="auto"/>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Administración del II Circuito Judicial de la Zona Atlántica</w:t>
            </w:r>
          </w:p>
        </w:tc>
        <w:tc>
          <w:tcPr>
            <w:tcW w:w="102" w:type="dxa"/>
            <w:tcBorders>
              <w:top w:val="nil"/>
              <w:left w:val="nil"/>
              <w:bottom w:val="nil"/>
              <w:right w:val="single" w:sz="4" w:space="0" w:color="auto"/>
            </w:tcBorders>
            <w:shd w:val="clear" w:color="000000" w:fill="EDEDED"/>
            <w:vAlign w:val="center"/>
            <w:hideMark/>
          </w:tcPr>
          <w:p w14:paraId="5A50D04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69525E39"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 xml:space="preserve">   </w:t>
            </w:r>
          </w:p>
        </w:tc>
      </w:tr>
      <w:tr w:rsidR="0093441E" w:rsidRPr="002A7673" w14:paraId="343CB828"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4512890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2020</w:t>
            </w:r>
          </w:p>
        </w:tc>
        <w:tc>
          <w:tcPr>
            <w:tcW w:w="102" w:type="dxa"/>
            <w:tcBorders>
              <w:top w:val="nil"/>
              <w:left w:val="nil"/>
              <w:bottom w:val="nil"/>
              <w:right w:val="single" w:sz="4" w:space="0" w:color="auto"/>
            </w:tcBorders>
            <w:shd w:val="clear" w:color="000000" w:fill="EDEDED"/>
            <w:vAlign w:val="center"/>
            <w:hideMark/>
          </w:tcPr>
          <w:p w14:paraId="731FA51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200D2B24"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75%</w:t>
            </w:r>
          </w:p>
        </w:tc>
      </w:tr>
      <w:tr w:rsidR="0093441E" w:rsidRPr="002A7673" w14:paraId="71870694" w14:textId="77777777" w:rsidTr="0048334E">
        <w:trPr>
          <w:trHeight w:val="290"/>
        </w:trPr>
        <w:tc>
          <w:tcPr>
            <w:tcW w:w="6102" w:type="dxa"/>
            <w:tcBorders>
              <w:top w:val="nil"/>
              <w:left w:val="nil"/>
              <w:bottom w:val="nil"/>
              <w:right w:val="single" w:sz="4" w:space="0" w:color="auto"/>
            </w:tcBorders>
            <w:shd w:val="clear" w:color="000000" w:fill="EDEDED"/>
            <w:noWrap/>
            <w:vAlign w:val="bottom"/>
            <w:hideMark/>
          </w:tcPr>
          <w:p w14:paraId="1871933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Periodo 2019</w:t>
            </w:r>
          </w:p>
        </w:tc>
        <w:tc>
          <w:tcPr>
            <w:tcW w:w="102" w:type="dxa"/>
            <w:tcBorders>
              <w:top w:val="nil"/>
              <w:left w:val="nil"/>
              <w:bottom w:val="nil"/>
              <w:right w:val="single" w:sz="4" w:space="0" w:color="auto"/>
            </w:tcBorders>
            <w:shd w:val="clear" w:color="000000" w:fill="EDEDED"/>
            <w:vAlign w:val="center"/>
            <w:hideMark/>
          </w:tcPr>
          <w:p w14:paraId="5829D07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nil"/>
              <w:right w:val="nil"/>
            </w:tcBorders>
            <w:shd w:val="clear" w:color="000000" w:fill="EDEDED"/>
            <w:vAlign w:val="center"/>
            <w:hideMark/>
          </w:tcPr>
          <w:p w14:paraId="573042FF" w14:textId="77777777" w:rsidR="0093441E" w:rsidRPr="002A7673" w:rsidRDefault="0093441E" w:rsidP="0048334E">
            <w:pPr>
              <w:spacing w:after="0" w:line="240" w:lineRule="auto"/>
              <w:jc w:val="center"/>
              <w:rPr>
                <w:rFonts w:ascii="Times New Roman" w:hAnsi="Times New Roman" w:cs="Times New Roman"/>
                <w:lang w:eastAsia="es-CR"/>
              </w:rPr>
            </w:pPr>
            <w:r w:rsidRPr="002A7673">
              <w:rPr>
                <w:rFonts w:ascii="Times New Roman" w:hAnsi="Times New Roman" w:cs="Times New Roman"/>
                <w:lang w:eastAsia="es-CR"/>
              </w:rPr>
              <w:t>67%</w:t>
            </w:r>
          </w:p>
        </w:tc>
      </w:tr>
      <w:tr w:rsidR="0093441E" w:rsidRPr="002A7673" w14:paraId="24EC070B" w14:textId="77777777" w:rsidTr="0048334E">
        <w:trPr>
          <w:trHeight w:val="280"/>
        </w:trPr>
        <w:tc>
          <w:tcPr>
            <w:tcW w:w="6102" w:type="dxa"/>
            <w:tcBorders>
              <w:top w:val="nil"/>
              <w:left w:val="nil"/>
              <w:bottom w:val="single" w:sz="4" w:space="0" w:color="auto"/>
              <w:right w:val="single" w:sz="4" w:space="0" w:color="auto"/>
            </w:tcBorders>
            <w:shd w:val="clear" w:color="000000" w:fill="FFFFFF"/>
            <w:noWrap/>
            <w:vAlign w:val="bottom"/>
            <w:hideMark/>
          </w:tcPr>
          <w:p w14:paraId="641442B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02" w:type="dxa"/>
            <w:tcBorders>
              <w:top w:val="nil"/>
              <w:left w:val="nil"/>
              <w:bottom w:val="single" w:sz="4" w:space="0" w:color="auto"/>
              <w:right w:val="single" w:sz="4" w:space="0" w:color="auto"/>
            </w:tcBorders>
            <w:shd w:val="clear" w:color="000000" w:fill="FFFFFF"/>
            <w:vAlign w:val="center"/>
            <w:hideMark/>
          </w:tcPr>
          <w:p w14:paraId="7850567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c>
          <w:tcPr>
            <w:tcW w:w="1616" w:type="dxa"/>
            <w:tcBorders>
              <w:top w:val="nil"/>
              <w:left w:val="nil"/>
              <w:bottom w:val="single" w:sz="4" w:space="0" w:color="auto"/>
              <w:right w:val="nil"/>
            </w:tcBorders>
            <w:shd w:val="clear" w:color="000000" w:fill="FFFFFF"/>
            <w:vAlign w:val="center"/>
            <w:hideMark/>
          </w:tcPr>
          <w:p w14:paraId="3D13352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w:t>
            </w:r>
          </w:p>
        </w:tc>
      </w:tr>
      <w:tr w:rsidR="0093441E" w:rsidRPr="002A7673" w14:paraId="0D7FA8A7" w14:textId="77777777" w:rsidTr="0048334E">
        <w:trPr>
          <w:trHeight w:val="280"/>
        </w:trPr>
        <w:tc>
          <w:tcPr>
            <w:tcW w:w="7820" w:type="dxa"/>
            <w:gridSpan w:val="3"/>
            <w:tcBorders>
              <w:top w:val="single" w:sz="4" w:space="0" w:color="auto"/>
              <w:left w:val="nil"/>
              <w:bottom w:val="nil"/>
              <w:right w:val="nil"/>
            </w:tcBorders>
            <w:shd w:val="clear" w:color="000000" w:fill="FFFFFF"/>
            <w:vAlign w:val="bottom"/>
            <w:hideMark/>
          </w:tcPr>
          <w:p w14:paraId="0DD708F7"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b/>
                <w:bCs/>
                <w:color w:val="000000"/>
                <w:sz w:val="20"/>
                <w:szCs w:val="20"/>
                <w:lang w:eastAsia="es-CR"/>
              </w:rPr>
              <w:t>Fuente:</w:t>
            </w:r>
            <w:r w:rsidRPr="002A7673">
              <w:rPr>
                <w:rFonts w:ascii="Times New Roman" w:hAnsi="Times New Roman" w:cs="Times New Roman"/>
                <w:color w:val="000000"/>
                <w:sz w:val="20"/>
                <w:szCs w:val="20"/>
                <w:lang w:eastAsia="es-CR"/>
              </w:rPr>
              <w:t xml:space="preserve"> Elaborado por Subproceso de Presupuesto con datos del Subproceso de Estadística.</w:t>
            </w:r>
          </w:p>
        </w:tc>
      </w:tr>
    </w:tbl>
    <w:p w14:paraId="7575B5A1" w14:textId="5203A9DC" w:rsidR="0093441E" w:rsidRPr="002A7673" w:rsidRDefault="0093441E" w:rsidP="0093441E">
      <w:pPr>
        <w:spacing w:after="0" w:line="360" w:lineRule="auto"/>
        <w:rPr>
          <w:rFonts w:ascii="Times New Roman" w:hAnsi="Times New Roman" w:cs="Times New Roman"/>
          <w:color w:val="FF0000"/>
        </w:rPr>
      </w:pPr>
    </w:p>
    <w:p w14:paraId="03CFAAE6" w14:textId="77777777" w:rsidR="00022642" w:rsidRPr="002A7673" w:rsidRDefault="00022642" w:rsidP="00022642">
      <w:pPr>
        <w:spacing w:after="0" w:line="480" w:lineRule="auto"/>
        <w:jc w:val="both"/>
        <w:rPr>
          <w:rFonts w:ascii="Times New Roman" w:hAnsi="Times New Roman" w:cs="Times New Roman"/>
          <w:color w:val="000000" w:themeColor="text1"/>
          <w:sz w:val="28"/>
          <w:szCs w:val="28"/>
        </w:rPr>
      </w:pPr>
    </w:p>
    <w:p w14:paraId="224B3943" w14:textId="592ADC99"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t>A continuación</w:t>
      </w:r>
      <w:r w:rsidR="00022642" w:rsidRPr="002A7673">
        <w:rPr>
          <w:rFonts w:ascii="Times New Roman" w:hAnsi="Times New Roman" w:cs="Times New Roman"/>
          <w:color w:val="000000" w:themeColor="text1"/>
          <w:sz w:val="28"/>
          <w:szCs w:val="28"/>
        </w:rPr>
        <w:t>,</w:t>
      </w:r>
      <w:r w:rsidRPr="002A7673">
        <w:rPr>
          <w:rFonts w:ascii="Times New Roman" w:hAnsi="Times New Roman" w:cs="Times New Roman"/>
          <w:color w:val="000000" w:themeColor="text1"/>
          <w:sz w:val="28"/>
          <w:szCs w:val="28"/>
        </w:rPr>
        <w:t xml:space="preserve"> se detalla </w:t>
      </w:r>
      <w:r w:rsidRPr="002A7673">
        <w:rPr>
          <w:rFonts w:ascii="Times New Roman" w:hAnsi="Times New Roman" w:cs="Times New Roman"/>
          <w:bCs/>
          <w:color w:val="000000" w:themeColor="text1"/>
          <w:sz w:val="28"/>
          <w:szCs w:val="28"/>
        </w:rPr>
        <w:t>el escenario</w:t>
      </w:r>
      <w:r w:rsidRPr="002A7673">
        <w:rPr>
          <w:rFonts w:ascii="Times New Roman" w:hAnsi="Times New Roman" w:cs="Times New Roman"/>
          <w:color w:val="000000" w:themeColor="text1"/>
          <w:sz w:val="28"/>
          <w:szCs w:val="28"/>
        </w:rPr>
        <w:t xml:space="preserve"> de los casos más críticos dado el descenso presentado en su relación de casos terminados respecto a la cantidad de casos entrados.</w:t>
      </w:r>
    </w:p>
    <w:p w14:paraId="3AE07C55" w14:textId="77777777" w:rsidR="0093441E" w:rsidRPr="002A7673" w:rsidRDefault="0093441E" w:rsidP="00FF3FAC">
      <w:pPr>
        <w:numPr>
          <w:ilvl w:val="0"/>
          <w:numId w:val="31"/>
        </w:numPr>
        <w:tabs>
          <w:tab w:val="left" w:pos="284"/>
        </w:tabs>
        <w:spacing w:after="0" w:line="480" w:lineRule="auto"/>
        <w:ind w:left="0" w:firstLine="709"/>
        <w:jc w:val="both"/>
        <w:rPr>
          <w:rFonts w:ascii="Times New Roman" w:eastAsia="Times New Roman" w:hAnsi="Times New Roman" w:cs="Times New Roman"/>
          <w:b/>
          <w:sz w:val="28"/>
          <w:szCs w:val="28"/>
          <w:lang w:val="es-ES" w:eastAsia="es-ES"/>
        </w:rPr>
      </w:pPr>
      <w:r w:rsidRPr="002A7673">
        <w:rPr>
          <w:rFonts w:ascii="Times New Roman" w:eastAsia="Times New Roman" w:hAnsi="Times New Roman" w:cs="Times New Roman"/>
          <w:b/>
          <w:sz w:val="28"/>
          <w:szCs w:val="28"/>
          <w:lang w:val="es-ES" w:eastAsia="es-ES"/>
        </w:rPr>
        <w:t xml:space="preserve">Análisis del comportamiento interanual del balance general entre 2019 y 2020 para el centro de responsabilidad </w:t>
      </w:r>
      <w:r w:rsidRPr="002A7673">
        <w:rPr>
          <w:rFonts w:ascii="Times New Roman" w:eastAsia="Times New Roman" w:hAnsi="Times New Roman" w:cs="Times New Roman"/>
          <w:b/>
          <w:color w:val="000000" w:themeColor="text1"/>
          <w:sz w:val="28"/>
          <w:szCs w:val="28"/>
          <w:lang w:val="es-ES" w:eastAsia="es-ES"/>
        </w:rPr>
        <w:t xml:space="preserve">I </w:t>
      </w:r>
      <w:r w:rsidRPr="002A7673">
        <w:rPr>
          <w:rFonts w:ascii="Times New Roman" w:eastAsia="Times New Roman" w:hAnsi="Times New Roman" w:cs="Times New Roman"/>
          <w:b/>
          <w:sz w:val="28"/>
          <w:szCs w:val="28"/>
          <w:lang w:val="es-ES" w:eastAsia="es-ES"/>
        </w:rPr>
        <w:t>Circuito Judicial de San José</w:t>
      </w:r>
    </w:p>
    <w:p w14:paraId="510E9D2C" w14:textId="77777777" w:rsidR="0093441E" w:rsidRPr="002A7673" w:rsidRDefault="0093441E" w:rsidP="0093441E">
      <w:pPr>
        <w:spacing w:after="0" w:line="480" w:lineRule="auto"/>
        <w:ind w:firstLine="709"/>
        <w:jc w:val="both"/>
        <w:rPr>
          <w:rFonts w:ascii="Times New Roman" w:eastAsia="Times New Roman" w:hAnsi="Times New Roman" w:cs="Times New Roman"/>
          <w:b/>
          <w:sz w:val="28"/>
          <w:szCs w:val="28"/>
          <w:lang w:val="es-ES" w:eastAsia="es-ES"/>
        </w:rPr>
      </w:pPr>
      <w:r w:rsidRPr="002A7673">
        <w:rPr>
          <w:rFonts w:ascii="Times New Roman" w:eastAsia="Times New Roman" w:hAnsi="Times New Roman" w:cs="Times New Roman"/>
          <w:b/>
          <w:sz w:val="28"/>
          <w:szCs w:val="28"/>
          <w:lang w:val="es-ES" w:eastAsia="es-ES"/>
        </w:rPr>
        <w:t>Comparación del Balance General para el centro de responsabilidad I Circuito Judicial de San José, durante los años 2019-2020</w:t>
      </w:r>
    </w:p>
    <w:tbl>
      <w:tblPr>
        <w:tblW w:w="8075" w:type="dxa"/>
        <w:tblInd w:w="633" w:type="dxa"/>
        <w:tblCellMar>
          <w:left w:w="70" w:type="dxa"/>
          <w:right w:w="70" w:type="dxa"/>
        </w:tblCellMar>
        <w:tblLook w:val="04A0" w:firstRow="1" w:lastRow="0" w:firstColumn="1" w:lastColumn="0" w:noHBand="0" w:noVBand="1"/>
      </w:tblPr>
      <w:tblGrid>
        <w:gridCol w:w="2227"/>
        <w:gridCol w:w="1601"/>
        <w:gridCol w:w="1417"/>
        <w:gridCol w:w="1418"/>
        <w:gridCol w:w="1412"/>
      </w:tblGrid>
      <w:tr w:rsidR="0093441E" w:rsidRPr="002A7673" w14:paraId="3940ED9D" w14:textId="77777777" w:rsidTr="0048334E">
        <w:trPr>
          <w:trHeight w:val="300"/>
        </w:trPr>
        <w:tc>
          <w:tcPr>
            <w:tcW w:w="22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08816"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Variable estadística</w:t>
            </w:r>
          </w:p>
        </w:tc>
        <w:tc>
          <w:tcPr>
            <w:tcW w:w="30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7618B6E"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Año</w:t>
            </w:r>
          </w:p>
        </w:tc>
        <w:tc>
          <w:tcPr>
            <w:tcW w:w="283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42EFA31"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Variación</w:t>
            </w:r>
          </w:p>
        </w:tc>
      </w:tr>
      <w:tr w:rsidR="0093441E" w:rsidRPr="002A7673" w14:paraId="5080F5DA" w14:textId="77777777" w:rsidTr="0048334E">
        <w:trPr>
          <w:trHeight w:val="300"/>
        </w:trPr>
        <w:tc>
          <w:tcPr>
            <w:tcW w:w="222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E86246" w14:textId="77777777" w:rsidR="0093441E" w:rsidRPr="002A7673" w:rsidRDefault="0093441E" w:rsidP="0048334E">
            <w:pPr>
              <w:spacing w:after="0" w:line="240" w:lineRule="auto"/>
              <w:rPr>
                <w:rFonts w:ascii="Times New Roman" w:hAnsi="Times New Roman" w:cs="Times New Roman"/>
                <w:b/>
                <w:bCs/>
                <w:color w:val="000000" w:themeColor="text1"/>
                <w:lang w:eastAsia="es-CR"/>
              </w:rPr>
            </w:pPr>
          </w:p>
        </w:tc>
        <w:tc>
          <w:tcPr>
            <w:tcW w:w="1601" w:type="dxa"/>
            <w:tcBorders>
              <w:top w:val="nil"/>
              <w:left w:val="nil"/>
              <w:bottom w:val="single" w:sz="4" w:space="0" w:color="auto"/>
              <w:right w:val="single" w:sz="4" w:space="0" w:color="auto"/>
            </w:tcBorders>
            <w:shd w:val="clear" w:color="auto" w:fill="auto"/>
            <w:noWrap/>
            <w:vAlign w:val="bottom"/>
            <w:hideMark/>
          </w:tcPr>
          <w:p w14:paraId="100EE0CA"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2019</w:t>
            </w:r>
          </w:p>
        </w:tc>
        <w:tc>
          <w:tcPr>
            <w:tcW w:w="1417" w:type="dxa"/>
            <w:tcBorders>
              <w:top w:val="nil"/>
              <w:left w:val="nil"/>
              <w:bottom w:val="single" w:sz="4" w:space="0" w:color="auto"/>
              <w:right w:val="single" w:sz="4" w:space="0" w:color="auto"/>
            </w:tcBorders>
            <w:shd w:val="clear" w:color="auto" w:fill="auto"/>
            <w:noWrap/>
            <w:vAlign w:val="bottom"/>
            <w:hideMark/>
          </w:tcPr>
          <w:p w14:paraId="25D25231"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2020</w:t>
            </w:r>
          </w:p>
        </w:tc>
        <w:tc>
          <w:tcPr>
            <w:tcW w:w="1418" w:type="dxa"/>
            <w:tcBorders>
              <w:top w:val="nil"/>
              <w:left w:val="nil"/>
              <w:bottom w:val="single" w:sz="4" w:space="0" w:color="auto"/>
              <w:right w:val="single" w:sz="4" w:space="0" w:color="auto"/>
            </w:tcBorders>
            <w:shd w:val="clear" w:color="auto" w:fill="auto"/>
            <w:noWrap/>
            <w:vAlign w:val="bottom"/>
            <w:hideMark/>
          </w:tcPr>
          <w:p w14:paraId="10A7ED1B"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Absoluta</w:t>
            </w:r>
          </w:p>
        </w:tc>
        <w:tc>
          <w:tcPr>
            <w:tcW w:w="1412" w:type="dxa"/>
            <w:tcBorders>
              <w:top w:val="nil"/>
              <w:left w:val="nil"/>
              <w:bottom w:val="single" w:sz="4" w:space="0" w:color="auto"/>
              <w:right w:val="single" w:sz="4" w:space="0" w:color="auto"/>
            </w:tcBorders>
            <w:shd w:val="clear" w:color="auto" w:fill="auto"/>
            <w:noWrap/>
            <w:vAlign w:val="bottom"/>
            <w:hideMark/>
          </w:tcPr>
          <w:p w14:paraId="153FED58"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Relativa</w:t>
            </w:r>
          </w:p>
        </w:tc>
      </w:tr>
      <w:tr w:rsidR="0093441E" w:rsidRPr="002A7673" w14:paraId="7735DBD2" w14:textId="77777777" w:rsidTr="0048334E">
        <w:trPr>
          <w:trHeight w:val="300"/>
        </w:trPr>
        <w:tc>
          <w:tcPr>
            <w:tcW w:w="2227" w:type="dxa"/>
            <w:tcBorders>
              <w:top w:val="nil"/>
              <w:left w:val="single" w:sz="4" w:space="0" w:color="auto"/>
              <w:bottom w:val="single" w:sz="4" w:space="0" w:color="auto"/>
              <w:right w:val="single" w:sz="4" w:space="0" w:color="auto"/>
            </w:tcBorders>
            <w:shd w:val="clear" w:color="auto" w:fill="auto"/>
            <w:noWrap/>
            <w:vAlign w:val="bottom"/>
            <w:hideMark/>
          </w:tcPr>
          <w:p w14:paraId="7E647E7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Circulante inicial</w:t>
            </w:r>
          </w:p>
        </w:tc>
        <w:tc>
          <w:tcPr>
            <w:tcW w:w="1601" w:type="dxa"/>
            <w:tcBorders>
              <w:top w:val="nil"/>
              <w:left w:val="nil"/>
              <w:bottom w:val="single" w:sz="4" w:space="0" w:color="auto"/>
              <w:right w:val="single" w:sz="4" w:space="0" w:color="auto"/>
            </w:tcBorders>
            <w:shd w:val="clear" w:color="auto" w:fill="auto"/>
            <w:noWrap/>
            <w:vAlign w:val="bottom"/>
            <w:hideMark/>
          </w:tcPr>
          <w:p w14:paraId="7054860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361 423</w:t>
            </w:r>
          </w:p>
        </w:tc>
        <w:tc>
          <w:tcPr>
            <w:tcW w:w="1417" w:type="dxa"/>
            <w:tcBorders>
              <w:top w:val="nil"/>
              <w:left w:val="nil"/>
              <w:bottom w:val="single" w:sz="4" w:space="0" w:color="auto"/>
              <w:right w:val="single" w:sz="4" w:space="0" w:color="auto"/>
            </w:tcBorders>
            <w:shd w:val="clear" w:color="auto" w:fill="auto"/>
            <w:noWrap/>
            <w:vAlign w:val="bottom"/>
            <w:hideMark/>
          </w:tcPr>
          <w:p w14:paraId="75A5A80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345 778</w:t>
            </w:r>
          </w:p>
        </w:tc>
        <w:tc>
          <w:tcPr>
            <w:tcW w:w="1418" w:type="dxa"/>
            <w:tcBorders>
              <w:top w:val="nil"/>
              <w:left w:val="nil"/>
              <w:bottom w:val="single" w:sz="4" w:space="0" w:color="auto"/>
              <w:right w:val="single" w:sz="4" w:space="0" w:color="auto"/>
            </w:tcBorders>
            <w:shd w:val="clear" w:color="auto" w:fill="auto"/>
            <w:noWrap/>
            <w:vAlign w:val="center"/>
            <w:hideMark/>
          </w:tcPr>
          <w:p w14:paraId="6F2D1D3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-15 645</w:t>
            </w:r>
          </w:p>
        </w:tc>
        <w:tc>
          <w:tcPr>
            <w:tcW w:w="1412" w:type="dxa"/>
            <w:tcBorders>
              <w:top w:val="nil"/>
              <w:left w:val="nil"/>
              <w:bottom w:val="single" w:sz="4" w:space="0" w:color="auto"/>
              <w:right w:val="single" w:sz="4" w:space="0" w:color="auto"/>
            </w:tcBorders>
            <w:shd w:val="clear" w:color="auto" w:fill="auto"/>
            <w:noWrap/>
            <w:vAlign w:val="center"/>
            <w:hideMark/>
          </w:tcPr>
          <w:p w14:paraId="30C7AC9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-4,33%</w:t>
            </w:r>
          </w:p>
        </w:tc>
      </w:tr>
      <w:tr w:rsidR="0093441E" w:rsidRPr="002A7673" w14:paraId="18C917F6" w14:textId="77777777" w:rsidTr="0048334E">
        <w:trPr>
          <w:trHeight w:val="300"/>
        </w:trPr>
        <w:tc>
          <w:tcPr>
            <w:tcW w:w="2227" w:type="dxa"/>
            <w:tcBorders>
              <w:top w:val="nil"/>
              <w:left w:val="single" w:sz="4" w:space="0" w:color="auto"/>
              <w:bottom w:val="single" w:sz="4" w:space="0" w:color="auto"/>
              <w:right w:val="single" w:sz="4" w:space="0" w:color="auto"/>
            </w:tcBorders>
            <w:shd w:val="clear" w:color="auto" w:fill="auto"/>
            <w:noWrap/>
            <w:vAlign w:val="bottom"/>
            <w:hideMark/>
          </w:tcPr>
          <w:p w14:paraId="683F10D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Entrados</w:t>
            </w:r>
          </w:p>
        </w:tc>
        <w:tc>
          <w:tcPr>
            <w:tcW w:w="1601" w:type="dxa"/>
            <w:tcBorders>
              <w:top w:val="nil"/>
              <w:left w:val="nil"/>
              <w:bottom w:val="single" w:sz="4" w:space="0" w:color="auto"/>
              <w:right w:val="single" w:sz="4" w:space="0" w:color="auto"/>
            </w:tcBorders>
            <w:shd w:val="clear" w:color="auto" w:fill="auto"/>
            <w:noWrap/>
            <w:vAlign w:val="bottom"/>
            <w:hideMark/>
          </w:tcPr>
          <w:p w14:paraId="56768E4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145 345</w:t>
            </w:r>
          </w:p>
        </w:tc>
        <w:tc>
          <w:tcPr>
            <w:tcW w:w="1417" w:type="dxa"/>
            <w:tcBorders>
              <w:top w:val="nil"/>
              <w:left w:val="nil"/>
              <w:bottom w:val="single" w:sz="4" w:space="0" w:color="auto"/>
              <w:right w:val="single" w:sz="4" w:space="0" w:color="auto"/>
            </w:tcBorders>
            <w:shd w:val="clear" w:color="auto" w:fill="auto"/>
            <w:noWrap/>
            <w:vAlign w:val="bottom"/>
            <w:hideMark/>
          </w:tcPr>
          <w:p w14:paraId="1D3D292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120 293</w:t>
            </w:r>
          </w:p>
        </w:tc>
        <w:tc>
          <w:tcPr>
            <w:tcW w:w="1418" w:type="dxa"/>
            <w:tcBorders>
              <w:top w:val="nil"/>
              <w:left w:val="nil"/>
              <w:bottom w:val="single" w:sz="4" w:space="0" w:color="auto"/>
              <w:right w:val="single" w:sz="4" w:space="0" w:color="auto"/>
            </w:tcBorders>
            <w:shd w:val="clear" w:color="auto" w:fill="auto"/>
            <w:noWrap/>
            <w:vAlign w:val="center"/>
            <w:hideMark/>
          </w:tcPr>
          <w:p w14:paraId="4E5FFA6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-25 052</w:t>
            </w:r>
          </w:p>
        </w:tc>
        <w:tc>
          <w:tcPr>
            <w:tcW w:w="1412" w:type="dxa"/>
            <w:tcBorders>
              <w:top w:val="nil"/>
              <w:left w:val="nil"/>
              <w:bottom w:val="single" w:sz="4" w:space="0" w:color="auto"/>
              <w:right w:val="single" w:sz="4" w:space="0" w:color="auto"/>
            </w:tcBorders>
            <w:shd w:val="clear" w:color="auto" w:fill="auto"/>
            <w:noWrap/>
            <w:vAlign w:val="center"/>
            <w:hideMark/>
          </w:tcPr>
          <w:p w14:paraId="531647B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-17,24%</w:t>
            </w:r>
          </w:p>
        </w:tc>
      </w:tr>
      <w:tr w:rsidR="0093441E" w:rsidRPr="002A7673" w14:paraId="010EF131" w14:textId="77777777" w:rsidTr="0048334E">
        <w:trPr>
          <w:trHeight w:val="300"/>
        </w:trPr>
        <w:tc>
          <w:tcPr>
            <w:tcW w:w="2227" w:type="dxa"/>
            <w:tcBorders>
              <w:top w:val="nil"/>
              <w:left w:val="single" w:sz="4" w:space="0" w:color="auto"/>
              <w:bottom w:val="single" w:sz="4" w:space="0" w:color="auto"/>
              <w:right w:val="single" w:sz="4" w:space="0" w:color="auto"/>
            </w:tcBorders>
            <w:shd w:val="clear" w:color="auto" w:fill="auto"/>
            <w:noWrap/>
            <w:vAlign w:val="bottom"/>
            <w:hideMark/>
          </w:tcPr>
          <w:p w14:paraId="75A8F6D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Reactivados</w:t>
            </w:r>
          </w:p>
        </w:tc>
        <w:tc>
          <w:tcPr>
            <w:tcW w:w="1601" w:type="dxa"/>
            <w:tcBorders>
              <w:top w:val="nil"/>
              <w:left w:val="nil"/>
              <w:bottom w:val="single" w:sz="4" w:space="0" w:color="auto"/>
              <w:right w:val="single" w:sz="4" w:space="0" w:color="auto"/>
            </w:tcBorders>
            <w:shd w:val="clear" w:color="auto" w:fill="auto"/>
            <w:noWrap/>
            <w:vAlign w:val="bottom"/>
            <w:hideMark/>
          </w:tcPr>
          <w:p w14:paraId="6E131C2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13 788</w:t>
            </w:r>
          </w:p>
        </w:tc>
        <w:tc>
          <w:tcPr>
            <w:tcW w:w="1417" w:type="dxa"/>
            <w:tcBorders>
              <w:top w:val="nil"/>
              <w:left w:val="nil"/>
              <w:bottom w:val="single" w:sz="4" w:space="0" w:color="auto"/>
              <w:right w:val="single" w:sz="4" w:space="0" w:color="auto"/>
            </w:tcBorders>
            <w:shd w:val="clear" w:color="auto" w:fill="auto"/>
            <w:noWrap/>
            <w:vAlign w:val="bottom"/>
            <w:hideMark/>
          </w:tcPr>
          <w:p w14:paraId="6E2AFF7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9 593</w:t>
            </w:r>
          </w:p>
        </w:tc>
        <w:tc>
          <w:tcPr>
            <w:tcW w:w="1418" w:type="dxa"/>
            <w:tcBorders>
              <w:top w:val="nil"/>
              <w:left w:val="nil"/>
              <w:bottom w:val="single" w:sz="4" w:space="0" w:color="auto"/>
              <w:right w:val="single" w:sz="4" w:space="0" w:color="auto"/>
            </w:tcBorders>
            <w:shd w:val="clear" w:color="auto" w:fill="auto"/>
            <w:noWrap/>
            <w:vAlign w:val="center"/>
            <w:hideMark/>
          </w:tcPr>
          <w:p w14:paraId="0297849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-4 195</w:t>
            </w:r>
          </w:p>
        </w:tc>
        <w:tc>
          <w:tcPr>
            <w:tcW w:w="1412" w:type="dxa"/>
            <w:tcBorders>
              <w:top w:val="nil"/>
              <w:left w:val="nil"/>
              <w:bottom w:val="single" w:sz="4" w:space="0" w:color="auto"/>
              <w:right w:val="single" w:sz="4" w:space="0" w:color="auto"/>
            </w:tcBorders>
            <w:shd w:val="clear" w:color="auto" w:fill="auto"/>
            <w:noWrap/>
            <w:vAlign w:val="center"/>
            <w:hideMark/>
          </w:tcPr>
          <w:p w14:paraId="09C5B72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-30,43%</w:t>
            </w:r>
          </w:p>
        </w:tc>
      </w:tr>
      <w:tr w:rsidR="0093441E" w:rsidRPr="002A7673" w14:paraId="169C5782" w14:textId="77777777" w:rsidTr="0048334E">
        <w:trPr>
          <w:trHeight w:val="300"/>
        </w:trPr>
        <w:tc>
          <w:tcPr>
            <w:tcW w:w="2227" w:type="dxa"/>
            <w:tcBorders>
              <w:top w:val="nil"/>
              <w:left w:val="single" w:sz="4" w:space="0" w:color="auto"/>
              <w:bottom w:val="single" w:sz="4" w:space="0" w:color="auto"/>
              <w:right w:val="single" w:sz="4" w:space="0" w:color="auto"/>
            </w:tcBorders>
            <w:shd w:val="clear" w:color="auto" w:fill="auto"/>
            <w:noWrap/>
            <w:vAlign w:val="bottom"/>
            <w:hideMark/>
          </w:tcPr>
          <w:p w14:paraId="35478F8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Reentrados</w:t>
            </w:r>
          </w:p>
        </w:tc>
        <w:tc>
          <w:tcPr>
            <w:tcW w:w="1601" w:type="dxa"/>
            <w:tcBorders>
              <w:top w:val="nil"/>
              <w:left w:val="nil"/>
              <w:bottom w:val="single" w:sz="4" w:space="0" w:color="auto"/>
              <w:right w:val="single" w:sz="4" w:space="0" w:color="auto"/>
            </w:tcBorders>
            <w:shd w:val="clear" w:color="auto" w:fill="auto"/>
            <w:noWrap/>
            <w:vAlign w:val="bottom"/>
            <w:hideMark/>
          </w:tcPr>
          <w:p w14:paraId="1559009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16 120</w:t>
            </w:r>
          </w:p>
        </w:tc>
        <w:tc>
          <w:tcPr>
            <w:tcW w:w="1417" w:type="dxa"/>
            <w:tcBorders>
              <w:top w:val="nil"/>
              <w:left w:val="nil"/>
              <w:bottom w:val="single" w:sz="4" w:space="0" w:color="auto"/>
              <w:right w:val="single" w:sz="4" w:space="0" w:color="auto"/>
            </w:tcBorders>
            <w:shd w:val="clear" w:color="auto" w:fill="auto"/>
            <w:noWrap/>
            <w:vAlign w:val="bottom"/>
            <w:hideMark/>
          </w:tcPr>
          <w:p w14:paraId="127960B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28 389</w:t>
            </w:r>
          </w:p>
        </w:tc>
        <w:tc>
          <w:tcPr>
            <w:tcW w:w="1418" w:type="dxa"/>
            <w:tcBorders>
              <w:top w:val="nil"/>
              <w:left w:val="nil"/>
              <w:bottom w:val="single" w:sz="4" w:space="0" w:color="auto"/>
              <w:right w:val="single" w:sz="4" w:space="0" w:color="auto"/>
            </w:tcBorders>
            <w:shd w:val="clear" w:color="auto" w:fill="auto"/>
            <w:noWrap/>
            <w:vAlign w:val="center"/>
            <w:hideMark/>
          </w:tcPr>
          <w:p w14:paraId="557F135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12 269</w:t>
            </w:r>
          </w:p>
        </w:tc>
        <w:tc>
          <w:tcPr>
            <w:tcW w:w="1412" w:type="dxa"/>
            <w:tcBorders>
              <w:top w:val="nil"/>
              <w:left w:val="nil"/>
              <w:bottom w:val="single" w:sz="4" w:space="0" w:color="auto"/>
              <w:right w:val="single" w:sz="4" w:space="0" w:color="auto"/>
            </w:tcBorders>
            <w:shd w:val="clear" w:color="auto" w:fill="auto"/>
            <w:noWrap/>
            <w:vAlign w:val="center"/>
            <w:hideMark/>
          </w:tcPr>
          <w:p w14:paraId="0716F40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76,11%</w:t>
            </w:r>
          </w:p>
        </w:tc>
      </w:tr>
      <w:tr w:rsidR="0093441E" w:rsidRPr="002A7673" w14:paraId="1A6C82F1" w14:textId="77777777" w:rsidTr="0048334E">
        <w:trPr>
          <w:trHeight w:val="300"/>
        </w:trPr>
        <w:tc>
          <w:tcPr>
            <w:tcW w:w="2227" w:type="dxa"/>
            <w:tcBorders>
              <w:top w:val="nil"/>
              <w:left w:val="single" w:sz="4" w:space="0" w:color="auto"/>
              <w:bottom w:val="single" w:sz="4" w:space="0" w:color="auto"/>
              <w:right w:val="single" w:sz="4" w:space="0" w:color="auto"/>
            </w:tcBorders>
            <w:shd w:val="clear" w:color="auto" w:fill="auto"/>
            <w:noWrap/>
            <w:vAlign w:val="bottom"/>
            <w:hideMark/>
          </w:tcPr>
          <w:p w14:paraId="06D5DB1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Testimonios de pieza</w:t>
            </w:r>
          </w:p>
        </w:tc>
        <w:tc>
          <w:tcPr>
            <w:tcW w:w="1601" w:type="dxa"/>
            <w:tcBorders>
              <w:top w:val="nil"/>
              <w:left w:val="nil"/>
              <w:bottom w:val="single" w:sz="4" w:space="0" w:color="auto"/>
              <w:right w:val="single" w:sz="4" w:space="0" w:color="auto"/>
            </w:tcBorders>
            <w:shd w:val="clear" w:color="auto" w:fill="auto"/>
            <w:noWrap/>
            <w:vAlign w:val="bottom"/>
            <w:hideMark/>
          </w:tcPr>
          <w:p w14:paraId="5542B20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1 102</w:t>
            </w:r>
          </w:p>
        </w:tc>
        <w:tc>
          <w:tcPr>
            <w:tcW w:w="1417" w:type="dxa"/>
            <w:tcBorders>
              <w:top w:val="nil"/>
              <w:left w:val="nil"/>
              <w:bottom w:val="single" w:sz="4" w:space="0" w:color="auto"/>
              <w:right w:val="single" w:sz="4" w:space="0" w:color="auto"/>
            </w:tcBorders>
            <w:shd w:val="clear" w:color="auto" w:fill="auto"/>
            <w:noWrap/>
            <w:vAlign w:val="bottom"/>
            <w:hideMark/>
          </w:tcPr>
          <w:p w14:paraId="7AB5C5D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1 064</w:t>
            </w:r>
          </w:p>
        </w:tc>
        <w:tc>
          <w:tcPr>
            <w:tcW w:w="1418" w:type="dxa"/>
            <w:tcBorders>
              <w:top w:val="nil"/>
              <w:left w:val="nil"/>
              <w:bottom w:val="single" w:sz="4" w:space="0" w:color="auto"/>
              <w:right w:val="single" w:sz="4" w:space="0" w:color="auto"/>
            </w:tcBorders>
            <w:shd w:val="clear" w:color="auto" w:fill="auto"/>
            <w:noWrap/>
            <w:vAlign w:val="center"/>
            <w:hideMark/>
          </w:tcPr>
          <w:p w14:paraId="2A737B2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-38</w:t>
            </w:r>
          </w:p>
        </w:tc>
        <w:tc>
          <w:tcPr>
            <w:tcW w:w="1412" w:type="dxa"/>
            <w:tcBorders>
              <w:top w:val="nil"/>
              <w:left w:val="nil"/>
              <w:bottom w:val="single" w:sz="4" w:space="0" w:color="auto"/>
              <w:right w:val="single" w:sz="4" w:space="0" w:color="auto"/>
            </w:tcBorders>
            <w:shd w:val="clear" w:color="auto" w:fill="auto"/>
            <w:noWrap/>
            <w:vAlign w:val="center"/>
            <w:hideMark/>
          </w:tcPr>
          <w:p w14:paraId="2B48944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-3,45%</w:t>
            </w:r>
          </w:p>
        </w:tc>
      </w:tr>
      <w:tr w:rsidR="0093441E" w:rsidRPr="002A7673" w14:paraId="1DB1C80D" w14:textId="77777777" w:rsidTr="0048334E">
        <w:trPr>
          <w:trHeight w:val="300"/>
        </w:trPr>
        <w:tc>
          <w:tcPr>
            <w:tcW w:w="2227" w:type="dxa"/>
            <w:tcBorders>
              <w:top w:val="nil"/>
              <w:left w:val="single" w:sz="4" w:space="0" w:color="auto"/>
              <w:bottom w:val="single" w:sz="4" w:space="0" w:color="auto"/>
              <w:right w:val="single" w:sz="4" w:space="0" w:color="auto"/>
            </w:tcBorders>
            <w:shd w:val="clear" w:color="auto" w:fill="auto"/>
            <w:noWrap/>
            <w:vAlign w:val="bottom"/>
            <w:hideMark/>
          </w:tcPr>
          <w:p w14:paraId="4FE81EA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Terminados</w:t>
            </w:r>
          </w:p>
        </w:tc>
        <w:tc>
          <w:tcPr>
            <w:tcW w:w="1601" w:type="dxa"/>
            <w:tcBorders>
              <w:top w:val="nil"/>
              <w:left w:val="nil"/>
              <w:bottom w:val="single" w:sz="4" w:space="0" w:color="auto"/>
              <w:right w:val="single" w:sz="4" w:space="0" w:color="auto"/>
            </w:tcBorders>
            <w:shd w:val="clear" w:color="auto" w:fill="auto"/>
            <w:noWrap/>
            <w:vAlign w:val="bottom"/>
            <w:hideMark/>
          </w:tcPr>
          <w:p w14:paraId="16ECFB5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120 665</w:t>
            </w:r>
          </w:p>
        </w:tc>
        <w:tc>
          <w:tcPr>
            <w:tcW w:w="1417" w:type="dxa"/>
            <w:tcBorders>
              <w:top w:val="nil"/>
              <w:left w:val="nil"/>
              <w:bottom w:val="single" w:sz="4" w:space="0" w:color="auto"/>
              <w:right w:val="single" w:sz="4" w:space="0" w:color="auto"/>
            </w:tcBorders>
            <w:shd w:val="clear" w:color="auto" w:fill="auto"/>
            <w:noWrap/>
            <w:vAlign w:val="bottom"/>
            <w:hideMark/>
          </w:tcPr>
          <w:p w14:paraId="1C72BFB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98 363</w:t>
            </w:r>
          </w:p>
        </w:tc>
        <w:tc>
          <w:tcPr>
            <w:tcW w:w="1418" w:type="dxa"/>
            <w:tcBorders>
              <w:top w:val="nil"/>
              <w:left w:val="nil"/>
              <w:bottom w:val="single" w:sz="4" w:space="0" w:color="auto"/>
              <w:right w:val="single" w:sz="4" w:space="0" w:color="auto"/>
            </w:tcBorders>
            <w:shd w:val="clear" w:color="auto" w:fill="auto"/>
            <w:noWrap/>
            <w:vAlign w:val="center"/>
            <w:hideMark/>
          </w:tcPr>
          <w:p w14:paraId="7931FFD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-22 302</w:t>
            </w:r>
          </w:p>
        </w:tc>
        <w:tc>
          <w:tcPr>
            <w:tcW w:w="1412" w:type="dxa"/>
            <w:tcBorders>
              <w:top w:val="nil"/>
              <w:left w:val="nil"/>
              <w:bottom w:val="single" w:sz="4" w:space="0" w:color="auto"/>
              <w:right w:val="single" w:sz="4" w:space="0" w:color="auto"/>
            </w:tcBorders>
            <w:shd w:val="clear" w:color="auto" w:fill="auto"/>
            <w:noWrap/>
            <w:vAlign w:val="center"/>
            <w:hideMark/>
          </w:tcPr>
          <w:p w14:paraId="0E318B1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-18,48%</w:t>
            </w:r>
          </w:p>
        </w:tc>
      </w:tr>
      <w:tr w:rsidR="0093441E" w:rsidRPr="002A7673" w14:paraId="3EDAF9A5" w14:textId="77777777" w:rsidTr="0048334E">
        <w:trPr>
          <w:trHeight w:val="300"/>
        </w:trPr>
        <w:tc>
          <w:tcPr>
            <w:tcW w:w="2227" w:type="dxa"/>
            <w:tcBorders>
              <w:top w:val="nil"/>
              <w:left w:val="single" w:sz="4" w:space="0" w:color="auto"/>
              <w:bottom w:val="single" w:sz="4" w:space="0" w:color="auto"/>
              <w:right w:val="single" w:sz="4" w:space="0" w:color="auto"/>
            </w:tcBorders>
            <w:shd w:val="clear" w:color="auto" w:fill="auto"/>
            <w:noWrap/>
            <w:vAlign w:val="bottom"/>
            <w:hideMark/>
          </w:tcPr>
          <w:p w14:paraId="4854544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Inactivos</w:t>
            </w:r>
          </w:p>
        </w:tc>
        <w:tc>
          <w:tcPr>
            <w:tcW w:w="1601" w:type="dxa"/>
            <w:tcBorders>
              <w:top w:val="nil"/>
              <w:left w:val="nil"/>
              <w:bottom w:val="single" w:sz="4" w:space="0" w:color="auto"/>
              <w:right w:val="single" w:sz="4" w:space="0" w:color="auto"/>
            </w:tcBorders>
            <w:shd w:val="clear" w:color="auto" w:fill="auto"/>
            <w:noWrap/>
            <w:vAlign w:val="bottom"/>
            <w:hideMark/>
          </w:tcPr>
          <w:p w14:paraId="6631A1B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71 712</w:t>
            </w:r>
          </w:p>
        </w:tc>
        <w:tc>
          <w:tcPr>
            <w:tcW w:w="1417" w:type="dxa"/>
            <w:tcBorders>
              <w:top w:val="nil"/>
              <w:left w:val="nil"/>
              <w:bottom w:val="single" w:sz="4" w:space="0" w:color="auto"/>
              <w:right w:val="single" w:sz="4" w:space="0" w:color="auto"/>
            </w:tcBorders>
            <w:shd w:val="clear" w:color="auto" w:fill="auto"/>
            <w:noWrap/>
            <w:vAlign w:val="bottom"/>
            <w:hideMark/>
          </w:tcPr>
          <w:p w14:paraId="19161B1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31 562</w:t>
            </w:r>
          </w:p>
        </w:tc>
        <w:tc>
          <w:tcPr>
            <w:tcW w:w="1418" w:type="dxa"/>
            <w:tcBorders>
              <w:top w:val="nil"/>
              <w:left w:val="nil"/>
              <w:bottom w:val="single" w:sz="4" w:space="0" w:color="auto"/>
              <w:right w:val="single" w:sz="4" w:space="0" w:color="auto"/>
            </w:tcBorders>
            <w:shd w:val="clear" w:color="auto" w:fill="auto"/>
            <w:noWrap/>
            <w:vAlign w:val="center"/>
            <w:hideMark/>
          </w:tcPr>
          <w:p w14:paraId="0018FB0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-40 150</w:t>
            </w:r>
          </w:p>
        </w:tc>
        <w:tc>
          <w:tcPr>
            <w:tcW w:w="1412" w:type="dxa"/>
            <w:tcBorders>
              <w:top w:val="nil"/>
              <w:left w:val="nil"/>
              <w:bottom w:val="single" w:sz="4" w:space="0" w:color="auto"/>
              <w:right w:val="single" w:sz="4" w:space="0" w:color="auto"/>
            </w:tcBorders>
            <w:shd w:val="clear" w:color="auto" w:fill="auto"/>
            <w:noWrap/>
            <w:vAlign w:val="center"/>
            <w:hideMark/>
          </w:tcPr>
          <w:p w14:paraId="5962D03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-55,99%</w:t>
            </w:r>
          </w:p>
        </w:tc>
      </w:tr>
      <w:tr w:rsidR="0093441E" w:rsidRPr="002A7673" w14:paraId="0025959A" w14:textId="77777777" w:rsidTr="0048334E">
        <w:trPr>
          <w:trHeight w:val="300"/>
        </w:trPr>
        <w:tc>
          <w:tcPr>
            <w:tcW w:w="2227" w:type="dxa"/>
            <w:tcBorders>
              <w:top w:val="nil"/>
              <w:left w:val="single" w:sz="4" w:space="0" w:color="auto"/>
              <w:bottom w:val="single" w:sz="4" w:space="0" w:color="auto"/>
              <w:right w:val="single" w:sz="4" w:space="0" w:color="auto"/>
            </w:tcBorders>
            <w:shd w:val="clear" w:color="auto" w:fill="auto"/>
            <w:noWrap/>
            <w:vAlign w:val="bottom"/>
            <w:hideMark/>
          </w:tcPr>
          <w:p w14:paraId="71A7F55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Circulante final</w:t>
            </w:r>
          </w:p>
        </w:tc>
        <w:tc>
          <w:tcPr>
            <w:tcW w:w="1601" w:type="dxa"/>
            <w:tcBorders>
              <w:top w:val="nil"/>
              <w:left w:val="nil"/>
              <w:bottom w:val="single" w:sz="4" w:space="0" w:color="auto"/>
              <w:right w:val="single" w:sz="4" w:space="0" w:color="auto"/>
            </w:tcBorders>
            <w:shd w:val="clear" w:color="auto" w:fill="auto"/>
            <w:noWrap/>
            <w:vAlign w:val="bottom"/>
            <w:hideMark/>
          </w:tcPr>
          <w:p w14:paraId="537D33D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338 245</w:t>
            </w:r>
          </w:p>
        </w:tc>
        <w:tc>
          <w:tcPr>
            <w:tcW w:w="1417" w:type="dxa"/>
            <w:tcBorders>
              <w:top w:val="nil"/>
              <w:left w:val="nil"/>
              <w:bottom w:val="single" w:sz="4" w:space="0" w:color="auto"/>
              <w:right w:val="single" w:sz="4" w:space="0" w:color="auto"/>
            </w:tcBorders>
            <w:shd w:val="clear" w:color="auto" w:fill="auto"/>
            <w:noWrap/>
            <w:vAlign w:val="bottom"/>
            <w:hideMark/>
          </w:tcPr>
          <w:p w14:paraId="0539F84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375 095</w:t>
            </w:r>
          </w:p>
        </w:tc>
        <w:tc>
          <w:tcPr>
            <w:tcW w:w="1418" w:type="dxa"/>
            <w:tcBorders>
              <w:top w:val="nil"/>
              <w:left w:val="nil"/>
              <w:bottom w:val="single" w:sz="4" w:space="0" w:color="auto"/>
              <w:right w:val="single" w:sz="4" w:space="0" w:color="auto"/>
            </w:tcBorders>
            <w:shd w:val="clear" w:color="auto" w:fill="auto"/>
            <w:noWrap/>
            <w:vAlign w:val="center"/>
            <w:hideMark/>
          </w:tcPr>
          <w:p w14:paraId="1BF762D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36 850</w:t>
            </w:r>
          </w:p>
        </w:tc>
        <w:tc>
          <w:tcPr>
            <w:tcW w:w="1412" w:type="dxa"/>
            <w:tcBorders>
              <w:top w:val="nil"/>
              <w:left w:val="nil"/>
              <w:bottom w:val="single" w:sz="4" w:space="0" w:color="auto"/>
              <w:right w:val="single" w:sz="4" w:space="0" w:color="auto"/>
            </w:tcBorders>
            <w:shd w:val="clear" w:color="auto" w:fill="auto"/>
            <w:noWrap/>
            <w:vAlign w:val="center"/>
            <w:hideMark/>
          </w:tcPr>
          <w:p w14:paraId="7C98774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10,89%</w:t>
            </w:r>
          </w:p>
        </w:tc>
      </w:tr>
    </w:tbl>
    <w:p w14:paraId="3CE8D324" w14:textId="77777777" w:rsidR="0093441E" w:rsidRPr="002A7673" w:rsidRDefault="0093441E" w:rsidP="0093441E">
      <w:pPr>
        <w:spacing w:after="0" w:line="360" w:lineRule="auto"/>
        <w:rPr>
          <w:rFonts w:ascii="Times New Roman" w:hAnsi="Times New Roman" w:cs="Times New Roman"/>
          <w:sz w:val="20"/>
          <w:szCs w:val="20"/>
        </w:rPr>
      </w:pPr>
      <w:r w:rsidRPr="002A7673">
        <w:rPr>
          <w:rFonts w:ascii="Times New Roman" w:hAnsi="Times New Roman" w:cs="Times New Roman"/>
        </w:rPr>
        <w:tab/>
      </w: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Subproceso de Estadística, Dirección de Planificación, Poder Judicial.</w:t>
      </w:r>
    </w:p>
    <w:p w14:paraId="4AF8EDA3" w14:textId="77777777" w:rsidR="0093441E" w:rsidRPr="002A7673" w:rsidRDefault="0093441E" w:rsidP="0093441E">
      <w:pPr>
        <w:spacing w:after="0" w:line="360" w:lineRule="auto"/>
        <w:rPr>
          <w:rFonts w:ascii="Times New Roman" w:hAnsi="Times New Roman" w:cs="Times New Roman"/>
        </w:rPr>
      </w:pPr>
    </w:p>
    <w:p w14:paraId="4AC15B1C"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El ingreso de nuevos casos muestra un comportamiento descendente en 2020, al pasar de 145.345 a 120.293 asuntos, es decir; se disminuye en 25.052 expedientes, lo que consecuentemente le significó a este Centro de Responsabilidad un decrecimiento de su carga de trabajo del orden del 17,24%. Las razones asociadas a dicho comportamiento se encuentran generalizadas en la mayoría de los despachos, producto de la reducción en la afluencia de personas debido a los efectos de la pandemia provocada por el virus COVID-19. Las mayores reducciones se presentaron en el Juzgado de Tránsito, Juzgado Primero de Cobro y Juzgado de Tránsito de Pavas con 4.579, 3.189 y 2.572 asuntos respectivamente. </w:t>
      </w:r>
    </w:p>
    <w:p w14:paraId="76D1134A" w14:textId="77777777" w:rsidR="0093441E" w:rsidRPr="002A7673" w:rsidRDefault="0093441E" w:rsidP="0093441E">
      <w:pPr>
        <w:spacing w:after="0" w:line="480" w:lineRule="auto"/>
        <w:ind w:firstLine="709"/>
        <w:jc w:val="both"/>
        <w:rPr>
          <w:rFonts w:ascii="Times New Roman" w:hAnsi="Times New Roman" w:cs="Times New Roman"/>
          <w:b/>
          <w:sz w:val="28"/>
          <w:szCs w:val="28"/>
        </w:rPr>
      </w:pPr>
    </w:p>
    <w:p w14:paraId="4DDE0115"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reentrados</w:t>
      </w:r>
      <w:r w:rsidRPr="002A7673">
        <w:rPr>
          <w:rFonts w:ascii="Times New Roman" w:hAnsi="Times New Roman" w:cs="Times New Roman"/>
          <w:sz w:val="28"/>
          <w:szCs w:val="28"/>
        </w:rPr>
        <w:t xml:space="preserve">: El reingreso de nuevos muestra un comportamiento creciente en 2020, al pasar de 16.120 a 28.389 asuntos, es decir; aumento en 12.269 expedientes, lo que consecuentemente le significó a este Centro de Responsabilidad un crecimiento del 76,11%. Esta variación se concentró principalmente en que en la materia cobratoria se recibió una carga significativa que proviene de volumen de incompetencias resueltas </w:t>
      </w:r>
      <w:r w:rsidRPr="002A7673">
        <w:rPr>
          <w:rFonts w:ascii="Times New Roman" w:hAnsi="Times New Roman" w:cs="Times New Roman"/>
          <w:sz w:val="28"/>
          <w:szCs w:val="28"/>
        </w:rPr>
        <w:lastRenderedPageBreak/>
        <w:t xml:space="preserve">por la Sala derivadas de la implementación de la Reforma Procesal Civil con 13.169 asuntos. </w:t>
      </w:r>
    </w:p>
    <w:p w14:paraId="58DC5E91"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terminados</w:t>
      </w:r>
      <w:r w:rsidRPr="002A7673">
        <w:rPr>
          <w:rFonts w:ascii="Times New Roman" w:hAnsi="Times New Roman" w:cs="Times New Roman"/>
          <w:sz w:val="28"/>
          <w:szCs w:val="28"/>
        </w:rPr>
        <w:t xml:space="preserve">: El término de casos muestra un comportamiento descendente en 2020, al pasar de 120.665 a 98.363 asuntos, es decir; se disminuye en 22.302 expedientes, lo que consecuentemente le significó a este Centro de Responsabilidad un decrecimiento en su productividad del orden del 18,48%. Las razones asociadas a dicho comportamiento se encuentran generalizadas en la mayoría de los despachos, producto de las jornadas de trabajo, los cierres nacionales y otras labores asociadas a los efectos de la pandemia provocada por el virus COVID-19, no obstante, se destacan el </w:t>
      </w:r>
      <w:proofErr w:type="gramStart"/>
      <w:r w:rsidRPr="002A7673">
        <w:rPr>
          <w:rFonts w:ascii="Times New Roman" w:hAnsi="Times New Roman" w:cs="Times New Roman"/>
          <w:sz w:val="28"/>
          <w:szCs w:val="28"/>
        </w:rPr>
        <w:t>Juzgado  Segundo</w:t>
      </w:r>
      <w:proofErr w:type="gramEnd"/>
      <w:r w:rsidRPr="002A7673">
        <w:rPr>
          <w:rFonts w:ascii="Times New Roman" w:hAnsi="Times New Roman" w:cs="Times New Roman"/>
          <w:sz w:val="28"/>
          <w:szCs w:val="28"/>
        </w:rPr>
        <w:t xml:space="preserve"> de Cobro y el de Tránsito con las mayores reducciones, 4.608 y 4.184 asuntos menos respectivamente.   </w:t>
      </w:r>
    </w:p>
    <w:p w14:paraId="1924B5A6" w14:textId="77777777" w:rsidR="0093441E" w:rsidRPr="002A7673" w:rsidRDefault="0093441E" w:rsidP="0093441E">
      <w:pPr>
        <w:tabs>
          <w:tab w:val="left" w:pos="8222"/>
        </w:tabs>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inactivos</w:t>
      </w:r>
      <w:r w:rsidRPr="002A7673">
        <w:rPr>
          <w:rFonts w:ascii="Times New Roman" w:hAnsi="Times New Roman" w:cs="Times New Roman"/>
          <w:sz w:val="28"/>
          <w:szCs w:val="28"/>
        </w:rPr>
        <w:t xml:space="preserve">: La inactividad de casos muestra un comportamiento descendente en 2020, al pasar de 71.712 a 31.562 asuntos, es decir; se disminuye en 40.150 expedientes, lo que consecuentemente le significó a este Centro de Responsabilidad un decrecimiento en la inactividad de los procesos del orden del 55,99%. La variación asociada a dicho comportamiento está concentrada en los Juzgados Primero, Segundo y Tercero de Cobro donde se presentaron reducciones de 15.787, 9.756 y 6.392 asuntos respectivamente. </w:t>
      </w:r>
    </w:p>
    <w:p w14:paraId="6DF98F9E" w14:textId="48BB69EA" w:rsidR="0093441E" w:rsidRPr="002A7673" w:rsidRDefault="0093441E" w:rsidP="00022642">
      <w:pPr>
        <w:spacing w:after="0" w:line="480" w:lineRule="auto"/>
        <w:ind w:firstLine="709"/>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b/>
          <w:sz w:val="28"/>
          <w:szCs w:val="28"/>
          <w:lang w:val="es-ES" w:eastAsia="es-ES"/>
        </w:rPr>
        <w:lastRenderedPageBreak/>
        <w:t>Casos del circulante</w:t>
      </w:r>
      <w:r w:rsidRPr="002A7673">
        <w:rPr>
          <w:rFonts w:ascii="Times New Roman" w:eastAsia="Times New Roman" w:hAnsi="Times New Roman" w:cs="Times New Roman"/>
          <w:sz w:val="28"/>
          <w:szCs w:val="28"/>
          <w:lang w:val="es-ES" w:eastAsia="es-ES"/>
        </w:rPr>
        <w:t xml:space="preserve">: Los casos en proceso muestran un comportamiento ascendente en 2020, al pasar de 338.245 a 375.095 asuntos, es decir; se aumenta en 36.850 expedientes, lo que consecuentemente le significó a este Centro de Responsabilidad un crecimiento de los procesos del orden del 10,89%. La variación asociada a dicho comportamiento se encuentra concentrada en los Juzgados Primero y Tercero de Cobro (31.022 asuntos más), producto principalmente por el ingreso de las incompetencias y la reducción de los procesos terminados e inactivos, lo cual refleja una reducción considerable en la productividad. </w:t>
      </w:r>
    </w:p>
    <w:p w14:paraId="1A07A300" w14:textId="77777777" w:rsidR="0093441E" w:rsidRPr="002A7673" w:rsidRDefault="0093441E" w:rsidP="00FF3FAC">
      <w:pPr>
        <w:numPr>
          <w:ilvl w:val="0"/>
          <w:numId w:val="31"/>
        </w:numPr>
        <w:tabs>
          <w:tab w:val="left" w:pos="284"/>
        </w:tabs>
        <w:spacing w:after="0" w:line="480" w:lineRule="auto"/>
        <w:ind w:left="0" w:firstLine="709"/>
        <w:jc w:val="both"/>
        <w:rPr>
          <w:rFonts w:ascii="Times New Roman" w:eastAsia="Times New Roman" w:hAnsi="Times New Roman" w:cs="Times New Roman"/>
          <w:b/>
          <w:sz w:val="28"/>
          <w:szCs w:val="28"/>
          <w:lang w:val="es-ES" w:eastAsia="es-ES"/>
        </w:rPr>
      </w:pPr>
      <w:r w:rsidRPr="002A7673">
        <w:rPr>
          <w:rFonts w:ascii="Times New Roman" w:eastAsia="Times New Roman" w:hAnsi="Times New Roman" w:cs="Times New Roman"/>
          <w:b/>
          <w:sz w:val="28"/>
          <w:szCs w:val="28"/>
          <w:lang w:val="es-ES" w:eastAsia="es-ES"/>
        </w:rPr>
        <w:t>Análisis del comportamiento interanual del balance general entre 2019 y 2020 del c</w:t>
      </w:r>
      <w:r w:rsidRPr="002A7673">
        <w:rPr>
          <w:rFonts w:ascii="Times New Roman" w:eastAsia="Times New Roman" w:hAnsi="Times New Roman" w:cs="Times New Roman"/>
          <w:b/>
          <w:bCs/>
          <w:sz w:val="28"/>
          <w:szCs w:val="28"/>
          <w:lang w:val="es-ES" w:eastAsia="es-ES"/>
        </w:rPr>
        <w:t>entro de responsabilidad del</w:t>
      </w:r>
      <w:r w:rsidRPr="002A7673">
        <w:rPr>
          <w:rFonts w:ascii="Times New Roman" w:eastAsia="Times New Roman" w:hAnsi="Times New Roman" w:cs="Times New Roman"/>
          <w:b/>
          <w:sz w:val="28"/>
          <w:szCs w:val="28"/>
          <w:lang w:val="es-ES" w:eastAsia="es-ES"/>
        </w:rPr>
        <w:t xml:space="preserve"> Primer Circuito Judicial de Alajuela</w:t>
      </w:r>
    </w:p>
    <w:p w14:paraId="3205018E"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0519742A" w14:textId="77777777" w:rsidR="0093441E" w:rsidRPr="002A7673" w:rsidRDefault="0093441E" w:rsidP="0093441E">
      <w:pPr>
        <w:keepNext/>
        <w:widowControl w:val="0"/>
        <w:autoSpaceDE w:val="0"/>
        <w:autoSpaceDN w:val="0"/>
        <w:adjustRightInd w:val="0"/>
        <w:spacing w:after="0" w:line="480" w:lineRule="auto"/>
        <w:ind w:firstLine="709"/>
        <w:jc w:val="both"/>
        <w:rPr>
          <w:rFonts w:ascii="Times New Roman" w:eastAsia="Times New Roman" w:hAnsi="Times New Roman" w:cs="Times New Roman"/>
          <w:b/>
          <w:bCs/>
          <w:sz w:val="28"/>
          <w:szCs w:val="28"/>
          <w:lang w:val="es-ES" w:eastAsia="es-ES"/>
        </w:rPr>
      </w:pPr>
      <w:r w:rsidRPr="002A7673">
        <w:rPr>
          <w:rFonts w:ascii="Times New Roman" w:eastAsia="Times New Roman" w:hAnsi="Times New Roman" w:cs="Times New Roman"/>
          <w:b/>
          <w:bCs/>
          <w:sz w:val="28"/>
          <w:szCs w:val="28"/>
          <w:lang w:val="es-ES" w:eastAsia="es-ES"/>
        </w:rPr>
        <w:t>Movimientos generales de trabajo para el Centro de Responsabilidad del Primer Circuito Judicial de Alajuela durante el bienio 2019-2020</w:t>
      </w:r>
    </w:p>
    <w:p w14:paraId="3C8A1EFD" w14:textId="77777777" w:rsidR="0093441E" w:rsidRPr="002A7673" w:rsidRDefault="0093441E" w:rsidP="0093441E">
      <w:pPr>
        <w:spacing w:after="0" w:line="240" w:lineRule="auto"/>
        <w:rPr>
          <w:rFonts w:ascii="Times New Roman" w:hAnsi="Times New Roman" w:cs="Times New Roman"/>
        </w:rPr>
      </w:pPr>
    </w:p>
    <w:tbl>
      <w:tblPr>
        <w:tblW w:w="5000" w:type="pct"/>
        <w:tblBorders>
          <w:top w:val="single" w:sz="8" w:space="0" w:color="auto"/>
          <w:bottom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864"/>
        <w:gridCol w:w="1023"/>
        <w:gridCol w:w="1023"/>
        <w:gridCol w:w="1321"/>
        <w:gridCol w:w="1437"/>
      </w:tblGrid>
      <w:tr w:rsidR="0093441E" w:rsidRPr="002A7673" w14:paraId="0E8F1BBC" w14:textId="77777777" w:rsidTr="0048334E">
        <w:trPr>
          <w:trHeight w:val="20"/>
        </w:trPr>
        <w:tc>
          <w:tcPr>
            <w:tcW w:w="2516" w:type="pct"/>
            <w:vMerge w:val="restart"/>
            <w:shd w:val="clear" w:color="auto" w:fill="auto"/>
            <w:vAlign w:val="center"/>
          </w:tcPr>
          <w:p w14:paraId="19D39E70"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Variable</w:t>
            </w:r>
          </w:p>
        </w:tc>
        <w:tc>
          <w:tcPr>
            <w:tcW w:w="1058" w:type="pct"/>
            <w:gridSpan w:val="2"/>
            <w:shd w:val="clear" w:color="auto" w:fill="auto"/>
            <w:vAlign w:val="center"/>
          </w:tcPr>
          <w:p w14:paraId="6671EFF3"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Año</w:t>
            </w:r>
          </w:p>
        </w:tc>
        <w:tc>
          <w:tcPr>
            <w:tcW w:w="683" w:type="pct"/>
            <w:vMerge w:val="restart"/>
            <w:shd w:val="clear" w:color="auto" w:fill="auto"/>
            <w:vAlign w:val="center"/>
          </w:tcPr>
          <w:p w14:paraId="3C0F1F22"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Variación absoluta</w:t>
            </w:r>
          </w:p>
        </w:tc>
        <w:tc>
          <w:tcPr>
            <w:tcW w:w="743" w:type="pct"/>
            <w:vMerge w:val="restart"/>
            <w:shd w:val="clear" w:color="auto" w:fill="auto"/>
            <w:vAlign w:val="center"/>
          </w:tcPr>
          <w:p w14:paraId="2B2A3DBC"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Variación Porcentual</w:t>
            </w:r>
          </w:p>
        </w:tc>
      </w:tr>
      <w:tr w:rsidR="0093441E" w:rsidRPr="002A7673" w14:paraId="494BAAA9" w14:textId="77777777" w:rsidTr="0048334E">
        <w:trPr>
          <w:trHeight w:val="20"/>
        </w:trPr>
        <w:tc>
          <w:tcPr>
            <w:tcW w:w="2516" w:type="pct"/>
            <w:vMerge/>
            <w:tcBorders>
              <w:bottom w:val="single" w:sz="8" w:space="0" w:color="auto"/>
            </w:tcBorders>
            <w:shd w:val="clear" w:color="auto" w:fill="auto"/>
            <w:vAlign w:val="center"/>
          </w:tcPr>
          <w:p w14:paraId="2327A4E2" w14:textId="77777777" w:rsidR="0093441E" w:rsidRPr="002A7673" w:rsidRDefault="0093441E" w:rsidP="0048334E">
            <w:pPr>
              <w:spacing w:after="0" w:line="240" w:lineRule="auto"/>
              <w:rPr>
                <w:rFonts w:ascii="Times New Roman" w:hAnsi="Times New Roman" w:cs="Times New Roman"/>
                <w:b/>
                <w:bCs/>
                <w:lang w:eastAsia="es-CR"/>
              </w:rPr>
            </w:pPr>
          </w:p>
        </w:tc>
        <w:tc>
          <w:tcPr>
            <w:tcW w:w="529" w:type="pct"/>
            <w:tcBorders>
              <w:bottom w:val="single" w:sz="8" w:space="0" w:color="auto"/>
            </w:tcBorders>
            <w:shd w:val="clear" w:color="auto" w:fill="auto"/>
            <w:vAlign w:val="center"/>
          </w:tcPr>
          <w:p w14:paraId="42ED44AC"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2019</w:t>
            </w:r>
          </w:p>
        </w:tc>
        <w:tc>
          <w:tcPr>
            <w:tcW w:w="529" w:type="pct"/>
            <w:tcBorders>
              <w:bottom w:val="single" w:sz="8" w:space="0" w:color="auto"/>
            </w:tcBorders>
            <w:shd w:val="clear" w:color="auto" w:fill="auto"/>
            <w:vAlign w:val="center"/>
          </w:tcPr>
          <w:p w14:paraId="23705AC5"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2020*</w:t>
            </w:r>
          </w:p>
        </w:tc>
        <w:tc>
          <w:tcPr>
            <w:tcW w:w="683" w:type="pct"/>
            <w:vMerge/>
            <w:tcBorders>
              <w:bottom w:val="single" w:sz="8" w:space="0" w:color="auto"/>
            </w:tcBorders>
            <w:shd w:val="clear" w:color="auto" w:fill="auto"/>
            <w:vAlign w:val="center"/>
          </w:tcPr>
          <w:p w14:paraId="2856FAB4" w14:textId="77777777" w:rsidR="0093441E" w:rsidRPr="002A7673" w:rsidRDefault="0093441E" w:rsidP="0048334E">
            <w:pPr>
              <w:spacing w:after="0" w:line="240" w:lineRule="auto"/>
              <w:rPr>
                <w:rFonts w:ascii="Times New Roman" w:hAnsi="Times New Roman" w:cs="Times New Roman"/>
                <w:b/>
                <w:bCs/>
                <w:lang w:eastAsia="es-CR"/>
              </w:rPr>
            </w:pPr>
          </w:p>
        </w:tc>
        <w:tc>
          <w:tcPr>
            <w:tcW w:w="743" w:type="pct"/>
            <w:vMerge/>
            <w:tcBorders>
              <w:bottom w:val="single" w:sz="8" w:space="0" w:color="auto"/>
            </w:tcBorders>
            <w:shd w:val="clear" w:color="auto" w:fill="auto"/>
            <w:vAlign w:val="center"/>
          </w:tcPr>
          <w:p w14:paraId="2BDC9BA4" w14:textId="77777777" w:rsidR="0093441E" w:rsidRPr="002A7673" w:rsidRDefault="0093441E" w:rsidP="0048334E">
            <w:pPr>
              <w:spacing w:after="0" w:line="240" w:lineRule="auto"/>
              <w:rPr>
                <w:rFonts w:ascii="Times New Roman" w:hAnsi="Times New Roman" w:cs="Times New Roman"/>
                <w:b/>
                <w:bCs/>
                <w:lang w:eastAsia="es-CR"/>
              </w:rPr>
            </w:pPr>
          </w:p>
        </w:tc>
      </w:tr>
      <w:tr w:rsidR="0093441E" w:rsidRPr="002A7673" w14:paraId="12B07A17"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76DEE531"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Circulante al iniciar</w:t>
            </w:r>
          </w:p>
        </w:tc>
        <w:tc>
          <w:tcPr>
            <w:tcW w:w="529" w:type="pct"/>
            <w:tcBorders>
              <w:top w:val="nil"/>
              <w:left w:val="nil"/>
              <w:bottom w:val="nil"/>
              <w:right w:val="single" w:sz="8" w:space="0" w:color="auto"/>
            </w:tcBorders>
            <w:shd w:val="clear" w:color="auto" w:fill="auto"/>
            <w:vAlign w:val="center"/>
            <w:hideMark/>
          </w:tcPr>
          <w:p w14:paraId="600B73CC"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96 881</w:t>
            </w:r>
          </w:p>
        </w:tc>
        <w:tc>
          <w:tcPr>
            <w:tcW w:w="529" w:type="pct"/>
            <w:tcBorders>
              <w:top w:val="nil"/>
              <w:left w:val="nil"/>
              <w:bottom w:val="nil"/>
              <w:right w:val="single" w:sz="8" w:space="0" w:color="auto"/>
            </w:tcBorders>
            <w:shd w:val="clear" w:color="auto" w:fill="auto"/>
            <w:vAlign w:val="center"/>
            <w:hideMark/>
          </w:tcPr>
          <w:p w14:paraId="326641A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102 116</w:t>
            </w:r>
          </w:p>
        </w:tc>
        <w:tc>
          <w:tcPr>
            <w:tcW w:w="683" w:type="pct"/>
            <w:tcBorders>
              <w:top w:val="nil"/>
              <w:left w:val="nil"/>
              <w:bottom w:val="nil"/>
              <w:right w:val="single" w:sz="8" w:space="0" w:color="auto"/>
            </w:tcBorders>
            <w:shd w:val="clear" w:color="auto" w:fill="auto"/>
            <w:vAlign w:val="center"/>
            <w:hideMark/>
          </w:tcPr>
          <w:p w14:paraId="17F0CC9B"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5 235</w:t>
            </w:r>
          </w:p>
        </w:tc>
        <w:tc>
          <w:tcPr>
            <w:tcW w:w="743" w:type="pct"/>
            <w:tcBorders>
              <w:top w:val="nil"/>
              <w:left w:val="nil"/>
              <w:bottom w:val="nil"/>
              <w:right w:val="nil"/>
            </w:tcBorders>
            <w:shd w:val="clear" w:color="auto" w:fill="auto"/>
            <w:vAlign w:val="center"/>
            <w:hideMark/>
          </w:tcPr>
          <w:p w14:paraId="0BE6073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5,4%</w:t>
            </w:r>
          </w:p>
        </w:tc>
      </w:tr>
      <w:tr w:rsidR="0093441E" w:rsidRPr="002A7673" w14:paraId="6E3F0A82"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17489069"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entrados</w:t>
            </w:r>
          </w:p>
        </w:tc>
        <w:tc>
          <w:tcPr>
            <w:tcW w:w="529" w:type="pct"/>
            <w:tcBorders>
              <w:top w:val="nil"/>
              <w:left w:val="nil"/>
              <w:bottom w:val="nil"/>
              <w:right w:val="single" w:sz="8" w:space="0" w:color="auto"/>
            </w:tcBorders>
            <w:shd w:val="clear" w:color="auto" w:fill="auto"/>
            <w:vAlign w:val="center"/>
            <w:hideMark/>
          </w:tcPr>
          <w:p w14:paraId="55D8CDA1"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65 172</w:t>
            </w:r>
          </w:p>
        </w:tc>
        <w:tc>
          <w:tcPr>
            <w:tcW w:w="529" w:type="pct"/>
            <w:tcBorders>
              <w:top w:val="nil"/>
              <w:left w:val="nil"/>
              <w:bottom w:val="nil"/>
              <w:right w:val="single" w:sz="8" w:space="0" w:color="auto"/>
            </w:tcBorders>
            <w:shd w:val="clear" w:color="auto" w:fill="auto"/>
            <w:vAlign w:val="center"/>
            <w:hideMark/>
          </w:tcPr>
          <w:p w14:paraId="7955903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55 470</w:t>
            </w:r>
          </w:p>
        </w:tc>
        <w:tc>
          <w:tcPr>
            <w:tcW w:w="683" w:type="pct"/>
            <w:tcBorders>
              <w:top w:val="nil"/>
              <w:left w:val="nil"/>
              <w:bottom w:val="nil"/>
              <w:right w:val="single" w:sz="8" w:space="0" w:color="auto"/>
            </w:tcBorders>
            <w:shd w:val="clear" w:color="auto" w:fill="auto"/>
            <w:vAlign w:val="center"/>
            <w:hideMark/>
          </w:tcPr>
          <w:p w14:paraId="628BBD44"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-9 702</w:t>
            </w:r>
          </w:p>
        </w:tc>
        <w:tc>
          <w:tcPr>
            <w:tcW w:w="743" w:type="pct"/>
            <w:tcBorders>
              <w:top w:val="nil"/>
              <w:left w:val="nil"/>
              <w:bottom w:val="nil"/>
              <w:right w:val="nil"/>
            </w:tcBorders>
            <w:shd w:val="clear" w:color="auto" w:fill="auto"/>
            <w:vAlign w:val="center"/>
            <w:hideMark/>
          </w:tcPr>
          <w:p w14:paraId="25E8C7A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-14,9%</w:t>
            </w:r>
          </w:p>
        </w:tc>
      </w:tr>
      <w:tr w:rsidR="0093441E" w:rsidRPr="002A7673" w14:paraId="68F8AB91"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0382FEB6"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reentrados</w:t>
            </w:r>
          </w:p>
        </w:tc>
        <w:tc>
          <w:tcPr>
            <w:tcW w:w="529" w:type="pct"/>
            <w:tcBorders>
              <w:top w:val="nil"/>
              <w:left w:val="nil"/>
              <w:bottom w:val="nil"/>
              <w:right w:val="single" w:sz="8" w:space="0" w:color="auto"/>
            </w:tcBorders>
            <w:shd w:val="clear" w:color="auto" w:fill="auto"/>
            <w:vAlign w:val="center"/>
            <w:hideMark/>
          </w:tcPr>
          <w:p w14:paraId="53724BBB"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9 370</w:t>
            </w:r>
          </w:p>
        </w:tc>
        <w:tc>
          <w:tcPr>
            <w:tcW w:w="529" w:type="pct"/>
            <w:tcBorders>
              <w:top w:val="nil"/>
              <w:left w:val="nil"/>
              <w:bottom w:val="nil"/>
              <w:right w:val="single" w:sz="8" w:space="0" w:color="auto"/>
            </w:tcBorders>
            <w:shd w:val="clear" w:color="auto" w:fill="auto"/>
            <w:vAlign w:val="center"/>
            <w:hideMark/>
          </w:tcPr>
          <w:p w14:paraId="62D026F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9 284</w:t>
            </w:r>
          </w:p>
        </w:tc>
        <w:tc>
          <w:tcPr>
            <w:tcW w:w="683" w:type="pct"/>
            <w:tcBorders>
              <w:top w:val="nil"/>
              <w:left w:val="nil"/>
              <w:bottom w:val="nil"/>
              <w:right w:val="single" w:sz="8" w:space="0" w:color="auto"/>
            </w:tcBorders>
            <w:shd w:val="clear" w:color="auto" w:fill="auto"/>
            <w:vAlign w:val="center"/>
            <w:hideMark/>
          </w:tcPr>
          <w:p w14:paraId="6672B581"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-86</w:t>
            </w:r>
          </w:p>
        </w:tc>
        <w:tc>
          <w:tcPr>
            <w:tcW w:w="743" w:type="pct"/>
            <w:tcBorders>
              <w:top w:val="nil"/>
              <w:left w:val="nil"/>
              <w:bottom w:val="nil"/>
              <w:right w:val="nil"/>
            </w:tcBorders>
            <w:shd w:val="clear" w:color="auto" w:fill="auto"/>
            <w:vAlign w:val="center"/>
            <w:hideMark/>
          </w:tcPr>
          <w:p w14:paraId="59A9FA6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-0,9%</w:t>
            </w:r>
          </w:p>
        </w:tc>
      </w:tr>
      <w:tr w:rsidR="0093441E" w:rsidRPr="002A7673" w14:paraId="419AFB2D"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26DACB92"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Reactivados</w:t>
            </w:r>
          </w:p>
        </w:tc>
        <w:tc>
          <w:tcPr>
            <w:tcW w:w="529" w:type="pct"/>
            <w:tcBorders>
              <w:top w:val="nil"/>
              <w:left w:val="nil"/>
              <w:bottom w:val="nil"/>
              <w:right w:val="single" w:sz="8" w:space="0" w:color="auto"/>
            </w:tcBorders>
            <w:shd w:val="clear" w:color="auto" w:fill="auto"/>
            <w:vAlign w:val="center"/>
            <w:hideMark/>
          </w:tcPr>
          <w:p w14:paraId="32C0571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519</w:t>
            </w:r>
          </w:p>
        </w:tc>
        <w:tc>
          <w:tcPr>
            <w:tcW w:w="529" w:type="pct"/>
            <w:tcBorders>
              <w:top w:val="nil"/>
              <w:left w:val="nil"/>
              <w:bottom w:val="nil"/>
              <w:right w:val="single" w:sz="8" w:space="0" w:color="auto"/>
            </w:tcBorders>
            <w:shd w:val="clear" w:color="auto" w:fill="auto"/>
            <w:vAlign w:val="center"/>
            <w:hideMark/>
          </w:tcPr>
          <w:p w14:paraId="17DABA6C"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1 015</w:t>
            </w:r>
          </w:p>
        </w:tc>
        <w:tc>
          <w:tcPr>
            <w:tcW w:w="683" w:type="pct"/>
            <w:tcBorders>
              <w:top w:val="nil"/>
              <w:left w:val="nil"/>
              <w:bottom w:val="nil"/>
              <w:right w:val="single" w:sz="8" w:space="0" w:color="auto"/>
            </w:tcBorders>
            <w:shd w:val="clear" w:color="auto" w:fill="auto"/>
            <w:vAlign w:val="center"/>
            <w:hideMark/>
          </w:tcPr>
          <w:p w14:paraId="3D2E6E44"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496</w:t>
            </w:r>
          </w:p>
        </w:tc>
        <w:tc>
          <w:tcPr>
            <w:tcW w:w="743" w:type="pct"/>
            <w:tcBorders>
              <w:top w:val="nil"/>
              <w:left w:val="nil"/>
              <w:bottom w:val="nil"/>
              <w:right w:val="nil"/>
            </w:tcBorders>
            <w:shd w:val="clear" w:color="auto" w:fill="auto"/>
            <w:vAlign w:val="center"/>
            <w:hideMark/>
          </w:tcPr>
          <w:p w14:paraId="394906E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95,6%</w:t>
            </w:r>
          </w:p>
        </w:tc>
      </w:tr>
      <w:tr w:rsidR="0093441E" w:rsidRPr="002A7673" w14:paraId="0C18D87A"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71A2C1B7" w14:textId="77777777" w:rsidR="0093441E" w:rsidRPr="002A7673" w:rsidRDefault="0093441E" w:rsidP="0048334E">
            <w:pPr>
              <w:spacing w:after="0" w:line="240" w:lineRule="auto"/>
              <w:rPr>
                <w:rFonts w:ascii="Times New Roman" w:hAnsi="Times New Roman" w:cs="Times New Roman"/>
                <w:highlight w:val="yellow"/>
                <w:lang w:eastAsia="es-CR"/>
              </w:rPr>
            </w:pPr>
            <w:r w:rsidRPr="002A7673">
              <w:rPr>
                <w:rFonts w:ascii="Times New Roman" w:hAnsi="Times New Roman" w:cs="Times New Roman"/>
              </w:rPr>
              <w:t>Testimonio de Piezas</w:t>
            </w:r>
          </w:p>
        </w:tc>
        <w:tc>
          <w:tcPr>
            <w:tcW w:w="529" w:type="pct"/>
            <w:tcBorders>
              <w:top w:val="nil"/>
              <w:left w:val="nil"/>
              <w:bottom w:val="nil"/>
              <w:right w:val="single" w:sz="8" w:space="0" w:color="auto"/>
            </w:tcBorders>
            <w:shd w:val="clear" w:color="auto" w:fill="auto"/>
            <w:vAlign w:val="center"/>
            <w:hideMark/>
          </w:tcPr>
          <w:p w14:paraId="0BEE778E"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521</w:t>
            </w:r>
          </w:p>
        </w:tc>
        <w:tc>
          <w:tcPr>
            <w:tcW w:w="529" w:type="pct"/>
            <w:tcBorders>
              <w:top w:val="nil"/>
              <w:left w:val="nil"/>
              <w:bottom w:val="nil"/>
              <w:right w:val="single" w:sz="8" w:space="0" w:color="auto"/>
            </w:tcBorders>
            <w:shd w:val="clear" w:color="auto" w:fill="auto"/>
            <w:vAlign w:val="center"/>
            <w:hideMark/>
          </w:tcPr>
          <w:p w14:paraId="566D2F9E"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608</w:t>
            </w:r>
          </w:p>
        </w:tc>
        <w:tc>
          <w:tcPr>
            <w:tcW w:w="683" w:type="pct"/>
            <w:tcBorders>
              <w:top w:val="nil"/>
              <w:left w:val="nil"/>
              <w:bottom w:val="nil"/>
              <w:right w:val="single" w:sz="8" w:space="0" w:color="auto"/>
            </w:tcBorders>
            <w:shd w:val="clear" w:color="auto" w:fill="auto"/>
            <w:vAlign w:val="center"/>
            <w:hideMark/>
          </w:tcPr>
          <w:p w14:paraId="35C8A09B"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87</w:t>
            </w:r>
          </w:p>
        </w:tc>
        <w:tc>
          <w:tcPr>
            <w:tcW w:w="743" w:type="pct"/>
            <w:tcBorders>
              <w:top w:val="nil"/>
              <w:left w:val="nil"/>
              <w:bottom w:val="nil"/>
              <w:right w:val="nil"/>
            </w:tcBorders>
            <w:shd w:val="clear" w:color="auto" w:fill="auto"/>
            <w:vAlign w:val="center"/>
            <w:hideMark/>
          </w:tcPr>
          <w:p w14:paraId="6CC63CD6"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16,7%</w:t>
            </w:r>
          </w:p>
        </w:tc>
      </w:tr>
      <w:tr w:rsidR="0093441E" w:rsidRPr="002A7673" w14:paraId="2D310F6B"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3035882E" w14:textId="77777777" w:rsidR="0093441E" w:rsidRPr="002A7673" w:rsidRDefault="0093441E" w:rsidP="0048334E">
            <w:pPr>
              <w:spacing w:after="0" w:line="240" w:lineRule="auto"/>
              <w:rPr>
                <w:rFonts w:ascii="Times New Roman" w:hAnsi="Times New Roman" w:cs="Times New Roman"/>
                <w:highlight w:val="yellow"/>
                <w:lang w:eastAsia="es-CR"/>
              </w:rPr>
            </w:pPr>
            <w:r w:rsidRPr="002A7673">
              <w:rPr>
                <w:rFonts w:ascii="Times New Roman" w:hAnsi="Times New Roman" w:cs="Times New Roman"/>
              </w:rPr>
              <w:t xml:space="preserve">Casos por incompetencia, en materia de Cobro Judicial </w:t>
            </w:r>
          </w:p>
        </w:tc>
        <w:tc>
          <w:tcPr>
            <w:tcW w:w="529" w:type="pct"/>
            <w:tcBorders>
              <w:top w:val="nil"/>
              <w:left w:val="nil"/>
              <w:bottom w:val="nil"/>
              <w:right w:val="single" w:sz="8" w:space="0" w:color="auto"/>
            </w:tcBorders>
            <w:shd w:val="clear" w:color="auto" w:fill="auto"/>
            <w:vAlign w:val="center"/>
            <w:hideMark/>
          </w:tcPr>
          <w:p w14:paraId="10B6079C"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6 757</w:t>
            </w:r>
          </w:p>
        </w:tc>
        <w:tc>
          <w:tcPr>
            <w:tcW w:w="529" w:type="pct"/>
            <w:tcBorders>
              <w:top w:val="nil"/>
              <w:left w:val="nil"/>
              <w:bottom w:val="nil"/>
              <w:right w:val="single" w:sz="8" w:space="0" w:color="auto"/>
            </w:tcBorders>
            <w:shd w:val="clear" w:color="auto" w:fill="auto"/>
            <w:vAlign w:val="center"/>
            <w:hideMark/>
          </w:tcPr>
          <w:p w14:paraId="324E964F"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1 426</w:t>
            </w:r>
          </w:p>
        </w:tc>
        <w:tc>
          <w:tcPr>
            <w:tcW w:w="683" w:type="pct"/>
            <w:tcBorders>
              <w:top w:val="nil"/>
              <w:left w:val="nil"/>
              <w:bottom w:val="nil"/>
              <w:right w:val="single" w:sz="8" w:space="0" w:color="auto"/>
            </w:tcBorders>
            <w:shd w:val="clear" w:color="auto" w:fill="auto"/>
            <w:vAlign w:val="center"/>
            <w:hideMark/>
          </w:tcPr>
          <w:p w14:paraId="0BE915BE"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-5 331</w:t>
            </w:r>
          </w:p>
        </w:tc>
        <w:tc>
          <w:tcPr>
            <w:tcW w:w="743" w:type="pct"/>
            <w:tcBorders>
              <w:top w:val="nil"/>
              <w:left w:val="nil"/>
              <w:bottom w:val="nil"/>
              <w:right w:val="nil"/>
            </w:tcBorders>
            <w:shd w:val="clear" w:color="auto" w:fill="auto"/>
            <w:vAlign w:val="center"/>
            <w:hideMark/>
          </w:tcPr>
          <w:p w14:paraId="07F3C09E"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-78,9%</w:t>
            </w:r>
          </w:p>
        </w:tc>
      </w:tr>
      <w:tr w:rsidR="0093441E" w:rsidRPr="002A7673" w14:paraId="0ED25A23"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4E29412E" w14:textId="77777777" w:rsidR="0093441E" w:rsidRPr="002A7673" w:rsidRDefault="0093441E" w:rsidP="0048334E">
            <w:pPr>
              <w:spacing w:after="0" w:line="240" w:lineRule="auto"/>
              <w:rPr>
                <w:rFonts w:ascii="Times New Roman" w:hAnsi="Times New Roman" w:cs="Times New Roman"/>
                <w:highlight w:val="yellow"/>
                <w:lang w:eastAsia="es-CR"/>
              </w:rPr>
            </w:pPr>
            <w:r w:rsidRPr="002A7673">
              <w:rPr>
                <w:rFonts w:ascii="Times New Roman" w:hAnsi="Times New Roman" w:cs="Times New Roman"/>
              </w:rPr>
              <w:t>Casos terminados</w:t>
            </w:r>
          </w:p>
        </w:tc>
        <w:tc>
          <w:tcPr>
            <w:tcW w:w="529" w:type="pct"/>
            <w:tcBorders>
              <w:top w:val="nil"/>
              <w:left w:val="nil"/>
              <w:bottom w:val="nil"/>
              <w:right w:val="single" w:sz="8" w:space="0" w:color="auto"/>
            </w:tcBorders>
            <w:shd w:val="clear" w:color="auto" w:fill="auto"/>
            <w:vAlign w:val="center"/>
            <w:hideMark/>
          </w:tcPr>
          <w:p w14:paraId="1FB65C3A"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54 987</w:t>
            </w:r>
          </w:p>
        </w:tc>
        <w:tc>
          <w:tcPr>
            <w:tcW w:w="529" w:type="pct"/>
            <w:tcBorders>
              <w:top w:val="nil"/>
              <w:left w:val="nil"/>
              <w:bottom w:val="nil"/>
              <w:right w:val="single" w:sz="8" w:space="0" w:color="auto"/>
            </w:tcBorders>
            <w:shd w:val="clear" w:color="auto" w:fill="auto"/>
            <w:vAlign w:val="center"/>
            <w:hideMark/>
          </w:tcPr>
          <w:p w14:paraId="31FCE0BB"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51 840</w:t>
            </w:r>
          </w:p>
        </w:tc>
        <w:tc>
          <w:tcPr>
            <w:tcW w:w="683" w:type="pct"/>
            <w:tcBorders>
              <w:top w:val="nil"/>
              <w:left w:val="nil"/>
              <w:bottom w:val="nil"/>
              <w:right w:val="single" w:sz="8" w:space="0" w:color="auto"/>
            </w:tcBorders>
            <w:shd w:val="clear" w:color="auto" w:fill="auto"/>
            <w:vAlign w:val="center"/>
            <w:hideMark/>
          </w:tcPr>
          <w:p w14:paraId="4D464099"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-3 147</w:t>
            </w:r>
          </w:p>
        </w:tc>
        <w:tc>
          <w:tcPr>
            <w:tcW w:w="743" w:type="pct"/>
            <w:tcBorders>
              <w:top w:val="nil"/>
              <w:left w:val="nil"/>
              <w:bottom w:val="nil"/>
              <w:right w:val="nil"/>
            </w:tcBorders>
            <w:shd w:val="clear" w:color="auto" w:fill="auto"/>
            <w:vAlign w:val="center"/>
            <w:hideMark/>
          </w:tcPr>
          <w:p w14:paraId="1B28FF2E"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-5,7%</w:t>
            </w:r>
          </w:p>
        </w:tc>
      </w:tr>
      <w:tr w:rsidR="0093441E" w:rsidRPr="002A7673" w14:paraId="7EDBCFCC"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36D89CB3"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inactivos</w:t>
            </w:r>
          </w:p>
        </w:tc>
        <w:tc>
          <w:tcPr>
            <w:tcW w:w="529" w:type="pct"/>
            <w:tcBorders>
              <w:top w:val="nil"/>
              <w:left w:val="nil"/>
              <w:bottom w:val="nil"/>
              <w:right w:val="single" w:sz="8" w:space="0" w:color="auto"/>
            </w:tcBorders>
            <w:shd w:val="clear" w:color="auto" w:fill="auto"/>
            <w:vAlign w:val="center"/>
            <w:hideMark/>
          </w:tcPr>
          <w:p w14:paraId="2F004A6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7 518</w:t>
            </w:r>
          </w:p>
        </w:tc>
        <w:tc>
          <w:tcPr>
            <w:tcW w:w="529" w:type="pct"/>
            <w:tcBorders>
              <w:top w:val="nil"/>
              <w:left w:val="nil"/>
              <w:bottom w:val="nil"/>
              <w:right w:val="single" w:sz="8" w:space="0" w:color="auto"/>
            </w:tcBorders>
            <w:shd w:val="clear" w:color="auto" w:fill="auto"/>
            <w:vAlign w:val="center"/>
            <w:hideMark/>
          </w:tcPr>
          <w:p w14:paraId="3933474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10 797</w:t>
            </w:r>
          </w:p>
        </w:tc>
        <w:tc>
          <w:tcPr>
            <w:tcW w:w="683" w:type="pct"/>
            <w:tcBorders>
              <w:top w:val="nil"/>
              <w:left w:val="nil"/>
              <w:bottom w:val="nil"/>
              <w:right w:val="single" w:sz="8" w:space="0" w:color="auto"/>
            </w:tcBorders>
            <w:shd w:val="clear" w:color="auto" w:fill="auto"/>
            <w:vAlign w:val="center"/>
            <w:hideMark/>
          </w:tcPr>
          <w:p w14:paraId="7F42644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3 279</w:t>
            </w:r>
          </w:p>
        </w:tc>
        <w:tc>
          <w:tcPr>
            <w:tcW w:w="743" w:type="pct"/>
            <w:tcBorders>
              <w:top w:val="nil"/>
              <w:left w:val="nil"/>
              <w:bottom w:val="nil"/>
              <w:right w:val="nil"/>
            </w:tcBorders>
            <w:shd w:val="clear" w:color="auto" w:fill="auto"/>
            <w:vAlign w:val="center"/>
            <w:hideMark/>
          </w:tcPr>
          <w:p w14:paraId="310DF0C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43,6%</w:t>
            </w:r>
          </w:p>
        </w:tc>
      </w:tr>
      <w:tr w:rsidR="0093441E" w:rsidRPr="002A7673" w14:paraId="6892CC99" w14:textId="77777777" w:rsidTr="0048334E">
        <w:trPr>
          <w:trHeight w:val="20"/>
        </w:trPr>
        <w:tc>
          <w:tcPr>
            <w:tcW w:w="2516" w:type="pct"/>
            <w:tcBorders>
              <w:top w:val="nil"/>
              <w:left w:val="nil"/>
              <w:bottom w:val="single" w:sz="4" w:space="0" w:color="auto"/>
              <w:right w:val="single" w:sz="8" w:space="0" w:color="auto"/>
            </w:tcBorders>
            <w:shd w:val="clear" w:color="auto" w:fill="auto"/>
            <w:vAlign w:val="bottom"/>
            <w:hideMark/>
          </w:tcPr>
          <w:p w14:paraId="51BFB174"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Circulante al finalizar</w:t>
            </w:r>
          </w:p>
        </w:tc>
        <w:tc>
          <w:tcPr>
            <w:tcW w:w="529" w:type="pct"/>
            <w:tcBorders>
              <w:top w:val="nil"/>
              <w:left w:val="nil"/>
              <w:bottom w:val="single" w:sz="4" w:space="0" w:color="auto"/>
              <w:right w:val="single" w:sz="8" w:space="0" w:color="auto"/>
            </w:tcBorders>
            <w:shd w:val="clear" w:color="auto" w:fill="auto"/>
            <w:vAlign w:val="center"/>
            <w:hideMark/>
          </w:tcPr>
          <w:p w14:paraId="4207A22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102 116</w:t>
            </w:r>
          </w:p>
        </w:tc>
        <w:tc>
          <w:tcPr>
            <w:tcW w:w="529" w:type="pct"/>
            <w:tcBorders>
              <w:top w:val="nil"/>
              <w:left w:val="nil"/>
              <w:bottom w:val="single" w:sz="4" w:space="0" w:color="auto"/>
              <w:right w:val="single" w:sz="8" w:space="0" w:color="auto"/>
            </w:tcBorders>
            <w:shd w:val="clear" w:color="auto" w:fill="auto"/>
            <w:vAlign w:val="center"/>
            <w:hideMark/>
          </w:tcPr>
          <w:p w14:paraId="39E4AB6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104 459</w:t>
            </w:r>
          </w:p>
        </w:tc>
        <w:tc>
          <w:tcPr>
            <w:tcW w:w="683" w:type="pct"/>
            <w:tcBorders>
              <w:top w:val="nil"/>
              <w:left w:val="nil"/>
              <w:bottom w:val="single" w:sz="4" w:space="0" w:color="auto"/>
              <w:right w:val="single" w:sz="8" w:space="0" w:color="auto"/>
            </w:tcBorders>
            <w:shd w:val="clear" w:color="auto" w:fill="auto"/>
            <w:vAlign w:val="center"/>
            <w:hideMark/>
          </w:tcPr>
          <w:p w14:paraId="1490643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2 343</w:t>
            </w:r>
          </w:p>
        </w:tc>
        <w:tc>
          <w:tcPr>
            <w:tcW w:w="743" w:type="pct"/>
            <w:tcBorders>
              <w:top w:val="nil"/>
              <w:left w:val="nil"/>
              <w:bottom w:val="single" w:sz="4" w:space="0" w:color="auto"/>
              <w:right w:val="nil"/>
            </w:tcBorders>
            <w:shd w:val="clear" w:color="auto" w:fill="auto"/>
            <w:vAlign w:val="center"/>
            <w:hideMark/>
          </w:tcPr>
          <w:p w14:paraId="026144A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2,3%</w:t>
            </w:r>
          </w:p>
        </w:tc>
      </w:tr>
    </w:tbl>
    <w:p w14:paraId="62BFE9F1" w14:textId="77777777" w:rsidR="0093441E" w:rsidRPr="002A7673" w:rsidRDefault="0093441E" w:rsidP="0093441E">
      <w:pPr>
        <w:spacing w:after="0" w:line="240" w:lineRule="auto"/>
        <w:rPr>
          <w:rFonts w:ascii="Times New Roman" w:hAnsi="Times New Roman" w:cs="Times New Roman"/>
          <w:b/>
          <w:bCs/>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Subproceso de Estadística, Dirección de Planificación, Poder Judicial.</w:t>
      </w:r>
    </w:p>
    <w:p w14:paraId="777EA3A8" w14:textId="77777777" w:rsidR="0093441E" w:rsidRPr="002A7673" w:rsidRDefault="0093441E" w:rsidP="0093441E">
      <w:pPr>
        <w:spacing w:after="0" w:line="240" w:lineRule="auto"/>
        <w:rPr>
          <w:rFonts w:ascii="Times New Roman" w:hAnsi="Times New Roman" w:cs="Times New Roman"/>
        </w:rPr>
      </w:pPr>
    </w:p>
    <w:p w14:paraId="50594D74"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 los movimientos registrados en la tabla anterior, destacan los siguientes hechos: </w:t>
      </w:r>
    </w:p>
    <w:p w14:paraId="0CFD4ADD"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6C2DAD17" w14:textId="77777777" w:rsidR="0093441E" w:rsidRPr="002A7673" w:rsidRDefault="0093441E" w:rsidP="0093441E">
      <w:pPr>
        <w:spacing w:after="0" w:line="480" w:lineRule="auto"/>
        <w:ind w:firstLine="709"/>
        <w:jc w:val="both"/>
        <w:rPr>
          <w:rFonts w:ascii="Times New Roman" w:hAnsi="Times New Roman" w:cs="Times New Roman"/>
          <w:bCs/>
          <w:sz w:val="28"/>
          <w:szCs w:val="28"/>
        </w:rPr>
      </w:pPr>
      <w:r w:rsidRPr="002A7673">
        <w:rPr>
          <w:rFonts w:ascii="Times New Roman" w:hAnsi="Times New Roman" w:cs="Times New Roman"/>
          <w:b/>
          <w:sz w:val="28"/>
          <w:szCs w:val="28"/>
        </w:rPr>
        <w:t xml:space="preserve">Circulante inicial: </w:t>
      </w:r>
      <w:r w:rsidRPr="002A7673">
        <w:rPr>
          <w:rFonts w:ascii="Times New Roman" w:hAnsi="Times New Roman" w:cs="Times New Roman"/>
          <w:bCs/>
          <w:sz w:val="28"/>
          <w:szCs w:val="28"/>
        </w:rPr>
        <w:t xml:space="preserve">el inicio de 2020 presenta una carga de trabajo de 5.235 casos más, con relación a lo registrado a principios de 2019 (96.881). Como se aprecia en el cuadro anterior, tal ventaja se produce </w:t>
      </w:r>
      <w:proofErr w:type="gramStart"/>
      <w:r w:rsidRPr="002A7673">
        <w:rPr>
          <w:rFonts w:ascii="Times New Roman" w:hAnsi="Times New Roman" w:cs="Times New Roman"/>
          <w:bCs/>
          <w:sz w:val="28"/>
          <w:szCs w:val="28"/>
        </w:rPr>
        <w:t>en razón del</w:t>
      </w:r>
      <w:proofErr w:type="gramEnd"/>
      <w:r w:rsidRPr="002A7673">
        <w:rPr>
          <w:rFonts w:ascii="Times New Roman" w:hAnsi="Times New Roman" w:cs="Times New Roman"/>
          <w:bCs/>
          <w:sz w:val="28"/>
          <w:szCs w:val="28"/>
        </w:rPr>
        <w:t xml:space="preserve"> crecimiento de los casos entrados frente a los que se terminaron en el año, lo que en gran medida condujo a que el circulante al finalizar el periodo fuese mayor en volumen al que tenía a inicio del año. </w:t>
      </w:r>
    </w:p>
    <w:p w14:paraId="2F563D0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El ingreso de casos nuevos muestra un comportamiento descendente en 2020, pasando de 65.172 en 2019 a 55.470 en 2020, lo que consecuentemente le significó en el Centro de Responsabilidad del Primer Circuito Judicial de Alajuela un decrecimiento de su carga de trabajo del orden del -14,9%, estos casos entrados incluyen los legajos de ejecución. Las razones asociadas a dicho comportamiento se encuentran relacionadas directamente con algunos despachos particularmente. Los hechos que justifican esta notable merma se relacionan -en esencia- con el efecto de la pandemia. Esto se refleja especialmente en el caso del Juzgado Tránsito del I Circuito Judicial de Alajuela, en el cual los casos nuevos ingresos descendieron de 7.020 en 2019 a 4.557 en 2020 (-35,1%), otras dependencias </w:t>
      </w:r>
      <w:r w:rsidRPr="002A7673">
        <w:rPr>
          <w:rFonts w:ascii="Times New Roman" w:hAnsi="Times New Roman" w:cs="Times New Roman"/>
          <w:sz w:val="28"/>
          <w:szCs w:val="28"/>
        </w:rPr>
        <w:lastRenderedPageBreak/>
        <w:t>que presentan una conducta a la baja son: el Juzgado Penal del I Circuito Judicial de Alajuela pasando de 10.384 a 7.924 (-23,7%) y el Juzgado de Cobro del I Circuito Judicial de Alajuela de 18.477 a 16.336 (-11,6%), siendo estos los que reportan disminuciones superiores a los mil casos.</w:t>
      </w:r>
    </w:p>
    <w:p w14:paraId="1A6FD7CA"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terminados:</w:t>
      </w:r>
      <w:r w:rsidRPr="002A7673">
        <w:rPr>
          <w:rFonts w:ascii="Times New Roman" w:hAnsi="Times New Roman" w:cs="Times New Roman"/>
          <w:sz w:val="28"/>
          <w:szCs w:val="28"/>
        </w:rPr>
        <w:t xml:space="preserve"> La cantidad de casos terminados en este Circuito Judicial llegó a 51.840 en el último año, lo cual denota una disminución de -3.147 finiquitos, en contraste con el 2019 (54.987), para una variación porcentual de -5,7%. En este sentido, se advierte que se realizó el ejercicio de restar a la cifra original de casos terminados, el número de asuntos fenecidos por incompetencia (6.757 en 2019 y 1.426 unidades en 2020), producto de los cambios en la legislación, para las demandas concernientes a la materia de Cobro Judicial.</w:t>
      </w:r>
    </w:p>
    <w:p w14:paraId="4FB6143C" w14:textId="77777777" w:rsidR="0093441E" w:rsidRPr="002A7673" w:rsidRDefault="0093441E" w:rsidP="0093441E">
      <w:pPr>
        <w:spacing w:after="0" w:line="480" w:lineRule="auto"/>
        <w:ind w:firstLine="709"/>
        <w:jc w:val="both"/>
        <w:rPr>
          <w:rFonts w:ascii="Times New Roman" w:hAnsi="Times New Roman" w:cs="Times New Roman"/>
          <w:sz w:val="28"/>
          <w:szCs w:val="28"/>
        </w:rPr>
      </w:pPr>
      <w:bookmarkStart w:id="201" w:name="_Hlk66372708"/>
      <w:r w:rsidRPr="002A7673">
        <w:rPr>
          <w:rFonts w:ascii="Times New Roman" w:hAnsi="Times New Roman" w:cs="Times New Roman"/>
          <w:b/>
          <w:bCs/>
          <w:sz w:val="28"/>
          <w:szCs w:val="28"/>
        </w:rPr>
        <w:t>Inactividad de expedientes:</w:t>
      </w:r>
      <w:r w:rsidRPr="002A7673">
        <w:rPr>
          <w:rFonts w:ascii="Times New Roman" w:hAnsi="Times New Roman" w:cs="Times New Roman"/>
          <w:sz w:val="28"/>
          <w:szCs w:val="28"/>
        </w:rPr>
        <w:t xml:space="preserve"> durante el 2020 se produce un incremento significativo en el número de expedientes denominados inactivos (+43,6%), pasando de 7.518 a 10.797, para una diferencia de 3.279 causas. Ahondando un poco en el tema, se logra identificar que es el Juzgado Pensiones Alimentarias del I Circuito Judicial de Alajuela, es el que registra la mayor alza para el período en cuestión, al pasar de 1.903 expedientes inactivos en 2019 a 6.883 en 2020 (+262%).</w:t>
      </w:r>
    </w:p>
    <w:bookmarkEnd w:id="201"/>
    <w:p w14:paraId="17330FF3"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Circulante al finalizar al año:</w:t>
      </w:r>
      <w:r w:rsidRPr="002A7673">
        <w:rPr>
          <w:rFonts w:ascii="Times New Roman" w:hAnsi="Times New Roman" w:cs="Times New Roman"/>
          <w:sz w:val="28"/>
          <w:szCs w:val="28"/>
        </w:rPr>
        <w:t xml:space="preserve"> El circulante al finalizar el 2020 en conjunto de los despachos del Primer Circuito Judicial de Alajuela acumuló un total de 104.459 </w:t>
      </w:r>
      <w:r w:rsidRPr="002A7673">
        <w:rPr>
          <w:rFonts w:ascii="Times New Roman" w:hAnsi="Times New Roman" w:cs="Times New Roman"/>
          <w:sz w:val="28"/>
          <w:szCs w:val="28"/>
        </w:rPr>
        <w:lastRenderedPageBreak/>
        <w:t>casos, mostrando un repunte de 2.343 unidades versus lo registrado al culminar el año anterior, lo que representa un incremento de 2,3%. Al analizar las cargas de trabajo por despacho, se reconoce que es el Juzgado de Cobro del I Circuito Judicial de Alajuela reporta el incremento más significativo, para un total de 72.278 expedientes al cierre de 2020 y experimenta un incremento de 6.394 asuntos (9,7%), lo anterior permite de forma fehaciente establecer que es este despacho el que presenta el mayor volumen de circulante a lo interno de este Centro de Responsabilidad.</w:t>
      </w:r>
    </w:p>
    <w:p w14:paraId="1CF7A210"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63110FE9"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El incremento en el circulante final en 2020 se puede ver justificado por la brecha entre la cifra de asuntos entrados totales frente a los terminados totales, la cual asciende a 2.314 casos, siendo superior lo ingresado a lo finiquitado, para un porcentaje de relación entre lo terminado y entrado de 96,5%, resultado superior a lo reportado en 2019 con 91,6%.</w:t>
      </w:r>
    </w:p>
    <w:p w14:paraId="209C3E28" w14:textId="77777777" w:rsidR="0093441E" w:rsidRPr="002A7673" w:rsidRDefault="0093441E" w:rsidP="00FF3FAC">
      <w:pPr>
        <w:numPr>
          <w:ilvl w:val="0"/>
          <w:numId w:val="31"/>
        </w:numPr>
        <w:spacing w:after="0" w:line="480" w:lineRule="auto"/>
        <w:ind w:firstLine="709"/>
        <w:jc w:val="both"/>
        <w:rPr>
          <w:rFonts w:ascii="Times New Roman" w:eastAsia="Times New Roman" w:hAnsi="Times New Roman" w:cs="Times New Roman"/>
          <w:b/>
          <w:sz w:val="28"/>
          <w:szCs w:val="28"/>
          <w:lang w:eastAsia="es-ES"/>
        </w:rPr>
      </w:pPr>
      <w:r w:rsidRPr="002A7673">
        <w:rPr>
          <w:rFonts w:ascii="Times New Roman" w:eastAsia="Times New Roman" w:hAnsi="Times New Roman" w:cs="Times New Roman"/>
          <w:b/>
          <w:sz w:val="28"/>
          <w:szCs w:val="28"/>
          <w:lang w:val="es-ES" w:eastAsia="es-ES"/>
        </w:rPr>
        <w:t>Análisis del comportamiento interanual del balance general entre 2019 y 2020 para el c</w:t>
      </w:r>
      <w:r w:rsidRPr="002A7673">
        <w:rPr>
          <w:rFonts w:ascii="Times New Roman" w:eastAsia="Times New Roman" w:hAnsi="Times New Roman" w:cs="Times New Roman"/>
          <w:b/>
          <w:bCs/>
          <w:sz w:val="28"/>
          <w:szCs w:val="28"/>
          <w:lang w:val="es-ES" w:eastAsia="es-ES"/>
        </w:rPr>
        <w:t>entro de responsabilidad de la Administración Regional de Grecia</w:t>
      </w:r>
    </w:p>
    <w:p w14:paraId="25093636" w14:textId="77777777" w:rsidR="0093441E" w:rsidRPr="002A7673" w:rsidRDefault="0093441E" w:rsidP="0093441E">
      <w:pPr>
        <w:spacing w:after="0" w:line="240" w:lineRule="auto"/>
        <w:ind w:firstLine="709"/>
        <w:jc w:val="center"/>
        <w:rPr>
          <w:rFonts w:ascii="Times New Roman" w:hAnsi="Times New Roman" w:cs="Times New Roman"/>
          <w:b/>
          <w:bCs/>
          <w:sz w:val="28"/>
          <w:szCs w:val="28"/>
        </w:rPr>
      </w:pPr>
      <w:r w:rsidRPr="002A7673">
        <w:rPr>
          <w:rFonts w:ascii="Times New Roman" w:hAnsi="Times New Roman" w:cs="Times New Roman"/>
          <w:b/>
          <w:bCs/>
          <w:sz w:val="28"/>
          <w:szCs w:val="28"/>
        </w:rPr>
        <w:t>Movimientos generales de trabajo para el Centro de Responsabilidad</w:t>
      </w:r>
    </w:p>
    <w:p w14:paraId="6D717980" w14:textId="77777777" w:rsidR="0093441E" w:rsidRPr="002A7673" w:rsidRDefault="0093441E" w:rsidP="0093441E">
      <w:pPr>
        <w:spacing w:after="0" w:line="240" w:lineRule="auto"/>
        <w:ind w:firstLine="709"/>
        <w:jc w:val="center"/>
        <w:rPr>
          <w:rFonts w:ascii="Times New Roman" w:hAnsi="Times New Roman" w:cs="Times New Roman"/>
          <w:b/>
          <w:bCs/>
          <w:sz w:val="28"/>
          <w:szCs w:val="28"/>
        </w:rPr>
      </w:pPr>
      <w:r w:rsidRPr="002A7673">
        <w:rPr>
          <w:rFonts w:ascii="Times New Roman" w:hAnsi="Times New Roman" w:cs="Times New Roman"/>
          <w:b/>
          <w:bCs/>
          <w:sz w:val="28"/>
          <w:szCs w:val="28"/>
        </w:rPr>
        <w:t>de la Administración Judicial de la localidad de Grecia</w:t>
      </w:r>
    </w:p>
    <w:p w14:paraId="354F1312" w14:textId="77777777" w:rsidR="0093441E" w:rsidRPr="002A7673" w:rsidRDefault="0093441E" w:rsidP="0093441E">
      <w:pPr>
        <w:spacing w:after="0" w:line="240" w:lineRule="auto"/>
        <w:ind w:firstLine="709"/>
        <w:jc w:val="center"/>
        <w:rPr>
          <w:rFonts w:ascii="Times New Roman" w:hAnsi="Times New Roman" w:cs="Times New Roman"/>
          <w:sz w:val="28"/>
          <w:szCs w:val="28"/>
        </w:rPr>
      </w:pPr>
      <w:r w:rsidRPr="002A7673">
        <w:rPr>
          <w:rFonts w:ascii="Times New Roman" w:hAnsi="Times New Roman" w:cs="Times New Roman"/>
          <w:b/>
          <w:bCs/>
          <w:sz w:val="28"/>
          <w:szCs w:val="28"/>
        </w:rPr>
        <w:t>durante el bienio 2019-2020</w:t>
      </w:r>
    </w:p>
    <w:tbl>
      <w:tblPr>
        <w:tblW w:w="7381" w:type="dxa"/>
        <w:jc w:val="center"/>
        <w:tblCellMar>
          <w:left w:w="70" w:type="dxa"/>
          <w:right w:w="70" w:type="dxa"/>
        </w:tblCellMar>
        <w:tblLook w:val="04A0" w:firstRow="1" w:lastRow="0" w:firstColumn="1" w:lastColumn="0" w:noHBand="0" w:noVBand="1"/>
      </w:tblPr>
      <w:tblGrid>
        <w:gridCol w:w="2460"/>
        <w:gridCol w:w="1200"/>
        <w:gridCol w:w="1200"/>
        <w:gridCol w:w="1207"/>
        <w:gridCol w:w="1314"/>
      </w:tblGrid>
      <w:tr w:rsidR="0093441E" w:rsidRPr="002A7673" w14:paraId="0C2304CA" w14:textId="77777777" w:rsidTr="0048334E">
        <w:trPr>
          <w:tblHeader/>
          <w:jc w:val="center"/>
        </w:trPr>
        <w:tc>
          <w:tcPr>
            <w:tcW w:w="2460" w:type="dxa"/>
            <w:vMerge w:val="restart"/>
            <w:tcBorders>
              <w:top w:val="single" w:sz="4" w:space="0" w:color="auto"/>
              <w:left w:val="nil"/>
              <w:bottom w:val="single" w:sz="4" w:space="0" w:color="000000"/>
              <w:right w:val="nil"/>
            </w:tcBorders>
            <w:shd w:val="clear" w:color="auto" w:fill="auto"/>
            <w:vAlign w:val="center"/>
            <w:hideMark/>
          </w:tcPr>
          <w:p w14:paraId="359B5ED9"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lastRenderedPageBreak/>
              <w:t>Variable</w:t>
            </w:r>
          </w:p>
        </w:tc>
        <w:tc>
          <w:tcPr>
            <w:tcW w:w="240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4928559"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Año</w:t>
            </w:r>
          </w:p>
        </w:tc>
        <w:tc>
          <w:tcPr>
            <w:tcW w:w="120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4126AFF"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Variación absoluta</w:t>
            </w:r>
          </w:p>
        </w:tc>
        <w:tc>
          <w:tcPr>
            <w:tcW w:w="1314" w:type="dxa"/>
            <w:vMerge w:val="restart"/>
            <w:tcBorders>
              <w:top w:val="single" w:sz="4" w:space="0" w:color="auto"/>
              <w:left w:val="nil"/>
              <w:bottom w:val="single" w:sz="4" w:space="0" w:color="000000"/>
              <w:right w:val="nil"/>
            </w:tcBorders>
            <w:shd w:val="clear" w:color="auto" w:fill="auto"/>
            <w:vAlign w:val="center"/>
            <w:hideMark/>
          </w:tcPr>
          <w:p w14:paraId="719F6CEF"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Variación Porcentual</w:t>
            </w:r>
          </w:p>
        </w:tc>
      </w:tr>
      <w:tr w:rsidR="0093441E" w:rsidRPr="002A7673" w14:paraId="13F3AFD9" w14:textId="77777777" w:rsidTr="0048334E">
        <w:trPr>
          <w:tblHeader/>
          <w:jc w:val="center"/>
        </w:trPr>
        <w:tc>
          <w:tcPr>
            <w:tcW w:w="2460" w:type="dxa"/>
            <w:vMerge/>
            <w:tcBorders>
              <w:top w:val="single" w:sz="4" w:space="0" w:color="auto"/>
              <w:left w:val="nil"/>
              <w:bottom w:val="single" w:sz="4" w:space="0" w:color="000000"/>
              <w:right w:val="nil"/>
            </w:tcBorders>
            <w:vAlign w:val="center"/>
            <w:hideMark/>
          </w:tcPr>
          <w:p w14:paraId="367B6584" w14:textId="77777777" w:rsidR="0093441E" w:rsidRPr="002A7673" w:rsidRDefault="0093441E" w:rsidP="0048334E">
            <w:pPr>
              <w:spacing w:after="0" w:line="240" w:lineRule="auto"/>
              <w:rPr>
                <w:rFonts w:ascii="Times New Roman" w:hAnsi="Times New Roman" w:cs="Times New Roman"/>
                <w:b/>
                <w:bCs/>
                <w:color w:val="000000"/>
                <w:lang w:eastAsia="es-CR"/>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14:paraId="36F25245"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2019</w:t>
            </w:r>
          </w:p>
        </w:tc>
        <w:tc>
          <w:tcPr>
            <w:tcW w:w="1200" w:type="dxa"/>
            <w:tcBorders>
              <w:top w:val="nil"/>
              <w:left w:val="nil"/>
              <w:bottom w:val="single" w:sz="4" w:space="0" w:color="auto"/>
              <w:right w:val="single" w:sz="4" w:space="0" w:color="auto"/>
            </w:tcBorders>
            <w:shd w:val="clear" w:color="auto" w:fill="auto"/>
            <w:vAlign w:val="center"/>
            <w:hideMark/>
          </w:tcPr>
          <w:p w14:paraId="094AE854"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2020</w:t>
            </w:r>
          </w:p>
        </w:tc>
        <w:tc>
          <w:tcPr>
            <w:tcW w:w="1207" w:type="dxa"/>
            <w:vMerge/>
            <w:tcBorders>
              <w:top w:val="single" w:sz="4" w:space="0" w:color="auto"/>
              <w:left w:val="single" w:sz="4" w:space="0" w:color="auto"/>
              <w:bottom w:val="single" w:sz="4" w:space="0" w:color="000000"/>
              <w:right w:val="single" w:sz="4" w:space="0" w:color="auto"/>
            </w:tcBorders>
            <w:vAlign w:val="center"/>
            <w:hideMark/>
          </w:tcPr>
          <w:p w14:paraId="19BF8807" w14:textId="77777777" w:rsidR="0093441E" w:rsidRPr="002A7673" w:rsidRDefault="0093441E" w:rsidP="0048334E">
            <w:pPr>
              <w:spacing w:after="0" w:line="240" w:lineRule="auto"/>
              <w:rPr>
                <w:rFonts w:ascii="Times New Roman" w:hAnsi="Times New Roman" w:cs="Times New Roman"/>
                <w:b/>
                <w:bCs/>
                <w:color w:val="000000"/>
                <w:lang w:eastAsia="es-CR"/>
              </w:rPr>
            </w:pPr>
          </w:p>
        </w:tc>
        <w:tc>
          <w:tcPr>
            <w:tcW w:w="1314" w:type="dxa"/>
            <w:vMerge/>
            <w:tcBorders>
              <w:top w:val="single" w:sz="4" w:space="0" w:color="auto"/>
              <w:left w:val="nil"/>
              <w:bottom w:val="single" w:sz="4" w:space="0" w:color="000000"/>
              <w:right w:val="nil"/>
            </w:tcBorders>
            <w:vAlign w:val="center"/>
            <w:hideMark/>
          </w:tcPr>
          <w:p w14:paraId="63D24025" w14:textId="77777777" w:rsidR="0093441E" w:rsidRPr="002A7673" w:rsidRDefault="0093441E" w:rsidP="0048334E">
            <w:pPr>
              <w:spacing w:after="0" w:line="240" w:lineRule="auto"/>
              <w:rPr>
                <w:rFonts w:ascii="Times New Roman" w:hAnsi="Times New Roman" w:cs="Times New Roman"/>
                <w:b/>
                <w:bCs/>
                <w:color w:val="000000"/>
                <w:lang w:eastAsia="es-CR"/>
              </w:rPr>
            </w:pPr>
          </w:p>
        </w:tc>
      </w:tr>
      <w:tr w:rsidR="0093441E" w:rsidRPr="002A7673" w14:paraId="1DBE820F" w14:textId="77777777" w:rsidTr="0048334E">
        <w:trPr>
          <w:jc w:val="center"/>
        </w:trPr>
        <w:tc>
          <w:tcPr>
            <w:tcW w:w="2460" w:type="dxa"/>
            <w:tcBorders>
              <w:top w:val="nil"/>
              <w:left w:val="nil"/>
              <w:bottom w:val="nil"/>
              <w:right w:val="nil"/>
            </w:tcBorders>
            <w:shd w:val="clear" w:color="auto" w:fill="auto"/>
            <w:noWrap/>
            <w:vAlign w:val="center"/>
            <w:hideMark/>
          </w:tcPr>
          <w:p w14:paraId="06ADDA99"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Circulante al iniciar</w:t>
            </w:r>
          </w:p>
        </w:tc>
        <w:tc>
          <w:tcPr>
            <w:tcW w:w="1200" w:type="dxa"/>
            <w:tcBorders>
              <w:top w:val="nil"/>
              <w:left w:val="single" w:sz="4" w:space="0" w:color="auto"/>
              <w:bottom w:val="nil"/>
              <w:right w:val="single" w:sz="4" w:space="0" w:color="auto"/>
            </w:tcBorders>
            <w:shd w:val="clear" w:color="auto" w:fill="auto"/>
            <w:noWrap/>
            <w:vAlign w:val="center"/>
            <w:hideMark/>
          </w:tcPr>
          <w:p w14:paraId="56A7CCF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36 942</w:t>
            </w:r>
          </w:p>
        </w:tc>
        <w:tc>
          <w:tcPr>
            <w:tcW w:w="1200" w:type="dxa"/>
            <w:tcBorders>
              <w:top w:val="nil"/>
              <w:left w:val="nil"/>
              <w:bottom w:val="nil"/>
              <w:right w:val="single" w:sz="4" w:space="0" w:color="auto"/>
            </w:tcBorders>
            <w:shd w:val="clear" w:color="auto" w:fill="auto"/>
            <w:noWrap/>
            <w:vAlign w:val="center"/>
            <w:hideMark/>
          </w:tcPr>
          <w:p w14:paraId="7E6FE29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22 769</w:t>
            </w:r>
          </w:p>
        </w:tc>
        <w:tc>
          <w:tcPr>
            <w:tcW w:w="1207" w:type="dxa"/>
            <w:tcBorders>
              <w:top w:val="nil"/>
              <w:left w:val="nil"/>
              <w:bottom w:val="nil"/>
              <w:right w:val="single" w:sz="4" w:space="0" w:color="auto"/>
            </w:tcBorders>
            <w:shd w:val="clear" w:color="auto" w:fill="auto"/>
            <w:noWrap/>
            <w:vAlign w:val="center"/>
            <w:hideMark/>
          </w:tcPr>
          <w:p w14:paraId="2554D58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-14 173</w:t>
            </w:r>
          </w:p>
        </w:tc>
        <w:tc>
          <w:tcPr>
            <w:tcW w:w="1314" w:type="dxa"/>
            <w:tcBorders>
              <w:top w:val="nil"/>
              <w:left w:val="nil"/>
              <w:bottom w:val="nil"/>
              <w:right w:val="nil"/>
            </w:tcBorders>
            <w:shd w:val="clear" w:color="auto" w:fill="auto"/>
            <w:noWrap/>
            <w:vAlign w:val="center"/>
            <w:hideMark/>
          </w:tcPr>
          <w:p w14:paraId="428FB27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-38,4%</w:t>
            </w:r>
          </w:p>
        </w:tc>
      </w:tr>
      <w:tr w:rsidR="0093441E" w:rsidRPr="002A7673" w14:paraId="577EAF3B" w14:textId="77777777" w:rsidTr="0048334E">
        <w:trPr>
          <w:jc w:val="center"/>
        </w:trPr>
        <w:tc>
          <w:tcPr>
            <w:tcW w:w="2460" w:type="dxa"/>
            <w:tcBorders>
              <w:top w:val="nil"/>
              <w:left w:val="nil"/>
              <w:bottom w:val="nil"/>
              <w:right w:val="nil"/>
            </w:tcBorders>
            <w:shd w:val="clear" w:color="auto" w:fill="auto"/>
            <w:noWrap/>
            <w:vAlign w:val="center"/>
            <w:hideMark/>
          </w:tcPr>
          <w:p w14:paraId="30903279"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entrados</w:t>
            </w:r>
          </w:p>
        </w:tc>
        <w:tc>
          <w:tcPr>
            <w:tcW w:w="1200" w:type="dxa"/>
            <w:tcBorders>
              <w:top w:val="nil"/>
              <w:left w:val="single" w:sz="4" w:space="0" w:color="auto"/>
              <w:bottom w:val="nil"/>
              <w:right w:val="single" w:sz="4" w:space="0" w:color="auto"/>
            </w:tcBorders>
            <w:shd w:val="clear" w:color="auto" w:fill="auto"/>
            <w:noWrap/>
            <w:vAlign w:val="center"/>
            <w:hideMark/>
          </w:tcPr>
          <w:p w14:paraId="26ED0834"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13 455</w:t>
            </w:r>
          </w:p>
        </w:tc>
        <w:tc>
          <w:tcPr>
            <w:tcW w:w="1200" w:type="dxa"/>
            <w:tcBorders>
              <w:top w:val="nil"/>
              <w:left w:val="nil"/>
              <w:bottom w:val="nil"/>
              <w:right w:val="single" w:sz="4" w:space="0" w:color="auto"/>
            </w:tcBorders>
            <w:shd w:val="clear" w:color="auto" w:fill="auto"/>
            <w:noWrap/>
            <w:vAlign w:val="center"/>
            <w:hideMark/>
          </w:tcPr>
          <w:p w14:paraId="6E6067D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11 125</w:t>
            </w:r>
          </w:p>
        </w:tc>
        <w:tc>
          <w:tcPr>
            <w:tcW w:w="1207" w:type="dxa"/>
            <w:tcBorders>
              <w:top w:val="nil"/>
              <w:left w:val="nil"/>
              <w:bottom w:val="nil"/>
              <w:right w:val="single" w:sz="4" w:space="0" w:color="auto"/>
            </w:tcBorders>
            <w:shd w:val="clear" w:color="auto" w:fill="auto"/>
            <w:noWrap/>
            <w:vAlign w:val="center"/>
            <w:hideMark/>
          </w:tcPr>
          <w:p w14:paraId="037D733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-2 330</w:t>
            </w:r>
          </w:p>
        </w:tc>
        <w:tc>
          <w:tcPr>
            <w:tcW w:w="1314" w:type="dxa"/>
            <w:tcBorders>
              <w:top w:val="nil"/>
              <w:left w:val="nil"/>
              <w:bottom w:val="nil"/>
              <w:right w:val="nil"/>
            </w:tcBorders>
            <w:shd w:val="clear" w:color="auto" w:fill="auto"/>
            <w:noWrap/>
            <w:vAlign w:val="center"/>
            <w:hideMark/>
          </w:tcPr>
          <w:p w14:paraId="7EBA98A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-17,3%</w:t>
            </w:r>
          </w:p>
        </w:tc>
      </w:tr>
      <w:tr w:rsidR="0093441E" w:rsidRPr="002A7673" w14:paraId="4CE063A2" w14:textId="77777777" w:rsidTr="0048334E">
        <w:trPr>
          <w:jc w:val="center"/>
        </w:trPr>
        <w:tc>
          <w:tcPr>
            <w:tcW w:w="2460" w:type="dxa"/>
            <w:tcBorders>
              <w:top w:val="nil"/>
              <w:left w:val="nil"/>
              <w:bottom w:val="nil"/>
              <w:right w:val="nil"/>
            </w:tcBorders>
            <w:shd w:val="clear" w:color="auto" w:fill="auto"/>
            <w:noWrap/>
            <w:vAlign w:val="center"/>
            <w:hideMark/>
          </w:tcPr>
          <w:p w14:paraId="32155AC1"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reentrados</w:t>
            </w:r>
          </w:p>
        </w:tc>
        <w:tc>
          <w:tcPr>
            <w:tcW w:w="1200" w:type="dxa"/>
            <w:tcBorders>
              <w:top w:val="nil"/>
              <w:left w:val="single" w:sz="4" w:space="0" w:color="auto"/>
              <w:bottom w:val="nil"/>
              <w:right w:val="single" w:sz="4" w:space="0" w:color="auto"/>
            </w:tcBorders>
            <w:shd w:val="clear" w:color="auto" w:fill="auto"/>
            <w:noWrap/>
            <w:vAlign w:val="center"/>
            <w:hideMark/>
          </w:tcPr>
          <w:p w14:paraId="78475C4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3 644</w:t>
            </w:r>
          </w:p>
        </w:tc>
        <w:tc>
          <w:tcPr>
            <w:tcW w:w="1200" w:type="dxa"/>
            <w:tcBorders>
              <w:top w:val="nil"/>
              <w:left w:val="nil"/>
              <w:bottom w:val="nil"/>
              <w:right w:val="single" w:sz="4" w:space="0" w:color="auto"/>
            </w:tcBorders>
            <w:shd w:val="clear" w:color="auto" w:fill="auto"/>
            <w:noWrap/>
            <w:vAlign w:val="center"/>
            <w:hideMark/>
          </w:tcPr>
          <w:p w14:paraId="64ACED0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9 471</w:t>
            </w:r>
          </w:p>
        </w:tc>
        <w:tc>
          <w:tcPr>
            <w:tcW w:w="1207" w:type="dxa"/>
            <w:tcBorders>
              <w:top w:val="nil"/>
              <w:left w:val="nil"/>
              <w:bottom w:val="nil"/>
              <w:right w:val="single" w:sz="4" w:space="0" w:color="auto"/>
            </w:tcBorders>
            <w:shd w:val="clear" w:color="auto" w:fill="auto"/>
            <w:noWrap/>
            <w:vAlign w:val="center"/>
            <w:hideMark/>
          </w:tcPr>
          <w:p w14:paraId="590E3DD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5 827</w:t>
            </w:r>
          </w:p>
        </w:tc>
        <w:tc>
          <w:tcPr>
            <w:tcW w:w="1314" w:type="dxa"/>
            <w:tcBorders>
              <w:top w:val="nil"/>
              <w:left w:val="nil"/>
              <w:bottom w:val="nil"/>
              <w:right w:val="nil"/>
            </w:tcBorders>
            <w:shd w:val="clear" w:color="auto" w:fill="auto"/>
            <w:noWrap/>
            <w:vAlign w:val="center"/>
            <w:hideMark/>
          </w:tcPr>
          <w:p w14:paraId="1268786B"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159,9%</w:t>
            </w:r>
          </w:p>
        </w:tc>
      </w:tr>
      <w:tr w:rsidR="0093441E" w:rsidRPr="002A7673" w14:paraId="4509B499" w14:textId="77777777" w:rsidTr="0048334E">
        <w:trPr>
          <w:jc w:val="center"/>
        </w:trPr>
        <w:tc>
          <w:tcPr>
            <w:tcW w:w="2460" w:type="dxa"/>
            <w:tcBorders>
              <w:top w:val="nil"/>
              <w:left w:val="nil"/>
              <w:bottom w:val="nil"/>
              <w:right w:val="nil"/>
            </w:tcBorders>
            <w:shd w:val="clear" w:color="auto" w:fill="auto"/>
            <w:noWrap/>
            <w:vAlign w:val="center"/>
            <w:hideMark/>
          </w:tcPr>
          <w:p w14:paraId="575B119F"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Casos reactivados </w:t>
            </w:r>
          </w:p>
        </w:tc>
        <w:tc>
          <w:tcPr>
            <w:tcW w:w="1200" w:type="dxa"/>
            <w:tcBorders>
              <w:top w:val="nil"/>
              <w:left w:val="single" w:sz="4" w:space="0" w:color="auto"/>
              <w:bottom w:val="nil"/>
              <w:right w:val="single" w:sz="4" w:space="0" w:color="auto"/>
            </w:tcBorders>
            <w:shd w:val="clear" w:color="auto" w:fill="auto"/>
            <w:noWrap/>
            <w:vAlign w:val="center"/>
            <w:hideMark/>
          </w:tcPr>
          <w:p w14:paraId="5BBFDD7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53</w:t>
            </w:r>
          </w:p>
        </w:tc>
        <w:tc>
          <w:tcPr>
            <w:tcW w:w="1200" w:type="dxa"/>
            <w:tcBorders>
              <w:top w:val="nil"/>
              <w:left w:val="nil"/>
              <w:bottom w:val="nil"/>
              <w:right w:val="single" w:sz="4" w:space="0" w:color="auto"/>
            </w:tcBorders>
            <w:shd w:val="clear" w:color="auto" w:fill="auto"/>
            <w:noWrap/>
            <w:vAlign w:val="center"/>
            <w:hideMark/>
          </w:tcPr>
          <w:p w14:paraId="6A9F52B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220</w:t>
            </w:r>
          </w:p>
        </w:tc>
        <w:tc>
          <w:tcPr>
            <w:tcW w:w="1207" w:type="dxa"/>
            <w:tcBorders>
              <w:top w:val="nil"/>
              <w:left w:val="nil"/>
              <w:bottom w:val="nil"/>
              <w:right w:val="single" w:sz="4" w:space="0" w:color="auto"/>
            </w:tcBorders>
            <w:shd w:val="clear" w:color="auto" w:fill="auto"/>
            <w:noWrap/>
            <w:vAlign w:val="center"/>
            <w:hideMark/>
          </w:tcPr>
          <w:p w14:paraId="7D3499A1"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167</w:t>
            </w:r>
          </w:p>
        </w:tc>
        <w:tc>
          <w:tcPr>
            <w:tcW w:w="1314" w:type="dxa"/>
            <w:tcBorders>
              <w:top w:val="nil"/>
              <w:left w:val="nil"/>
              <w:bottom w:val="nil"/>
              <w:right w:val="nil"/>
            </w:tcBorders>
            <w:shd w:val="clear" w:color="auto" w:fill="auto"/>
            <w:noWrap/>
            <w:vAlign w:val="center"/>
            <w:hideMark/>
          </w:tcPr>
          <w:p w14:paraId="65F6B85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w:t>
            </w:r>
          </w:p>
        </w:tc>
      </w:tr>
      <w:tr w:rsidR="0093441E" w:rsidRPr="002A7673" w14:paraId="440CD88B" w14:textId="77777777" w:rsidTr="0048334E">
        <w:trPr>
          <w:jc w:val="center"/>
        </w:trPr>
        <w:tc>
          <w:tcPr>
            <w:tcW w:w="2460" w:type="dxa"/>
            <w:tcBorders>
              <w:top w:val="nil"/>
              <w:left w:val="nil"/>
              <w:bottom w:val="nil"/>
              <w:right w:val="nil"/>
            </w:tcBorders>
            <w:shd w:val="clear" w:color="auto" w:fill="auto"/>
            <w:noWrap/>
            <w:vAlign w:val="center"/>
            <w:hideMark/>
          </w:tcPr>
          <w:p w14:paraId="20621BC3"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Testimonio de piezas</w:t>
            </w:r>
          </w:p>
        </w:tc>
        <w:tc>
          <w:tcPr>
            <w:tcW w:w="1200" w:type="dxa"/>
            <w:tcBorders>
              <w:top w:val="nil"/>
              <w:left w:val="single" w:sz="4" w:space="0" w:color="auto"/>
              <w:bottom w:val="nil"/>
              <w:right w:val="single" w:sz="4" w:space="0" w:color="auto"/>
            </w:tcBorders>
            <w:shd w:val="clear" w:color="auto" w:fill="auto"/>
            <w:noWrap/>
            <w:vAlign w:val="center"/>
            <w:hideMark/>
          </w:tcPr>
          <w:p w14:paraId="6ECFDAE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228</w:t>
            </w:r>
          </w:p>
        </w:tc>
        <w:tc>
          <w:tcPr>
            <w:tcW w:w="1200" w:type="dxa"/>
            <w:tcBorders>
              <w:top w:val="nil"/>
              <w:left w:val="nil"/>
              <w:bottom w:val="nil"/>
              <w:right w:val="single" w:sz="4" w:space="0" w:color="auto"/>
            </w:tcBorders>
            <w:shd w:val="clear" w:color="auto" w:fill="auto"/>
            <w:noWrap/>
            <w:vAlign w:val="center"/>
            <w:hideMark/>
          </w:tcPr>
          <w:p w14:paraId="370EED86"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164</w:t>
            </w:r>
          </w:p>
        </w:tc>
        <w:tc>
          <w:tcPr>
            <w:tcW w:w="1207" w:type="dxa"/>
            <w:tcBorders>
              <w:top w:val="nil"/>
              <w:left w:val="nil"/>
              <w:bottom w:val="nil"/>
              <w:right w:val="single" w:sz="4" w:space="0" w:color="auto"/>
            </w:tcBorders>
            <w:shd w:val="clear" w:color="auto" w:fill="auto"/>
            <w:noWrap/>
            <w:vAlign w:val="center"/>
            <w:hideMark/>
          </w:tcPr>
          <w:p w14:paraId="52BAFA5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-64</w:t>
            </w:r>
          </w:p>
        </w:tc>
        <w:tc>
          <w:tcPr>
            <w:tcW w:w="1314" w:type="dxa"/>
            <w:tcBorders>
              <w:top w:val="nil"/>
              <w:left w:val="nil"/>
              <w:bottom w:val="nil"/>
              <w:right w:val="nil"/>
            </w:tcBorders>
            <w:shd w:val="clear" w:color="auto" w:fill="auto"/>
            <w:noWrap/>
            <w:vAlign w:val="center"/>
            <w:hideMark/>
          </w:tcPr>
          <w:p w14:paraId="6A2261B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-28,1%</w:t>
            </w:r>
          </w:p>
        </w:tc>
      </w:tr>
      <w:tr w:rsidR="0093441E" w:rsidRPr="002A7673" w14:paraId="3C61BAA7" w14:textId="77777777" w:rsidTr="0048334E">
        <w:trPr>
          <w:jc w:val="center"/>
        </w:trPr>
        <w:tc>
          <w:tcPr>
            <w:tcW w:w="2460" w:type="dxa"/>
            <w:tcBorders>
              <w:top w:val="nil"/>
              <w:left w:val="nil"/>
              <w:bottom w:val="nil"/>
              <w:right w:val="nil"/>
            </w:tcBorders>
            <w:shd w:val="clear" w:color="auto" w:fill="auto"/>
            <w:noWrap/>
            <w:vAlign w:val="center"/>
            <w:hideMark/>
          </w:tcPr>
          <w:p w14:paraId="3BDC2583"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terminados</w:t>
            </w:r>
          </w:p>
        </w:tc>
        <w:tc>
          <w:tcPr>
            <w:tcW w:w="1200" w:type="dxa"/>
            <w:tcBorders>
              <w:top w:val="nil"/>
              <w:left w:val="single" w:sz="4" w:space="0" w:color="auto"/>
              <w:bottom w:val="nil"/>
              <w:right w:val="single" w:sz="4" w:space="0" w:color="auto"/>
            </w:tcBorders>
            <w:shd w:val="clear" w:color="auto" w:fill="auto"/>
            <w:noWrap/>
            <w:vAlign w:val="center"/>
            <w:hideMark/>
          </w:tcPr>
          <w:p w14:paraId="0797E45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11 422</w:t>
            </w:r>
          </w:p>
        </w:tc>
        <w:tc>
          <w:tcPr>
            <w:tcW w:w="1200" w:type="dxa"/>
            <w:tcBorders>
              <w:top w:val="nil"/>
              <w:left w:val="nil"/>
              <w:bottom w:val="nil"/>
              <w:right w:val="single" w:sz="4" w:space="0" w:color="auto"/>
            </w:tcBorders>
            <w:shd w:val="clear" w:color="auto" w:fill="auto"/>
            <w:noWrap/>
            <w:vAlign w:val="center"/>
            <w:hideMark/>
          </w:tcPr>
          <w:p w14:paraId="691F979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10 563</w:t>
            </w:r>
          </w:p>
        </w:tc>
        <w:tc>
          <w:tcPr>
            <w:tcW w:w="1207" w:type="dxa"/>
            <w:tcBorders>
              <w:top w:val="nil"/>
              <w:left w:val="nil"/>
              <w:bottom w:val="nil"/>
              <w:right w:val="single" w:sz="4" w:space="0" w:color="auto"/>
            </w:tcBorders>
            <w:shd w:val="clear" w:color="auto" w:fill="auto"/>
            <w:noWrap/>
            <w:vAlign w:val="center"/>
            <w:hideMark/>
          </w:tcPr>
          <w:p w14:paraId="7C07B90C"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-859</w:t>
            </w:r>
          </w:p>
        </w:tc>
        <w:tc>
          <w:tcPr>
            <w:tcW w:w="1314" w:type="dxa"/>
            <w:tcBorders>
              <w:top w:val="nil"/>
              <w:left w:val="nil"/>
              <w:bottom w:val="nil"/>
              <w:right w:val="nil"/>
            </w:tcBorders>
            <w:shd w:val="clear" w:color="auto" w:fill="auto"/>
            <w:noWrap/>
            <w:vAlign w:val="center"/>
            <w:hideMark/>
          </w:tcPr>
          <w:p w14:paraId="4F52F3D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-7,5%</w:t>
            </w:r>
          </w:p>
        </w:tc>
      </w:tr>
      <w:tr w:rsidR="0093441E" w:rsidRPr="002A7673" w14:paraId="2906214B" w14:textId="77777777" w:rsidTr="0048334E">
        <w:trPr>
          <w:jc w:val="center"/>
        </w:trPr>
        <w:tc>
          <w:tcPr>
            <w:tcW w:w="2460" w:type="dxa"/>
            <w:tcBorders>
              <w:top w:val="nil"/>
              <w:left w:val="nil"/>
              <w:bottom w:val="nil"/>
              <w:right w:val="nil"/>
            </w:tcBorders>
            <w:shd w:val="clear" w:color="auto" w:fill="auto"/>
            <w:noWrap/>
            <w:vAlign w:val="center"/>
            <w:hideMark/>
          </w:tcPr>
          <w:p w14:paraId="0C4264F3"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inactivos</w:t>
            </w:r>
          </w:p>
        </w:tc>
        <w:tc>
          <w:tcPr>
            <w:tcW w:w="1200" w:type="dxa"/>
            <w:tcBorders>
              <w:top w:val="nil"/>
              <w:left w:val="single" w:sz="4" w:space="0" w:color="auto"/>
              <w:bottom w:val="nil"/>
              <w:right w:val="single" w:sz="4" w:space="0" w:color="auto"/>
            </w:tcBorders>
            <w:shd w:val="clear" w:color="auto" w:fill="auto"/>
            <w:noWrap/>
            <w:vAlign w:val="center"/>
            <w:hideMark/>
          </w:tcPr>
          <w:p w14:paraId="6A276E4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20 147</w:t>
            </w:r>
          </w:p>
        </w:tc>
        <w:tc>
          <w:tcPr>
            <w:tcW w:w="1200" w:type="dxa"/>
            <w:tcBorders>
              <w:top w:val="nil"/>
              <w:left w:val="nil"/>
              <w:bottom w:val="nil"/>
              <w:right w:val="single" w:sz="4" w:space="0" w:color="auto"/>
            </w:tcBorders>
            <w:shd w:val="clear" w:color="auto" w:fill="auto"/>
            <w:noWrap/>
            <w:vAlign w:val="center"/>
            <w:hideMark/>
          </w:tcPr>
          <w:p w14:paraId="05BF90B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11 176</w:t>
            </w:r>
          </w:p>
        </w:tc>
        <w:tc>
          <w:tcPr>
            <w:tcW w:w="1207" w:type="dxa"/>
            <w:tcBorders>
              <w:top w:val="nil"/>
              <w:left w:val="nil"/>
              <w:bottom w:val="nil"/>
              <w:right w:val="single" w:sz="4" w:space="0" w:color="auto"/>
            </w:tcBorders>
            <w:shd w:val="clear" w:color="auto" w:fill="auto"/>
            <w:noWrap/>
            <w:vAlign w:val="center"/>
            <w:hideMark/>
          </w:tcPr>
          <w:p w14:paraId="21205371"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-8 971</w:t>
            </w:r>
          </w:p>
        </w:tc>
        <w:tc>
          <w:tcPr>
            <w:tcW w:w="1314" w:type="dxa"/>
            <w:tcBorders>
              <w:top w:val="nil"/>
              <w:left w:val="nil"/>
              <w:bottom w:val="nil"/>
              <w:right w:val="nil"/>
            </w:tcBorders>
            <w:shd w:val="clear" w:color="auto" w:fill="auto"/>
            <w:noWrap/>
            <w:vAlign w:val="center"/>
            <w:hideMark/>
          </w:tcPr>
          <w:p w14:paraId="702DD30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-44,5%</w:t>
            </w:r>
          </w:p>
        </w:tc>
      </w:tr>
      <w:tr w:rsidR="0093441E" w:rsidRPr="002A7673" w14:paraId="16952A5D" w14:textId="77777777" w:rsidTr="0048334E">
        <w:trPr>
          <w:jc w:val="center"/>
        </w:trPr>
        <w:tc>
          <w:tcPr>
            <w:tcW w:w="2460" w:type="dxa"/>
            <w:tcBorders>
              <w:top w:val="nil"/>
              <w:left w:val="nil"/>
              <w:bottom w:val="nil"/>
              <w:right w:val="nil"/>
            </w:tcBorders>
            <w:shd w:val="clear" w:color="auto" w:fill="auto"/>
            <w:noWrap/>
            <w:vAlign w:val="center"/>
            <w:hideMark/>
          </w:tcPr>
          <w:p w14:paraId="6B37FB0F"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Circulante al finalizar</w:t>
            </w:r>
          </w:p>
        </w:tc>
        <w:tc>
          <w:tcPr>
            <w:tcW w:w="1200" w:type="dxa"/>
            <w:tcBorders>
              <w:top w:val="nil"/>
              <w:left w:val="single" w:sz="4" w:space="0" w:color="auto"/>
              <w:bottom w:val="nil"/>
              <w:right w:val="single" w:sz="4" w:space="0" w:color="auto"/>
            </w:tcBorders>
            <w:shd w:val="clear" w:color="auto" w:fill="auto"/>
            <w:noWrap/>
            <w:vAlign w:val="center"/>
            <w:hideMark/>
          </w:tcPr>
          <w:p w14:paraId="5DA74CDB"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22 769</w:t>
            </w:r>
          </w:p>
        </w:tc>
        <w:tc>
          <w:tcPr>
            <w:tcW w:w="1200" w:type="dxa"/>
            <w:tcBorders>
              <w:top w:val="nil"/>
              <w:left w:val="nil"/>
              <w:bottom w:val="nil"/>
              <w:right w:val="single" w:sz="4" w:space="0" w:color="auto"/>
            </w:tcBorders>
            <w:shd w:val="clear" w:color="auto" w:fill="auto"/>
            <w:noWrap/>
            <w:vAlign w:val="center"/>
            <w:hideMark/>
          </w:tcPr>
          <w:p w14:paraId="763C68A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22 030</w:t>
            </w:r>
          </w:p>
        </w:tc>
        <w:tc>
          <w:tcPr>
            <w:tcW w:w="1207" w:type="dxa"/>
            <w:tcBorders>
              <w:top w:val="nil"/>
              <w:left w:val="nil"/>
              <w:bottom w:val="nil"/>
              <w:right w:val="single" w:sz="4" w:space="0" w:color="auto"/>
            </w:tcBorders>
            <w:shd w:val="clear" w:color="auto" w:fill="auto"/>
            <w:noWrap/>
            <w:vAlign w:val="center"/>
            <w:hideMark/>
          </w:tcPr>
          <w:p w14:paraId="06882C4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-739</w:t>
            </w:r>
          </w:p>
        </w:tc>
        <w:tc>
          <w:tcPr>
            <w:tcW w:w="1314" w:type="dxa"/>
            <w:tcBorders>
              <w:top w:val="nil"/>
              <w:left w:val="nil"/>
              <w:bottom w:val="nil"/>
              <w:right w:val="nil"/>
            </w:tcBorders>
            <w:shd w:val="clear" w:color="auto" w:fill="auto"/>
            <w:noWrap/>
            <w:vAlign w:val="center"/>
            <w:hideMark/>
          </w:tcPr>
          <w:p w14:paraId="31189191"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-3,2%</w:t>
            </w:r>
          </w:p>
        </w:tc>
      </w:tr>
      <w:tr w:rsidR="0093441E" w:rsidRPr="002A7673" w14:paraId="1CE1A14D" w14:textId="77777777" w:rsidTr="0048334E">
        <w:trPr>
          <w:jc w:val="center"/>
        </w:trPr>
        <w:tc>
          <w:tcPr>
            <w:tcW w:w="7381" w:type="dxa"/>
            <w:gridSpan w:val="5"/>
            <w:tcBorders>
              <w:top w:val="single" w:sz="4" w:space="0" w:color="auto"/>
              <w:left w:val="nil"/>
              <w:bottom w:val="nil"/>
              <w:right w:val="nil"/>
            </w:tcBorders>
            <w:shd w:val="clear" w:color="auto" w:fill="auto"/>
            <w:noWrap/>
            <w:vAlign w:val="center"/>
            <w:hideMark/>
          </w:tcPr>
          <w:p w14:paraId="7386FE95" w14:textId="77777777" w:rsidR="0093441E" w:rsidRPr="002A7673" w:rsidRDefault="0093441E" w:rsidP="0048334E">
            <w:pPr>
              <w:spacing w:after="0" w:line="240" w:lineRule="auto"/>
              <w:rPr>
                <w:rFonts w:ascii="Times New Roman" w:hAnsi="Times New Roman" w:cs="Times New Roman"/>
                <w:color w:val="000000"/>
                <w:sz w:val="20"/>
                <w:szCs w:val="20"/>
                <w:lang w:eastAsia="es-CR"/>
              </w:rPr>
            </w:pPr>
            <w:r w:rsidRPr="002A7673">
              <w:rPr>
                <w:rFonts w:ascii="Times New Roman" w:hAnsi="Times New Roman" w:cs="Times New Roman"/>
                <w:b/>
                <w:bCs/>
                <w:color w:val="000000"/>
                <w:sz w:val="20"/>
                <w:szCs w:val="20"/>
                <w:lang w:eastAsia="es-CR"/>
              </w:rPr>
              <w:t>Fuente:</w:t>
            </w:r>
            <w:r w:rsidRPr="002A7673">
              <w:rPr>
                <w:rFonts w:ascii="Times New Roman" w:hAnsi="Times New Roman" w:cs="Times New Roman"/>
                <w:color w:val="000000"/>
                <w:sz w:val="20"/>
                <w:szCs w:val="20"/>
                <w:lang w:eastAsia="es-CR"/>
              </w:rPr>
              <w:t xml:space="preserve"> Subproceso de Estadística, Dirección de Planificación, Poder Judicial.</w:t>
            </w:r>
          </w:p>
        </w:tc>
      </w:tr>
    </w:tbl>
    <w:p w14:paraId="16F5D487" w14:textId="52F044C0" w:rsidR="0093441E" w:rsidRPr="002A7673" w:rsidRDefault="0093441E" w:rsidP="0093441E">
      <w:pPr>
        <w:spacing w:after="0" w:line="240" w:lineRule="auto"/>
        <w:rPr>
          <w:rFonts w:ascii="Times New Roman" w:hAnsi="Times New Roman" w:cs="Times New Roman"/>
        </w:rPr>
      </w:pPr>
    </w:p>
    <w:p w14:paraId="2B7FE2AA" w14:textId="77777777" w:rsidR="00853967" w:rsidRPr="002A7673" w:rsidRDefault="00853967" w:rsidP="00853967">
      <w:pPr>
        <w:spacing w:after="0" w:line="480" w:lineRule="auto"/>
        <w:jc w:val="both"/>
        <w:rPr>
          <w:rFonts w:ascii="Times New Roman" w:hAnsi="Times New Roman" w:cs="Times New Roman"/>
          <w:sz w:val="28"/>
          <w:szCs w:val="28"/>
        </w:rPr>
      </w:pPr>
    </w:p>
    <w:p w14:paraId="0F7D6FDE" w14:textId="313D5229" w:rsidR="0093441E" w:rsidRPr="002A7673" w:rsidRDefault="0093441E" w:rsidP="00853967">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 las cifras contenidas en la tabla anterior, destacan los siguientes hechos: </w:t>
      </w:r>
    </w:p>
    <w:p w14:paraId="5A3962CD"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El número de expedientes ingresados en el Centro de Responsabilidad de la Administración Regional de la localidad de Grecia se registró en 11.125 unidades durante el 2020, experimentando esta variable una baja de 2.330 casos, para una merma porcentual de 17,3%. </w:t>
      </w:r>
    </w:p>
    <w:p w14:paraId="6690336E"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Sin embargo, sobresale en mucha mayor proporción el incremento de 5.827 expedientes en la cantidad de casos reentrados, para un repunte de 159,9%; es decir, de más del doble de lo reingresado el año anterior, lo cual se encuentra explicado por el Juzgado de Cobro Judicial de Grecia, que reactivó de 2.446 asuntos en el 2019, a 9.020 en la actualidad.   </w:t>
      </w:r>
    </w:p>
    <w:p w14:paraId="4511DE73"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terminados:</w:t>
      </w:r>
      <w:r w:rsidRPr="002A7673">
        <w:rPr>
          <w:rFonts w:ascii="Times New Roman" w:hAnsi="Times New Roman" w:cs="Times New Roman"/>
          <w:sz w:val="28"/>
          <w:szCs w:val="28"/>
        </w:rPr>
        <w:t xml:space="preserve"> El número de procesos terminados en esta Administración Regional se reportó en 10.563 en esta ocasión, mostrando una baja moderada de 859 demandas versus el trabajo atendido el año anterior, para una merma relativa de 7,5%. </w:t>
      </w:r>
    </w:p>
    <w:p w14:paraId="598FB34C"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 xml:space="preserve">No obstante, al igual que la variable anterior, el volumen de demandas inactivas, que se descuentan del circulante mediante la depuración de casillas trimestrales, al no presentarse movimientos o impulsos procesales por más de seis meses, acusó ahora una sustancial disminución de 8.971 litigios en comparación con la cifra mostrada el año previo, para un descenso de 44,5%.        </w:t>
      </w:r>
    </w:p>
    <w:p w14:paraId="78DE5C6C"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Una vez más, esta coyuntura obedece a los movimientos acontecidos en el Juzgado de Cobro Judicial de Grecia, que realizó este procedimiento de 18.862 casos en el 2019, 10.732 en esta oportunidad.   </w:t>
      </w:r>
    </w:p>
    <w:p w14:paraId="058C981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Circulante al finalizar al año:</w:t>
      </w:r>
      <w:r w:rsidRPr="002A7673">
        <w:rPr>
          <w:rFonts w:ascii="Times New Roman" w:hAnsi="Times New Roman" w:cs="Times New Roman"/>
          <w:sz w:val="28"/>
          <w:szCs w:val="28"/>
        </w:rPr>
        <w:t xml:space="preserve"> El circulante de los despachos adscritos a la Administración Regional de Grecia llegó a 22.030 demandas al finalizar el 2020, evidenciando una moderada reducción de 739 expedientes versus el circulante acumulado al cerrar el año previo, lo que representa a una baja porcentual de solo un 3,2%. </w:t>
      </w:r>
    </w:p>
    <w:p w14:paraId="7DB28F53"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Por su parte, se coligen de la tabla anterior las moderadas brechas entre las cifras de asuntos entrados y terminados en el presente año (562 casos), siendo superior lo ingresado, y el número de asuntos reentrados e inactivos (1.705 unidades), siendo en este caso mayor el grupo de sumarias inactivas o “</w:t>
      </w:r>
      <w:r w:rsidRPr="002A7673">
        <w:rPr>
          <w:rFonts w:ascii="Times New Roman" w:hAnsi="Times New Roman" w:cs="Times New Roman"/>
          <w:i/>
          <w:iCs/>
          <w:sz w:val="28"/>
          <w:szCs w:val="28"/>
        </w:rPr>
        <w:t>abandonadas</w:t>
      </w:r>
      <w:r w:rsidRPr="002A7673">
        <w:rPr>
          <w:rFonts w:ascii="Times New Roman" w:hAnsi="Times New Roman" w:cs="Times New Roman"/>
          <w:sz w:val="28"/>
          <w:szCs w:val="28"/>
        </w:rPr>
        <w:t xml:space="preserve">”.  </w:t>
      </w:r>
    </w:p>
    <w:p w14:paraId="46316A79"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Estas moderadas variaciones entre ingresos y egresos explican el pequeño descenso de expedientes en el circulante al finalizar el año, a pesar del conjunto de </w:t>
      </w:r>
      <w:r w:rsidRPr="002A7673">
        <w:rPr>
          <w:rFonts w:ascii="Times New Roman" w:hAnsi="Times New Roman" w:cs="Times New Roman"/>
          <w:sz w:val="28"/>
          <w:szCs w:val="28"/>
        </w:rPr>
        <w:lastRenderedPageBreak/>
        <w:t xml:space="preserve">situaciones externas y extralaborales, ampliamente conocidas a nivel nacional, relacionadas con la emergencia por la pandemia, provocada por la propagación del virus Covid-19, conocido popularmente como “Coronavirus”, que produjo ceses, reducciones o modificaciones, en las labores desarrolladas por el personal de los despachos u oficinas judiciales. </w:t>
      </w:r>
    </w:p>
    <w:p w14:paraId="70CE7F97" w14:textId="77777777" w:rsidR="0093441E" w:rsidRPr="002A7673" w:rsidRDefault="0093441E" w:rsidP="0093441E">
      <w:pPr>
        <w:spacing w:after="0" w:line="360" w:lineRule="auto"/>
        <w:rPr>
          <w:rFonts w:ascii="Times New Roman" w:hAnsi="Times New Roman" w:cs="Times New Roman"/>
        </w:rPr>
      </w:pPr>
    </w:p>
    <w:p w14:paraId="3D01C9AE" w14:textId="77777777" w:rsidR="0093441E" w:rsidRPr="002A7673" w:rsidRDefault="0093441E" w:rsidP="00FF3FAC">
      <w:pPr>
        <w:numPr>
          <w:ilvl w:val="0"/>
          <w:numId w:val="31"/>
        </w:numPr>
        <w:spacing w:after="0" w:line="360" w:lineRule="auto"/>
        <w:ind w:hanging="720"/>
        <w:jc w:val="center"/>
        <w:rPr>
          <w:rFonts w:ascii="Times New Roman" w:eastAsia="Times New Roman" w:hAnsi="Times New Roman" w:cs="Times New Roman"/>
          <w:b/>
          <w:bCs/>
          <w:sz w:val="24"/>
          <w:szCs w:val="24"/>
          <w:lang w:val="es-ES" w:eastAsia="es-ES"/>
        </w:rPr>
      </w:pPr>
      <w:r w:rsidRPr="002A7673">
        <w:rPr>
          <w:rFonts w:ascii="Times New Roman" w:eastAsia="Times New Roman" w:hAnsi="Times New Roman" w:cs="Times New Roman"/>
          <w:b/>
          <w:bCs/>
          <w:sz w:val="24"/>
          <w:szCs w:val="24"/>
          <w:lang w:val="es-ES" w:eastAsia="es-ES"/>
        </w:rPr>
        <w:t>Análisis del comportamiento interanual del balance general entre 2019 y 2020 para el centro de responsabilidad Circuito Judicial de Turrialba</w:t>
      </w:r>
    </w:p>
    <w:tbl>
      <w:tblPr>
        <w:tblW w:w="8605" w:type="dxa"/>
        <w:jc w:val="center"/>
        <w:tblLook w:val="04A0" w:firstRow="1" w:lastRow="0" w:firstColumn="1" w:lastColumn="0" w:noHBand="0" w:noVBand="1"/>
      </w:tblPr>
      <w:tblGrid>
        <w:gridCol w:w="3133"/>
        <w:gridCol w:w="1394"/>
        <w:gridCol w:w="1395"/>
        <w:gridCol w:w="1394"/>
        <w:gridCol w:w="1289"/>
      </w:tblGrid>
      <w:tr w:rsidR="0093441E" w:rsidRPr="002A7673" w14:paraId="6E3D98FF" w14:textId="77777777" w:rsidTr="0048334E">
        <w:trPr>
          <w:trHeight w:val="296"/>
          <w:jc w:val="center"/>
        </w:trPr>
        <w:tc>
          <w:tcPr>
            <w:tcW w:w="3133" w:type="dxa"/>
            <w:tcBorders>
              <w:top w:val="nil"/>
              <w:left w:val="nil"/>
              <w:bottom w:val="nil"/>
              <w:right w:val="nil"/>
            </w:tcBorders>
            <w:shd w:val="clear" w:color="auto" w:fill="auto"/>
            <w:noWrap/>
            <w:vAlign w:val="bottom"/>
            <w:hideMark/>
          </w:tcPr>
          <w:p w14:paraId="08A2DB93" w14:textId="77777777" w:rsidR="0093441E" w:rsidRPr="002A7673" w:rsidRDefault="0093441E" w:rsidP="0048334E">
            <w:pPr>
              <w:spacing w:after="0" w:line="240" w:lineRule="auto"/>
              <w:rPr>
                <w:rFonts w:ascii="Times New Roman" w:hAnsi="Times New Roman" w:cs="Times New Roman"/>
                <w:b/>
                <w:color w:val="000000"/>
              </w:rPr>
            </w:pPr>
          </w:p>
        </w:tc>
        <w:tc>
          <w:tcPr>
            <w:tcW w:w="1394" w:type="dxa"/>
            <w:tcBorders>
              <w:top w:val="nil"/>
              <w:left w:val="nil"/>
              <w:bottom w:val="nil"/>
              <w:right w:val="nil"/>
            </w:tcBorders>
            <w:shd w:val="clear" w:color="auto" w:fill="auto"/>
            <w:noWrap/>
            <w:vAlign w:val="bottom"/>
            <w:hideMark/>
          </w:tcPr>
          <w:p w14:paraId="6ACE5531" w14:textId="77777777" w:rsidR="0093441E" w:rsidRPr="002A7673" w:rsidRDefault="0093441E" w:rsidP="0048334E">
            <w:pPr>
              <w:spacing w:after="0" w:line="240" w:lineRule="auto"/>
              <w:rPr>
                <w:rFonts w:ascii="Times New Roman" w:hAnsi="Times New Roman" w:cs="Times New Roman"/>
                <w:color w:val="000000"/>
              </w:rPr>
            </w:pPr>
          </w:p>
        </w:tc>
        <w:tc>
          <w:tcPr>
            <w:tcW w:w="1395" w:type="dxa"/>
            <w:tcBorders>
              <w:top w:val="nil"/>
              <w:left w:val="nil"/>
              <w:bottom w:val="nil"/>
              <w:right w:val="nil"/>
            </w:tcBorders>
            <w:shd w:val="clear" w:color="auto" w:fill="auto"/>
            <w:noWrap/>
            <w:vAlign w:val="bottom"/>
            <w:hideMark/>
          </w:tcPr>
          <w:p w14:paraId="08A71AE3" w14:textId="77777777" w:rsidR="0093441E" w:rsidRPr="002A7673" w:rsidRDefault="0093441E" w:rsidP="0048334E">
            <w:pPr>
              <w:spacing w:after="0" w:line="240" w:lineRule="auto"/>
              <w:rPr>
                <w:rFonts w:ascii="Times New Roman" w:hAnsi="Times New Roman" w:cs="Times New Roman"/>
              </w:rPr>
            </w:pPr>
          </w:p>
        </w:tc>
        <w:tc>
          <w:tcPr>
            <w:tcW w:w="1394" w:type="dxa"/>
            <w:tcBorders>
              <w:top w:val="nil"/>
              <w:left w:val="nil"/>
              <w:bottom w:val="nil"/>
              <w:right w:val="nil"/>
            </w:tcBorders>
            <w:shd w:val="clear" w:color="auto" w:fill="auto"/>
            <w:noWrap/>
            <w:vAlign w:val="bottom"/>
            <w:hideMark/>
          </w:tcPr>
          <w:p w14:paraId="0DBF211A" w14:textId="77777777" w:rsidR="0093441E" w:rsidRPr="002A7673" w:rsidRDefault="0093441E" w:rsidP="0048334E">
            <w:pPr>
              <w:spacing w:after="0" w:line="240" w:lineRule="auto"/>
              <w:rPr>
                <w:rFonts w:ascii="Times New Roman" w:hAnsi="Times New Roman" w:cs="Times New Roman"/>
              </w:rPr>
            </w:pPr>
          </w:p>
        </w:tc>
        <w:tc>
          <w:tcPr>
            <w:tcW w:w="1289" w:type="dxa"/>
            <w:tcBorders>
              <w:top w:val="nil"/>
              <w:left w:val="nil"/>
              <w:bottom w:val="nil"/>
              <w:right w:val="nil"/>
            </w:tcBorders>
            <w:shd w:val="clear" w:color="auto" w:fill="auto"/>
            <w:noWrap/>
            <w:vAlign w:val="bottom"/>
            <w:hideMark/>
          </w:tcPr>
          <w:p w14:paraId="7865A37B" w14:textId="77777777" w:rsidR="0093441E" w:rsidRPr="002A7673" w:rsidRDefault="0093441E" w:rsidP="0048334E">
            <w:pPr>
              <w:spacing w:after="0" w:line="240" w:lineRule="auto"/>
              <w:rPr>
                <w:rFonts w:ascii="Times New Roman" w:hAnsi="Times New Roman" w:cs="Times New Roman"/>
              </w:rPr>
            </w:pPr>
          </w:p>
        </w:tc>
      </w:tr>
      <w:tr w:rsidR="0093441E" w:rsidRPr="002A7673" w14:paraId="61C918A5" w14:textId="77777777" w:rsidTr="0048334E">
        <w:trPr>
          <w:trHeight w:val="456"/>
          <w:jc w:val="center"/>
        </w:trPr>
        <w:tc>
          <w:tcPr>
            <w:tcW w:w="8605" w:type="dxa"/>
            <w:gridSpan w:val="5"/>
            <w:tcBorders>
              <w:top w:val="nil"/>
              <w:left w:val="nil"/>
              <w:bottom w:val="single" w:sz="4" w:space="0" w:color="auto"/>
              <w:right w:val="nil"/>
            </w:tcBorders>
            <w:shd w:val="clear" w:color="auto" w:fill="auto"/>
            <w:vAlign w:val="bottom"/>
            <w:hideMark/>
          </w:tcPr>
          <w:p w14:paraId="4C235D75" w14:textId="77777777" w:rsidR="0093441E" w:rsidRPr="002A7673" w:rsidRDefault="0093441E" w:rsidP="0048334E">
            <w:pPr>
              <w:spacing w:after="0" w:line="240" w:lineRule="auto"/>
              <w:jc w:val="center"/>
              <w:rPr>
                <w:rFonts w:ascii="Times New Roman" w:hAnsi="Times New Roman" w:cs="Times New Roman"/>
                <w:b/>
                <w:bCs/>
                <w:color w:val="000000"/>
              </w:rPr>
            </w:pPr>
            <w:r w:rsidRPr="002A7673">
              <w:rPr>
                <w:rFonts w:ascii="Times New Roman" w:hAnsi="Times New Roman" w:cs="Times New Roman"/>
                <w:b/>
                <w:bCs/>
                <w:color w:val="000000"/>
              </w:rPr>
              <w:t>Comparación del Balance General para el centro de responsabilidad del Circuito Judicial de Turrialba, período 2019-2020</w:t>
            </w:r>
          </w:p>
          <w:p w14:paraId="03C51DDC" w14:textId="77777777" w:rsidR="0093441E" w:rsidRPr="002A7673" w:rsidRDefault="0093441E" w:rsidP="0048334E">
            <w:pPr>
              <w:spacing w:after="0" w:line="240" w:lineRule="auto"/>
              <w:rPr>
                <w:rFonts w:ascii="Times New Roman" w:hAnsi="Times New Roman" w:cs="Times New Roman"/>
                <w:b/>
                <w:bCs/>
                <w:color w:val="000000"/>
              </w:rPr>
            </w:pPr>
          </w:p>
          <w:p w14:paraId="3C1737EB" w14:textId="77777777" w:rsidR="0093441E" w:rsidRPr="002A7673" w:rsidRDefault="0093441E" w:rsidP="0048334E">
            <w:pPr>
              <w:spacing w:after="0" w:line="240" w:lineRule="auto"/>
              <w:rPr>
                <w:rFonts w:ascii="Times New Roman" w:hAnsi="Times New Roman" w:cs="Times New Roman"/>
                <w:b/>
                <w:bCs/>
                <w:color w:val="000000"/>
              </w:rPr>
            </w:pPr>
          </w:p>
        </w:tc>
      </w:tr>
      <w:tr w:rsidR="0093441E" w:rsidRPr="002A7673" w14:paraId="576F87E8" w14:textId="77777777" w:rsidTr="0048334E">
        <w:trPr>
          <w:trHeight w:val="296"/>
          <w:jc w:val="center"/>
        </w:trPr>
        <w:tc>
          <w:tcPr>
            <w:tcW w:w="3133" w:type="dxa"/>
            <w:vMerge w:val="restart"/>
            <w:tcBorders>
              <w:top w:val="nil"/>
              <w:left w:val="nil"/>
              <w:bottom w:val="single" w:sz="4" w:space="0" w:color="000000"/>
              <w:right w:val="nil"/>
            </w:tcBorders>
            <w:shd w:val="clear" w:color="auto" w:fill="auto"/>
            <w:vAlign w:val="center"/>
            <w:hideMark/>
          </w:tcPr>
          <w:p w14:paraId="7AC36FD1" w14:textId="77777777" w:rsidR="0093441E" w:rsidRPr="002A7673" w:rsidRDefault="0093441E" w:rsidP="0048334E">
            <w:pPr>
              <w:spacing w:after="0" w:line="240" w:lineRule="auto"/>
              <w:rPr>
                <w:rFonts w:ascii="Times New Roman" w:hAnsi="Times New Roman" w:cs="Times New Roman"/>
                <w:b/>
                <w:bCs/>
                <w:color w:val="000000"/>
                <w:lang w:val="en-US"/>
              </w:rPr>
            </w:pPr>
            <w:r w:rsidRPr="002A7673">
              <w:rPr>
                <w:rFonts w:ascii="Times New Roman" w:hAnsi="Times New Roman" w:cs="Times New Roman"/>
                <w:b/>
                <w:bCs/>
                <w:color w:val="000000"/>
                <w:lang w:val="en-US"/>
              </w:rPr>
              <w:t xml:space="preserve">Variable </w:t>
            </w:r>
            <w:proofErr w:type="spellStart"/>
            <w:r w:rsidRPr="002A7673">
              <w:rPr>
                <w:rFonts w:ascii="Times New Roman" w:hAnsi="Times New Roman" w:cs="Times New Roman"/>
                <w:b/>
                <w:bCs/>
                <w:color w:val="000000"/>
                <w:lang w:val="en-US"/>
              </w:rPr>
              <w:t>Estadística</w:t>
            </w:r>
            <w:proofErr w:type="spellEnd"/>
          </w:p>
        </w:tc>
        <w:tc>
          <w:tcPr>
            <w:tcW w:w="278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36A5AB20"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Año</w:t>
            </w:r>
            <w:proofErr w:type="spellEnd"/>
          </w:p>
        </w:tc>
        <w:tc>
          <w:tcPr>
            <w:tcW w:w="2683" w:type="dxa"/>
            <w:gridSpan w:val="2"/>
            <w:tcBorders>
              <w:top w:val="single" w:sz="4" w:space="0" w:color="auto"/>
              <w:left w:val="single" w:sz="4" w:space="0" w:color="auto"/>
              <w:bottom w:val="single" w:sz="4" w:space="0" w:color="auto"/>
            </w:tcBorders>
            <w:shd w:val="clear" w:color="auto" w:fill="auto"/>
            <w:vAlign w:val="center"/>
          </w:tcPr>
          <w:p w14:paraId="0CA2AA64"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Variación</w:t>
            </w:r>
            <w:proofErr w:type="spellEnd"/>
          </w:p>
        </w:tc>
      </w:tr>
      <w:tr w:rsidR="0093441E" w:rsidRPr="002A7673" w14:paraId="5F1BF300" w14:textId="77777777" w:rsidTr="0048334E">
        <w:trPr>
          <w:trHeight w:val="296"/>
          <w:jc w:val="center"/>
        </w:trPr>
        <w:tc>
          <w:tcPr>
            <w:tcW w:w="3133" w:type="dxa"/>
            <w:vMerge/>
            <w:tcBorders>
              <w:top w:val="nil"/>
              <w:left w:val="nil"/>
              <w:bottom w:val="single" w:sz="4" w:space="0" w:color="000000"/>
              <w:right w:val="nil"/>
            </w:tcBorders>
            <w:vAlign w:val="center"/>
            <w:hideMark/>
          </w:tcPr>
          <w:p w14:paraId="6CBDB75B" w14:textId="77777777" w:rsidR="0093441E" w:rsidRPr="002A7673" w:rsidRDefault="0093441E" w:rsidP="0048334E">
            <w:pPr>
              <w:spacing w:after="0" w:line="240" w:lineRule="auto"/>
              <w:rPr>
                <w:rFonts w:ascii="Times New Roman" w:hAnsi="Times New Roman" w:cs="Times New Roman"/>
                <w:b/>
                <w:bCs/>
                <w:color w:val="000000"/>
                <w:lang w:val="en-US"/>
              </w:rPr>
            </w:pPr>
          </w:p>
        </w:tc>
        <w:tc>
          <w:tcPr>
            <w:tcW w:w="1394" w:type="dxa"/>
            <w:tcBorders>
              <w:top w:val="nil"/>
              <w:left w:val="single" w:sz="4" w:space="0" w:color="auto"/>
              <w:bottom w:val="single" w:sz="4" w:space="0" w:color="auto"/>
              <w:right w:val="single" w:sz="4" w:space="0" w:color="auto"/>
            </w:tcBorders>
            <w:shd w:val="clear" w:color="auto" w:fill="auto"/>
            <w:vAlign w:val="center"/>
            <w:hideMark/>
          </w:tcPr>
          <w:p w14:paraId="4530035D" w14:textId="77777777" w:rsidR="0093441E" w:rsidRPr="002A7673" w:rsidRDefault="0093441E" w:rsidP="0048334E">
            <w:pPr>
              <w:spacing w:after="0" w:line="240" w:lineRule="auto"/>
              <w:jc w:val="center"/>
              <w:rPr>
                <w:rFonts w:ascii="Times New Roman" w:hAnsi="Times New Roman" w:cs="Times New Roman"/>
                <w:b/>
                <w:bCs/>
                <w:color w:val="000000"/>
                <w:lang w:val="en-US"/>
              </w:rPr>
            </w:pPr>
            <w:r w:rsidRPr="002A7673">
              <w:rPr>
                <w:rFonts w:ascii="Times New Roman" w:hAnsi="Times New Roman" w:cs="Times New Roman"/>
                <w:b/>
                <w:bCs/>
                <w:color w:val="000000"/>
                <w:lang w:val="en-US"/>
              </w:rPr>
              <w:t>2019</w:t>
            </w:r>
          </w:p>
        </w:tc>
        <w:tc>
          <w:tcPr>
            <w:tcW w:w="1395" w:type="dxa"/>
            <w:tcBorders>
              <w:top w:val="nil"/>
              <w:left w:val="nil"/>
              <w:bottom w:val="single" w:sz="4" w:space="0" w:color="auto"/>
              <w:right w:val="single" w:sz="4" w:space="0" w:color="auto"/>
            </w:tcBorders>
            <w:shd w:val="clear" w:color="auto" w:fill="auto"/>
            <w:vAlign w:val="center"/>
            <w:hideMark/>
          </w:tcPr>
          <w:p w14:paraId="5DFDD070" w14:textId="77777777" w:rsidR="0093441E" w:rsidRPr="002A7673" w:rsidRDefault="0093441E" w:rsidP="0048334E">
            <w:pPr>
              <w:spacing w:after="0" w:line="240" w:lineRule="auto"/>
              <w:jc w:val="center"/>
              <w:rPr>
                <w:rFonts w:ascii="Times New Roman" w:hAnsi="Times New Roman" w:cs="Times New Roman"/>
                <w:b/>
                <w:bCs/>
                <w:color w:val="000000"/>
                <w:lang w:val="en-US"/>
              </w:rPr>
            </w:pPr>
            <w:r w:rsidRPr="002A7673">
              <w:rPr>
                <w:rFonts w:ascii="Times New Roman" w:hAnsi="Times New Roman" w:cs="Times New Roman"/>
                <w:b/>
                <w:bCs/>
                <w:color w:val="000000"/>
                <w:lang w:val="en-US"/>
              </w:rPr>
              <w:t>2020</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14:paraId="6D3247BB"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Absoluta</w:t>
            </w:r>
            <w:proofErr w:type="spellEnd"/>
          </w:p>
        </w:tc>
        <w:tc>
          <w:tcPr>
            <w:tcW w:w="1289" w:type="dxa"/>
            <w:tcBorders>
              <w:top w:val="single" w:sz="4" w:space="0" w:color="auto"/>
              <w:left w:val="single" w:sz="4" w:space="0" w:color="auto"/>
              <w:bottom w:val="single" w:sz="4" w:space="0" w:color="auto"/>
            </w:tcBorders>
            <w:shd w:val="clear" w:color="auto" w:fill="auto"/>
            <w:vAlign w:val="center"/>
          </w:tcPr>
          <w:p w14:paraId="3CF6B21E"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Relativa</w:t>
            </w:r>
            <w:proofErr w:type="spellEnd"/>
          </w:p>
        </w:tc>
      </w:tr>
      <w:tr w:rsidR="0093441E" w:rsidRPr="002A7673" w14:paraId="2583EFEC"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4E46397D"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Circulante</w:t>
            </w:r>
            <w:proofErr w:type="spellEnd"/>
            <w:r w:rsidRPr="002A7673">
              <w:rPr>
                <w:rFonts w:ascii="Times New Roman" w:hAnsi="Times New Roman" w:cs="Times New Roman"/>
                <w:color w:val="000000"/>
                <w:lang w:val="en-US"/>
              </w:rPr>
              <w:t xml:space="preserve"> al </w:t>
            </w:r>
            <w:proofErr w:type="spellStart"/>
            <w:r w:rsidRPr="002A7673">
              <w:rPr>
                <w:rFonts w:ascii="Times New Roman" w:hAnsi="Times New Roman" w:cs="Times New Roman"/>
                <w:color w:val="000000"/>
                <w:lang w:val="en-US"/>
              </w:rPr>
              <w:t>iniciar</w:t>
            </w:r>
            <w:proofErr w:type="spellEnd"/>
            <w:r w:rsidRPr="002A7673">
              <w:rPr>
                <w:rFonts w:ascii="Times New Roman" w:hAnsi="Times New Roman" w:cs="Times New Roman"/>
                <w:color w:val="000000"/>
                <w:vertAlign w:val="superscript"/>
                <w:lang w:val="en-US"/>
              </w:rPr>
              <w:footnoteReference w:id="6"/>
            </w:r>
          </w:p>
        </w:tc>
        <w:tc>
          <w:tcPr>
            <w:tcW w:w="1394" w:type="dxa"/>
            <w:tcBorders>
              <w:top w:val="nil"/>
              <w:left w:val="nil"/>
              <w:bottom w:val="nil"/>
              <w:right w:val="single" w:sz="4" w:space="0" w:color="auto"/>
            </w:tcBorders>
            <w:shd w:val="clear" w:color="auto" w:fill="auto"/>
            <w:noWrap/>
            <w:vAlign w:val="center"/>
          </w:tcPr>
          <w:p w14:paraId="77185F3A"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7 737</w:t>
            </w:r>
          </w:p>
        </w:tc>
        <w:tc>
          <w:tcPr>
            <w:tcW w:w="1395" w:type="dxa"/>
            <w:tcBorders>
              <w:top w:val="nil"/>
              <w:left w:val="nil"/>
              <w:bottom w:val="nil"/>
              <w:right w:val="single" w:sz="4" w:space="0" w:color="auto"/>
            </w:tcBorders>
            <w:shd w:val="clear" w:color="auto" w:fill="auto"/>
            <w:noWrap/>
            <w:vAlign w:val="center"/>
          </w:tcPr>
          <w:p w14:paraId="7D0A26B5"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7 364</w:t>
            </w:r>
            <w:r w:rsidRPr="002A7673">
              <w:rPr>
                <w:rFonts w:ascii="Times New Roman" w:hAnsi="Times New Roman" w:cs="Times New Roman"/>
                <w:color w:val="000000"/>
                <w:sz w:val="20"/>
                <w:szCs w:val="20"/>
                <w:vertAlign w:val="superscript"/>
                <w:lang w:val="en-US"/>
              </w:rPr>
              <w:t>(1)</w:t>
            </w:r>
          </w:p>
        </w:tc>
        <w:tc>
          <w:tcPr>
            <w:tcW w:w="1394" w:type="dxa"/>
            <w:tcBorders>
              <w:top w:val="nil"/>
              <w:left w:val="nil"/>
              <w:bottom w:val="nil"/>
              <w:right w:val="single" w:sz="4" w:space="0" w:color="auto"/>
            </w:tcBorders>
            <w:shd w:val="clear" w:color="auto" w:fill="auto"/>
            <w:noWrap/>
          </w:tcPr>
          <w:p w14:paraId="097BEAAA"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-373</w:t>
            </w:r>
          </w:p>
        </w:tc>
        <w:tc>
          <w:tcPr>
            <w:tcW w:w="1289" w:type="dxa"/>
            <w:tcBorders>
              <w:top w:val="nil"/>
              <w:left w:val="nil"/>
              <w:bottom w:val="nil"/>
              <w:right w:val="nil"/>
            </w:tcBorders>
            <w:shd w:val="clear" w:color="auto" w:fill="auto"/>
            <w:noWrap/>
          </w:tcPr>
          <w:p w14:paraId="71E6277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-4,8%</w:t>
            </w:r>
          </w:p>
        </w:tc>
      </w:tr>
      <w:tr w:rsidR="0093441E" w:rsidRPr="002A7673" w14:paraId="06D3D724"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5197EA81"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Casos </w:t>
            </w:r>
            <w:proofErr w:type="spellStart"/>
            <w:r w:rsidRPr="002A7673">
              <w:rPr>
                <w:rFonts w:ascii="Times New Roman" w:hAnsi="Times New Roman" w:cs="Times New Roman"/>
                <w:color w:val="000000"/>
                <w:lang w:val="en-US"/>
              </w:rPr>
              <w:t>entrados</w:t>
            </w:r>
            <w:proofErr w:type="spellEnd"/>
          </w:p>
        </w:tc>
        <w:tc>
          <w:tcPr>
            <w:tcW w:w="1394" w:type="dxa"/>
            <w:tcBorders>
              <w:top w:val="nil"/>
              <w:left w:val="nil"/>
              <w:bottom w:val="nil"/>
              <w:right w:val="single" w:sz="4" w:space="0" w:color="auto"/>
            </w:tcBorders>
            <w:shd w:val="clear" w:color="auto" w:fill="auto"/>
            <w:noWrap/>
            <w:vAlign w:val="center"/>
          </w:tcPr>
          <w:p w14:paraId="4C0C326D"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6 729</w:t>
            </w:r>
          </w:p>
        </w:tc>
        <w:tc>
          <w:tcPr>
            <w:tcW w:w="1395" w:type="dxa"/>
            <w:tcBorders>
              <w:top w:val="nil"/>
              <w:left w:val="nil"/>
              <w:bottom w:val="nil"/>
              <w:right w:val="single" w:sz="4" w:space="0" w:color="auto"/>
            </w:tcBorders>
            <w:shd w:val="clear" w:color="auto" w:fill="auto"/>
            <w:noWrap/>
            <w:vAlign w:val="center"/>
          </w:tcPr>
          <w:p w14:paraId="0AF7581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7 090</w:t>
            </w:r>
          </w:p>
        </w:tc>
        <w:tc>
          <w:tcPr>
            <w:tcW w:w="1394" w:type="dxa"/>
            <w:tcBorders>
              <w:top w:val="nil"/>
              <w:left w:val="nil"/>
              <w:bottom w:val="nil"/>
              <w:right w:val="single" w:sz="4" w:space="0" w:color="auto"/>
            </w:tcBorders>
            <w:shd w:val="clear" w:color="auto" w:fill="auto"/>
            <w:noWrap/>
          </w:tcPr>
          <w:p w14:paraId="4DFB31B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361</w:t>
            </w:r>
          </w:p>
        </w:tc>
        <w:tc>
          <w:tcPr>
            <w:tcW w:w="1289" w:type="dxa"/>
            <w:tcBorders>
              <w:top w:val="nil"/>
              <w:left w:val="nil"/>
              <w:bottom w:val="nil"/>
              <w:right w:val="nil"/>
            </w:tcBorders>
            <w:shd w:val="clear" w:color="auto" w:fill="auto"/>
            <w:noWrap/>
          </w:tcPr>
          <w:p w14:paraId="38AE03C8"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5,4%</w:t>
            </w:r>
          </w:p>
        </w:tc>
      </w:tr>
      <w:tr w:rsidR="0093441E" w:rsidRPr="002A7673" w14:paraId="3C5B1FE2"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07F13E7F"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Casos </w:t>
            </w:r>
            <w:proofErr w:type="spellStart"/>
            <w:r w:rsidRPr="002A7673">
              <w:rPr>
                <w:rFonts w:ascii="Times New Roman" w:hAnsi="Times New Roman" w:cs="Times New Roman"/>
                <w:color w:val="000000"/>
                <w:lang w:val="en-US"/>
              </w:rPr>
              <w:t>reentrados</w:t>
            </w:r>
            <w:proofErr w:type="spellEnd"/>
          </w:p>
        </w:tc>
        <w:tc>
          <w:tcPr>
            <w:tcW w:w="1394" w:type="dxa"/>
            <w:tcBorders>
              <w:top w:val="nil"/>
              <w:left w:val="nil"/>
              <w:bottom w:val="nil"/>
              <w:right w:val="single" w:sz="4" w:space="0" w:color="auto"/>
            </w:tcBorders>
            <w:shd w:val="clear" w:color="auto" w:fill="auto"/>
            <w:noWrap/>
            <w:vAlign w:val="center"/>
          </w:tcPr>
          <w:p w14:paraId="4CF74D6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926</w:t>
            </w:r>
          </w:p>
        </w:tc>
        <w:tc>
          <w:tcPr>
            <w:tcW w:w="1395" w:type="dxa"/>
            <w:tcBorders>
              <w:top w:val="nil"/>
              <w:left w:val="nil"/>
              <w:bottom w:val="nil"/>
              <w:right w:val="single" w:sz="4" w:space="0" w:color="auto"/>
            </w:tcBorders>
            <w:shd w:val="clear" w:color="auto" w:fill="auto"/>
            <w:noWrap/>
            <w:vAlign w:val="center"/>
          </w:tcPr>
          <w:p w14:paraId="4660416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618</w:t>
            </w:r>
          </w:p>
        </w:tc>
        <w:tc>
          <w:tcPr>
            <w:tcW w:w="1394" w:type="dxa"/>
            <w:tcBorders>
              <w:top w:val="nil"/>
              <w:left w:val="nil"/>
              <w:bottom w:val="nil"/>
              <w:right w:val="single" w:sz="4" w:space="0" w:color="auto"/>
            </w:tcBorders>
            <w:shd w:val="clear" w:color="auto" w:fill="auto"/>
            <w:noWrap/>
          </w:tcPr>
          <w:p w14:paraId="75B9EAF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-308</w:t>
            </w:r>
          </w:p>
        </w:tc>
        <w:tc>
          <w:tcPr>
            <w:tcW w:w="1289" w:type="dxa"/>
            <w:tcBorders>
              <w:top w:val="nil"/>
              <w:left w:val="nil"/>
              <w:bottom w:val="nil"/>
              <w:right w:val="nil"/>
            </w:tcBorders>
            <w:shd w:val="clear" w:color="auto" w:fill="auto"/>
            <w:noWrap/>
          </w:tcPr>
          <w:p w14:paraId="78785B7F"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-33,3%</w:t>
            </w:r>
          </w:p>
        </w:tc>
      </w:tr>
      <w:tr w:rsidR="0093441E" w:rsidRPr="002A7673" w14:paraId="1F85D442"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tcPr>
          <w:p w14:paraId="0EE2E79D"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Reactivos</w:t>
            </w:r>
            <w:proofErr w:type="spellEnd"/>
          </w:p>
        </w:tc>
        <w:tc>
          <w:tcPr>
            <w:tcW w:w="1394" w:type="dxa"/>
            <w:tcBorders>
              <w:top w:val="nil"/>
              <w:left w:val="nil"/>
              <w:bottom w:val="nil"/>
              <w:right w:val="single" w:sz="4" w:space="0" w:color="auto"/>
            </w:tcBorders>
            <w:shd w:val="clear" w:color="auto" w:fill="auto"/>
            <w:noWrap/>
            <w:vAlign w:val="center"/>
          </w:tcPr>
          <w:p w14:paraId="31DC229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93</w:t>
            </w:r>
          </w:p>
        </w:tc>
        <w:tc>
          <w:tcPr>
            <w:tcW w:w="1395" w:type="dxa"/>
            <w:tcBorders>
              <w:top w:val="nil"/>
              <w:left w:val="nil"/>
              <w:bottom w:val="nil"/>
              <w:right w:val="single" w:sz="4" w:space="0" w:color="auto"/>
            </w:tcBorders>
            <w:shd w:val="clear" w:color="auto" w:fill="auto"/>
            <w:noWrap/>
            <w:vAlign w:val="center"/>
          </w:tcPr>
          <w:p w14:paraId="6527C94E"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87</w:t>
            </w:r>
          </w:p>
        </w:tc>
        <w:tc>
          <w:tcPr>
            <w:tcW w:w="1394" w:type="dxa"/>
            <w:tcBorders>
              <w:top w:val="nil"/>
              <w:left w:val="nil"/>
              <w:bottom w:val="nil"/>
              <w:right w:val="single" w:sz="4" w:space="0" w:color="auto"/>
            </w:tcBorders>
            <w:shd w:val="clear" w:color="auto" w:fill="auto"/>
            <w:noWrap/>
          </w:tcPr>
          <w:p w14:paraId="426295FE"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-6</w:t>
            </w:r>
          </w:p>
        </w:tc>
        <w:tc>
          <w:tcPr>
            <w:tcW w:w="1289" w:type="dxa"/>
            <w:tcBorders>
              <w:top w:val="nil"/>
              <w:left w:val="nil"/>
              <w:bottom w:val="nil"/>
              <w:right w:val="nil"/>
            </w:tcBorders>
            <w:shd w:val="clear" w:color="auto" w:fill="auto"/>
            <w:noWrap/>
          </w:tcPr>
          <w:p w14:paraId="5B21174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-6,5%</w:t>
            </w:r>
          </w:p>
        </w:tc>
      </w:tr>
      <w:tr w:rsidR="0093441E" w:rsidRPr="002A7673" w14:paraId="401817BC"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6C2CB1EE"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Legajos</w:t>
            </w:r>
            <w:proofErr w:type="spellEnd"/>
            <w:r w:rsidRPr="002A7673">
              <w:rPr>
                <w:rFonts w:ascii="Times New Roman" w:hAnsi="Times New Roman" w:cs="Times New Roman"/>
                <w:color w:val="000000"/>
                <w:lang w:val="en-US"/>
              </w:rPr>
              <w:t xml:space="preserve"> de </w:t>
            </w:r>
            <w:proofErr w:type="spellStart"/>
            <w:r w:rsidRPr="002A7673">
              <w:rPr>
                <w:rFonts w:ascii="Times New Roman" w:hAnsi="Times New Roman" w:cs="Times New Roman"/>
                <w:color w:val="000000"/>
                <w:lang w:val="en-US"/>
              </w:rPr>
              <w:t>ejecución</w:t>
            </w:r>
            <w:proofErr w:type="spellEnd"/>
          </w:p>
        </w:tc>
        <w:tc>
          <w:tcPr>
            <w:tcW w:w="1394" w:type="dxa"/>
            <w:tcBorders>
              <w:top w:val="nil"/>
              <w:left w:val="nil"/>
              <w:bottom w:val="nil"/>
              <w:right w:val="single" w:sz="4" w:space="0" w:color="auto"/>
            </w:tcBorders>
            <w:shd w:val="clear" w:color="auto" w:fill="auto"/>
            <w:noWrap/>
            <w:vAlign w:val="center"/>
          </w:tcPr>
          <w:p w14:paraId="09B2DC05"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w:t>
            </w:r>
          </w:p>
        </w:tc>
        <w:tc>
          <w:tcPr>
            <w:tcW w:w="1395" w:type="dxa"/>
            <w:tcBorders>
              <w:top w:val="nil"/>
              <w:left w:val="nil"/>
              <w:bottom w:val="nil"/>
              <w:right w:val="single" w:sz="4" w:space="0" w:color="auto"/>
            </w:tcBorders>
            <w:shd w:val="clear" w:color="auto" w:fill="auto"/>
            <w:noWrap/>
            <w:vAlign w:val="center"/>
          </w:tcPr>
          <w:p w14:paraId="2DAF564D"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w:t>
            </w:r>
          </w:p>
        </w:tc>
        <w:tc>
          <w:tcPr>
            <w:tcW w:w="1394" w:type="dxa"/>
            <w:tcBorders>
              <w:top w:val="nil"/>
              <w:left w:val="nil"/>
              <w:bottom w:val="nil"/>
              <w:right w:val="single" w:sz="4" w:space="0" w:color="auto"/>
            </w:tcBorders>
            <w:shd w:val="clear" w:color="auto" w:fill="auto"/>
            <w:noWrap/>
          </w:tcPr>
          <w:p w14:paraId="3A8EA17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w:t>
            </w:r>
          </w:p>
        </w:tc>
        <w:tc>
          <w:tcPr>
            <w:tcW w:w="1289" w:type="dxa"/>
            <w:tcBorders>
              <w:top w:val="nil"/>
              <w:left w:val="nil"/>
              <w:bottom w:val="nil"/>
              <w:right w:val="nil"/>
            </w:tcBorders>
            <w:shd w:val="clear" w:color="auto" w:fill="auto"/>
            <w:noWrap/>
          </w:tcPr>
          <w:p w14:paraId="0CD41AE2" w14:textId="77777777" w:rsidR="0093441E" w:rsidRPr="002A7673" w:rsidRDefault="0093441E" w:rsidP="0048334E">
            <w:pPr>
              <w:spacing w:after="0" w:line="240" w:lineRule="auto"/>
              <w:jc w:val="center"/>
              <w:rPr>
                <w:rFonts w:ascii="Times New Roman" w:hAnsi="Times New Roman" w:cs="Times New Roman"/>
                <w:color w:val="000000"/>
                <w:lang w:val="en-US"/>
              </w:rPr>
            </w:pPr>
            <w:r w:rsidRPr="002A7673">
              <w:rPr>
                <w:rFonts w:ascii="Times New Roman" w:hAnsi="Times New Roman" w:cs="Times New Roman"/>
                <w:color w:val="000000"/>
                <w:lang w:val="en-US"/>
              </w:rPr>
              <w:t xml:space="preserve">          -</w:t>
            </w:r>
          </w:p>
        </w:tc>
      </w:tr>
      <w:tr w:rsidR="0093441E" w:rsidRPr="002A7673" w14:paraId="185E2BA8"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775353A5"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Testimonios de </w:t>
            </w:r>
            <w:proofErr w:type="spellStart"/>
            <w:r w:rsidRPr="002A7673">
              <w:rPr>
                <w:rFonts w:ascii="Times New Roman" w:hAnsi="Times New Roman" w:cs="Times New Roman"/>
                <w:color w:val="000000"/>
                <w:lang w:val="en-US"/>
              </w:rPr>
              <w:t>piezas</w:t>
            </w:r>
            <w:proofErr w:type="spellEnd"/>
          </w:p>
        </w:tc>
        <w:tc>
          <w:tcPr>
            <w:tcW w:w="1394" w:type="dxa"/>
            <w:tcBorders>
              <w:top w:val="nil"/>
              <w:left w:val="nil"/>
              <w:bottom w:val="nil"/>
              <w:right w:val="single" w:sz="4" w:space="0" w:color="auto"/>
            </w:tcBorders>
            <w:shd w:val="clear" w:color="auto" w:fill="auto"/>
            <w:noWrap/>
            <w:vAlign w:val="center"/>
          </w:tcPr>
          <w:p w14:paraId="52BCE4AA"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296</w:t>
            </w:r>
          </w:p>
        </w:tc>
        <w:tc>
          <w:tcPr>
            <w:tcW w:w="1395" w:type="dxa"/>
            <w:tcBorders>
              <w:top w:val="nil"/>
              <w:left w:val="nil"/>
              <w:bottom w:val="nil"/>
              <w:right w:val="single" w:sz="4" w:space="0" w:color="auto"/>
            </w:tcBorders>
            <w:shd w:val="clear" w:color="auto" w:fill="auto"/>
            <w:noWrap/>
            <w:vAlign w:val="center"/>
          </w:tcPr>
          <w:p w14:paraId="339D343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268</w:t>
            </w:r>
          </w:p>
        </w:tc>
        <w:tc>
          <w:tcPr>
            <w:tcW w:w="1394" w:type="dxa"/>
            <w:tcBorders>
              <w:top w:val="nil"/>
              <w:left w:val="nil"/>
              <w:bottom w:val="nil"/>
              <w:right w:val="single" w:sz="4" w:space="0" w:color="auto"/>
            </w:tcBorders>
            <w:shd w:val="clear" w:color="auto" w:fill="auto"/>
            <w:noWrap/>
          </w:tcPr>
          <w:p w14:paraId="30E7D48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-28</w:t>
            </w:r>
          </w:p>
        </w:tc>
        <w:tc>
          <w:tcPr>
            <w:tcW w:w="1289" w:type="dxa"/>
            <w:tcBorders>
              <w:top w:val="nil"/>
              <w:left w:val="nil"/>
              <w:bottom w:val="nil"/>
              <w:right w:val="nil"/>
            </w:tcBorders>
            <w:shd w:val="clear" w:color="auto" w:fill="auto"/>
            <w:noWrap/>
          </w:tcPr>
          <w:p w14:paraId="48D116A2"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-9,5%</w:t>
            </w:r>
          </w:p>
        </w:tc>
      </w:tr>
      <w:tr w:rsidR="0093441E" w:rsidRPr="002A7673" w14:paraId="378752A8"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6FBD8799"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Casos </w:t>
            </w:r>
            <w:proofErr w:type="spellStart"/>
            <w:r w:rsidRPr="002A7673">
              <w:rPr>
                <w:rFonts w:ascii="Times New Roman" w:hAnsi="Times New Roman" w:cs="Times New Roman"/>
                <w:color w:val="000000"/>
                <w:lang w:val="en-US"/>
              </w:rPr>
              <w:t>terminados</w:t>
            </w:r>
            <w:proofErr w:type="spellEnd"/>
          </w:p>
        </w:tc>
        <w:tc>
          <w:tcPr>
            <w:tcW w:w="1394" w:type="dxa"/>
            <w:tcBorders>
              <w:top w:val="nil"/>
              <w:left w:val="nil"/>
              <w:bottom w:val="nil"/>
              <w:right w:val="single" w:sz="4" w:space="0" w:color="auto"/>
            </w:tcBorders>
            <w:shd w:val="clear" w:color="auto" w:fill="auto"/>
            <w:noWrap/>
            <w:vAlign w:val="center"/>
          </w:tcPr>
          <w:p w14:paraId="5507E1EE"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7 504</w:t>
            </w:r>
          </w:p>
        </w:tc>
        <w:tc>
          <w:tcPr>
            <w:tcW w:w="1395" w:type="dxa"/>
            <w:tcBorders>
              <w:top w:val="nil"/>
              <w:left w:val="nil"/>
              <w:bottom w:val="nil"/>
              <w:right w:val="single" w:sz="4" w:space="0" w:color="auto"/>
            </w:tcBorders>
            <w:shd w:val="clear" w:color="auto" w:fill="auto"/>
            <w:noWrap/>
            <w:vAlign w:val="center"/>
          </w:tcPr>
          <w:p w14:paraId="2A73504A"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7 354</w:t>
            </w:r>
          </w:p>
        </w:tc>
        <w:tc>
          <w:tcPr>
            <w:tcW w:w="1394" w:type="dxa"/>
            <w:tcBorders>
              <w:top w:val="nil"/>
              <w:left w:val="nil"/>
              <w:bottom w:val="nil"/>
              <w:right w:val="single" w:sz="4" w:space="0" w:color="auto"/>
            </w:tcBorders>
            <w:shd w:val="clear" w:color="auto" w:fill="auto"/>
            <w:noWrap/>
          </w:tcPr>
          <w:p w14:paraId="24DBDEC8"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-150</w:t>
            </w:r>
          </w:p>
        </w:tc>
        <w:tc>
          <w:tcPr>
            <w:tcW w:w="1289" w:type="dxa"/>
            <w:tcBorders>
              <w:top w:val="nil"/>
              <w:left w:val="nil"/>
              <w:bottom w:val="nil"/>
              <w:right w:val="nil"/>
            </w:tcBorders>
            <w:shd w:val="clear" w:color="auto" w:fill="auto"/>
            <w:noWrap/>
          </w:tcPr>
          <w:p w14:paraId="21FE657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-2,0%</w:t>
            </w:r>
          </w:p>
        </w:tc>
      </w:tr>
      <w:tr w:rsidR="0093441E" w:rsidRPr="002A7673" w14:paraId="47F1AE5B"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5D7ADB5C"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Inactivos</w:t>
            </w:r>
            <w:proofErr w:type="spellEnd"/>
          </w:p>
        </w:tc>
        <w:tc>
          <w:tcPr>
            <w:tcW w:w="1394" w:type="dxa"/>
            <w:tcBorders>
              <w:top w:val="nil"/>
              <w:left w:val="nil"/>
              <w:bottom w:val="nil"/>
              <w:right w:val="single" w:sz="4" w:space="0" w:color="auto"/>
            </w:tcBorders>
            <w:shd w:val="clear" w:color="auto" w:fill="auto"/>
            <w:noWrap/>
            <w:vAlign w:val="center"/>
          </w:tcPr>
          <w:p w14:paraId="4D3E3A94"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751</w:t>
            </w:r>
          </w:p>
        </w:tc>
        <w:tc>
          <w:tcPr>
            <w:tcW w:w="1395" w:type="dxa"/>
            <w:tcBorders>
              <w:top w:val="nil"/>
              <w:left w:val="nil"/>
              <w:bottom w:val="nil"/>
              <w:right w:val="single" w:sz="4" w:space="0" w:color="auto"/>
            </w:tcBorders>
            <w:shd w:val="clear" w:color="auto" w:fill="auto"/>
            <w:noWrap/>
            <w:vAlign w:val="center"/>
          </w:tcPr>
          <w:p w14:paraId="675A17A8"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609</w:t>
            </w:r>
          </w:p>
        </w:tc>
        <w:tc>
          <w:tcPr>
            <w:tcW w:w="1394" w:type="dxa"/>
            <w:tcBorders>
              <w:top w:val="nil"/>
              <w:left w:val="nil"/>
              <w:bottom w:val="nil"/>
              <w:right w:val="single" w:sz="4" w:space="0" w:color="auto"/>
            </w:tcBorders>
            <w:shd w:val="clear" w:color="auto" w:fill="auto"/>
            <w:noWrap/>
          </w:tcPr>
          <w:p w14:paraId="064A645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-142</w:t>
            </w:r>
          </w:p>
        </w:tc>
        <w:tc>
          <w:tcPr>
            <w:tcW w:w="1289" w:type="dxa"/>
            <w:tcBorders>
              <w:top w:val="nil"/>
              <w:left w:val="nil"/>
              <w:bottom w:val="nil"/>
              <w:right w:val="nil"/>
            </w:tcBorders>
            <w:shd w:val="clear" w:color="auto" w:fill="auto"/>
            <w:noWrap/>
          </w:tcPr>
          <w:p w14:paraId="6EF8556A"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-18,9%</w:t>
            </w:r>
          </w:p>
        </w:tc>
      </w:tr>
      <w:tr w:rsidR="0093441E" w:rsidRPr="002A7673" w14:paraId="61B39ECF" w14:textId="77777777" w:rsidTr="0048334E">
        <w:trPr>
          <w:trHeight w:val="296"/>
          <w:jc w:val="center"/>
        </w:trPr>
        <w:tc>
          <w:tcPr>
            <w:tcW w:w="3133" w:type="dxa"/>
            <w:tcBorders>
              <w:top w:val="nil"/>
              <w:left w:val="nil"/>
              <w:bottom w:val="single" w:sz="4" w:space="0" w:color="auto"/>
              <w:right w:val="single" w:sz="4" w:space="0" w:color="auto"/>
            </w:tcBorders>
            <w:shd w:val="clear" w:color="auto" w:fill="auto"/>
            <w:noWrap/>
            <w:vAlign w:val="center"/>
            <w:hideMark/>
          </w:tcPr>
          <w:p w14:paraId="1DBAB3CD"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Circulante</w:t>
            </w:r>
            <w:proofErr w:type="spellEnd"/>
            <w:r w:rsidRPr="002A7673">
              <w:rPr>
                <w:rFonts w:ascii="Times New Roman" w:hAnsi="Times New Roman" w:cs="Times New Roman"/>
                <w:color w:val="000000"/>
                <w:lang w:val="en-US"/>
              </w:rPr>
              <w:t xml:space="preserve"> al </w:t>
            </w:r>
            <w:proofErr w:type="spellStart"/>
            <w:r w:rsidRPr="002A7673">
              <w:rPr>
                <w:rFonts w:ascii="Times New Roman" w:hAnsi="Times New Roman" w:cs="Times New Roman"/>
                <w:color w:val="000000"/>
                <w:lang w:val="en-US"/>
              </w:rPr>
              <w:t>finalizar</w:t>
            </w:r>
            <w:proofErr w:type="spellEnd"/>
          </w:p>
        </w:tc>
        <w:tc>
          <w:tcPr>
            <w:tcW w:w="1394" w:type="dxa"/>
            <w:tcBorders>
              <w:top w:val="nil"/>
              <w:left w:val="nil"/>
              <w:bottom w:val="single" w:sz="4" w:space="0" w:color="auto"/>
              <w:right w:val="single" w:sz="4" w:space="0" w:color="auto"/>
            </w:tcBorders>
            <w:shd w:val="clear" w:color="auto" w:fill="auto"/>
            <w:noWrap/>
            <w:vAlign w:val="center"/>
          </w:tcPr>
          <w:p w14:paraId="1E9071AD"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7 365</w:t>
            </w:r>
          </w:p>
        </w:tc>
        <w:tc>
          <w:tcPr>
            <w:tcW w:w="1395" w:type="dxa"/>
            <w:tcBorders>
              <w:top w:val="nil"/>
              <w:left w:val="nil"/>
              <w:bottom w:val="single" w:sz="4" w:space="0" w:color="auto"/>
              <w:right w:val="single" w:sz="4" w:space="0" w:color="auto"/>
            </w:tcBorders>
            <w:shd w:val="clear" w:color="auto" w:fill="auto"/>
            <w:noWrap/>
            <w:vAlign w:val="center"/>
          </w:tcPr>
          <w:p w14:paraId="2665C826"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7 452</w:t>
            </w:r>
          </w:p>
        </w:tc>
        <w:tc>
          <w:tcPr>
            <w:tcW w:w="1394" w:type="dxa"/>
            <w:tcBorders>
              <w:top w:val="nil"/>
              <w:left w:val="nil"/>
              <w:bottom w:val="single" w:sz="4" w:space="0" w:color="auto"/>
              <w:right w:val="single" w:sz="4" w:space="0" w:color="auto"/>
            </w:tcBorders>
            <w:shd w:val="clear" w:color="auto" w:fill="auto"/>
            <w:noWrap/>
          </w:tcPr>
          <w:p w14:paraId="29BC2C8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87</w:t>
            </w:r>
          </w:p>
        </w:tc>
        <w:tc>
          <w:tcPr>
            <w:tcW w:w="1289" w:type="dxa"/>
            <w:tcBorders>
              <w:top w:val="nil"/>
              <w:left w:val="nil"/>
              <w:bottom w:val="single" w:sz="4" w:space="0" w:color="auto"/>
              <w:right w:val="nil"/>
            </w:tcBorders>
            <w:shd w:val="clear" w:color="auto" w:fill="auto"/>
            <w:noWrap/>
          </w:tcPr>
          <w:p w14:paraId="3304FEE6"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rPr>
              <w:t>1,2%</w:t>
            </w:r>
          </w:p>
        </w:tc>
      </w:tr>
      <w:tr w:rsidR="0093441E" w:rsidRPr="002A7673" w14:paraId="57B81CA5" w14:textId="77777777" w:rsidTr="0048334E">
        <w:trPr>
          <w:trHeight w:val="296"/>
          <w:jc w:val="center"/>
        </w:trPr>
        <w:tc>
          <w:tcPr>
            <w:tcW w:w="8605" w:type="dxa"/>
            <w:gridSpan w:val="5"/>
            <w:tcBorders>
              <w:top w:val="single" w:sz="4" w:space="0" w:color="auto"/>
              <w:left w:val="nil"/>
              <w:bottom w:val="nil"/>
              <w:right w:val="nil"/>
            </w:tcBorders>
            <w:shd w:val="clear" w:color="auto" w:fill="auto"/>
            <w:noWrap/>
            <w:vAlign w:val="center"/>
            <w:hideMark/>
          </w:tcPr>
          <w:p w14:paraId="42E0628F" w14:textId="77777777" w:rsidR="0093441E" w:rsidRPr="002A7673" w:rsidRDefault="0093441E" w:rsidP="0048334E">
            <w:pPr>
              <w:spacing w:after="0" w:line="240" w:lineRule="auto"/>
              <w:ind w:left="37"/>
              <w:contextualSpacing/>
              <w:jc w:val="both"/>
              <w:rPr>
                <w:rFonts w:ascii="Times New Roman" w:eastAsia="Times New Roman" w:hAnsi="Times New Roman" w:cs="Times New Roman"/>
                <w:color w:val="000000"/>
                <w:sz w:val="20"/>
                <w:szCs w:val="20"/>
                <w:lang w:val="es-ES" w:eastAsia="es-ES"/>
              </w:rPr>
            </w:pPr>
            <w:r w:rsidRPr="002A7673">
              <w:rPr>
                <w:rFonts w:ascii="Times New Roman" w:eastAsia="Times New Roman" w:hAnsi="Times New Roman" w:cs="Times New Roman"/>
                <w:color w:val="000000"/>
                <w:sz w:val="20"/>
                <w:szCs w:val="20"/>
                <w:vertAlign w:val="superscript"/>
                <w:lang w:eastAsia="es-ES"/>
              </w:rPr>
              <w:t xml:space="preserve">(1) </w:t>
            </w:r>
            <w:r w:rsidRPr="002A7673">
              <w:rPr>
                <w:rFonts w:ascii="Times New Roman" w:eastAsia="Times New Roman" w:hAnsi="Times New Roman" w:cs="Times New Roman"/>
                <w:color w:val="000000"/>
                <w:sz w:val="20"/>
                <w:szCs w:val="20"/>
                <w:lang w:val="es-ES" w:eastAsia="es-ES"/>
              </w:rPr>
              <w:t>Diferencia de circulantes debido a inconsistencias y ajustes presentados en los despachos.</w:t>
            </w:r>
          </w:p>
          <w:p w14:paraId="3531EF5A" w14:textId="77777777" w:rsidR="0093441E" w:rsidRPr="002A7673" w:rsidRDefault="0093441E" w:rsidP="0048334E">
            <w:pPr>
              <w:spacing w:after="0" w:line="240" w:lineRule="auto"/>
              <w:rPr>
                <w:rFonts w:ascii="Times New Roman" w:hAnsi="Times New Roman" w:cs="Times New Roman"/>
                <w:color w:val="000000"/>
              </w:rPr>
            </w:pPr>
            <w:r w:rsidRPr="002A7673">
              <w:rPr>
                <w:rFonts w:ascii="Times New Roman" w:hAnsi="Times New Roman" w:cs="Times New Roman"/>
                <w:b/>
                <w:bCs/>
                <w:color w:val="000000"/>
                <w:sz w:val="20"/>
                <w:szCs w:val="20"/>
              </w:rPr>
              <w:t>Fuente:</w:t>
            </w:r>
            <w:r w:rsidRPr="002A7673">
              <w:rPr>
                <w:rFonts w:ascii="Times New Roman" w:hAnsi="Times New Roman" w:cs="Times New Roman"/>
                <w:color w:val="000000"/>
                <w:sz w:val="20"/>
                <w:szCs w:val="20"/>
              </w:rPr>
              <w:t xml:space="preserve"> Subproceso de Estadística, Dirección de Planificación, Poder Judicial.</w:t>
            </w:r>
          </w:p>
        </w:tc>
      </w:tr>
    </w:tbl>
    <w:p w14:paraId="4D2FD4AF" w14:textId="77777777" w:rsidR="0093441E" w:rsidRPr="002A7673" w:rsidRDefault="0093441E" w:rsidP="0093441E">
      <w:pPr>
        <w:spacing w:after="0" w:line="360" w:lineRule="auto"/>
        <w:rPr>
          <w:rFonts w:ascii="Times New Roman" w:hAnsi="Times New Roman" w:cs="Times New Roman"/>
        </w:rPr>
      </w:pPr>
    </w:p>
    <w:p w14:paraId="3EFF293F"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A nivel integral el Circuito Judicial de Turrialba presenta un crecimiento importante para el período 2020, tras un incremento de 361 asuntos </w:t>
      </w:r>
      <w:r w:rsidRPr="002A7673">
        <w:rPr>
          <w:rFonts w:ascii="Times New Roman" w:hAnsi="Times New Roman" w:cs="Times New Roman"/>
          <w:sz w:val="28"/>
          <w:szCs w:val="28"/>
        </w:rPr>
        <w:lastRenderedPageBreak/>
        <w:t>respecto a 2019. Dicha alza representó en términos relativos un 5,4%. Ampliando al respecto, se tiene que el Juzgado Penal de Turrialba sería quién inclinaría la balanza hacia un alza en el circuito producto de un incremento en sus casos entrados del orden de los 778 casos, lo que le significó un alza porcentual del 32%. Además, el incremento registrado en 2020 se muestra sin precedentes respecto de esta materia. Otros despachos, aunque en menor escala que registraron aumentos en 2020 tenemos: Juzgado Contravencional de Jiménez (+66), Juzgado Civil, Trabajo y Agrario (+26) y Juzgado Penal Juvenil, Violencia Doméstica y Familia (+9). Se indica que, por primera vez, este circuito judicial excede los siete mil asuntos ingresados en un período fiscal.</w:t>
      </w:r>
    </w:p>
    <w:p w14:paraId="5DDE306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Terminados:</w:t>
      </w:r>
      <w:r w:rsidRPr="002A7673">
        <w:rPr>
          <w:rFonts w:ascii="Times New Roman" w:hAnsi="Times New Roman" w:cs="Times New Roman"/>
          <w:sz w:val="28"/>
          <w:szCs w:val="28"/>
        </w:rPr>
        <w:t xml:space="preserve"> El volumen de asuntos finalizados experimenta una ligera baja de 150 expedientes, misma que si bien es cierto le significa al circuito un impacto negativo en su circulante final, no logra por sí mismo desestabilizar la secuencia de casos terminados que viene generando el colectivo, de forma tal que los casos terminados superan en 264 asuntos a los casos ingresados para el mismo período. Al analizar a profundidad el impacto de la baja se pueden establecer los siguientes aspectos puntuales.</w:t>
      </w:r>
    </w:p>
    <w:p w14:paraId="2FF3A314" w14:textId="77777777" w:rsidR="0093441E" w:rsidRPr="002A7673" w:rsidRDefault="0093441E" w:rsidP="00FF3FAC">
      <w:pPr>
        <w:numPr>
          <w:ilvl w:val="0"/>
          <w:numId w:val="33"/>
        </w:numPr>
        <w:spacing w:after="0" w:line="480" w:lineRule="auto"/>
        <w:ind w:left="0" w:firstLine="709"/>
        <w:contextualSpacing/>
        <w:jc w:val="both"/>
        <w:rPr>
          <w:rFonts w:ascii="Times New Roman" w:eastAsia="Times New Roman" w:hAnsi="Times New Roman" w:cs="Times New Roman"/>
          <w:i/>
          <w:iCs/>
          <w:sz w:val="28"/>
          <w:szCs w:val="28"/>
          <w:lang w:val="es-ES" w:eastAsia="es-ES"/>
        </w:rPr>
      </w:pPr>
      <w:r w:rsidRPr="002A7673">
        <w:rPr>
          <w:rFonts w:ascii="Times New Roman" w:eastAsia="Times New Roman" w:hAnsi="Times New Roman" w:cs="Times New Roman"/>
          <w:sz w:val="28"/>
          <w:szCs w:val="28"/>
          <w:lang w:val="es-ES" w:eastAsia="es-ES"/>
        </w:rPr>
        <w:t xml:space="preserve">Para este año se presenta una situación muy particular, en cuyo caso tres despachos registran disminuciones relevantes en sus gestiones productivas, versus un despacho que registra u importante incremento. En ese sentido se tiene que los juzgados </w:t>
      </w:r>
      <w:r w:rsidRPr="002A7673">
        <w:rPr>
          <w:rFonts w:ascii="Times New Roman" w:eastAsia="Times New Roman" w:hAnsi="Times New Roman" w:cs="Times New Roman"/>
          <w:sz w:val="28"/>
          <w:szCs w:val="28"/>
          <w:lang w:val="es-ES" w:eastAsia="es-ES"/>
        </w:rPr>
        <w:lastRenderedPageBreak/>
        <w:t xml:space="preserve">de </w:t>
      </w:r>
      <w:r w:rsidRPr="002A7673">
        <w:rPr>
          <w:rFonts w:ascii="Times New Roman" w:eastAsia="Times New Roman" w:hAnsi="Times New Roman" w:cs="Times New Roman"/>
          <w:i/>
          <w:iCs/>
          <w:sz w:val="28"/>
          <w:szCs w:val="28"/>
          <w:lang w:val="es-ES" w:eastAsia="es-ES"/>
        </w:rPr>
        <w:t>Tránsito, Faltas y Contravenciones y Laboral</w:t>
      </w:r>
      <w:r w:rsidRPr="002A7673">
        <w:rPr>
          <w:rFonts w:ascii="Times New Roman" w:eastAsia="Times New Roman" w:hAnsi="Times New Roman" w:cs="Times New Roman"/>
          <w:sz w:val="28"/>
          <w:szCs w:val="28"/>
          <w:lang w:val="es-ES" w:eastAsia="es-ES"/>
        </w:rPr>
        <w:t xml:space="preserve"> registraron mayores desaceleraciones en sus casos terminados con; 241, 182 y 108 expedientes menos respectivamente, mientras que el Juzgado Penal registra un incremento de 443 expedientes más que el año anterior, lo cual sirvió como contrapeso a efecto de no desestabilizar la variable a nivel colectivo.</w:t>
      </w:r>
    </w:p>
    <w:p w14:paraId="30C410EE" w14:textId="77777777" w:rsidR="0093441E" w:rsidRPr="002A7673" w:rsidRDefault="0093441E" w:rsidP="00FF3FAC">
      <w:pPr>
        <w:numPr>
          <w:ilvl w:val="0"/>
          <w:numId w:val="33"/>
        </w:numPr>
        <w:spacing w:after="0" w:line="480" w:lineRule="auto"/>
        <w:ind w:left="0" w:firstLine="709"/>
        <w:contextualSpacing/>
        <w:jc w:val="both"/>
        <w:rPr>
          <w:rFonts w:ascii="Times New Roman" w:eastAsia="Times New Roman" w:hAnsi="Times New Roman" w:cs="Times New Roman"/>
          <w:i/>
          <w:iCs/>
          <w:sz w:val="28"/>
          <w:szCs w:val="28"/>
          <w:lang w:val="es-ES" w:eastAsia="es-ES"/>
        </w:rPr>
      </w:pPr>
      <w:r w:rsidRPr="002A7673">
        <w:rPr>
          <w:rFonts w:ascii="Times New Roman" w:eastAsia="Times New Roman" w:hAnsi="Times New Roman" w:cs="Times New Roman"/>
          <w:sz w:val="28"/>
          <w:szCs w:val="28"/>
          <w:lang w:val="es-ES" w:eastAsia="es-ES"/>
        </w:rPr>
        <w:t xml:space="preserve"> En menor escala, despachos como Violencia Doméstica y Agrario registran un crecimiento de 52 expedientes respecto de esta variable, mientras que Civil y Pensiones Alimentarias contabilizan disminuciones del orden de los 42 y 37 expedientes respectivamente.</w:t>
      </w:r>
    </w:p>
    <w:p w14:paraId="6CCA4C0E" w14:textId="77777777" w:rsidR="0093441E" w:rsidRPr="002A7673" w:rsidRDefault="0093441E" w:rsidP="0093441E">
      <w:pPr>
        <w:spacing w:after="0" w:line="480" w:lineRule="auto"/>
        <w:ind w:firstLine="709"/>
        <w:jc w:val="both"/>
        <w:rPr>
          <w:rFonts w:ascii="Times New Roman" w:hAnsi="Times New Roman" w:cs="Times New Roman"/>
          <w:i/>
          <w:iCs/>
          <w:sz w:val="28"/>
          <w:szCs w:val="28"/>
        </w:rPr>
      </w:pPr>
      <w:r w:rsidRPr="002A7673">
        <w:rPr>
          <w:rFonts w:ascii="Times New Roman" w:hAnsi="Times New Roman" w:cs="Times New Roman"/>
          <w:sz w:val="28"/>
          <w:szCs w:val="28"/>
        </w:rPr>
        <w:t>Las razones asociadas a dicho comportamiento se encuentran generalizadas en la mayoría de los despachos, producto de las jornadas de trabajo, los cierres nacionales y otras labores asociadas a los efectos de la pandemia provocada por el virus COVID-19</w:t>
      </w:r>
    </w:p>
    <w:p w14:paraId="27D4ADDF"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Circulante final:</w:t>
      </w:r>
      <w:r w:rsidRPr="002A7673">
        <w:rPr>
          <w:rFonts w:ascii="Times New Roman" w:hAnsi="Times New Roman" w:cs="Times New Roman"/>
          <w:sz w:val="28"/>
          <w:szCs w:val="28"/>
        </w:rPr>
        <w:t xml:space="preserve"> De conformidad con los datos presentados en el cuadro N°1, existe al final del período 2020, un crecimiento de 87 expedientes más que permanecen activos y adscritos a este Centro de Responsabilidad.</w:t>
      </w:r>
    </w:p>
    <w:p w14:paraId="251F165C" w14:textId="77777777" w:rsidR="0093441E" w:rsidRPr="002A7673" w:rsidRDefault="0093441E" w:rsidP="0093441E">
      <w:pPr>
        <w:spacing w:after="0" w:line="480" w:lineRule="auto"/>
        <w:ind w:firstLine="709"/>
        <w:jc w:val="both"/>
        <w:rPr>
          <w:rFonts w:ascii="Times New Roman" w:hAnsi="Times New Roman" w:cs="Times New Roman"/>
          <w:bCs/>
          <w:sz w:val="28"/>
          <w:szCs w:val="28"/>
        </w:rPr>
      </w:pPr>
      <w:r w:rsidRPr="002A7673">
        <w:rPr>
          <w:rFonts w:ascii="Times New Roman" w:hAnsi="Times New Roman" w:cs="Times New Roman"/>
          <w:bCs/>
          <w:sz w:val="28"/>
          <w:szCs w:val="28"/>
        </w:rPr>
        <w:t xml:space="preserve">El Juzgado de Pensiones Alimentarias se muestra como el despacho con mayor congestión de casos activos, con un volumen que excede los tres mil expedientes, sin </w:t>
      </w:r>
      <w:r w:rsidRPr="002A7673">
        <w:rPr>
          <w:rFonts w:ascii="Times New Roman" w:hAnsi="Times New Roman" w:cs="Times New Roman"/>
          <w:bCs/>
          <w:sz w:val="28"/>
          <w:szCs w:val="28"/>
        </w:rPr>
        <w:lastRenderedPageBreak/>
        <w:t xml:space="preserve">embargo; para el período en cuestión experimenta una baja en la variable de 88 expedientes y lo saca del rango de crecimiento. </w:t>
      </w:r>
    </w:p>
    <w:p w14:paraId="34A992CD"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Respecto a los despachos vinculados directamente con el incremento de casos en activos, se tiene que lo acontecido específicamente en el Juzgado Penal, en cuyo caso, la cantidad de expedientes al finalizar 2019 se encontraba ligeramente debajo de los 790 expedientes (788) y al cierre de 2020 casi alcanza los 980 (978). Lo anterior permite establecer que lo acontecido con este despacho delimitó para el período en estudio, que este Centro de Responsabilidad incrementara su circulante activo al cierre de 2020, pese a no ser el despacho con el mayor circulante en trámite. </w:t>
      </w:r>
    </w:p>
    <w:p w14:paraId="687191F8"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Otros despachos que destacan por su reducción de circulante para el período analizado son los juzgados de </w:t>
      </w:r>
      <w:r w:rsidRPr="002A7673">
        <w:rPr>
          <w:rFonts w:ascii="Times New Roman" w:hAnsi="Times New Roman" w:cs="Times New Roman"/>
          <w:i/>
          <w:iCs/>
          <w:sz w:val="28"/>
          <w:szCs w:val="28"/>
        </w:rPr>
        <w:t>Familia (-67), Violencia Doméstica (-52), Faltas y Contravenciones (-25) y Tránsito (-22)</w:t>
      </w:r>
      <w:r w:rsidRPr="002A7673">
        <w:rPr>
          <w:rFonts w:ascii="Times New Roman" w:hAnsi="Times New Roman" w:cs="Times New Roman"/>
          <w:sz w:val="28"/>
          <w:szCs w:val="28"/>
        </w:rPr>
        <w:t>.</w:t>
      </w:r>
    </w:p>
    <w:p w14:paraId="67F9CC94"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Inactividad de expedientes</w:t>
      </w:r>
      <w:r w:rsidRPr="002A7673">
        <w:rPr>
          <w:rFonts w:ascii="Times New Roman" w:hAnsi="Times New Roman" w:cs="Times New Roman"/>
          <w:sz w:val="28"/>
          <w:szCs w:val="28"/>
        </w:rPr>
        <w:t xml:space="preserve">: durante el 2020 se produce una reducción en el número de expedientes denominados inactivos (-70) para la materia de </w:t>
      </w:r>
      <w:r w:rsidRPr="002A7673">
        <w:rPr>
          <w:rFonts w:ascii="Times New Roman" w:hAnsi="Times New Roman" w:cs="Times New Roman"/>
          <w:i/>
          <w:iCs/>
          <w:sz w:val="28"/>
          <w:szCs w:val="28"/>
        </w:rPr>
        <w:t>Pensiones Alimentarias</w:t>
      </w:r>
      <w:r w:rsidRPr="002A7673">
        <w:rPr>
          <w:rFonts w:ascii="Times New Roman" w:hAnsi="Times New Roman" w:cs="Times New Roman"/>
          <w:sz w:val="28"/>
          <w:szCs w:val="28"/>
        </w:rPr>
        <w:t>, misma que a nivel del circuito es la que registra históricamente el mayor volumen de expedientes inactivos, pasando de 508 a 438. Por su parte, el Juzgado Civil registra igualmente una baja en el volumen de expedientes inactivos, al pasar de 212 a 146.</w:t>
      </w:r>
    </w:p>
    <w:p w14:paraId="752A42C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lastRenderedPageBreak/>
        <w:t xml:space="preserve">Incremento en los Reactivados: </w:t>
      </w:r>
      <w:r w:rsidRPr="002A7673">
        <w:rPr>
          <w:rFonts w:ascii="Times New Roman" w:hAnsi="Times New Roman" w:cs="Times New Roman"/>
          <w:bCs/>
          <w:sz w:val="28"/>
          <w:szCs w:val="28"/>
        </w:rPr>
        <w:t>c</w:t>
      </w:r>
      <w:r w:rsidRPr="002A7673">
        <w:rPr>
          <w:rFonts w:ascii="Times New Roman" w:hAnsi="Times New Roman" w:cs="Times New Roman"/>
          <w:sz w:val="28"/>
          <w:szCs w:val="28"/>
        </w:rPr>
        <w:t xml:space="preserve">on la </w:t>
      </w:r>
      <w:proofErr w:type="gramStart"/>
      <w:r w:rsidRPr="002A7673">
        <w:rPr>
          <w:rFonts w:ascii="Times New Roman" w:hAnsi="Times New Roman" w:cs="Times New Roman"/>
          <w:sz w:val="28"/>
          <w:szCs w:val="28"/>
        </w:rPr>
        <w:t>entrada en vigencia</w:t>
      </w:r>
      <w:proofErr w:type="gramEnd"/>
      <w:r w:rsidRPr="002A7673">
        <w:rPr>
          <w:rFonts w:ascii="Times New Roman" w:hAnsi="Times New Roman" w:cs="Times New Roman"/>
          <w:sz w:val="28"/>
          <w:szCs w:val="28"/>
        </w:rPr>
        <w:t xml:space="preserve"> de la Reforma Civil y la Ley de Cobro Judicial, se agrega la variable “Casos reactivados”, la cual se define como aquellos expedientes que permanecían inactivos y que por impulso de las partes se les presentan gestiones para continuar con su trámite o propiciar su futura finalización. Como puede observarse, la cantidad de estos expedientes en 2020 se redujo levemente (-6) respecto de la cifra obtenida en 2019 (93). Es importante aclarar que dicho fenómeno obedece más a un ajuste de carácter administrativo, más que de una tendencia generada de la demanda de servicios en este circuito judicial.</w:t>
      </w:r>
    </w:p>
    <w:p w14:paraId="71508D2E" w14:textId="77777777" w:rsidR="0093441E" w:rsidRPr="002A7673" w:rsidRDefault="0093441E" w:rsidP="0093441E">
      <w:pPr>
        <w:spacing w:after="0" w:line="360" w:lineRule="auto"/>
        <w:ind w:left="567" w:right="567"/>
        <w:rPr>
          <w:rFonts w:ascii="Times New Roman" w:hAnsi="Times New Roman" w:cs="Times New Roman"/>
        </w:rPr>
      </w:pPr>
    </w:p>
    <w:p w14:paraId="3A45033D" w14:textId="77777777" w:rsidR="0093441E" w:rsidRPr="002A7673" w:rsidRDefault="0093441E" w:rsidP="00FF3FAC">
      <w:pPr>
        <w:numPr>
          <w:ilvl w:val="0"/>
          <w:numId w:val="31"/>
        </w:numPr>
        <w:spacing w:after="0" w:line="276" w:lineRule="auto"/>
        <w:ind w:hanging="720"/>
        <w:jc w:val="center"/>
        <w:rPr>
          <w:rFonts w:ascii="Times New Roman" w:eastAsia="Times New Roman" w:hAnsi="Times New Roman" w:cs="Times New Roman"/>
          <w:b/>
          <w:bCs/>
          <w:sz w:val="24"/>
          <w:szCs w:val="24"/>
          <w:lang w:val="es-ES" w:eastAsia="es-ES"/>
        </w:rPr>
      </w:pPr>
      <w:r w:rsidRPr="002A7673">
        <w:rPr>
          <w:rFonts w:ascii="Times New Roman" w:eastAsia="Times New Roman" w:hAnsi="Times New Roman" w:cs="Times New Roman"/>
          <w:b/>
          <w:bCs/>
          <w:sz w:val="24"/>
          <w:szCs w:val="24"/>
          <w:lang w:val="es-ES" w:eastAsia="es-ES"/>
        </w:rPr>
        <w:t>Análisis del comportamiento interanual del balance general entre 2019 y 2020 para el centro de responsabilidad Circuito Judicial de Heredia</w:t>
      </w:r>
    </w:p>
    <w:p w14:paraId="049A19CC" w14:textId="77777777" w:rsidR="0093441E" w:rsidRPr="002A7673" w:rsidRDefault="0093441E" w:rsidP="0093441E">
      <w:pPr>
        <w:spacing w:after="0" w:line="240" w:lineRule="auto"/>
        <w:jc w:val="center"/>
        <w:rPr>
          <w:rFonts w:ascii="Times New Roman" w:hAnsi="Times New Roman" w:cs="Times New Roman"/>
          <w:b/>
          <w:bCs/>
          <w:color w:val="000000"/>
        </w:rPr>
      </w:pPr>
    </w:p>
    <w:p w14:paraId="26DC6A66" w14:textId="77777777" w:rsidR="0093441E" w:rsidRPr="002A7673" w:rsidRDefault="0093441E" w:rsidP="0093441E">
      <w:pPr>
        <w:spacing w:after="0" w:line="240" w:lineRule="auto"/>
        <w:ind w:firstLine="708"/>
        <w:jc w:val="center"/>
        <w:rPr>
          <w:rFonts w:ascii="Times New Roman" w:hAnsi="Times New Roman" w:cs="Times New Roman"/>
          <w:b/>
        </w:rPr>
      </w:pPr>
      <w:r w:rsidRPr="002A7673">
        <w:rPr>
          <w:rFonts w:ascii="Times New Roman" w:hAnsi="Times New Roman" w:cs="Times New Roman"/>
          <w:b/>
        </w:rPr>
        <w:t>Comparación del Balance General para el centro de responsabilidad Circuito Judicial de Heredia, durante los años 2019-2020</w:t>
      </w:r>
    </w:p>
    <w:p w14:paraId="70EA82E0" w14:textId="77777777" w:rsidR="0093441E" w:rsidRPr="002A7673" w:rsidRDefault="0093441E" w:rsidP="0093441E">
      <w:pPr>
        <w:spacing w:after="0" w:line="240" w:lineRule="auto"/>
        <w:jc w:val="center"/>
        <w:rPr>
          <w:rFonts w:ascii="Times New Roman" w:hAnsi="Times New Roman" w:cs="Times New Roman"/>
          <w:b/>
        </w:rPr>
      </w:pPr>
    </w:p>
    <w:tbl>
      <w:tblPr>
        <w:tblW w:w="8075" w:type="dxa"/>
        <w:jc w:val="center"/>
        <w:tblCellMar>
          <w:left w:w="70" w:type="dxa"/>
          <w:right w:w="70" w:type="dxa"/>
        </w:tblCellMar>
        <w:tblLook w:val="04A0" w:firstRow="1" w:lastRow="0" w:firstColumn="1" w:lastColumn="0" w:noHBand="0" w:noVBand="1"/>
      </w:tblPr>
      <w:tblGrid>
        <w:gridCol w:w="2080"/>
        <w:gridCol w:w="1601"/>
        <w:gridCol w:w="1417"/>
        <w:gridCol w:w="1418"/>
        <w:gridCol w:w="1559"/>
      </w:tblGrid>
      <w:tr w:rsidR="0093441E" w:rsidRPr="002A7673" w14:paraId="7E21FEFF" w14:textId="77777777" w:rsidTr="0048334E">
        <w:trPr>
          <w:trHeight w:val="300"/>
          <w:jc w:val="center"/>
        </w:trPr>
        <w:tc>
          <w:tcPr>
            <w:tcW w:w="2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BB193"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Variable estadística</w:t>
            </w:r>
          </w:p>
        </w:tc>
        <w:tc>
          <w:tcPr>
            <w:tcW w:w="30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28C84B51"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Año</w:t>
            </w:r>
          </w:p>
        </w:tc>
        <w:tc>
          <w:tcPr>
            <w:tcW w:w="2977" w:type="dxa"/>
            <w:gridSpan w:val="2"/>
            <w:tcBorders>
              <w:top w:val="single" w:sz="4" w:space="0" w:color="auto"/>
              <w:left w:val="nil"/>
              <w:bottom w:val="single" w:sz="4" w:space="0" w:color="auto"/>
              <w:right w:val="single" w:sz="4" w:space="0" w:color="auto"/>
            </w:tcBorders>
            <w:shd w:val="clear" w:color="auto" w:fill="auto"/>
            <w:noWrap/>
            <w:vAlign w:val="bottom"/>
            <w:hideMark/>
          </w:tcPr>
          <w:p w14:paraId="26FE2018"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Variación</w:t>
            </w:r>
          </w:p>
        </w:tc>
      </w:tr>
      <w:tr w:rsidR="0093441E" w:rsidRPr="002A7673" w14:paraId="524B478B" w14:textId="77777777" w:rsidTr="0048334E">
        <w:trPr>
          <w:trHeight w:val="300"/>
          <w:jc w:val="center"/>
        </w:trPr>
        <w:tc>
          <w:tcPr>
            <w:tcW w:w="20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408B5F" w14:textId="77777777" w:rsidR="0093441E" w:rsidRPr="002A7673" w:rsidRDefault="0093441E" w:rsidP="0048334E">
            <w:pPr>
              <w:spacing w:after="0" w:line="240" w:lineRule="auto"/>
              <w:rPr>
                <w:rFonts w:ascii="Times New Roman" w:hAnsi="Times New Roman" w:cs="Times New Roman"/>
                <w:b/>
                <w:bCs/>
                <w:color w:val="000000" w:themeColor="text1"/>
                <w:lang w:eastAsia="es-CR"/>
              </w:rPr>
            </w:pPr>
          </w:p>
        </w:tc>
        <w:tc>
          <w:tcPr>
            <w:tcW w:w="1601" w:type="dxa"/>
            <w:tcBorders>
              <w:top w:val="nil"/>
              <w:left w:val="nil"/>
              <w:bottom w:val="single" w:sz="4" w:space="0" w:color="auto"/>
              <w:right w:val="single" w:sz="4" w:space="0" w:color="auto"/>
            </w:tcBorders>
            <w:shd w:val="clear" w:color="auto" w:fill="auto"/>
            <w:noWrap/>
            <w:vAlign w:val="bottom"/>
            <w:hideMark/>
          </w:tcPr>
          <w:p w14:paraId="3C2FBCC3"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2019</w:t>
            </w:r>
          </w:p>
        </w:tc>
        <w:tc>
          <w:tcPr>
            <w:tcW w:w="1417" w:type="dxa"/>
            <w:tcBorders>
              <w:top w:val="nil"/>
              <w:left w:val="nil"/>
              <w:bottom w:val="single" w:sz="4" w:space="0" w:color="auto"/>
              <w:right w:val="single" w:sz="4" w:space="0" w:color="auto"/>
            </w:tcBorders>
            <w:shd w:val="clear" w:color="auto" w:fill="auto"/>
            <w:noWrap/>
            <w:vAlign w:val="bottom"/>
            <w:hideMark/>
          </w:tcPr>
          <w:p w14:paraId="0E696B6C"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2020</w:t>
            </w:r>
          </w:p>
        </w:tc>
        <w:tc>
          <w:tcPr>
            <w:tcW w:w="1418" w:type="dxa"/>
            <w:tcBorders>
              <w:top w:val="nil"/>
              <w:left w:val="nil"/>
              <w:bottom w:val="single" w:sz="4" w:space="0" w:color="auto"/>
              <w:right w:val="single" w:sz="4" w:space="0" w:color="auto"/>
            </w:tcBorders>
            <w:shd w:val="clear" w:color="auto" w:fill="auto"/>
            <w:noWrap/>
            <w:vAlign w:val="bottom"/>
            <w:hideMark/>
          </w:tcPr>
          <w:p w14:paraId="7D4AB4E5"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Absoluta</w:t>
            </w:r>
          </w:p>
        </w:tc>
        <w:tc>
          <w:tcPr>
            <w:tcW w:w="1559" w:type="dxa"/>
            <w:tcBorders>
              <w:top w:val="nil"/>
              <w:left w:val="nil"/>
              <w:bottom w:val="single" w:sz="4" w:space="0" w:color="auto"/>
              <w:right w:val="single" w:sz="4" w:space="0" w:color="auto"/>
            </w:tcBorders>
            <w:shd w:val="clear" w:color="auto" w:fill="auto"/>
            <w:noWrap/>
            <w:vAlign w:val="bottom"/>
            <w:hideMark/>
          </w:tcPr>
          <w:p w14:paraId="360AAAE8"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Relativa</w:t>
            </w:r>
          </w:p>
        </w:tc>
      </w:tr>
      <w:tr w:rsidR="0093441E" w:rsidRPr="002A7673" w14:paraId="64CD689C"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D04815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Circulante inicial</w:t>
            </w:r>
          </w:p>
        </w:tc>
        <w:tc>
          <w:tcPr>
            <w:tcW w:w="1601" w:type="dxa"/>
            <w:tcBorders>
              <w:top w:val="nil"/>
              <w:left w:val="nil"/>
              <w:bottom w:val="single" w:sz="4" w:space="0" w:color="auto"/>
              <w:right w:val="single" w:sz="4" w:space="0" w:color="auto"/>
            </w:tcBorders>
            <w:shd w:val="clear" w:color="auto" w:fill="auto"/>
            <w:noWrap/>
            <w:vAlign w:val="center"/>
            <w:hideMark/>
          </w:tcPr>
          <w:p w14:paraId="20E33C1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60 063</w:t>
            </w:r>
          </w:p>
        </w:tc>
        <w:tc>
          <w:tcPr>
            <w:tcW w:w="1417" w:type="dxa"/>
            <w:tcBorders>
              <w:top w:val="nil"/>
              <w:left w:val="nil"/>
              <w:bottom w:val="single" w:sz="4" w:space="0" w:color="auto"/>
              <w:right w:val="single" w:sz="4" w:space="0" w:color="auto"/>
            </w:tcBorders>
            <w:shd w:val="clear" w:color="auto" w:fill="auto"/>
            <w:noWrap/>
            <w:vAlign w:val="center"/>
            <w:hideMark/>
          </w:tcPr>
          <w:p w14:paraId="488491B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68 776</w:t>
            </w:r>
          </w:p>
        </w:tc>
        <w:tc>
          <w:tcPr>
            <w:tcW w:w="1418" w:type="dxa"/>
            <w:tcBorders>
              <w:top w:val="nil"/>
              <w:left w:val="nil"/>
              <w:bottom w:val="single" w:sz="4" w:space="0" w:color="auto"/>
              <w:right w:val="single" w:sz="4" w:space="0" w:color="auto"/>
            </w:tcBorders>
            <w:shd w:val="clear" w:color="auto" w:fill="auto"/>
            <w:noWrap/>
            <w:vAlign w:val="center"/>
            <w:hideMark/>
          </w:tcPr>
          <w:p w14:paraId="20D64FF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8 713</w:t>
            </w:r>
          </w:p>
        </w:tc>
        <w:tc>
          <w:tcPr>
            <w:tcW w:w="1559" w:type="dxa"/>
            <w:tcBorders>
              <w:top w:val="nil"/>
              <w:left w:val="nil"/>
              <w:bottom w:val="single" w:sz="4" w:space="0" w:color="auto"/>
              <w:right w:val="single" w:sz="4" w:space="0" w:color="auto"/>
            </w:tcBorders>
            <w:shd w:val="clear" w:color="auto" w:fill="auto"/>
            <w:noWrap/>
            <w:vAlign w:val="center"/>
            <w:hideMark/>
          </w:tcPr>
          <w:p w14:paraId="58C6FC6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14,51%</w:t>
            </w:r>
          </w:p>
        </w:tc>
      </w:tr>
      <w:tr w:rsidR="0093441E" w:rsidRPr="002A7673" w14:paraId="00F41BBB"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733122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Entrados</w:t>
            </w:r>
          </w:p>
        </w:tc>
        <w:tc>
          <w:tcPr>
            <w:tcW w:w="1601" w:type="dxa"/>
            <w:tcBorders>
              <w:top w:val="nil"/>
              <w:left w:val="nil"/>
              <w:bottom w:val="single" w:sz="4" w:space="0" w:color="auto"/>
              <w:right w:val="single" w:sz="4" w:space="0" w:color="auto"/>
            </w:tcBorders>
            <w:shd w:val="clear" w:color="auto" w:fill="auto"/>
            <w:noWrap/>
            <w:vAlign w:val="center"/>
            <w:hideMark/>
          </w:tcPr>
          <w:p w14:paraId="3D4CF23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54 897</w:t>
            </w:r>
          </w:p>
        </w:tc>
        <w:tc>
          <w:tcPr>
            <w:tcW w:w="1417" w:type="dxa"/>
            <w:tcBorders>
              <w:top w:val="nil"/>
              <w:left w:val="nil"/>
              <w:bottom w:val="single" w:sz="4" w:space="0" w:color="auto"/>
              <w:right w:val="single" w:sz="4" w:space="0" w:color="auto"/>
            </w:tcBorders>
            <w:shd w:val="clear" w:color="auto" w:fill="auto"/>
            <w:noWrap/>
            <w:vAlign w:val="center"/>
            <w:hideMark/>
          </w:tcPr>
          <w:p w14:paraId="4BF5AFE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45 417</w:t>
            </w:r>
          </w:p>
        </w:tc>
        <w:tc>
          <w:tcPr>
            <w:tcW w:w="1418" w:type="dxa"/>
            <w:tcBorders>
              <w:top w:val="nil"/>
              <w:left w:val="nil"/>
              <w:bottom w:val="single" w:sz="4" w:space="0" w:color="auto"/>
              <w:right w:val="single" w:sz="4" w:space="0" w:color="auto"/>
            </w:tcBorders>
            <w:shd w:val="clear" w:color="auto" w:fill="auto"/>
            <w:noWrap/>
            <w:vAlign w:val="center"/>
            <w:hideMark/>
          </w:tcPr>
          <w:p w14:paraId="2B691A8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-9 480</w:t>
            </w:r>
          </w:p>
        </w:tc>
        <w:tc>
          <w:tcPr>
            <w:tcW w:w="1559" w:type="dxa"/>
            <w:tcBorders>
              <w:top w:val="nil"/>
              <w:left w:val="nil"/>
              <w:bottom w:val="single" w:sz="4" w:space="0" w:color="auto"/>
              <w:right w:val="single" w:sz="4" w:space="0" w:color="auto"/>
            </w:tcBorders>
            <w:shd w:val="clear" w:color="auto" w:fill="auto"/>
            <w:noWrap/>
            <w:vAlign w:val="center"/>
            <w:hideMark/>
          </w:tcPr>
          <w:p w14:paraId="7A2BE4C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-17,27%</w:t>
            </w:r>
          </w:p>
        </w:tc>
      </w:tr>
      <w:tr w:rsidR="0093441E" w:rsidRPr="002A7673" w14:paraId="578246B0"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2FD8976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Reactivados</w:t>
            </w:r>
          </w:p>
        </w:tc>
        <w:tc>
          <w:tcPr>
            <w:tcW w:w="1601" w:type="dxa"/>
            <w:tcBorders>
              <w:top w:val="nil"/>
              <w:left w:val="nil"/>
              <w:bottom w:val="single" w:sz="4" w:space="0" w:color="auto"/>
              <w:right w:val="single" w:sz="4" w:space="0" w:color="auto"/>
            </w:tcBorders>
            <w:shd w:val="clear" w:color="auto" w:fill="auto"/>
            <w:noWrap/>
            <w:vAlign w:val="center"/>
            <w:hideMark/>
          </w:tcPr>
          <w:p w14:paraId="2334DBF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5 599</w:t>
            </w:r>
          </w:p>
        </w:tc>
        <w:tc>
          <w:tcPr>
            <w:tcW w:w="1417" w:type="dxa"/>
            <w:tcBorders>
              <w:top w:val="nil"/>
              <w:left w:val="nil"/>
              <w:bottom w:val="single" w:sz="4" w:space="0" w:color="auto"/>
              <w:right w:val="single" w:sz="4" w:space="0" w:color="auto"/>
            </w:tcBorders>
            <w:shd w:val="clear" w:color="auto" w:fill="auto"/>
            <w:noWrap/>
            <w:vAlign w:val="center"/>
            <w:hideMark/>
          </w:tcPr>
          <w:p w14:paraId="3DE6F1F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2 728</w:t>
            </w:r>
          </w:p>
        </w:tc>
        <w:tc>
          <w:tcPr>
            <w:tcW w:w="1418" w:type="dxa"/>
            <w:tcBorders>
              <w:top w:val="nil"/>
              <w:left w:val="nil"/>
              <w:bottom w:val="single" w:sz="4" w:space="0" w:color="auto"/>
              <w:right w:val="single" w:sz="4" w:space="0" w:color="auto"/>
            </w:tcBorders>
            <w:shd w:val="clear" w:color="auto" w:fill="auto"/>
            <w:noWrap/>
            <w:vAlign w:val="center"/>
            <w:hideMark/>
          </w:tcPr>
          <w:p w14:paraId="5FDCD25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-2 871</w:t>
            </w:r>
          </w:p>
        </w:tc>
        <w:tc>
          <w:tcPr>
            <w:tcW w:w="1559" w:type="dxa"/>
            <w:tcBorders>
              <w:top w:val="nil"/>
              <w:left w:val="nil"/>
              <w:bottom w:val="single" w:sz="4" w:space="0" w:color="auto"/>
              <w:right w:val="single" w:sz="4" w:space="0" w:color="auto"/>
            </w:tcBorders>
            <w:shd w:val="clear" w:color="auto" w:fill="auto"/>
            <w:noWrap/>
            <w:vAlign w:val="center"/>
            <w:hideMark/>
          </w:tcPr>
          <w:p w14:paraId="357EAB6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-51,28%</w:t>
            </w:r>
          </w:p>
        </w:tc>
      </w:tr>
      <w:tr w:rsidR="0093441E" w:rsidRPr="002A7673" w14:paraId="0A3E917F"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3BDEB79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Reentrados</w:t>
            </w:r>
          </w:p>
        </w:tc>
        <w:tc>
          <w:tcPr>
            <w:tcW w:w="1601" w:type="dxa"/>
            <w:tcBorders>
              <w:top w:val="nil"/>
              <w:left w:val="nil"/>
              <w:bottom w:val="single" w:sz="4" w:space="0" w:color="auto"/>
              <w:right w:val="single" w:sz="4" w:space="0" w:color="auto"/>
            </w:tcBorders>
            <w:shd w:val="clear" w:color="auto" w:fill="auto"/>
            <w:noWrap/>
            <w:vAlign w:val="center"/>
            <w:hideMark/>
          </w:tcPr>
          <w:p w14:paraId="6A35D3A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3 816</w:t>
            </w:r>
          </w:p>
        </w:tc>
        <w:tc>
          <w:tcPr>
            <w:tcW w:w="1417" w:type="dxa"/>
            <w:tcBorders>
              <w:top w:val="nil"/>
              <w:left w:val="nil"/>
              <w:bottom w:val="single" w:sz="4" w:space="0" w:color="auto"/>
              <w:right w:val="single" w:sz="4" w:space="0" w:color="auto"/>
            </w:tcBorders>
            <w:shd w:val="clear" w:color="auto" w:fill="auto"/>
            <w:noWrap/>
            <w:vAlign w:val="center"/>
            <w:hideMark/>
          </w:tcPr>
          <w:p w14:paraId="2E067A0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6 618</w:t>
            </w:r>
          </w:p>
        </w:tc>
        <w:tc>
          <w:tcPr>
            <w:tcW w:w="1418" w:type="dxa"/>
            <w:tcBorders>
              <w:top w:val="nil"/>
              <w:left w:val="nil"/>
              <w:bottom w:val="single" w:sz="4" w:space="0" w:color="auto"/>
              <w:right w:val="single" w:sz="4" w:space="0" w:color="auto"/>
            </w:tcBorders>
            <w:shd w:val="clear" w:color="auto" w:fill="auto"/>
            <w:noWrap/>
            <w:vAlign w:val="center"/>
            <w:hideMark/>
          </w:tcPr>
          <w:p w14:paraId="4985154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2 802</w:t>
            </w:r>
          </w:p>
        </w:tc>
        <w:tc>
          <w:tcPr>
            <w:tcW w:w="1559" w:type="dxa"/>
            <w:tcBorders>
              <w:top w:val="nil"/>
              <w:left w:val="nil"/>
              <w:bottom w:val="single" w:sz="4" w:space="0" w:color="auto"/>
              <w:right w:val="single" w:sz="4" w:space="0" w:color="auto"/>
            </w:tcBorders>
            <w:shd w:val="clear" w:color="auto" w:fill="auto"/>
            <w:noWrap/>
            <w:vAlign w:val="center"/>
            <w:hideMark/>
          </w:tcPr>
          <w:p w14:paraId="118DDC0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73,43%</w:t>
            </w:r>
          </w:p>
        </w:tc>
      </w:tr>
      <w:tr w:rsidR="0093441E" w:rsidRPr="002A7673" w14:paraId="3FA00DED"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1D607B4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Testimonios de pieza</w:t>
            </w:r>
          </w:p>
        </w:tc>
        <w:tc>
          <w:tcPr>
            <w:tcW w:w="1601" w:type="dxa"/>
            <w:tcBorders>
              <w:top w:val="nil"/>
              <w:left w:val="nil"/>
              <w:bottom w:val="single" w:sz="4" w:space="0" w:color="auto"/>
              <w:right w:val="single" w:sz="4" w:space="0" w:color="auto"/>
            </w:tcBorders>
            <w:shd w:val="clear" w:color="auto" w:fill="auto"/>
            <w:noWrap/>
            <w:vAlign w:val="center"/>
            <w:hideMark/>
          </w:tcPr>
          <w:p w14:paraId="1965E08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490</w:t>
            </w:r>
          </w:p>
        </w:tc>
        <w:tc>
          <w:tcPr>
            <w:tcW w:w="1417" w:type="dxa"/>
            <w:tcBorders>
              <w:top w:val="nil"/>
              <w:left w:val="nil"/>
              <w:bottom w:val="single" w:sz="4" w:space="0" w:color="auto"/>
              <w:right w:val="single" w:sz="4" w:space="0" w:color="auto"/>
            </w:tcBorders>
            <w:shd w:val="clear" w:color="auto" w:fill="auto"/>
            <w:noWrap/>
            <w:vAlign w:val="center"/>
            <w:hideMark/>
          </w:tcPr>
          <w:p w14:paraId="746297E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655</w:t>
            </w:r>
          </w:p>
        </w:tc>
        <w:tc>
          <w:tcPr>
            <w:tcW w:w="1418" w:type="dxa"/>
            <w:tcBorders>
              <w:top w:val="nil"/>
              <w:left w:val="nil"/>
              <w:bottom w:val="single" w:sz="4" w:space="0" w:color="auto"/>
              <w:right w:val="single" w:sz="4" w:space="0" w:color="auto"/>
            </w:tcBorders>
            <w:shd w:val="clear" w:color="auto" w:fill="auto"/>
            <w:noWrap/>
            <w:vAlign w:val="center"/>
            <w:hideMark/>
          </w:tcPr>
          <w:p w14:paraId="056AF12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165</w:t>
            </w:r>
          </w:p>
        </w:tc>
        <w:tc>
          <w:tcPr>
            <w:tcW w:w="1559" w:type="dxa"/>
            <w:tcBorders>
              <w:top w:val="nil"/>
              <w:left w:val="nil"/>
              <w:bottom w:val="single" w:sz="4" w:space="0" w:color="auto"/>
              <w:right w:val="single" w:sz="4" w:space="0" w:color="auto"/>
            </w:tcBorders>
            <w:shd w:val="clear" w:color="auto" w:fill="auto"/>
            <w:noWrap/>
            <w:vAlign w:val="center"/>
            <w:hideMark/>
          </w:tcPr>
          <w:p w14:paraId="72B25CD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33,67%</w:t>
            </w:r>
          </w:p>
        </w:tc>
      </w:tr>
      <w:tr w:rsidR="0093441E" w:rsidRPr="002A7673" w14:paraId="3E3ED843"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7A431FE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Terminados</w:t>
            </w:r>
          </w:p>
        </w:tc>
        <w:tc>
          <w:tcPr>
            <w:tcW w:w="1601" w:type="dxa"/>
            <w:tcBorders>
              <w:top w:val="nil"/>
              <w:left w:val="nil"/>
              <w:bottom w:val="single" w:sz="4" w:space="0" w:color="auto"/>
              <w:right w:val="single" w:sz="4" w:space="0" w:color="auto"/>
            </w:tcBorders>
            <w:shd w:val="clear" w:color="auto" w:fill="auto"/>
            <w:noWrap/>
            <w:vAlign w:val="center"/>
            <w:hideMark/>
          </w:tcPr>
          <w:p w14:paraId="7C2CB75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39 973</w:t>
            </w:r>
          </w:p>
        </w:tc>
        <w:tc>
          <w:tcPr>
            <w:tcW w:w="1417" w:type="dxa"/>
            <w:tcBorders>
              <w:top w:val="nil"/>
              <w:left w:val="nil"/>
              <w:bottom w:val="single" w:sz="4" w:space="0" w:color="auto"/>
              <w:right w:val="single" w:sz="4" w:space="0" w:color="auto"/>
            </w:tcBorders>
            <w:shd w:val="clear" w:color="auto" w:fill="auto"/>
            <w:noWrap/>
            <w:vAlign w:val="center"/>
            <w:hideMark/>
          </w:tcPr>
          <w:p w14:paraId="5A82625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32 934</w:t>
            </w:r>
          </w:p>
        </w:tc>
        <w:tc>
          <w:tcPr>
            <w:tcW w:w="1418" w:type="dxa"/>
            <w:tcBorders>
              <w:top w:val="nil"/>
              <w:left w:val="nil"/>
              <w:bottom w:val="single" w:sz="4" w:space="0" w:color="auto"/>
              <w:right w:val="single" w:sz="4" w:space="0" w:color="auto"/>
            </w:tcBorders>
            <w:shd w:val="clear" w:color="auto" w:fill="auto"/>
            <w:noWrap/>
            <w:vAlign w:val="center"/>
            <w:hideMark/>
          </w:tcPr>
          <w:p w14:paraId="5703866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-7 039</w:t>
            </w:r>
          </w:p>
        </w:tc>
        <w:tc>
          <w:tcPr>
            <w:tcW w:w="1559" w:type="dxa"/>
            <w:tcBorders>
              <w:top w:val="nil"/>
              <w:left w:val="nil"/>
              <w:bottom w:val="single" w:sz="4" w:space="0" w:color="auto"/>
              <w:right w:val="single" w:sz="4" w:space="0" w:color="auto"/>
            </w:tcBorders>
            <w:shd w:val="clear" w:color="auto" w:fill="auto"/>
            <w:noWrap/>
            <w:vAlign w:val="center"/>
            <w:hideMark/>
          </w:tcPr>
          <w:p w14:paraId="3D49409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-17,61%</w:t>
            </w:r>
          </w:p>
        </w:tc>
      </w:tr>
      <w:tr w:rsidR="0093441E" w:rsidRPr="002A7673" w14:paraId="6F4290DB"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0BFB572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Inactivos</w:t>
            </w:r>
          </w:p>
        </w:tc>
        <w:tc>
          <w:tcPr>
            <w:tcW w:w="1601" w:type="dxa"/>
            <w:tcBorders>
              <w:top w:val="nil"/>
              <w:left w:val="nil"/>
              <w:bottom w:val="single" w:sz="4" w:space="0" w:color="auto"/>
              <w:right w:val="single" w:sz="4" w:space="0" w:color="auto"/>
            </w:tcBorders>
            <w:shd w:val="clear" w:color="auto" w:fill="auto"/>
            <w:noWrap/>
            <w:vAlign w:val="center"/>
            <w:hideMark/>
          </w:tcPr>
          <w:p w14:paraId="444B8B0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16 056</w:t>
            </w:r>
          </w:p>
        </w:tc>
        <w:tc>
          <w:tcPr>
            <w:tcW w:w="1417" w:type="dxa"/>
            <w:tcBorders>
              <w:top w:val="nil"/>
              <w:left w:val="nil"/>
              <w:bottom w:val="single" w:sz="4" w:space="0" w:color="auto"/>
              <w:right w:val="single" w:sz="4" w:space="0" w:color="auto"/>
            </w:tcBorders>
            <w:shd w:val="clear" w:color="auto" w:fill="auto"/>
            <w:noWrap/>
            <w:vAlign w:val="center"/>
            <w:hideMark/>
          </w:tcPr>
          <w:p w14:paraId="21222C5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7 511</w:t>
            </w:r>
          </w:p>
        </w:tc>
        <w:tc>
          <w:tcPr>
            <w:tcW w:w="1418" w:type="dxa"/>
            <w:tcBorders>
              <w:top w:val="nil"/>
              <w:left w:val="nil"/>
              <w:bottom w:val="single" w:sz="4" w:space="0" w:color="auto"/>
              <w:right w:val="single" w:sz="4" w:space="0" w:color="auto"/>
            </w:tcBorders>
            <w:shd w:val="clear" w:color="auto" w:fill="auto"/>
            <w:noWrap/>
            <w:vAlign w:val="center"/>
            <w:hideMark/>
          </w:tcPr>
          <w:p w14:paraId="370AFAE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-8 545</w:t>
            </w:r>
          </w:p>
        </w:tc>
        <w:tc>
          <w:tcPr>
            <w:tcW w:w="1559" w:type="dxa"/>
            <w:tcBorders>
              <w:top w:val="nil"/>
              <w:left w:val="nil"/>
              <w:bottom w:val="single" w:sz="4" w:space="0" w:color="auto"/>
              <w:right w:val="single" w:sz="4" w:space="0" w:color="auto"/>
            </w:tcBorders>
            <w:shd w:val="clear" w:color="auto" w:fill="auto"/>
            <w:noWrap/>
            <w:vAlign w:val="center"/>
            <w:hideMark/>
          </w:tcPr>
          <w:p w14:paraId="3B48B48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-53,22%</w:t>
            </w:r>
          </w:p>
        </w:tc>
      </w:tr>
      <w:tr w:rsidR="0093441E" w:rsidRPr="002A7673" w14:paraId="5824567B"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14:paraId="67BC1E6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Circulante final</w:t>
            </w:r>
          </w:p>
        </w:tc>
        <w:tc>
          <w:tcPr>
            <w:tcW w:w="1601" w:type="dxa"/>
            <w:tcBorders>
              <w:top w:val="nil"/>
              <w:left w:val="nil"/>
              <w:bottom w:val="single" w:sz="4" w:space="0" w:color="auto"/>
              <w:right w:val="single" w:sz="4" w:space="0" w:color="auto"/>
            </w:tcBorders>
            <w:shd w:val="clear" w:color="auto" w:fill="auto"/>
            <w:noWrap/>
            <w:vAlign w:val="center"/>
            <w:hideMark/>
          </w:tcPr>
          <w:p w14:paraId="36E6AD7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68 776</w:t>
            </w:r>
          </w:p>
        </w:tc>
        <w:tc>
          <w:tcPr>
            <w:tcW w:w="1417" w:type="dxa"/>
            <w:tcBorders>
              <w:top w:val="nil"/>
              <w:left w:val="nil"/>
              <w:bottom w:val="single" w:sz="4" w:space="0" w:color="auto"/>
              <w:right w:val="single" w:sz="4" w:space="0" w:color="auto"/>
            </w:tcBorders>
            <w:shd w:val="clear" w:color="auto" w:fill="auto"/>
            <w:noWrap/>
            <w:vAlign w:val="center"/>
            <w:hideMark/>
          </w:tcPr>
          <w:p w14:paraId="4A9A28A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83 566</w:t>
            </w:r>
          </w:p>
        </w:tc>
        <w:tc>
          <w:tcPr>
            <w:tcW w:w="1418" w:type="dxa"/>
            <w:tcBorders>
              <w:top w:val="nil"/>
              <w:left w:val="nil"/>
              <w:bottom w:val="single" w:sz="4" w:space="0" w:color="auto"/>
              <w:right w:val="single" w:sz="4" w:space="0" w:color="auto"/>
            </w:tcBorders>
            <w:shd w:val="clear" w:color="auto" w:fill="auto"/>
            <w:noWrap/>
            <w:vAlign w:val="center"/>
            <w:hideMark/>
          </w:tcPr>
          <w:p w14:paraId="1715F71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14 790</w:t>
            </w:r>
          </w:p>
        </w:tc>
        <w:tc>
          <w:tcPr>
            <w:tcW w:w="1559" w:type="dxa"/>
            <w:tcBorders>
              <w:top w:val="nil"/>
              <w:left w:val="nil"/>
              <w:bottom w:val="single" w:sz="4" w:space="0" w:color="auto"/>
              <w:right w:val="single" w:sz="4" w:space="0" w:color="auto"/>
            </w:tcBorders>
            <w:shd w:val="clear" w:color="auto" w:fill="auto"/>
            <w:noWrap/>
            <w:vAlign w:val="center"/>
            <w:hideMark/>
          </w:tcPr>
          <w:p w14:paraId="40B418B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rPr>
              <w:t>21,50%</w:t>
            </w:r>
          </w:p>
        </w:tc>
      </w:tr>
    </w:tbl>
    <w:p w14:paraId="05168328" w14:textId="77777777" w:rsidR="0093441E" w:rsidRPr="002A7673" w:rsidRDefault="0093441E" w:rsidP="0093441E">
      <w:pPr>
        <w:spacing w:after="0" w:line="360" w:lineRule="auto"/>
        <w:ind w:firstLine="708"/>
        <w:rPr>
          <w:rFonts w:ascii="Times New Roman" w:hAnsi="Times New Roman" w:cs="Times New Roman"/>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Subproceso de Estadística, Dirección de Planificación, Poder Judicial</w:t>
      </w:r>
    </w:p>
    <w:p w14:paraId="4BB23A2C" w14:textId="77777777" w:rsidR="0093441E" w:rsidRPr="002A7673" w:rsidRDefault="0093441E" w:rsidP="0093441E">
      <w:pPr>
        <w:spacing w:after="0" w:line="360" w:lineRule="auto"/>
        <w:ind w:right="567"/>
        <w:rPr>
          <w:rFonts w:ascii="Times New Roman" w:hAnsi="Times New Roman" w:cs="Times New Roman"/>
          <w:b/>
        </w:rPr>
      </w:pPr>
    </w:p>
    <w:p w14:paraId="0F6E7D0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lastRenderedPageBreak/>
        <w:t>Casos entrados</w:t>
      </w:r>
      <w:r w:rsidRPr="002A7673">
        <w:rPr>
          <w:rFonts w:ascii="Times New Roman" w:hAnsi="Times New Roman" w:cs="Times New Roman"/>
          <w:sz w:val="28"/>
          <w:szCs w:val="28"/>
        </w:rPr>
        <w:t xml:space="preserve">: El ingreso de nuevos casos muestra un comportamiento descendente en 2020, al pasar de 54.897 a 45.417 asuntos, es decir; se disminuye en 9.480 expedientes, lo que consecuentemente le significó a este Centro de Responsabilidad un decrecimiento de su carga de trabajo del orden del 14,51%. Las razones asociadas a dicho comportamiento se encuentran generalizadas en la mayoría de los despachos, producto de la reducción en la afluencia de personas debido a los efectos de la pandemia provocada por el virus COVID-19. A excepción del Juzgado Contravencional de San Isidro específicamente en materia de Violencia Doméstica, Juzgado Contravencional de San Rafael en las materias de Faltas y Contravenciones y Violencia Domestica, el Juzgado Penal de Heredia, el Tribunal de Apelación en materia Laboral y el Tribunal Penal que tuvieron un crecimiento promedio de 4,65% respecto al 2019.  </w:t>
      </w:r>
    </w:p>
    <w:p w14:paraId="1CBE7318"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reentrados</w:t>
      </w:r>
      <w:r w:rsidRPr="002A7673">
        <w:rPr>
          <w:rFonts w:ascii="Times New Roman" w:hAnsi="Times New Roman" w:cs="Times New Roman"/>
          <w:sz w:val="28"/>
          <w:szCs w:val="28"/>
        </w:rPr>
        <w:t xml:space="preserve">: El reingreso de nuevos muestra un comportamiento creciente en 2020, al pasar de 3.816 a 6.618 asuntos, es decir; aumento en 2.802 expedientes, lo que consecuentemente le significó a este Centro de Responsabilidad un crecimiento del 73,43%. esta variación se concentró principalmente en que en materia cobratoria se recibió una carga significativa que proviene de volumen de incompetencias resueltas por la Sala derivadas de la implementación de la Reforma Procesal Civil. </w:t>
      </w:r>
    </w:p>
    <w:p w14:paraId="5152307E"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lastRenderedPageBreak/>
        <w:t>Casos terminados</w:t>
      </w:r>
      <w:r w:rsidRPr="002A7673">
        <w:rPr>
          <w:rFonts w:ascii="Times New Roman" w:hAnsi="Times New Roman" w:cs="Times New Roman"/>
          <w:sz w:val="28"/>
          <w:szCs w:val="28"/>
        </w:rPr>
        <w:t xml:space="preserve">: El termino de casos muestra un comportamiento descendente en 2020, al pasar de 39.973 a 32.934 asuntos, es decir; se disminuye en 7.039 expedientes, lo que consecuentemente le significó a este Centro de Responsabilidad un decrecimiento en su productividad del orden del 17,61%. Las razones asociadas a dicho comportamiento se encuentran generalizadas en la mayoría de los despachos, producto de las jornadas de trabajo, los cierres nacionales y otras labores asociadas a los efectos de la pandemia provocada por el virus COVID-19, no obstante, se destacan el Juzgado de Cobro y el de Tránsito con las mayores reducciones, 1.044 y 2.346 asuntos menos respectivamente.   </w:t>
      </w:r>
    </w:p>
    <w:p w14:paraId="591B2445"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inactivos</w:t>
      </w:r>
      <w:r w:rsidRPr="002A7673">
        <w:rPr>
          <w:rFonts w:ascii="Times New Roman" w:hAnsi="Times New Roman" w:cs="Times New Roman"/>
          <w:sz w:val="28"/>
          <w:szCs w:val="28"/>
        </w:rPr>
        <w:t xml:space="preserve">: La inactividad de casos muestra un comportamiento descendente en 2020, al pasar de 16.056 a 7.511 asuntos, es decir; se disminuye en 8.545 expedientes, lo que consecuentemente le significó a este Centro de Responsabilidad un decrecimiento en la inactividad de los procesos del orden del 53,22%. La variación asociada a dicho comportamiento está concentrada en el Juzgado de Cobro y en el Juzgado Civil donde se presentaron reducciones de 6.808 y 2.050 asuntos respecto a 2019. </w:t>
      </w:r>
    </w:p>
    <w:p w14:paraId="014B4463"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del circulante</w:t>
      </w:r>
      <w:r w:rsidRPr="002A7673">
        <w:rPr>
          <w:rFonts w:ascii="Times New Roman" w:hAnsi="Times New Roman" w:cs="Times New Roman"/>
          <w:sz w:val="28"/>
          <w:szCs w:val="28"/>
        </w:rPr>
        <w:t xml:space="preserve">: Los casos en proceso muestran un comportamiento ascendente en 2020, al pasar de 68.776 a 83.566 asuntos, es decir; se aumenta en 14.790 expedientes, lo que consecuentemente le significó a este Centro de Responsabilidad un </w:t>
      </w:r>
      <w:r w:rsidRPr="002A7673">
        <w:rPr>
          <w:rFonts w:ascii="Times New Roman" w:hAnsi="Times New Roman" w:cs="Times New Roman"/>
          <w:sz w:val="28"/>
          <w:szCs w:val="28"/>
        </w:rPr>
        <w:lastRenderedPageBreak/>
        <w:t>crecimiento de los procesos del orden del 21,5%. La variación asociada a dicho comportamiento se encuentra concentrada en el Juzgado de Cobro (14.822 asuntos más), producto principalmente por el ingreso de las incompetencias y la reducción de los procesos terminados e inactivos, lo cual refleja una reducción considerable en la productividad. Es de nuestro conocimiento que en 2020 hicieron un inventario de expedientes y que a partir de setiembre del 2020 recibieron apoyo del CACMFJ de tres equipos de trabajo para atender esta situación.</w:t>
      </w:r>
    </w:p>
    <w:p w14:paraId="3F8B2ADC"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58F809CC" w14:textId="77777777" w:rsidR="0093441E" w:rsidRPr="002A7673" w:rsidRDefault="0093441E" w:rsidP="00FF3FAC">
      <w:pPr>
        <w:numPr>
          <w:ilvl w:val="0"/>
          <w:numId w:val="31"/>
        </w:numPr>
        <w:spacing w:after="0" w:line="276" w:lineRule="auto"/>
        <w:ind w:hanging="720"/>
        <w:rPr>
          <w:rFonts w:ascii="Times New Roman" w:eastAsia="Times New Roman" w:hAnsi="Times New Roman" w:cs="Times New Roman"/>
          <w:b/>
          <w:sz w:val="24"/>
          <w:szCs w:val="24"/>
          <w:lang w:val="es-ES" w:eastAsia="es-ES"/>
        </w:rPr>
      </w:pPr>
      <w:r w:rsidRPr="002A7673">
        <w:rPr>
          <w:rFonts w:ascii="Times New Roman" w:eastAsia="Times New Roman" w:hAnsi="Times New Roman" w:cs="Times New Roman"/>
          <w:b/>
          <w:bCs/>
          <w:sz w:val="24"/>
          <w:szCs w:val="24"/>
          <w:lang w:val="es-ES" w:eastAsia="es-ES"/>
        </w:rPr>
        <w:t>Análisis del comportamiento interanual del balance general entre 2019 y 2020 para el centro de responsabilidad de la Administración de Sarapiquí</w:t>
      </w:r>
    </w:p>
    <w:p w14:paraId="3E9CAE2D" w14:textId="77777777" w:rsidR="0093441E" w:rsidRPr="002A7673" w:rsidRDefault="0093441E" w:rsidP="0093441E">
      <w:pPr>
        <w:spacing w:after="0" w:line="240" w:lineRule="auto"/>
        <w:rPr>
          <w:rFonts w:ascii="Times New Roman" w:hAnsi="Times New Roman" w:cs="Times New Roman"/>
        </w:rPr>
      </w:pPr>
    </w:p>
    <w:p w14:paraId="1BD2D0BD" w14:textId="77777777" w:rsidR="0093441E" w:rsidRPr="002A7673" w:rsidRDefault="0093441E" w:rsidP="0093441E">
      <w:pPr>
        <w:keepNext/>
        <w:widowControl w:val="0"/>
        <w:autoSpaceDE w:val="0"/>
        <w:autoSpaceDN w:val="0"/>
        <w:adjustRightInd w:val="0"/>
        <w:spacing w:after="0" w:line="240" w:lineRule="auto"/>
        <w:jc w:val="center"/>
        <w:rPr>
          <w:rFonts w:ascii="Times New Roman" w:eastAsia="Times New Roman" w:hAnsi="Times New Roman" w:cs="Times New Roman"/>
          <w:b/>
          <w:bCs/>
          <w:sz w:val="24"/>
          <w:szCs w:val="24"/>
          <w:lang w:val="es-ES" w:eastAsia="es-ES"/>
        </w:rPr>
      </w:pPr>
      <w:r w:rsidRPr="002A7673">
        <w:rPr>
          <w:rFonts w:ascii="Times New Roman" w:eastAsia="Times New Roman" w:hAnsi="Times New Roman" w:cs="Times New Roman"/>
          <w:b/>
          <w:bCs/>
          <w:sz w:val="24"/>
          <w:szCs w:val="24"/>
          <w:lang w:val="es-ES" w:eastAsia="es-ES"/>
        </w:rPr>
        <w:t>Movimientos generales de trabajo para el Centro de Responsabilidad</w:t>
      </w:r>
    </w:p>
    <w:p w14:paraId="019E94B7" w14:textId="77777777" w:rsidR="0093441E" w:rsidRPr="002A7673" w:rsidRDefault="0093441E" w:rsidP="0093441E">
      <w:pPr>
        <w:keepNext/>
        <w:widowControl w:val="0"/>
        <w:autoSpaceDE w:val="0"/>
        <w:autoSpaceDN w:val="0"/>
        <w:adjustRightInd w:val="0"/>
        <w:spacing w:after="0" w:line="240" w:lineRule="auto"/>
        <w:jc w:val="center"/>
        <w:rPr>
          <w:rFonts w:ascii="Times New Roman" w:eastAsia="Times New Roman" w:hAnsi="Times New Roman" w:cs="Times New Roman"/>
          <w:b/>
          <w:bCs/>
          <w:sz w:val="24"/>
          <w:szCs w:val="24"/>
          <w:lang w:val="es-ES" w:eastAsia="es-ES"/>
        </w:rPr>
      </w:pPr>
      <w:r w:rsidRPr="002A7673">
        <w:rPr>
          <w:rFonts w:ascii="Times New Roman" w:eastAsia="Times New Roman" w:hAnsi="Times New Roman" w:cs="Times New Roman"/>
          <w:b/>
          <w:bCs/>
          <w:sz w:val="24"/>
          <w:szCs w:val="24"/>
          <w:lang w:val="es-ES" w:eastAsia="es-ES"/>
        </w:rPr>
        <w:t>de la Administración de Sarapiquí, durante el bienio 2019-2020</w:t>
      </w:r>
    </w:p>
    <w:tbl>
      <w:tblPr>
        <w:tblW w:w="5000" w:type="pct"/>
        <w:tblBorders>
          <w:top w:val="single" w:sz="8" w:space="0" w:color="auto"/>
          <w:bottom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864"/>
        <w:gridCol w:w="1023"/>
        <w:gridCol w:w="1023"/>
        <w:gridCol w:w="1321"/>
        <w:gridCol w:w="1437"/>
      </w:tblGrid>
      <w:tr w:rsidR="0093441E" w:rsidRPr="002A7673" w14:paraId="4AB6F975" w14:textId="77777777" w:rsidTr="0048334E">
        <w:trPr>
          <w:trHeight w:val="20"/>
        </w:trPr>
        <w:tc>
          <w:tcPr>
            <w:tcW w:w="2516" w:type="pct"/>
            <w:vMerge w:val="restart"/>
            <w:shd w:val="clear" w:color="auto" w:fill="auto"/>
            <w:vAlign w:val="center"/>
          </w:tcPr>
          <w:p w14:paraId="3BBBF0D8"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Variable</w:t>
            </w:r>
          </w:p>
        </w:tc>
        <w:tc>
          <w:tcPr>
            <w:tcW w:w="1058" w:type="pct"/>
            <w:gridSpan w:val="2"/>
            <w:shd w:val="clear" w:color="auto" w:fill="auto"/>
            <w:vAlign w:val="center"/>
          </w:tcPr>
          <w:p w14:paraId="3413696F"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Año</w:t>
            </w:r>
          </w:p>
        </w:tc>
        <w:tc>
          <w:tcPr>
            <w:tcW w:w="683" w:type="pct"/>
            <w:vMerge w:val="restart"/>
            <w:shd w:val="clear" w:color="auto" w:fill="auto"/>
            <w:vAlign w:val="center"/>
          </w:tcPr>
          <w:p w14:paraId="67C099E5"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Variación absoluta</w:t>
            </w:r>
          </w:p>
        </w:tc>
        <w:tc>
          <w:tcPr>
            <w:tcW w:w="743" w:type="pct"/>
            <w:vMerge w:val="restart"/>
            <w:shd w:val="clear" w:color="auto" w:fill="auto"/>
            <w:vAlign w:val="center"/>
          </w:tcPr>
          <w:p w14:paraId="62DCC679"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Variación Porcentual</w:t>
            </w:r>
          </w:p>
        </w:tc>
      </w:tr>
      <w:tr w:rsidR="0093441E" w:rsidRPr="002A7673" w14:paraId="06D8E758" w14:textId="77777777" w:rsidTr="0048334E">
        <w:trPr>
          <w:trHeight w:val="20"/>
        </w:trPr>
        <w:tc>
          <w:tcPr>
            <w:tcW w:w="2516" w:type="pct"/>
            <w:vMerge/>
            <w:tcBorders>
              <w:bottom w:val="single" w:sz="8" w:space="0" w:color="auto"/>
            </w:tcBorders>
            <w:shd w:val="clear" w:color="auto" w:fill="auto"/>
            <w:vAlign w:val="center"/>
          </w:tcPr>
          <w:p w14:paraId="688CCDC0" w14:textId="77777777" w:rsidR="0093441E" w:rsidRPr="002A7673" w:rsidRDefault="0093441E" w:rsidP="0048334E">
            <w:pPr>
              <w:spacing w:after="0" w:line="240" w:lineRule="auto"/>
              <w:rPr>
                <w:rFonts w:ascii="Times New Roman" w:hAnsi="Times New Roman" w:cs="Times New Roman"/>
                <w:b/>
                <w:bCs/>
                <w:lang w:eastAsia="es-CR"/>
              </w:rPr>
            </w:pPr>
          </w:p>
        </w:tc>
        <w:tc>
          <w:tcPr>
            <w:tcW w:w="529" w:type="pct"/>
            <w:tcBorders>
              <w:bottom w:val="single" w:sz="8" w:space="0" w:color="auto"/>
            </w:tcBorders>
            <w:shd w:val="clear" w:color="auto" w:fill="auto"/>
            <w:vAlign w:val="center"/>
          </w:tcPr>
          <w:p w14:paraId="7CBE2D31"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2019</w:t>
            </w:r>
          </w:p>
        </w:tc>
        <w:tc>
          <w:tcPr>
            <w:tcW w:w="529" w:type="pct"/>
            <w:tcBorders>
              <w:bottom w:val="single" w:sz="8" w:space="0" w:color="auto"/>
            </w:tcBorders>
            <w:shd w:val="clear" w:color="auto" w:fill="auto"/>
            <w:vAlign w:val="center"/>
          </w:tcPr>
          <w:p w14:paraId="26D8A6F7"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2020*</w:t>
            </w:r>
          </w:p>
        </w:tc>
        <w:tc>
          <w:tcPr>
            <w:tcW w:w="683" w:type="pct"/>
            <w:vMerge/>
            <w:tcBorders>
              <w:bottom w:val="single" w:sz="8" w:space="0" w:color="auto"/>
            </w:tcBorders>
            <w:shd w:val="clear" w:color="auto" w:fill="auto"/>
            <w:vAlign w:val="center"/>
          </w:tcPr>
          <w:p w14:paraId="608A1670" w14:textId="77777777" w:rsidR="0093441E" w:rsidRPr="002A7673" w:rsidRDefault="0093441E" w:rsidP="0048334E">
            <w:pPr>
              <w:spacing w:after="0" w:line="240" w:lineRule="auto"/>
              <w:rPr>
                <w:rFonts w:ascii="Times New Roman" w:hAnsi="Times New Roman" w:cs="Times New Roman"/>
                <w:b/>
                <w:bCs/>
                <w:lang w:eastAsia="es-CR"/>
              </w:rPr>
            </w:pPr>
          </w:p>
        </w:tc>
        <w:tc>
          <w:tcPr>
            <w:tcW w:w="743" w:type="pct"/>
            <w:vMerge/>
            <w:tcBorders>
              <w:bottom w:val="single" w:sz="8" w:space="0" w:color="auto"/>
            </w:tcBorders>
            <w:shd w:val="clear" w:color="auto" w:fill="auto"/>
            <w:vAlign w:val="center"/>
          </w:tcPr>
          <w:p w14:paraId="2C8BB62F" w14:textId="77777777" w:rsidR="0093441E" w:rsidRPr="002A7673" w:rsidRDefault="0093441E" w:rsidP="0048334E">
            <w:pPr>
              <w:spacing w:after="0" w:line="240" w:lineRule="auto"/>
              <w:rPr>
                <w:rFonts w:ascii="Times New Roman" w:hAnsi="Times New Roman" w:cs="Times New Roman"/>
                <w:b/>
                <w:bCs/>
                <w:lang w:eastAsia="es-CR"/>
              </w:rPr>
            </w:pPr>
          </w:p>
        </w:tc>
      </w:tr>
      <w:tr w:rsidR="0093441E" w:rsidRPr="002A7673" w14:paraId="37203842"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4A2FCC45"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Circulante al iniciar</w:t>
            </w:r>
          </w:p>
        </w:tc>
        <w:tc>
          <w:tcPr>
            <w:tcW w:w="529" w:type="pct"/>
            <w:tcBorders>
              <w:top w:val="nil"/>
              <w:left w:val="nil"/>
              <w:bottom w:val="nil"/>
              <w:right w:val="single" w:sz="8" w:space="0" w:color="auto"/>
            </w:tcBorders>
            <w:shd w:val="clear" w:color="auto" w:fill="auto"/>
            <w:vAlign w:val="center"/>
            <w:hideMark/>
          </w:tcPr>
          <w:p w14:paraId="26BC60D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5 345</w:t>
            </w:r>
          </w:p>
        </w:tc>
        <w:tc>
          <w:tcPr>
            <w:tcW w:w="529" w:type="pct"/>
            <w:tcBorders>
              <w:top w:val="nil"/>
              <w:left w:val="nil"/>
              <w:bottom w:val="nil"/>
              <w:right w:val="single" w:sz="8" w:space="0" w:color="auto"/>
            </w:tcBorders>
            <w:shd w:val="clear" w:color="auto" w:fill="auto"/>
            <w:vAlign w:val="center"/>
            <w:hideMark/>
          </w:tcPr>
          <w:p w14:paraId="23DBCF8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5 501</w:t>
            </w:r>
          </w:p>
        </w:tc>
        <w:tc>
          <w:tcPr>
            <w:tcW w:w="683" w:type="pct"/>
            <w:tcBorders>
              <w:top w:val="nil"/>
              <w:left w:val="nil"/>
              <w:bottom w:val="nil"/>
              <w:right w:val="single" w:sz="8" w:space="0" w:color="auto"/>
            </w:tcBorders>
            <w:shd w:val="clear" w:color="auto" w:fill="auto"/>
            <w:vAlign w:val="center"/>
            <w:hideMark/>
          </w:tcPr>
          <w:p w14:paraId="42B63DF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156</w:t>
            </w:r>
          </w:p>
        </w:tc>
        <w:tc>
          <w:tcPr>
            <w:tcW w:w="743" w:type="pct"/>
            <w:tcBorders>
              <w:top w:val="nil"/>
              <w:left w:val="nil"/>
              <w:bottom w:val="nil"/>
              <w:right w:val="nil"/>
            </w:tcBorders>
            <w:shd w:val="clear" w:color="auto" w:fill="auto"/>
            <w:vAlign w:val="center"/>
            <w:hideMark/>
          </w:tcPr>
          <w:p w14:paraId="64735211"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2,9%</w:t>
            </w:r>
          </w:p>
        </w:tc>
      </w:tr>
      <w:tr w:rsidR="0093441E" w:rsidRPr="002A7673" w14:paraId="39F989A1"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6A1B0CE6"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entrados</w:t>
            </w:r>
          </w:p>
        </w:tc>
        <w:tc>
          <w:tcPr>
            <w:tcW w:w="529" w:type="pct"/>
            <w:tcBorders>
              <w:top w:val="nil"/>
              <w:left w:val="nil"/>
              <w:bottom w:val="nil"/>
              <w:right w:val="single" w:sz="8" w:space="0" w:color="auto"/>
            </w:tcBorders>
            <w:shd w:val="clear" w:color="auto" w:fill="auto"/>
            <w:vAlign w:val="center"/>
            <w:hideMark/>
          </w:tcPr>
          <w:p w14:paraId="2ACAB3F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5 075</w:t>
            </w:r>
          </w:p>
        </w:tc>
        <w:tc>
          <w:tcPr>
            <w:tcW w:w="529" w:type="pct"/>
            <w:tcBorders>
              <w:top w:val="nil"/>
              <w:left w:val="nil"/>
              <w:bottom w:val="nil"/>
              <w:right w:val="single" w:sz="8" w:space="0" w:color="auto"/>
            </w:tcBorders>
            <w:shd w:val="clear" w:color="auto" w:fill="auto"/>
            <w:vAlign w:val="center"/>
            <w:hideMark/>
          </w:tcPr>
          <w:p w14:paraId="3D67C1FC"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4 822</w:t>
            </w:r>
          </w:p>
        </w:tc>
        <w:tc>
          <w:tcPr>
            <w:tcW w:w="683" w:type="pct"/>
            <w:tcBorders>
              <w:top w:val="nil"/>
              <w:left w:val="nil"/>
              <w:bottom w:val="nil"/>
              <w:right w:val="single" w:sz="8" w:space="0" w:color="auto"/>
            </w:tcBorders>
            <w:shd w:val="clear" w:color="auto" w:fill="auto"/>
            <w:vAlign w:val="center"/>
            <w:hideMark/>
          </w:tcPr>
          <w:p w14:paraId="5089A88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-253</w:t>
            </w:r>
          </w:p>
        </w:tc>
        <w:tc>
          <w:tcPr>
            <w:tcW w:w="743" w:type="pct"/>
            <w:tcBorders>
              <w:top w:val="nil"/>
              <w:left w:val="nil"/>
              <w:bottom w:val="nil"/>
              <w:right w:val="nil"/>
            </w:tcBorders>
            <w:shd w:val="clear" w:color="auto" w:fill="auto"/>
            <w:vAlign w:val="center"/>
            <w:hideMark/>
          </w:tcPr>
          <w:p w14:paraId="4C14186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-5,0%</w:t>
            </w:r>
          </w:p>
        </w:tc>
      </w:tr>
      <w:tr w:rsidR="0093441E" w:rsidRPr="002A7673" w14:paraId="6CF9E0CD"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3521A747"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reentrados</w:t>
            </w:r>
          </w:p>
        </w:tc>
        <w:tc>
          <w:tcPr>
            <w:tcW w:w="529" w:type="pct"/>
            <w:tcBorders>
              <w:top w:val="nil"/>
              <w:left w:val="nil"/>
              <w:bottom w:val="nil"/>
              <w:right w:val="single" w:sz="8" w:space="0" w:color="auto"/>
            </w:tcBorders>
            <w:shd w:val="clear" w:color="auto" w:fill="auto"/>
            <w:vAlign w:val="center"/>
            <w:hideMark/>
          </w:tcPr>
          <w:p w14:paraId="671B14B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625</w:t>
            </w:r>
          </w:p>
        </w:tc>
        <w:tc>
          <w:tcPr>
            <w:tcW w:w="529" w:type="pct"/>
            <w:tcBorders>
              <w:top w:val="nil"/>
              <w:left w:val="nil"/>
              <w:bottom w:val="nil"/>
              <w:right w:val="single" w:sz="8" w:space="0" w:color="auto"/>
            </w:tcBorders>
            <w:shd w:val="clear" w:color="auto" w:fill="auto"/>
            <w:vAlign w:val="center"/>
            <w:hideMark/>
          </w:tcPr>
          <w:p w14:paraId="14F602E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416</w:t>
            </w:r>
          </w:p>
        </w:tc>
        <w:tc>
          <w:tcPr>
            <w:tcW w:w="683" w:type="pct"/>
            <w:tcBorders>
              <w:top w:val="nil"/>
              <w:left w:val="nil"/>
              <w:bottom w:val="nil"/>
              <w:right w:val="single" w:sz="8" w:space="0" w:color="auto"/>
            </w:tcBorders>
            <w:shd w:val="clear" w:color="auto" w:fill="auto"/>
            <w:vAlign w:val="center"/>
            <w:hideMark/>
          </w:tcPr>
          <w:p w14:paraId="3CDB072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-209</w:t>
            </w:r>
          </w:p>
        </w:tc>
        <w:tc>
          <w:tcPr>
            <w:tcW w:w="743" w:type="pct"/>
            <w:tcBorders>
              <w:top w:val="nil"/>
              <w:left w:val="nil"/>
              <w:bottom w:val="nil"/>
              <w:right w:val="nil"/>
            </w:tcBorders>
            <w:shd w:val="clear" w:color="auto" w:fill="auto"/>
            <w:vAlign w:val="center"/>
            <w:hideMark/>
          </w:tcPr>
          <w:p w14:paraId="39AE40D4"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-33,4%</w:t>
            </w:r>
          </w:p>
        </w:tc>
      </w:tr>
      <w:tr w:rsidR="0093441E" w:rsidRPr="002A7673" w14:paraId="21311F85"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493205DE"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Reactivados</w:t>
            </w:r>
          </w:p>
        </w:tc>
        <w:tc>
          <w:tcPr>
            <w:tcW w:w="529" w:type="pct"/>
            <w:tcBorders>
              <w:top w:val="nil"/>
              <w:left w:val="nil"/>
              <w:bottom w:val="nil"/>
              <w:right w:val="single" w:sz="8" w:space="0" w:color="auto"/>
            </w:tcBorders>
            <w:shd w:val="clear" w:color="auto" w:fill="auto"/>
            <w:vAlign w:val="center"/>
            <w:hideMark/>
          </w:tcPr>
          <w:p w14:paraId="1F17F6FC"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0</w:t>
            </w:r>
          </w:p>
        </w:tc>
        <w:tc>
          <w:tcPr>
            <w:tcW w:w="529" w:type="pct"/>
            <w:tcBorders>
              <w:top w:val="nil"/>
              <w:left w:val="nil"/>
              <w:bottom w:val="nil"/>
              <w:right w:val="single" w:sz="8" w:space="0" w:color="auto"/>
            </w:tcBorders>
            <w:shd w:val="clear" w:color="auto" w:fill="auto"/>
            <w:vAlign w:val="center"/>
            <w:hideMark/>
          </w:tcPr>
          <w:p w14:paraId="756AD32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97</w:t>
            </w:r>
          </w:p>
        </w:tc>
        <w:tc>
          <w:tcPr>
            <w:tcW w:w="683" w:type="pct"/>
            <w:tcBorders>
              <w:top w:val="nil"/>
              <w:left w:val="nil"/>
              <w:bottom w:val="nil"/>
              <w:right w:val="single" w:sz="8" w:space="0" w:color="auto"/>
            </w:tcBorders>
            <w:shd w:val="clear" w:color="auto" w:fill="auto"/>
            <w:vAlign w:val="center"/>
            <w:hideMark/>
          </w:tcPr>
          <w:p w14:paraId="1E333C16"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97</w:t>
            </w:r>
          </w:p>
        </w:tc>
        <w:tc>
          <w:tcPr>
            <w:tcW w:w="743" w:type="pct"/>
            <w:tcBorders>
              <w:top w:val="nil"/>
              <w:left w:val="nil"/>
              <w:bottom w:val="nil"/>
              <w:right w:val="nil"/>
            </w:tcBorders>
            <w:shd w:val="clear" w:color="auto" w:fill="auto"/>
            <w:vAlign w:val="center"/>
            <w:hideMark/>
          </w:tcPr>
          <w:p w14:paraId="2E94E56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 xml:space="preserve"> --</w:t>
            </w:r>
          </w:p>
        </w:tc>
      </w:tr>
      <w:tr w:rsidR="0093441E" w:rsidRPr="002A7673" w14:paraId="04B73E0E"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74930442" w14:textId="77777777" w:rsidR="0093441E" w:rsidRPr="002A7673" w:rsidRDefault="0093441E" w:rsidP="0048334E">
            <w:pPr>
              <w:spacing w:after="0" w:line="240" w:lineRule="auto"/>
              <w:rPr>
                <w:rFonts w:ascii="Times New Roman" w:hAnsi="Times New Roman" w:cs="Times New Roman"/>
                <w:highlight w:val="yellow"/>
                <w:lang w:eastAsia="es-CR"/>
              </w:rPr>
            </w:pPr>
            <w:r w:rsidRPr="002A7673">
              <w:rPr>
                <w:rFonts w:ascii="Times New Roman" w:hAnsi="Times New Roman" w:cs="Times New Roman"/>
              </w:rPr>
              <w:t>Testimonio de Piezas</w:t>
            </w:r>
          </w:p>
        </w:tc>
        <w:tc>
          <w:tcPr>
            <w:tcW w:w="529" w:type="pct"/>
            <w:tcBorders>
              <w:top w:val="nil"/>
              <w:left w:val="nil"/>
              <w:bottom w:val="nil"/>
              <w:right w:val="single" w:sz="8" w:space="0" w:color="auto"/>
            </w:tcBorders>
            <w:shd w:val="clear" w:color="auto" w:fill="auto"/>
            <w:vAlign w:val="center"/>
            <w:hideMark/>
          </w:tcPr>
          <w:p w14:paraId="47175B1A"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110</w:t>
            </w:r>
          </w:p>
        </w:tc>
        <w:tc>
          <w:tcPr>
            <w:tcW w:w="529" w:type="pct"/>
            <w:tcBorders>
              <w:top w:val="nil"/>
              <w:left w:val="nil"/>
              <w:bottom w:val="nil"/>
              <w:right w:val="single" w:sz="8" w:space="0" w:color="auto"/>
            </w:tcBorders>
            <w:shd w:val="clear" w:color="auto" w:fill="auto"/>
            <w:vAlign w:val="center"/>
            <w:hideMark/>
          </w:tcPr>
          <w:p w14:paraId="660EC97D"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221</w:t>
            </w:r>
          </w:p>
        </w:tc>
        <w:tc>
          <w:tcPr>
            <w:tcW w:w="683" w:type="pct"/>
            <w:tcBorders>
              <w:top w:val="nil"/>
              <w:left w:val="nil"/>
              <w:bottom w:val="nil"/>
              <w:right w:val="single" w:sz="8" w:space="0" w:color="auto"/>
            </w:tcBorders>
            <w:shd w:val="clear" w:color="auto" w:fill="auto"/>
            <w:vAlign w:val="center"/>
            <w:hideMark/>
          </w:tcPr>
          <w:p w14:paraId="6054A077"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111</w:t>
            </w:r>
          </w:p>
        </w:tc>
        <w:tc>
          <w:tcPr>
            <w:tcW w:w="743" w:type="pct"/>
            <w:tcBorders>
              <w:top w:val="nil"/>
              <w:left w:val="nil"/>
              <w:bottom w:val="nil"/>
              <w:right w:val="nil"/>
            </w:tcBorders>
            <w:shd w:val="clear" w:color="auto" w:fill="auto"/>
            <w:vAlign w:val="center"/>
            <w:hideMark/>
          </w:tcPr>
          <w:p w14:paraId="299CF031"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100,9%</w:t>
            </w:r>
          </w:p>
        </w:tc>
      </w:tr>
      <w:tr w:rsidR="0093441E" w:rsidRPr="002A7673" w14:paraId="2BC447E5"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04D43FAF"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 xml:space="preserve">Casos por incompetencia, en materia de Cobro Judicial </w:t>
            </w:r>
          </w:p>
        </w:tc>
        <w:tc>
          <w:tcPr>
            <w:tcW w:w="529" w:type="pct"/>
            <w:tcBorders>
              <w:top w:val="nil"/>
              <w:left w:val="nil"/>
              <w:bottom w:val="nil"/>
              <w:right w:val="single" w:sz="8" w:space="0" w:color="auto"/>
            </w:tcBorders>
            <w:shd w:val="clear" w:color="auto" w:fill="auto"/>
            <w:vAlign w:val="center"/>
            <w:hideMark/>
          </w:tcPr>
          <w:p w14:paraId="5D9BD09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0</w:t>
            </w:r>
          </w:p>
        </w:tc>
        <w:tc>
          <w:tcPr>
            <w:tcW w:w="529" w:type="pct"/>
            <w:tcBorders>
              <w:top w:val="nil"/>
              <w:left w:val="nil"/>
              <w:bottom w:val="nil"/>
              <w:right w:val="single" w:sz="8" w:space="0" w:color="auto"/>
            </w:tcBorders>
            <w:shd w:val="clear" w:color="auto" w:fill="auto"/>
            <w:vAlign w:val="center"/>
            <w:hideMark/>
          </w:tcPr>
          <w:p w14:paraId="3D9D737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0</w:t>
            </w:r>
          </w:p>
        </w:tc>
        <w:tc>
          <w:tcPr>
            <w:tcW w:w="683" w:type="pct"/>
            <w:tcBorders>
              <w:top w:val="nil"/>
              <w:left w:val="nil"/>
              <w:bottom w:val="nil"/>
              <w:right w:val="single" w:sz="8" w:space="0" w:color="auto"/>
            </w:tcBorders>
            <w:shd w:val="clear" w:color="auto" w:fill="auto"/>
            <w:vAlign w:val="center"/>
            <w:hideMark/>
          </w:tcPr>
          <w:p w14:paraId="5C64655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0</w:t>
            </w:r>
          </w:p>
        </w:tc>
        <w:tc>
          <w:tcPr>
            <w:tcW w:w="743" w:type="pct"/>
            <w:tcBorders>
              <w:top w:val="nil"/>
              <w:left w:val="nil"/>
              <w:bottom w:val="nil"/>
              <w:right w:val="nil"/>
            </w:tcBorders>
            <w:shd w:val="clear" w:color="auto" w:fill="auto"/>
            <w:vAlign w:val="center"/>
            <w:hideMark/>
          </w:tcPr>
          <w:p w14:paraId="128FA54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 xml:space="preserve"> --</w:t>
            </w:r>
          </w:p>
        </w:tc>
      </w:tr>
      <w:tr w:rsidR="0093441E" w:rsidRPr="002A7673" w14:paraId="0D276637"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2406F163" w14:textId="77777777" w:rsidR="0093441E" w:rsidRPr="002A7673" w:rsidRDefault="0093441E" w:rsidP="0048334E">
            <w:pPr>
              <w:spacing w:after="0" w:line="240" w:lineRule="auto"/>
              <w:rPr>
                <w:rFonts w:ascii="Times New Roman" w:hAnsi="Times New Roman" w:cs="Times New Roman"/>
                <w:highlight w:val="yellow"/>
                <w:lang w:eastAsia="es-CR"/>
              </w:rPr>
            </w:pPr>
            <w:r w:rsidRPr="002A7673">
              <w:rPr>
                <w:rFonts w:ascii="Times New Roman" w:hAnsi="Times New Roman" w:cs="Times New Roman"/>
              </w:rPr>
              <w:t>Casos terminados</w:t>
            </w:r>
          </w:p>
        </w:tc>
        <w:tc>
          <w:tcPr>
            <w:tcW w:w="529" w:type="pct"/>
            <w:tcBorders>
              <w:top w:val="nil"/>
              <w:left w:val="nil"/>
              <w:bottom w:val="nil"/>
              <w:right w:val="single" w:sz="8" w:space="0" w:color="auto"/>
            </w:tcBorders>
            <w:shd w:val="clear" w:color="auto" w:fill="auto"/>
            <w:vAlign w:val="center"/>
            <w:hideMark/>
          </w:tcPr>
          <w:p w14:paraId="39672A99"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5 410</w:t>
            </w:r>
          </w:p>
        </w:tc>
        <w:tc>
          <w:tcPr>
            <w:tcW w:w="529" w:type="pct"/>
            <w:tcBorders>
              <w:top w:val="nil"/>
              <w:left w:val="nil"/>
              <w:bottom w:val="nil"/>
              <w:right w:val="single" w:sz="8" w:space="0" w:color="auto"/>
            </w:tcBorders>
            <w:shd w:val="clear" w:color="auto" w:fill="auto"/>
            <w:vAlign w:val="center"/>
            <w:hideMark/>
          </w:tcPr>
          <w:p w14:paraId="45D9FBEF"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4 802</w:t>
            </w:r>
          </w:p>
        </w:tc>
        <w:tc>
          <w:tcPr>
            <w:tcW w:w="683" w:type="pct"/>
            <w:tcBorders>
              <w:top w:val="nil"/>
              <w:left w:val="nil"/>
              <w:bottom w:val="nil"/>
              <w:right w:val="single" w:sz="8" w:space="0" w:color="auto"/>
            </w:tcBorders>
            <w:shd w:val="clear" w:color="auto" w:fill="auto"/>
            <w:vAlign w:val="center"/>
            <w:hideMark/>
          </w:tcPr>
          <w:p w14:paraId="56A2DD2F"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-608</w:t>
            </w:r>
          </w:p>
        </w:tc>
        <w:tc>
          <w:tcPr>
            <w:tcW w:w="743" w:type="pct"/>
            <w:tcBorders>
              <w:top w:val="nil"/>
              <w:left w:val="nil"/>
              <w:bottom w:val="nil"/>
              <w:right w:val="nil"/>
            </w:tcBorders>
            <w:shd w:val="clear" w:color="auto" w:fill="auto"/>
            <w:vAlign w:val="center"/>
            <w:hideMark/>
          </w:tcPr>
          <w:p w14:paraId="410C3A5A"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-11,2%</w:t>
            </w:r>
          </w:p>
        </w:tc>
      </w:tr>
      <w:tr w:rsidR="0093441E" w:rsidRPr="002A7673" w14:paraId="0D4548D7"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3B890573"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inactivos</w:t>
            </w:r>
          </w:p>
        </w:tc>
        <w:tc>
          <w:tcPr>
            <w:tcW w:w="529" w:type="pct"/>
            <w:tcBorders>
              <w:top w:val="nil"/>
              <w:left w:val="nil"/>
              <w:bottom w:val="nil"/>
              <w:right w:val="single" w:sz="8" w:space="0" w:color="auto"/>
            </w:tcBorders>
            <w:shd w:val="clear" w:color="auto" w:fill="auto"/>
            <w:vAlign w:val="center"/>
            <w:hideMark/>
          </w:tcPr>
          <w:p w14:paraId="12A2F2D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242</w:t>
            </w:r>
          </w:p>
        </w:tc>
        <w:tc>
          <w:tcPr>
            <w:tcW w:w="529" w:type="pct"/>
            <w:tcBorders>
              <w:top w:val="nil"/>
              <w:left w:val="nil"/>
              <w:bottom w:val="nil"/>
              <w:right w:val="single" w:sz="8" w:space="0" w:color="auto"/>
            </w:tcBorders>
            <w:shd w:val="clear" w:color="auto" w:fill="auto"/>
            <w:vAlign w:val="center"/>
            <w:hideMark/>
          </w:tcPr>
          <w:p w14:paraId="104A97F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446</w:t>
            </w:r>
          </w:p>
        </w:tc>
        <w:tc>
          <w:tcPr>
            <w:tcW w:w="683" w:type="pct"/>
            <w:tcBorders>
              <w:top w:val="nil"/>
              <w:left w:val="nil"/>
              <w:bottom w:val="nil"/>
              <w:right w:val="single" w:sz="8" w:space="0" w:color="auto"/>
            </w:tcBorders>
            <w:shd w:val="clear" w:color="auto" w:fill="auto"/>
            <w:vAlign w:val="center"/>
            <w:hideMark/>
          </w:tcPr>
          <w:p w14:paraId="18B5B11C"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204</w:t>
            </w:r>
          </w:p>
        </w:tc>
        <w:tc>
          <w:tcPr>
            <w:tcW w:w="743" w:type="pct"/>
            <w:tcBorders>
              <w:top w:val="nil"/>
              <w:left w:val="nil"/>
              <w:bottom w:val="nil"/>
              <w:right w:val="nil"/>
            </w:tcBorders>
            <w:shd w:val="clear" w:color="auto" w:fill="auto"/>
            <w:vAlign w:val="center"/>
            <w:hideMark/>
          </w:tcPr>
          <w:p w14:paraId="0D583DB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84,3%</w:t>
            </w:r>
          </w:p>
        </w:tc>
      </w:tr>
      <w:tr w:rsidR="0093441E" w:rsidRPr="002A7673" w14:paraId="6623F1AE" w14:textId="77777777" w:rsidTr="0048334E">
        <w:trPr>
          <w:trHeight w:val="20"/>
        </w:trPr>
        <w:tc>
          <w:tcPr>
            <w:tcW w:w="2516" w:type="pct"/>
            <w:tcBorders>
              <w:top w:val="nil"/>
              <w:left w:val="nil"/>
              <w:bottom w:val="single" w:sz="4" w:space="0" w:color="auto"/>
              <w:right w:val="single" w:sz="8" w:space="0" w:color="auto"/>
            </w:tcBorders>
            <w:shd w:val="clear" w:color="auto" w:fill="auto"/>
            <w:vAlign w:val="bottom"/>
            <w:hideMark/>
          </w:tcPr>
          <w:p w14:paraId="36081707"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Circulante al finalizar</w:t>
            </w:r>
          </w:p>
        </w:tc>
        <w:tc>
          <w:tcPr>
            <w:tcW w:w="529" w:type="pct"/>
            <w:tcBorders>
              <w:top w:val="nil"/>
              <w:left w:val="nil"/>
              <w:bottom w:val="single" w:sz="4" w:space="0" w:color="auto"/>
              <w:right w:val="single" w:sz="8" w:space="0" w:color="auto"/>
            </w:tcBorders>
            <w:shd w:val="clear" w:color="auto" w:fill="auto"/>
            <w:vAlign w:val="center"/>
            <w:hideMark/>
          </w:tcPr>
          <w:p w14:paraId="6F6846D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5 501</w:t>
            </w:r>
          </w:p>
        </w:tc>
        <w:tc>
          <w:tcPr>
            <w:tcW w:w="529" w:type="pct"/>
            <w:tcBorders>
              <w:top w:val="nil"/>
              <w:left w:val="nil"/>
              <w:bottom w:val="single" w:sz="4" w:space="0" w:color="auto"/>
              <w:right w:val="single" w:sz="8" w:space="0" w:color="auto"/>
            </w:tcBorders>
            <w:shd w:val="clear" w:color="auto" w:fill="auto"/>
            <w:vAlign w:val="center"/>
            <w:hideMark/>
          </w:tcPr>
          <w:p w14:paraId="0E72F4D6"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5 804</w:t>
            </w:r>
          </w:p>
        </w:tc>
        <w:tc>
          <w:tcPr>
            <w:tcW w:w="683" w:type="pct"/>
            <w:tcBorders>
              <w:top w:val="nil"/>
              <w:left w:val="nil"/>
              <w:bottom w:val="single" w:sz="4" w:space="0" w:color="auto"/>
              <w:right w:val="single" w:sz="8" w:space="0" w:color="auto"/>
            </w:tcBorders>
            <w:shd w:val="clear" w:color="auto" w:fill="auto"/>
            <w:vAlign w:val="center"/>
            <w:hideMark/>
          </w:tcPr>
          <w:p w14:paraId="6B276EE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303</w:t>
            </w:r>
          </w:p>
        </w:tc>
        <w:tc>
          <w:tcPr>
            <w:tcW w:w="743" w:type="pct"/>
            <w:tcBorders>
              <w:top w:val="nil"/>
              <w:left w:val="nil"/>
              <w:bottom w:val="single" w:sz="4" w:space="0" w:color="auto"/>
              <w:right w:val="nil"/>
            </w:tcBorders>
            <w:shd w:val="clear" w:color="auto" w:fill="auto"/>
            <w:vAlign w:val="center"/>
            <w:hideMark/>
          </w:tcPr>
          <w:p w14:paraId="62D6D12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5,5%</w:t>
            </w:r>
          </w:p>
        </w:tc>
      </w:tr>
    </w:tbl>
    <w:p w14:paraId="0BFB98D9" w14:textId="77777777" w:rsidR="0093441E" w:rsidRPr="002A7673" w:rsidRDefault="0093441E" w:rsidP="0093441E">
      <w:pPr>
        <w:spacing w:after="0" w:line="240" w:lineRule="auto"/>
        <w:rPr>
          <w:rFonts w:ascii="Times New Roman" w:hAnsi="Times New Roman" w:cs="Times New Roman"/>
          <w:sz w:val="20"/>
          <w:szCs w:val="20"/>
        </w:rPr>
      </w:pPr>
      <w:r w:rsidRPr="002A7673">
        <w:rPr>
          <w:rFonts w:ascii="Times New Roman" w:hAnsi="Times New Roman" w:cs="Times New Roman"/>
          <w:sz w:val="20"/>
          <w:szCs w:val="20"/>
        </w:rPr>
        <w:t>*Datos estadísticos de 2020 preliminares.</w:t>
      </w:r>
    </w:p>
    <w:p w14:paraId="4E23813E" w14:textId="77777777" w:rsidR="0093441E" w:rsidRPr="002A7673" w:rsidRDefault="0093441E" w:rsidP="0093441E">
      <w:pPr>
        <w:spacing w:after="0" w:line="240" w:lineRule="auto"/>
        <w:rPr>
          <w:rFonts w:ascii="Times New Roman" w:hAnsi="Times New Roman" w:cs="Times New Roman"/>
          <w:b/>
          <w:bCs/>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Subproceso de Estadística, Dirección de Planificación, Poder Judicial.</w:t>
      </w:r>
    </w:p>
    <w:p w14:paraId="4321FB25" w14:textId="77777777" w:rsidR="0093441E" w:rsidRPr="002A7673" w:rsidRDefault="0093441E" w:rsidP="0093441E">
      <w:pPr>
        <w:spacing w:after="0" w:line="240" w:lineRule="auto"/>
        <w:rPr>
          <w:rFonts w:ascii="Times New Roman" w:hAnsi="Times New Roman" w:cs="Times New Roman"/>
        </w:rPr>
      </w:pPr>
    </w:p>
    <w:p w14:paraId="09AC893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 los movimientos registrados en la tabla anterior, destacan los siguientes hechos: </w:t>
      </w:r>
    </w:p>
    <w:p w14:paraId="3B17F2F8"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20D0E997" w14:textId="77777777" w:rsidR="0093441E" w:rsidRPr="002A7673" w:rsidRDefault="0093441E" w:rsidP="0093441E">
      <w:pPr>
        <w:spacing w:after="0" w:line="480" w:lineRule="auto"/>
        <w:ind w:firstLine="709"/>
        <w:jc w:val="both"/>
        <w:rPr>
          <w:rFonts w:ascii="Times New Roman" w:hAnsi="Times New Roman" w:cs="Times New Roman"/>
          <w:bCs/>
          <w:sz w:val="28"/>
          <w:szCs w:val="28"/>
        </w:rPr>
      </w:pPr>
      <w:r w:rsidRPr="002A7673">
        <w:rPr>
          <w:rFonts w:ascii="Times New Roman" w:hAnsi="Times New Roman" w:cs="Times New Roman"/>
          <w:b/>
          <w:sz w:val="28"/>
          <w:szCs w:val="28"/>
        </w:rPr>
        <w:t xml:space="preserve">Circulante inicial: </w:t>
      </w:r>
      <w:r w:rsidRPr="002A7673">
        <w:rPr>
          <w:rFonts w:ascii="Times New Roman" w:hAnsi="Times New Roman" w:cs="Times New Roman"/>
          <w:bCs/>
          <w:sz w:val="28"/>
          <w:szCs w:val="28"/>
        </w:rPr>
        <w:t>como se aprecia en el cuadro anterior, el 2020 inicia con una mayor carga de trabajo con relación a lo registrado a principios de 2019 (5.345), es decir 156 asuntos más.</w:t>
      </w:r>
    </w:p>
    <w:p w14:paraId="099E0300"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en 2020 el ingreso de casos nuevos muestra un comportamiento descendente, pasando de 5.075 en 2019 a 4.822 en 2020, lo que consecuentemente le significó en el Centro de Responsabilidad de la Administración de Sarapiquí un decrecimiento de su carga de trabajo del orden del -5%, estos casos entrados incluyen los legajos de ejecución. Los hechos que justifican esta merma se relacionan -en esencia- con el efecto de la pandemia.</w:t>
      </w:r>
    </w:p>
    <w:p w14:paraId="0DE5D2DF"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Las razones de dicho comportamiento se encuentran asociadas especialmente al caso del Juzgado Pensiones Alimentarias de Sarapiquí, en el cual los casos nuevos ingresos descendieron de 668 en 2019 a 518 en 2020 (-22,5%), otras dependencias que presentan una conducta a la baja son: el Juzgado Civil, Trabajo, Familia, Penal Juvenil y Violencia Doméstica de Sarapiquí que pasa de 1.748 a 1.529 casos en total (-12,5%) y el Juzgado Contravencional y Tránsito de Sarapiquí de 1.052 a 956 (-9,1%).</w:t>
      </w:r>
    </w:p>
    <w:p w14:paraId="44D76D8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 xml:space="preserve">Casos Reentrados: </w:t>
      </w:r>
      <w:r w:rsidRPr="002A7673">
        <w:rPr>
          <w:rFonts w:ascii="Times New Roman" w:hAnsi="Times New Roman" w:cs="Times New Roman"/>
          <w:sz w:val="28"/>
          <w:szCs w:val="28"/>
        </w:rPr>
        <w:t xml:space="preserve">se muestra un decrecimiento de -209 casos (-33,4%) en esta modalidad de carga de trabajo, dicha conducta se encuentra asociada a la disminución </w:t>
      </w:r>
      <w:r w:rsidRPr="002A7673">
        <w:rPr>
          <w:rFonts w:ascii="Times New Roman" w:hAnsi="Times New Roman" w:cs="Times New Roman"/>
          <w:sz w:val="28"/>
          <w:szCs w:val="28"/>
        </w:rPr>
        <w:lastRenderedPageBreak/>
        <w:t>en lo registrado en el Juzgado Pensiones Alimentarias de Sarapiquí, el cual pasó de reingresar 398 asuntos en 2019 a 114 en 2020.</w:t>
      </w:r>
    </w:p>
    <w:p w14:paraId="1790EC6C"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terminados:</w:t>
      </w:r>
      <w:r w:rsidRPr="002A7673">
        <w:rPr>
          <w:rFonts w:ascii="Times New Roman" w:hAnsi="Times New Roman" w:cs="Times New Roman"/>
          <w:sz w:val="28"/>
          <w:szCs w:val="28"/>
        </w:rPr>
        <w:t xml:space="preserve"> La cantidad de casos terminados en este Circuito Judicial llegó a 4.802 en el último año, lo cual denota una disminución de -608 finiquitos, en contraste con el 2019 (5.410), para una variación porcentual de -11,2%.</w:t>
      </w:r>
    </w:p>
    <w:p w14:paraId="2DCA96B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bCs/>
          <w:sz w:val="28"/>
          <w:szCs w:val="28"/>
        </w:rPr>
        <w:t>Inactividad de expedientes:</w:t>
      </w:r>
      <w:r w:rsidRPr="002A7673">
        <w:rPr>
          <w:rFonts w:ascii="Times New Roman" w:hAnsi="Times New Roman" w:cs="Times New Roman"/>
          <w:sz w:val="28"/>
          <w:szCs w:val="28"/>
        </w:rPr>
        <w:t xml:space="preserve"> durante el 2020 se produce un aumento en el número de expedientes denominados inactivos (+84,3%), pasando de 242 a 446, para una diferencia de +204 causas. Ahondando un poco en el tema, se logra identificar que es el Juzgado Pensiones Alimentarias de Sarapiquí, es el que registra el mayor incremento para el período en cuestión, al pasar de 13 expedientes inactivos en 2019 a 365 en 2020.</w:t>
      </w:r>
    </w:p>
    <w:p w14:paraId="5003EBA0"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Circulante al finalizar al año:</w:t>
      </w:r>
      <w:r w:rsidRPr="002A7673">
        <w:rPr>
          <w:rFonts w:ascii="Times New Roman" w:hAnsi="Times New Roman" w:cs="Times New Roman"/>
          <w:sz w:val="28"/>
          <w:szCs w:val="28"/>
        </w:rPr>
        <w:t xml:space="preserve"> El circulante al finalizar el 2020 en conjunto de los despachos de la Administración de Sarapiquí acumuló un total de 5.804 casos, mostrando un repunte de 303 versus lo registrado en 2019, lo que representa un incremento de 5,5%.</w:t>
      </w:r>
    </w:p>
    <w:p w14:paraId="41734579"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El incremento en el circulante final en 2020 se puede ver justificado por la brecha entre la cifra de asuntos entrados totales frente a los terminados totales, la cual asciende a 308 casos, siendo superior lo ingresado a lo finiquitado, para un porcentaje de relación </w:t>
      </w:r>
      <w:r w:rsidRPr="002A7673">
        <w:rPr>
          <w:rFonts w:ascii="Times New Roman" w:hAnsi="Times New Roman" w:cs="Times New Roman"/>
          <w:sz w:val="28"/>
          <w:szCs w:val="28"/>
        </w:rPr>
        <w:lastRenderedPageBreak/>
        <w:t>entre lo terminado y entrado de 94,5%, resultado inferior a lo reportado en 2019 con 97,3%.</w:t>
      </w:r>
    </w:p>
    <w:p w14:paraId="7E3CFF75" w14:textId="77777777" w:rsidR="0093441E" w:rsidRPr="002A7673" w:rsidRDefault="0093441E" w:rsidP="0093441E">
      <w:pPr>
        <w:spacing w:after="0" w:line="480" w:lineRule="auto"/>
        <w:ind w:firstLine="709"/>
        <w:jc w:val="both"/>
        <w:rPr>
          <w:rFonts w:ascii="Times New Roman" w:hAnsi="Times New Roman" w:cs="Times New Roman"/>
          <w:b/>
          <w:color w:val="FF0000"/>
          <w:sz w:val="28"/>
          <w:szCs w:val="28"/>
        </w:rPr>
      </w:pPr>
    </w:p>
    <w:p w14:paraId="052116CE" w14:textId="77777777" w:rsidR="0093441E" w:rsidRPr="002A7673" w:rsidRDefault="0093441E" w:rsidP="00FF3FAC">
      <w:pPr>
        <w:numPr>
          <w:ilvl w:val="0"/>
          <w:numId w:val="31"/>
        </w:numPr>
        <w:spacing w:after="0" w:line="276" w:lineRule="auto"/>
        <w:ind w:hanging="720"/>
        <w:jc w:val="center"/>
        <w:rPr>
          <w:rFonts w:ascii="Times New Roman" w:eastAsia="Times New Roman" w:hAnsi="Times New Roman" w:cs="Times New Roman"/>
          <w:b/>
          <w:bCs/>
          <w:sz w:val="24"/>
          <w:szCs w:val="24"/>
          <w:lang w:val="es-ES" w:eastAsia="es-ES"/>
        </w:rPr>
      </w:pPr>
      <w:r w:rsidRPr="002A7673">
        <w:rPr>
          <w:rFonts w:ascii="Times New Roman" w:eastAsia="Times New Roman" w:hAnsi="Times New Roman" w:cs="Times New Roman"/>
          <w:b/>
          <w:bCs/>
          <w:sz w:val="24"/>
          <w:szCs w:val="24"/>
          <w:lang w:val="es-ES" w:eastAsia="es-ES"/>
        </w:rPr>
        <w:t>Análisis del comportamiento interanual del balance general entre 2019 y 2020 para el centro de responsabilidad de la Administración Regional de San Joaquín de Flores</w:t>
      </w:r>
    </w:p>
    <w:p w14:paraId="61749482" w14:textId="77777777" w:rsidR="0093441E" w:rsidRPr="002A7673" w:rsidRDefault="0093441E" w:rsidP="0093441E">
      <w:pPr>
        <w:spacing w:after="0" w:line="240" w:lineRule="auto"/>
        <w:rPr>
          <w:rFonts w:ascii="Times New Roman" w:hAnsi="Times New Roman" w:cs="Times New Roman"/>
        </w:rPr>
      </w:pPr>
    </w:p>
    <w:p w14:paraId="5072177E" w14:textId="77777777" w:rsidR="0093441E" w:rsidRPr="002A7673" w:rsidRDefault="0093441E" w:rsidP="0093441E">
      <w:pPr>
        <w:spacing w:after="0" w:line="240" w:lineRule="auto"/>
        <w:jc w:val="center"/>
        <w:rPr>
          <w:rFonts w:ascii="Times New Roman" w:hAnsi="Times New Roman" w:cs="Times New Roman"/>
          <w:b/>
          <w:bCs/>
        </w:rPr>
      </w:pPr>
      <w:r w:rsidRPr="002A7673">
        <w:rPr>
          <w:rFonts w:ascii="Times New Roman" w:hAnsi="Times New Roman" w:cs="Times New Roman"/>
          <w:b/>
          <w:bCs/>
        </w:rPr>
        <w:t>Movimientos generales de trabajo para el Centro de Responsabilidad</w:t>
      </w:r>
    </w:p>
    <w:p w14:paraId="43FC1590" w14:textId="77777777" w:rsidR="0093441E" w:rsidRPr="002A7673" w:rsidRDefault="0093441E" w:rsidP="0093441E">
      <w:pPr>
        <w:spacing w:after="0" w:line="240" w:lineRule="auto"/>
        <w:jc w:val="center"/>
        <w:rPr>
          <w:rFonts w:ascii="Times New Roman" w:hAnsi="Times New Roman" w:cs="Times New Roman"/>
          <w:b/>
          <w:bCs/>
        </w:rPr>
      </w:pPr>
      <w:r w:rsidRPr="002A7673">
        <w:rPr>
          <w:rFonts w:ascii="Times New Roman" w:hAnsi="Times New Roman" w:cs="Times New Roman"/>
          <w:b/>
          <w:bCs/>
        </w:rPr>
        <w:t xml:space="preserve">de la Administración Judicial de </w:t>
      </w:r>
      <w:bookmarkStart w:id="202" w:name="_Hlk67319428"/>
      <w:r w:rsidRPr="002A7673">
        <w:rPr>
          <w:rFonts w:ascii="Times New Roman" w:hAnsi="Times New Roman" w:cs="Times New Roman"/>
          <w:b/>
          <w:bCs/>
        </w:rPr>
        <w:t>San Joaquín de Flores</w:t>
      </w:r>
      <w:bookmarkEnd w:id="202"/>
    </w:p>
    <w:p w14:paraId="38D41885" w14:textId="77777777" w:rsidR="0093441E" w:rsidRPr="002A7673" w:rsidRDefault="0093441E" w:rsidP="0093441E">
      <w:pPr>
        <w:spacing w:after="0" w:line="240" w:lineRule="auto"/>
        <w:jc w:val="center"/>
        <w:rPr>
          <w:rFonts w:ascii="Times New Roman" w:hAnsi="Times New Roman" w:cs="Times New Roman"/>
        </w:rPr>
      </w:pPr>
      <w:r w:rsidRPr="002A7673">
        <w:rPr>
          <w:rFonts w:ascii="Times New Roman" w:hAnsi="Times New Roman" w:cs="Times New Roman"/>
          <w:b/>
          <w:bCs/>
        </w:rPr>
        <w:t>durante el bienio 2019-2020</w:t>
      </w:r>
    </w:p>
    <w:p w14:paraId="3BBD6CAD" w14:textId="77777777" w:rsidR="0093441E" w:rsidRPr="002A7673" w:rsidRDefault="0093441E" w:rsidP="0093441E">
      <w:pPr>
        <w:spacing w:after="0" w:line="240" w:lineRule="auto"/>
        <w:rPr>
          <w:rFonts w:ascii="Times New Roman" w:hAnsi="Times New Roman" w:cs="Times New Roman"/>
        </w:rPr>
      </w:pPr>
    </w:p>
    <w:tbl>
      <w:tblPr>
        <w:tblW w:w="7381" w:type="dxa"/>
        <w:jc w:val="center"/>
        <w:tblCellMar>
          <w:left w:w="70" w:type="dxa"/>
          <w:right w:w="70" w:type="dxa"/>
        </w:tblCellMar>
        <w:tblLook w:val="04A0" w:firstRow="1" w:lastRow="0" w:firstColumn="1" w:lastColumn="0" w:noHBand="0" w:noVBand="1"/>
      </w:tblPr>
      <w:tblGrid>
        <w:gridCol w:w="2460"/>
        <w:gridCol w:w="1200"/>
        <w:gridCol w:w="1200"/>
        <w:gridCol w:w="1207"/>
        <w:gridCol w:w="1314"/>
      </w:tblGrid>
      <w:tr w:rsidR="0093441E" w:rsidRPr="002A7673" w14:paraId="7F837040" w14:textId="77777777" w:rsidTr="0048334E">
        <w:trPr>
          <w:tblHeader/>
          <w:jc w:val="center"/>
        </w:trPr>
        <w:tc>
          <w:tcPr>
            <w:tcW w:w="2460" w:type="dxa"/>
            <w:vMerge w:val="restart"/>
            <w:tcBorders>
              <w:top w:val="single" w:sz="4" w:space="0" w:color="auto"/>
              <w:left w:val="nil"/>
              <w:bottom w:val="single" w:sz="4" w:space="0" w:color="000000"/>
              <w:right w:val="nil"/>
            </w:tcBorders>
            <w:shd w:val="clear" w:color="auto" w:fill="auto"/>
            <w:vAlign w:val="center"/>
            <w:hideMark/>
          </w:tcPr>
          <w:p w14:paraId="6CFEF1D3"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Variable</w:t>
            </w:r>
          </w:p>
        </w:tc>
        <w:tc>
          <w:tcPr>
            <w:tcW w:w="240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B9028B6"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Año</w:t>
            </w:r>
          </w:p>
        </w:tc>
        <w:tc>
          <w:tcPr>
            <w:tcW w:w="120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47687BD"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Variación absoluta</w:t>
            </w:r>
          </w:p>
        </w:tc>
        <w:tc>
          <w:tcPr>
            <w:tcW w:w="1314" w:type="dxa"/>
            <w:vMerge w:val="restart"/>
            <w:tcBorders>
              <w:top w:val="single" w:sz="4" w:space="0" w:color="auto"/>
              <w:left w:val="nil"/>
              <w:bottom w:val="single" w:sz="4" w:space="0" w:color="000000"/>
              <w:right w:val="nil"/>
            </w:tcBorders>
            <w:shd w:val="clear" w:color="auto" w:fill="auto"/>
            <w:vAlign w:val="center"/>
            <w:hideMark/>
          </w:tcPr>
          <w:p w14:paraId="42422B49"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Variación Porcentual</w:t>
            </w:r>
          </w:p>
        </w:tc>
      </w:tr>
      <w:tr w:rsidR="0093441E" w:rsidRPr="002A7673" w14:paraId="418497AE" w14:textId="77777777" w:rsidTr="0048334E">
        <w:trPr>
          <w:tblHeader/>
          <w:jc w:val="center"/>
        </w:trPr>
        <w:tc>
          <w:tcPr>
            <w:tcW w:w="2460" w:type="dxa"/>
            <w:vMerge/>
            <w:tcBorders>
              <w:top w:val="single" w:sz="4" w:space="0" w:color="auto"/>
              <w:left w:val="nil"/>
              <w:bottom w:val="single" w:sz="4" w:space="0" w:color="000000"/>
              <w:right w:val="nil"/>
            </w:tcBorders>
            <w:vAlign w:val="center"/>
            <w:hideMark/>
          </w:tcPr>
          <w:p w14:paraId="70763431" w14:textId="77777777" w:rsidR="0093441E" w:rsidRPr="002A7673" w:rsidRDefault="0093441E" w:rsidP="0048334E">
            <w:pPr>
              <w:spacing w:after="0" w:line="240" w:lineRule="auto"/>
              <w:rPr>
                <w:rFonts w:ascii="Times New Roman" w:hAnsi="Times New Roman" w:cs="Times New Roman"/>
                <w:b/>
                <w:bCs/>
                <w:color w:val="000000"/>
                <w:lang w:eastAsia="es-CR"/>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14:paraId="01BD4034"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2019</w:t>
            </w:r>
          </w:p>
        </w:tc>
        <w:tc>
          <w:tcPr>
            <w:tcW w:w="1200" w:type="dxa"/>
            <w:tcBorders>
              <w:top w:val="nil"/>
              <w:left w:val="nil"/>
              <w:bottom w:val="single" w:sz="4" w:space="0" w:color="auto"/>
              <w:right w:val="single" w:sz="4" w:space="0" w:color="auto"/>
            </w:tcBorders>
            <w:shd w:val="clear" w:color="auto" w:fill="auto"/>
            <w:vAlign w:val="center"/>
            <w:hideMark/>
          </w:tcPr>
          <w:p w14:paraId="5454BCDE"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2020</w:t>
            </w:r>
          </w:p>
        </w:tc>
        <w:tc>
          <w:tcPr>
            <w:tcW w:w="1207" w:type="dxa"/>
            <w:vMerge/>
            <w:tcBorders>
              <w:top w:val="single" w:sz="4" w:space="0" w:color="auto"/>
              <w:left w:val="single" w:sz="4" w:space="0" w:color="auto"/>
              <w:bottom w:val="single" w:sz="4" w:space="0" w:color="000000"/>
              <w:right w:val="single" w:sz="4" w:space="0" w:color="auto"/>
            </w:tcBorders>
            <w:vAlign w:val="center"/>
            <w:hideMark/>
          </w:tcPr>
          <w:p w14:paraId="51DE7069" w14:textId="77777777" w:rsidR="0093441E" w:rsidRPr="002A7673" w:rsidRDefault="0093441E" w:rsidP="0048334E">
            <w:pPr>
              <w:spacing w:after="0" w:line="240" w:lineRule="auto"/>
              <w:rPr>
                <w:rFonts w:ascii="Times New Roman" w:hAnsi="Times New Roman" w:cs="Times New Roman"/>
                <w:b/>
                <w:bCs/>
                <w:color w:val="000000"/>
                <w:lang w:eastAsia="es-CR"/>
              </w:rPr>
            </w:pPr>
          </w:p>
        </w:tc>
        <w:tc>
          <w:tcPr>
            <w:tcW w:w="1314" w:type="dxa"/>
            <w:vMerge/>
            <w:tcBorders>
              <w:top w:val="single" w:sz="4" w:space="0" w:color="auto"/>
              <w:left w:val="nil"/>
              <w:bottom w:val="single" w:sz="4" w:space="0" w:color="000000"/>
              <w:right w:val="nil"/>
            </w:tcBorders>
            <w:vAlign w:val="center"/>
            <w:hideMark/>
          </w:tcPr>
          <w:p w14:paraId="5D8B3BDE" w14:textId="77777777" w:rsidR="0093441E" w:rsidRPr="002A7673" w:rsidRDefault="0093441E" w:rsidP="0048334E">
            <w:pPr>
              <w:spacing w:after="0" w:line="240" w:lineRule="auto"/>
              <w:rPr>
                <w:rFonts w:ascii="Times New Roman" w:hAnsi="Times New Roman" w:cs="Times New Roman"/>
                <w:b/>
                <w:bCs/>
                <w:color w:val="000000"/>
                <w:lang w:eastAsia="es-CR"/>
              </w:rPr>
            </w:pPr>
          </w:p>
        </w:tc>
      </w:tr>
      <w:tr w:rsidR="0093441E" w:rsidRPr="002A7673" w14:paraId="45B17E75" w14:textId="77777777" w:rsidTr="0048334E">
        <w:trPr>
          <w:jc w:val="center"/>
        </w:trPr>
        <w:tc>
          <w:tcPr>
            <w:tcW w:w="2460" w:type="dxa"/>
            <w:tcBorders>
              <w:top w:val="nil"/>
              <w:left w:val="nil"/>
              <w:bottom w:val="nil"/>
              <w:right w:val="nil"/>
            </w:tcBorders>
            <w:shd w:val="clear" w:color="auto" w:fill="auto"/>
            <w:noWrap/>
            <w:vAlign w:val="center"/>
            <w:hideMark/>
          </w:tcPr>
          <w:p w14:paraId="16BBB47F"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Circulante al iniciar</w:t>
            </w:r>
          </w:p>
        </w:tc>
        <w:tc>
          <w:tcPr>
            <w:tcW w:w="1200" w:type="dxa"/>
            <w:tcBorders>
              <w:top w:val="nil"/>
              <w:left w:val="single" w:sz="4" w:space="0" w:color="auto"/>
              <w:bottom w:val="nil"/>
              <w:right w:val="single" w:sz="4" w:space="0" w:color="auto"/>
            </w:tcBorders>
            <w:shd w:val="clear" w:color="auto" w:fill="auto"/>
            <w:noWrap/>
            <w:vAlign w:val="center"/>
            <w:hideMark/>
          </w:tcPr>
          <w:p w14:paraId="3A082E26"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4 391</w:t>
            </w:r>
          </w:p>
        </w:tc>
        <w:tc>
          <w:tcPr>
            <w:tcW w:w="1200" w:type="dxa"/>
            <w:tcBorders>
              <w:top w:val="nil"/>
              <w:left w:val="nil"/>
              <w:bottom w:val="nil"/>
              <w:right w:val="single" w:sz="4" w:space="0" w:color="auto"/>
            </w:tcBorders>
            <w:shd w:val="clear" w:color="auto" w:fill="auto"/>
            <w:noWrap/>
            <w:vAlign w:val="center"/>
            <w:hideMark/>
          </w:tcPr>
          <w:p w14:paraId="66DF429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4 490</w:t>
            </w:r>
          </w:p>
        </w:tc>
        <w:tc>
          <w:tcPr>
            <w:tcW w:w="1207" w:type="dxa"/>
            <w:tcBorders>
              <w:top w:val="nil"/>
              <w:left w:val="nil"/>
              <w:bottom w:val="nil"/>
              <w:right w:val="single" w:sz="4" w:space="0" w:color="auto"/>
            </w:tcBorders>
            <w:shd w:val="clear" w:color="auto" w:fill="auto"/>
            <w:noWrap/>
            <w:vAlign w:val="center"/>
            <w:hideMark/>
          </w:tcPr>
          <w:p w14:paraId="1E0B86E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99</w:t>
            </w:r>
          </w:p>
        </w:tc>
        <w:tc>
          <w:tcPr>
            <w:tcW w:w="1314" w:type="dxa"/>
            <w:tcBorders>
              <w:top w:val="nil"/>
              <w:left w:val="nil"/>
              <w:bottom w:val="nil"/>
              <w:right w:val="nil"/>
            </w:tcBorders>
            <w:shd w:val="clear" w:color="auto" w:fill="auto"/>
            <w:noWrap/>
            <w:vAlign w:val="center"/>
            <w:hideMark/>
          </w:tcPr>
          <w:p w14:paraId="3B444901"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2,3%</w:t>
            </w:r>
          </w:p>
        </w:tc>
      </w:tr>
      <w:tr w:rsidR="0093441E" w:rsidRPr="002A7673" w14:paraId="151E9C4C" w14:textId="77777777" w:rsidTr="0048334E">
        <w:trPr>
          <w:jc w:val="center"/>
        </w:trPr>
        <w:tc>
          <w:tcPr>
            <w:tcW w:w="2460" w:type="dxa"/>
            <w:tcBorders>
              <w:top w:val="nil"/>
              <w:left w:val="nil"/>
              <w:bottom w:val="nil"/>
              <w:right w:val="nil"/>
            </w:tcBorders>
            <w:shd w:val="clear" w:color="auto" w:fill="auto"/>
            <w:noWrap/>
            <w:vAlign w:val="center"/>
            <w:hideMark/>
          </w:tcPr>
          <w:p w14:paraId="454D3934"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entrados</w:t>
            </w:r>
          </w:p>
        </w:tc>
        <w:tc>
          <w:tcPr>
            <w:tcW w:w="1200" w:type="dxa"/>
            <w:tcBorders>
              <w:top w:val="nil"/>
              <w:left w:val="single" w:sz="4" w:space="0" w:color="auto"/>
              <w:bottom w:val="nil"/>
              <w:right w:val="single" w:sz="4" w:space="0" w:color="auto"/>
            </w:tcBorders>
            <w:shd w:val="clear" w:color="auto" w:fill="auto"/>
            <w:noWrap/>
            <w:vAlign w:val="center"/>
            <w:hideMark/>
          </w:tcPr>
          <w:p w14:paraId="3E984C8B"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3 295</w:t>
            </w:r>
          </w:p>
        </w:tc>
        <w:tc>
          <w:tcPr>
            <w:tcW w:w="1200" w:type="dxa"/>
            <w:tcBorders>
              <w:top w:val="nil"/>
              <w:left w:val="nil"/>
              <w:bottom w:val="nil"/>
              <w:right w:val="single" w:sz="4" w:space="0" w:color="auto"/>
            </w:tcBorders>
            <w:shd w:val="clear" w:color="auto" w:fill="auto"/>
            <w:noWrap/>
            <w:vAlign w:val="center"/>
            <w:hideMark/>
          </w:tcPr>
          <w:p w14:paraId="73BD435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2 907</w:t>
            </w:r>
          </w:p>
        </w:tc>
        <w:tc>
          <w:tcPr>
            <w:tcW w:w="1207" w:type="dxa"/>
            <w:tcBorders>
              <w:top w:val="nil"/>
              <w:left w:val="nil"/>
              <w:bottom w:val="nil"/>
              <w:right w:val="single" w:sz="4" w:space="0" w:color="auto"/>
            </w:tcBorders>
            <w:shd w:val="clear" w:color="auto" w:fill="auto"/>
            <w:noWrap/>
            <w:vAlign w:val="center"/>
            <w:hideMark/>
          </w:tcPr>
          <w:p w14:paraId="3ECE42F1"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-388</w:t>
            </w:r>
          </w:p>
        </w:tc>
        <w:tc>
          <w:tcPr>
            <w:tcW w:w="1314" w:type="dxa"/>
            <w:tcBorders>
              <w:top w:val="nil"/>
              <w:left w:val="nil"/>
              <w:bottom w:val="nil"/>
              <w:right w:val="nil"/>
            </w:tcBorders>
            <w:shd w:val="clear" w:color="auto" w:fill="auto"/>
            <w:noWrap/>
            <w:vAlign w:val="center"/>
            <w:hideMark/>
          </w:tcPr>
          <w:p w14:paraId="09EAF0A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-11,8%</w:t>
            </w:r>
          </w:p>
        </w:tc>
      </w:tr>
      <w:tr w:rsidR="0093441E" w:rsidRPr="002A7673" w14:paraId="72171560" w14:textId="77777777" w:rsidTr="0048334E">
        <w:trPr>
          <w:jc w:val="center"/>
        </w:trPr>
        <w:tc>
          <w:tcPr>
            <w:tcW w:w="2460" w:type="dxa"/>
            <w:tcBorders>
              <w:top w:val="nil"/>
              <w:left w:val="nil"/>
              <w:bottom w:val="nil"/>
              <w:right w:val="nil"/>
            </w:tcBorders>
            <w:shd w:val="clear" w:color="auto" w:fill="auto"/>
            <w:noWrap/>
            <w:vAlign w:val="center"/>
            <w:hideMark/>
          </w:tcPr>
          <w:p w14:paraId="525EC57B"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reentrados</w:t>
            </w:r>
          </w:p>
        </w:tc>
        <w:tc>
          <w:tcPr>
            <w:tcW w:w="1200" w:type="dxa"/>
            <w:tcBorders>
              <w:top w:val="nil"/>
              <w:left w:val="single" w:sz="4" w:space="0" w:color="auto"/>
              <w:bottom w:val="nil"/>
              <w:right w:val="single" w:sz="4" w:space="0" w:color="auto"/>
            </w:tcBorders>
            <w:shd w:val="clear" w:color="auto" w:fill="auto"/>
            <w:noWrap/>
            <w:vAlign w:val="center"/>
            <w:hideMark/>
          </w:tcPr>
          <w:p w14:paraId="18CAF08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216</w:t>
            </w:r>
          </w:p>
        </w:tc>
        <w:tc>
          <w:tcPr>
            <w:tcW w:w="1200" w:type="dxa"/>
            <w:tcBorders>
              <w:top w:val="nil"/>
              <w:left w:val="nil"/>
              <w:bottom w:val="nil"/>
              <w:right w:val="single" w:sz="4" w:space="0" w:color="auto"/>
            </w:tcBorders>
            <w:shd w:val="clear" w:color="auto" w:fill="auto"/>
            <w:noWrap/>
            <w:vAlign w:val="center"/>
            <w:hideMark/>
          </w:tcPr>
          <w:p w14:paraId="3C7A33A6"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231</w:t>
            </w:r>
          </w:p>
        </w:tc>
        <w:tc>
          <w:tcPr>
            <w:tcW w:w="1207" w:type="dxa"/>
            <w:tcBorders>
              <w:top w:val="nil"/>
              <w:left w:val="nil"/>
              <w:bottom w:val="nil"/>
              <w:right w:val="single" w:sz="4" w:space="0" w:color="auto"/>
            </w:tcBorders>
            <w:shd w:val="clear" w:color="auto" w:fill="auto"/>
            <w:noWrap/>
            <w:vAlign w:val="center"/>
            <w:hideMark/>
          </w:tcPr>
          <w:p w14:paraId="371C418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15</w:t>
            </w:r>
          </w:p>
        </w:tc>
        <w:tc>
          <w:tcPr>
            <w:tcW w:w="1314" w:type="dxa"/>
            <w:tcBorders>
              <w:top w:val="nil"/>
              <w:left w:val="nil"/>
              <w:bottom w:val="nil"/>
              <w:right w:val="nil"/>
            </w:tcBorders>
            <w:shd w:val="clear" w:color="auto" w:fill="auto"/>
            <w:noWrap/>
            <w:vAlign w:val="center"/>
            <w:hideMark/>
          </w:tcPr>
          <w:p w14:paraId="520A597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6,9%</w:t>
            </w:r>
          </w:p>
        </w:tc>
      </w:tr>
      <w:tr w:rsidR="0093441E" w:rsidRPr="002A7673" w14:paraId="12619942" w14:textId="77777777" w:rsidTr="0048334E">
        <w:trPr>
          <w:jc w:val="center"/>
        </w:trPr>
        <w:tc>
          <w:tcPr>
            <w:tcW w:w="2460" w:type="dxa"/>
            <w:tcBorders>
              <w:top w:val="nil"/>
              <w:left w:val="nil"/>
              <w:bottom w:val="nil"/>
              <w:right w:val="nil"/>
            </w:tcBorders>
            <w:shd w:val="clear" w:color="auto" w:fill="auto"/>
            <w:noWrap/>
            <w:vAlign w:val="center"/>
            <w:hideMark/>
          </w:tcPr>
          <w:p w14:paraId="7A9BFA55"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Casos reactivados </w:t>
            </w:r>
          </w:p>
        </w:tc>
        <w:tc>
          <w:tcPr>
            <w:tcW w:w="1200" w:type="dxa"/>
            <w:tcBorders>
              <w:top w:val="nil"/>
              <w:left w:val="single" w:sz="4" w:space="0" w:color="auto"/>
              <w:bottom w:val="nil"/>
              <w:right w:val="single" w:sz="4" w:space="0" w:color="auto"/>
            </w:tcBorders>
            <w:shd w:val="clear" w:color="auto" w:fill="auto"/>
            <w:noWrap/>
            <w:vAlign w:val="center"/>
            <w:hideMark/>
          </w:tcPr>
          <w:p w14:paraId="4CDF95D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0</w:t>
            </w:r>
          </w:p>
        </w:tc>
        <w:tc>
          <w:tcPr>
            <w:tcW w:w="1200" w:type="dxa"/>
            <w:tcBorders>
              <w:top w:val="nil"/>
              <w:left w:val="nil"/>
              <w:bottom w:val="nil"/>
              <w:right w:val="single" w:sz="4" w:space="0" w:color="auto"/>
            </w:tcBorders>
            <w:shd w:val="clear" w:color="auto" w:fill="auto"/>
            <w:noWrap/>
            <w:vAlign w:val="center"/>
            <w:hideMark/>
          </w:tcPr>
          <w:p w14:paraId="38839EB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14</w:t>
            </w:r>
          </w:p>
        </w:tc>
        <w:tc>
          <w:tcPr>
            <w:tcW w:w="1207" w:type="dxa"/>
            <w:tcBorders>
              <w:top w:val="nil"/>
              <w:left w:val="nil"/>
              <w:bottom w:val="nil"/>
              <w:right w:val="single" w:sz="4" w:space="0" w:color="auto"/>
            </w:tcBorders>
            <w:shd w:val="clear" w:color="auto" w:fill="auto"/>
            <w:noWrap/>
            <w:vAlign w:val="center"/>
            <w:hideMark/>
          </w:tcPr>
          <w:p w14:paraId="2C6D7F6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14</w:t>
            </w:r>
          </w:p>
        </w:tc>
        <w:tc>
          <w:tcPr>
            <w:tcW w:w="1314" w:type="dxa"/>
            <w:tcBorders>
              <w:top w:val="nil"/>
              <w:left w:val="nil"/>
              <w:bottom w:val="nil"/>
              <w:right w:val="nil"/>
            </w:tcBorders>
            <w:shd w:val="clear" w:color="auto" w:fill="auto"/>
            <w:noWrap/>
            <w:vAlign w:val="center"/>
            <w:hideMark/>
          </w:tcPr>
          <w:p w14:paraId="7FBD0B2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w:t>
            </w:r>
          </w:p>
        </w:tc>
      </w:tr>
      <w:tr w:rsidR="0093441E" w:rsidRPr="002A7673" w14:paraId="7B99F02E" w14:textId="77777777" w:rsidTr="0048334E">
        <w:trPr>
          <w:jc w:val="center"/>
        </w:trPr>
        <w:tc>
          <w:tcPr>
            <w:tcW w:w="2460" w:type="dxa"/>
            <w:tcBorders>
              <w:top w:val="nil"/>
              <w:left w:val="nil"/>
              <w:bottom w:val="nil"/>
              <w:right w:val="nil"/>
            </w:tcBorders>
            <w:shd w:val="clear" w:color="auto" w:fill="auto"/>
            <w:noWrap/>
            <w:vAlign w:val="center"/>
            <w:hideMark/>
          </w:tcPr>
          <w:p w14:paraId="4541348B"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Testimonio de piezas</w:t>
            </w:r>
          </w:p>
        </w:tc>
        <w:tc>
          <w:tcPr>
            <w:tcW w:w="1200" w:type="dxa"/>
            <w:tcBorders>
              <w:top w:val="nil"/>
              <w:left w:val="single" w:sz="4" w:space="0" w:color="auto"/>
              <w:bottom w:val="nil"/>
              <w:right w:val="single" w:sz="4" w:space="0" w:color="auto"/>
            </w:tcBorders>
            <w:shd w:val="clear" w:color="auto" w:fill="auto"/>
            <w:noWrap/>
            <w:vAlign w:val="center"/>
            <w:hideMark/>
          </w:tcPr>
          <w:p w14:paraId="7189A1D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23</w:t>
            </w:r>
          </w:p>
        </w:tc>
        <w:tc>
          <w:tcPr>
            <w:tcW w:w="1200" w:type="dxa"/>
            <w:tcBorders>
              <w:top w:val="nil"/>
              <w:left w:val="nil"/>
              <w:bottom w:val="nil"/>
              <w:right w:val="single" w:sz="4" w:space="0" w:color="auto"/>
            </w:tcBorders>
            <w:shd w:val="clear" w:color="auto" w:fill="auto"/>
            <w:noWrap/>
            <w:vAlign w:val="center"/>
            <w:hideMark/>
          </w:tcPr>
          <w:p w14:paraId="4812C42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14</w:t>
            </w:r>
          </w:p>
        </w:tc>
        <w:tc>
          <w:tcPr>
            <w:tcW w:w="1207" w:type="dxa"/>
            <w:tcBorders>
              <w:top w:val="nil"/>
              <w:left w:val="nil"/>
              <w:bottom w:val="nil"/>
              <w:right w:val="single" w:sz="4" w:space="0" w:color="auto"/>
            </w:tcBorders>
            <w:shd w:val="clear" w:color="auto" w:fill="auto"/>
            <w:noWrap/>
            <w:vAlign w:val="center"/>
            <w:hideMark/>
          </w:tcPr>
          <w:p w14:paraId="12FB8FD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-9</w:t>
            </w:r>
          </w:p>
        </w:tc>
        <w:tc>
          <w:tcPr>
            <w:tcW w:w="1314" w:type="dxa"/>
            <w:tcBorders>
              <w:top w:val="nil"/>
              <w:left w:val="nil"/>
              <w:bottom w:val="nil"/>
              <w:right w:val="nil"/>
            </w:tcBorders>
            <w:shd w:val="clear" w:color="auto" w:fill="auto"/>
            <w:noWrap/>
            <w:vAlign w:val="center"/>
            <w:hideMark/>
          </w:tcPr>
          <w:p w14:paraId="57CA011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-39,1%</w:t>
            </w:r>
          </w:p>
        </w:tc>
      </w:tr>
      <w:tr w:rsidR="0093441E" w:rsidRPr="002A7673" w14:paraId="392B7EEB" w14:textId="77777777" w:rsidTr="0048334E">
        <w:trPr>
          <w:jc w:val="center"/>
        </w:trPr>
        <w:tc>
          <w:tcPr>
            <w:tcW w:w="2460" w:type="dxa"/>
            <w:tcBorders>
              <w:top w:val="nil"/>
              <w:left w:val="nil"/>
              <w:bottom w:val="nil"/>
              <w:right w:val="nil"/>
            </w:tcBorders>
            <w:shd w:val="clear" w:color="auto" w:fill="auto"/>
            <w:noWrap/>
            <w:vAlign w:val="center"/>
            <w:hideMark/>
          </w:tcPr>
          <w:p w14:paraId="5BA00075"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terminados</w:t>
            </w:r>
          </w:p>
        </w:tc>
        <w:tc>
          <w:tcPr>
            <w:tcW w:w="1200" w:type="dxa"/>
            <w:tcBorders>
              <w:top w:val="nil"/>
              <w:left w:val="single" w:sz="4" w:space="0" w:color="auto"/>
              <w:bottom w:val="nil"/>
              <w:right w:val="single" w:sz="4" w:space="0" w:color="auto"/>
            </w:tcBorders>
            <w:shd w:val="clear" w:color="auto" w:fill="auto"/>
            <w:noWrap/>
            <w:vAlign w:val="center"/>
            <w:hideMark/>
          </w:tcPr>
          <w:p w14:paraId="243E6A2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3 431</w:t>
            </w:r>
          </w:p>
        </w:tc>
        <w:tc>
          <w:tcPr>
            <w:tcW w:w="1200" w:type="dxa"/>
            <w:tcBorders>
              <w:top w:val="nil"/>
              <w:left w:val="nil"/>
              <w:bottom w:val="nil"/>
              <w:right w:val="single" w:sz="4" w:space="0" w:color="auto"/>
            </w:tcBorders>
            <w:shd w:val="clear" w:color="auto" w:fill="auto"/>
            <w:noWrap/>
            <w:vAlign w:val="center"/>
            <w:hideMark/>
          </w:tcPr>
          <w:p w14:paraId="097A8E3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2 956</w:t>
            </w:r>
          </w:p>
        </w:tc>
        <w:tc>
          <w:tcPr>
            <w:tcW w:w="1207" w:type="dxa"/>
            <w:tcBorders>
              <w:top w:val="nil"/>
              <w:left w:val="nil"/>
              <w:bottom w:val="nil"/>
              <w:right w:val="single" w:sz="4" w:space="0" w:color="auto"/>
            </w:tcBorders>
            <w:shd w:val="clear" w:color="auto" w:fill="auto"/>
            <w:noWrap/>
            <w:vAlign w:val="center"/>
            <w:hideMark/>
          </w:tcPr>
          <w:p w14:paraId="3DADC09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-475</w:t>
            </w:r>
          </w:p>
        </w:tc>
        <w:tc>
          <w:tcPr>
            <w:tcW w:w="1314" w:type="dxa"/>
            <w:tcBorders>
              <w:top w:val="nil"/>
              <w:left w:val="nil"/>
              <w:bottom w:val="nil"/>
              <w:right w:val="nil"/>
            </w:tcBorders>
            <w:shd w:val="clear" w:color="auto" w:fill="auto"/>
            <w:noWrap/>
            <w:vAlign w:val="center"/>
            <w:hideMark/>
          </w:tcPr>
          <w:p w14:paraId="4DC27C6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-13,8%</w:t>
            </w:r>
          </w:p>
        </w:tc>
      </w:tr>
      <w:tr w:rsidR="0093441E" w:rsidRPr="002A7673" w14:paraId="2AAF5192" w14:textId="77777777" w:rsidTr="0048334E">
        <w:trPr>
          <w:jc w:val="center"/>
        </w:trPr>
        <w:tc>
          <w:tcPr>
            <w:tcW w:w="2460" w:type="dxa"/>
            <w:tcBorders>
              <w:top w:val="nil"/>
              <w:left w:val="nil"/>
              <w:bottom w:val="nil"/>
              <w:right w:val="nil"/>
            </w:tcBorders>
            <w:shd w:val="clear" w:color="auto" w:fill="auto"/>
            <w:noWrap/>
            <w:vAlign w:val="center"/>
            <w:hideMark/>
          </w:tcPr>
          <w:p w14:paraId="54B0CEBE"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inactivos</w:t>
            </w:r>
          </w:p>
        </w:tc>
        <w:tc>
          <w:tcPr>
            <w:tcW w:w="1200" w:type="dxa"/>
            <w:tcBorders>
              <w:top w:val="nil"/>
              <w:left w:val="single" w:sz="4" w:space="0" w:color="auto"/>
              <w:bottom w:val="nil"/>
              <w:right w:val="single" w:sz="4" w:space="0" w:color="auto"/>
            </w:tcBorders>
            <w:shd w:val="clear" w:color="auto" w:fill="auto"/>
            <w:noWrap/>
            <w:vAlign w:val="center"/>
            <w:hideMark/>
          </w:tcPr>
          <w:p w14:paraId="1DF832E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w:t>
            </w:r>
          </w:p>
        </w:tc>
        <w:tc>
          <w:tcPr>
            <w:tcW w:w="1200" w:type="dxa"/>
            <w:tcBorders>
              <w:top w:val="nil"/>
              <w:left w:val="nil"/>
              <w:bottom w:val="nil"/>
              <w:right w:val="single" w:sz="4" w:space="0" w:color="auto"/>
            </w:tcBorders>
            <w:shd w:val="clear" w:color="auto" w:fill="auto"/>
            <w:noWrap/>
            <w:vAlign w:val="center"/>
            <w:hideMark/>
          </w:tcPr>
          <w:p w14:paraId="55C5A6A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184</w:t>
            </w:r>
          </w:p>
        </w:tc>
        <w:tc>
          <w:tcPr>
            <w:tcW w:w="1207" w:type="dxa"/>
            <w:tcBorders>
              <w:top w:val="nil"/>
              <w:left w:val="nil"/>
              <w:bottom w:val="nil"/>
              <w:right w:val="single" w:sz="4" w:space="0" w:color="auto"/>
            </w:tcBorders>
            <w:shd w:val="clear" w:color="auto" w:fill="auto"/>
            <w:noWrap/>
            <w:vAlign w:val="center"/>
            <w:hideMark/>
          </w:tcPr>
          <w:p w14:paraId="1A9638B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182</w:t>
            </w:r>
          </w:p>
        </w:tc>
        <w:tc>
          <w:tcPr>
            <w:tcW w:w="1314" w:type="dxa"/>
            <w:tcBorders>
              <w:top w:val="nil"/>
              <w:left w:val="nil"/>
              <w:bottom w:val="nil"/>
              <w:right w:val="nil"/>
            </w:tcBorders>
            <w:shd w:val="clear" w:color="auto" w:fill="auto"/>
            <w:noWrap/>
            <w:vAlign w:val="center"/>
            <w:hideMark/>
          </w:tcPr>
          <w:p w14:paraId="100BAB1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w:t>
            </w:r>
          </w:p>
        </w:tc>
      </w:tr>
      <w:tr w:rsidR="0093441E" w:rsidRPr="002A7673" w14:paraId="55DB4A8C" w14:textId="77777777" w:rsidTr="0048334E">
        <w:trPr>
          <w:jc w:val="center"/>
        </w:trPr>
        <w:tc>
          <w:tcPr>
            <w:tcW w:w="2460" w:type="dxa"/>
            <w:tcBorders>
              <w:top w:val="nil"/>
              <w:left w:val="nil"/>
              <w:bottom w:val="nil"/>
              <w:right w:val="nil"/>
            </w:tcBorders>
            <w:shd w:val="clear" w:color="auto" w:fill="auto"/>
            <w:noWrap/>
            <w:vAlign w:val="center"/>
            <w:hideMark/>
          </w:tcPr>
          <w:p w14:paraId="22D91B11"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Circulante al finalizar</w:t>
            </w:r>
          </w:p>
        </w:tc>
        <w:tc>
          <w:tcPr>
            <w:tcW w:w="1200" w:type="dxa"/>
            <w:tcBorders>
              <w:top w:val="nil"/>
              <w:left w:val="single" w:sz="4" w:space="0" w:color="auto"/>
              <w:bottom w:val="nil"/>
              <w:right w:val="single" w:sz="4" w:space="0" w:color="auto"/>
            </w:tcBorders>
            <w:shd w:val="clear" w:color="auto" w:fill="auto"/>
            <w:noWrap/>
            <w:vAlign w:val="center"/>
            <w:hideMark/>
          </w:tcPr>
          <w:p w14:paraId="7DF02A8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4 490</w:t>
            </w:r>
          </w:p>
        </w:tc>
        <w:tc>
          <w:tcPr>
            <w:tcW w:w="1200" w:type="dxa"/>
            <w:tcBorders>
              <w:top w:val="nil"/>
              <w:left w:val="nil"/>
              <w:bottom w:val="nil"/>
              <w:right w:val="single" w:sz="4" w:space="0" w:color="auto"/>
            </w:tcBorders>
            <w:shd w:val="clear" w:color="auto" w:fill="auto"/>
            <w:noWrap/>
            <w:vAlign w:val="center"/>
            <w:hideMark/>
          </w:tcPr>
          <w:p w14:paraId="019C3E3C"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4 512</w:t>
            </w:r>
          </w:p>
        </w:tc>
        <w:tc>
          <w:tcPr>
            <w:tcW w:w="1207" w:type="dxa"/>
            <w:tcBorders>
              <w:top w:val="nil"/>
              <w:left w:val="nil"/>
              <w:bottom w:val="nil"/>
              <w:right w:val="single" w:sz="4" w:space="0" w:color="auto"/>
            </w:tcBorders>
            <w:shd w:val="clear" w:color="auto" w:fill="auto"/>
            <w:noWrap/>
            <w:vAlign w:val="center"/>
            <w:hideMark/>
          </w:tcPr>
          <w:p w14:paraId="620C387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22</w:t>
            </w:r>
          </w:p>
        </w:tc>
        <w:tc>
          <w:tcPr>
            <w:tcW w:w="1314" w:type="dxa"/>
            <w:tcBorders>
              <w:top w:val="nil"/>
              <w:left w:val="nil"/>
              <w:bottom w:val="nil"/>
              <w:right w:val="nil"/>
            </w:tcBorders>
            <w:shd w:val="clear" w:color="auto" w:fill="auto"/>
            <w:noWrap/>
            <w:vAlign w:val="center"/>
            <w:hideMark/>
          </w:tcPr>
          <w:p w14:paraId="09DF480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0,5%</w:t>
            </w:r>
          </w:p>
        </w:tc>
      </w:tr>
      <w:tr w:rsidR="0093441E" w:rsidRPr="002A7673" w14:paraId="046D5807" w14:textId="77777777" w:rsidTr="0048334E">
        <w:trPr>
          <w:jc w:val="center"/>
        </w:trPr>
        <w:tc>
          <w:tcPr>
            <w:tcW w:w="7381" w:type="dxa"/>
            <w:gridSpan w:val="5"/>
            <w:tcBorders>
              <w:top w:val="single" w:sz="4" w:space="0" w:color="auto"/>
              <w:left w:val="nil"/>
              <w:bottom w:val="nil"/>
              <w:right w:val="nil"/>
            </w:tcBorders>
            <w:shd w:val="clear" w:color="auto" w:fill="auto"/>
            <w:noWrap/>
            <w:vAlign w:val="center"/>
            <w:hideMark/>
          </w:tcPr>
          <w:p w14:paraId="58C7CF6C" w14:textId="77777777" w:rsidR="0093441E" w:rsidRPr="002A7673" w:rsidRDefault="0093441E" w:rsidP="0048334E">
            <w:pPr>
              <w:spacing w:after="0" w:line="240" w:lineRule="auto"/>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xml:space="preserve">Fuente: </w:t>
            </w:r>
            <w:r w:rsidRPr="002A7673">
              <w:rPr>
                <w:rFonts w:ascii="Times New Roman" w:hAnsi="Times New Roman" w:cs="Times New Roman"/>
                <w:color w:val="000000"/>
                <w:sz w:val="20"/>
                <w:szCs w:val="20"/>
                <w:lang w:eastAsia="es-CR"/>
              </w:rPr>
              <w:t>Subproceso de Estadística, Dirección de Planificación, Poder Judicial.</w:t>
            </w:r>
          </w:p>
        </w:tc>
      </w:tr>
    </w:tbl>
    <w:p w14:paraId="71D6A655" w14:textId="77777777" w:rsidR="0093441E" w:rsidRPr="002A7673" w:rsidRDefault="0093441E" w:rsidP="0093441E">
      <w:pPr>
        <w:spacing w:after="0" w:line="240" w:lineRule="auto"/>
        <w:rPr>
          <w:rFonts w:ascii="Times New Roman" w:hAnsi="Times New Roman" w:cs="Times New Roman"/>
          <w:sz w:val="20"/>
          <w:szCs w:val="20"/>
        </w:rPr>
      </w:pPr>
    </w:p>
    <w:p w14:paraId="52B8080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 las cifras contenidas en la tabla anterior, destacan los siguientes hechos: </w:t>
      </w:r>
    </w:p>
    <w:p w14:paraId="79181BC0"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2CED8B9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La cantidad de expedientes ingresados en el Centro de Responsabilidad de la Administración Regional de San Joaquín de Flores llegó a 2.907 casos durante el 2020, por lo que su entrada exhibe una baja de tan solo 388 unidades, para una reducción porcentual de 11,8%. </w:t>
      </w:r>
    </w:p>
    <w:p w14:paraId="3010D6A1"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lastRenderedPageBreak/>
        <w:t>Casos terminados:</w:t>
      </w:r>
      <w:r w:rsidRPr="002A7673">
        <w:rPr>
          <w:rFonts w:ascii="Times New Roman" w:hAnsi="Times New Roman" w:cs="Times New Roman"/>
          <w:sz w:val="28"/>
          <w:szCs w:val="28"/>
        </w:rPr>
        <w:t xml:space="preserve"> El número de demandas terminadas en esta Administración Regional se registró en 2.956 en la actualidad, mostrando una baja aceptable de 475 asuntos versus la atención lograda el año anterior, para una reducción relativa de 13,8%. </w:t>
      </w:r>
    </w:p>
    <w:p w14:paraId="1106AFDD"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Sin embargo, tampoco resulta despreciable el incremento presentado en el grupo de demandas inactivas, que se descuentan del circulante mediante la depuración de casillas trimestral, al no presentarse movimientos o impulsos procesales por más de seis meses, siendo que su valor se reportó de tan solo dos casos en el 2019, a 184 en esta ocasión, provocando que el porcentaje de variación perdiera efectos interpretativos, dado el resultado matemático descomunal que se obtiene, al ser el valor del año base prácticamente nulo, y por ello no se muestra el cálculo correspondiente.   </w:t>
      </w:r>
    </w:p>
    <w:p w14:paraId="48956ECD"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Circulante al finalizar al año:</w:t>
      </w:r>
      <w:r w:rsidRPr="002A7673">
        <w:rPr>
          <w:rFonts w:ascii="Times New Roman" w:hAnsi="Times New Roman" w:cs="Times New Roman"/>
          <w:sz w:val="28"/>
          <w:szCs w:val="28"/>
        </w:rPr>
        <w:t xml:space="preserve"> El circulante de los despachos adscritos a la Administración Regional de San Joaquín de Flores llegó a 4.512 demandas al finalizar el 2020, presentando un ínfimo aumento de 22 expedientes versus el circulante acumulado al finalizar el año anterior, para una variación porcentual de tan solo un 0,5%. </w:t>
      </w:r>
    </w:p>
    <w:p w14:paraId="27C88D2F"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Por su parte, se coligen de la tabla anterior las grandes similitudes entre las cantidades de asuntos entrados y terminados en el presente año, además del número de litigios reentrados e inactivos, lo cual converge con el aumento casi imperceptible del circulante al finalizar el año, según se comentó en el párrafo anterior, a pesar del </w:t>
      </w:r>
      <w:r w:rsidRPr="002A7673">
        <w:rPr>
          <w:rFonts w:ascii="Times New Roman" w:hAnsi="Times New Roman" w:cs="Times New Roman"/>
          <w:sz w:val="28"/>
          <w:szCs w:val="28"/>
        </w:rPr>
        <w:lastRenderedPageBreak/>
        <w:t xml:space="preserve">conjunto de situaciones externas y extralaborales, ampliamente conocidas a nivel nacional, relacionadas con la emergencia por la pandemia, provocada por la propagación del virus Covid-19, conocido popularmente como “Coronavirus”, que produjo ceses, reducciones o modificaciones, en las labores desarrolladas por el personal de los despachos u oficinas judiciales. </w:t>
      </w:r>
    </w:p>
    <w:p w14:paraId="53DD0E54" w14:textId="77777777" w:rsidR="0093441E" w:rsidRPr="002A7673" w:rsidRDefault="0093441E" w:rsidP="0093441E">
      <w:pPr>
        <w:spacing w:after="0" w:line="480" w:lineRule="auto"/>
        <w:ind w:firstLine="709"/>
        <w:jc w:val="both"/>
        <w:rPr>
          <w:rFonts w:ascii="Times New Roman" w:hAnsi="Times New Roman" w:cs="Times New Roman"/>
          <w:b/>
          <w:sz w:val="28"/>
          <w:szCs w:val="28"/>
        </w:rPr>
      </w:pPr>
    </w:p>
    <w:p w14:paraId="627B8694" w14:textId="77777777" w:rsidR="0093441E" w:rsidRPr="002A7673" w:rsidRDefault="0093441E" w:rsidP="0093441E">
      <w:pPr>
        <w:rPr>
          <w:rFonts w:ascii="Times New Roman" w:hAnsi="Times New Roman" w:cs="Times New Roman"/>
          <w:b/>
        </w:rPr>
      </w:pPr>
      <w:r w:rsidRPr="002A7673">
        <w:rPr>
          <w:rFonts w:ascii="Times New Roman" w:hAnsi="Times New Roman" w:cs="Times New Roman"/>
          <w:b/>
        </w:rPr>
        <w:br w:type="page"/>
      </w:r>
    </w:p>
    <w:p w14:paraId="37E6C258" w14:textId="77777777" w:rsidR="0093441E" w:rsidRPr="002A7673" w:rsidRDefault="0093441E" w:rsidP="00FF3FAC">
      <w:pPr>
        <w:numPr>
          <w:ilvl w:val="0"/>
          <w:numId w:val="31"/>
        </w:numPr>
        <w:spacing w:after="0" w:line="240" w:lineRule="auto"/>
        <w:ind w:hanging="1004"/>
        <w:jc w:val="center"/>
        <w:rPr>
          <w:rFonts w:ascii="Times New Roman" w:eastAsia="Times New Roman" w:hAnsi="Times New Roman" w:cs="Times New Roman"/>
          <w:b/>
          <w:sz w:val="24"/>
          <w:szCs w:val="24"/>
          <w:lang w:val="es-ES" w:eastAsia="es-ES"/>
        </w:rPr>
      </w:pPr>
      <w:r w:rsidRPr="002A7673">
        <w:rPr>
          <w:rFonts w:ascii="Times New Roman" w:eastAsia="Times New Roman" w:hAnsi="Times New Roman" w:cs="Times New Roman"/>
          <w:b/>
          <w:sz w:val="24"/>
          <w:szCs w:val="24"/>
          <w:lang w:val="es-ES" w:eastAsia="es-ES"/>
        </w:rPr>
        <w:lastRenderedPageBreak/>
        <w:t xml:space="preserve">Análisis del comportamiento interanual del balance general entre 2019 y 2020 para el centro de responsabilidad </w:t>
      </w:r>
      <w:r w:rsidRPr="002A7673">
        <w:rPr>
          <w:rFonts w:ascii="Times New Roman" w:eastAsia="Times New Roman" w:hAnsi="Times New Roman" w:cs="Times New Roman"/>
          <w:b/>
          <w:bCs/>
          <w:color w:val="000000"/>
          <w:sz w:val="24"/>
          <w:szCs w:val="24"/>
          <w:lang w:val="es-ES" w:eastAsia="es-ES"/>
        </w:rPr>
        <w:t>Circuito Judicial de Quepos</w:t>
      </w:r>
    </w:p>
    <w:tbl>
      <w:tblPr>
        <w:tblW w:w="8605" w:type="dxa"/>
        <w:jc w:val="center"/>
        <w:tblLook w:val="04A0" w:firstRow="1" w:lastRow="0" w:firstColumn="1" w:lastColumn="0" w:noHBand="0" w:noVBand="1"/>
      </w:tblPr>
      <w:tblGrid>
        <w:gridCol w:w="3133"/>
        <w:gridCol w:w="1394"/>
        <w:gridCol w:w="1395"/>
        <w:gridCol w:w="1394"/>
        <w:gridCol w:w="1289"/>
      </w:tblGrid>
      <w:tr w:rsidR="0093441E" w:rsidRPr="002A7673" w14:paraId="2E374EA4" w14:textId="77777777" w:rsidTr="0048334E">
        <w:trPr>
          <w:trHeight w:val="296"/>
          <w:jc w:val="center"/>
        </w:trPr>
        <w:tc>
          <w:tcPr>
            <w:tcW w:w="3133" w:type="dxa"/>
            <w:tcBorders>
              <w:top w:val="nil"/>
              <w:left w:val="nil"/>
              <w:bottom w:val="nil"/>
              <w:right w:val="nil"/>
            </w:tcBorders>
            <w:shd w:val="clear" w:color="auto" w:fill="auto"/>
            <w:noWrap/>
            <w:vAlign w:val="bottom"/>
            <w:hideMark/>
          </w:tcPr>
          <w:p w14:paraId="2ABA76FF" w14:textId="77777777" w:rsidR="0093441E" w:rsidRPr="002A7673" w:rsidRDefault="0093441E" w:rsidP="0048334E">
            <w:pPr>
              <w:spacing w:after="0" w:line="240" w:lineRule="auto"/>
              <w:rPr>
                <w:rFonts w:ascii="Times New Roman" w:hAnsi="Times New Roman" w:cs="Times New Roman"/>
                <w:b/>
                <w:color w:val="000000"/>
              </w:rPr>
            </w:pPr>
          </w:p>
        </w:tc>
        <w:tc>
          <w:tcPr>
            <w:tcW w:w="1394" w:type="dxa"/>
            <w:tcBorders>
              <w:top w:val="nil"/>
              <w:left w:val="nil"/>
              <w:bottom w:val="nil"/>
              <w:right w:val="nil"/>
            </w:tcBorders>
            <w:shd w:val="clear" w:color="auto" w:fill="auto"/>
            <w:noWrap/>
            <w:vAlign w:val="bottom"/>
            <w:hideMark/>
          </w:tcPr>
          <w:p w14:paraId="4E73E3FC" w14:textId="77777777" w:rsidR="0093441E" w:rsidRPr="002A7673" w:rsidRDefault="0093441E" w:rsidP="0048334E">
            <w:pPr>
              <w:spacing w:after="0" w:line="240" w:lineRule="auto"/>
              <w:rPr>
                <w:rFonts w:ascii="Times New Roman" w:hAnsi="Times New Roman" w:cs="Times New Roman"/>
                <w:color w:val="000000"/>
              </w:rPr>
            </w:pPr>
          </w:p>
        </w:tc>
        <w:tc>
          <w:tcPr>
            <w:tcW w:w="1395" w:type="dxa"/>
            <w:tcBorders>
              <w:top w:val="nil"/>
              <w:left w:val="nil"/>
              <w:bottom w:val="nil"/>
              <w:right w:val="nil"/>
            </w:tcBorders>
            <w:shd w:val="clear" w:color="auto" w:fill="auto"/>
            <w:noWrap/>
            <w:vAlign w:val="bottom"/>
            <w:hideMark/>
          </w:tcPr>
          <w:p w14:paraId="4EFE2219" w14:textId="77777777" w:rsidR="0093441E" w:rsidRPr="002A7673" w:rsidRDefault="0093441E" w:rsidP="0048334E">
            <w:pPr>
              <w:spacing w:after="0" w:line="240" w:lineRule="auto"/>
              <w:rPr>
                <w:rFonts w:ascii="Times New Roman" w:hAnsi="Times New Roman" w:cs="Times New Roman"/>
              </w:rPr>
            </w:pPr>
          </w:p>
        </w:tc>
        <w:tc>
          <w:tcPr>
            <w:tcW w:w="1394" w:type="dxa"/>
            <w:tcBorders>
              <w:top w:val="nil"/>
              <w:left w:val="nil"/>
              <w:bottom w:val="nil"/>
              <w:right w:val="nil"/>
            </w:tcBorders>
            <w:shd w:val="clear" w:color="auto" w:fill="auto"/>
            <w:noWrap/>
            <w:vAlign w:val="bottom"/>
            <w:hideMark/>
          </w:tcPr>
          <w:p w14:paraId="066EF3F9" w14:textId="77777777" w:rsidR="0093441E" w:rsidRPr="002A7673" w:rsidRDefault="0093441E" w:rsidP="0048334E">
            <w:pPr>
              <w:spacing w:after="0" w:line="240" w:lineRule="auto"/>
              <w:rPr>
                <w:rFonts w:ascii="Times New Roman" w:hAnsi="Times New Roman" w:cs="Times New Roman"/>
              </w:rPr>
            </w:pPr>
          </w:p>
        </w:tc>
        <w:tc>
          <w:tcPr>
            <w:tcW w:w="1289" w:type="dxa"/>
            <w:tcBorders>
              <w:top w:val="nil"/>
              <w:left w:val="nil"/>
              <w:bottom w:val="nil"/>
              <w:right w:val="nil"/>
            </w:tcBorders>
            <w:shd w:val="clear" w:color="auto" w:fill="auto"/>
            <w:noWrap/>
            <w:vAlign w:val="bottom"/>
            <w:hideMark/>
          </w:tcPr>
          <w:p w14:paraId="69925798" w14:textId="77777777" w:rsidR="0093441E" w:rsidRPr="002A7673" w:rsidRDefault="0093441E" w:rsidP="0048334E">
            <w:pPr>
              <w:spacing w:after="0" w:line="240" w:lineRule="auto"/>
              <w:rPr>
                <w:rFonts w:ascii="Times New Roman" w:hAnsi="Times New Roman" w:cs="Times New Roman"/>
              </w:rPr>
            </w:pPr>
          </w:p>
        </w:tc>
      </w:tr>
      <w:tr w:rsidR="0093441E" w:rsidRPr="002A7673" w14:paraId="71C70374" w14:textId="77777777" w:rsidTr="0048334E">
        <w:trPr>
          <w:trHeight w:val="456"/>
          <w:jc w:val="center"/>
        </w:trPr>
        <w:tc>
          <w:tcPr>
            <w:tcW w:w="8605" w:type="dxa"/>
            <w:gridSpan w:val="5"/>
            <w:tcBorders>
              <w:top w:val="nil"/>
              <w:left w:val="nil"/>
              <w:bottom w:val="single" w:sz="4" w:space="0" w:color="auto"/>
              <w:right w:val="nil"/>
            </w:tcBorders>
            <w:shd w:val="clear" w:color="auto" w:fill="auto"/>
            <w:vAlign w:val="bottom"/>
            <w:hideMark/>
          </w:tcPr>
          <w:p w14:paraId="1AD0BD0D" w14:textId="77777777" w:rsidR="0093441E" w:rsidRPr="002A7673" w:rsidRDefault="0093441E" w:rsidP="0048334E">
            <w:pPr>
              <w:spacing w:after="0" w:line="240" w:lineRule="auto"/>
              <w:jc w:val="center"/>
              <w:rPr>
                <w:rFonts w:ascii="Times New Roman" w:hAnsi="Times New Roman" w:cs="Times New Roman"/>
                <w:b/>
                <w:bCs/>
                <w:color w:val="000000"/>
              </w:rPr>
            </w:pPr>
            <w:r w:rsidRPr="002A7673">
              <w:rPr>
                <w:rFonts w:ascii="Times New Roman" w:hAnsi="Times New Roman" w:cs="Times New Roman"/>
                <w:b/>
                <w:bCs/>
                <w:color w:val="000000"/>
              </w:rPr>
              <w:t>Comparación del Balance General para el centro de responsabilidad del Circuito Judicial de Quepos, período 2019-2020</w:t>
            </w:r>
          </w:p>
          <w:p w14:paraId="54F15C89" w14:textId="77777777" w:rsidR="0093441E" w:rsidRPr="002A7673" w:rsidRDefault="0093441E" w:rsidP="0048334E">
            <w:pPr>
              <w:spacing w:after="0" w:line="240" w:lineRule="auto"/>
              <w:rPr>
                <w:rFonts w:ascii="Times New Roman" w:hAnsi="Times New Roman" w:cs="Times New Roman"/>
                <w:b/>
                <w:bCs/>
                <w:color w:val="000000"/>
              </w:rPr>
            </w:pPr>
          </w:p>
          <w:p w14:paraId="4A77D22E" w14:textId="77777777" w:rsidR="0093441E" w:rsidRPr="002A7673" w:rsidRDefault="0093441E" w:rsidP="0048334E">
            <w:pPr>
              <w:spacing w:after="0" w:line="240" w:lineRule="auto"/>
              <w:rPr>
                <w:rFonts w:ascii="Times New Roman" w:hAnsi="Times New Roman" w:cs="Times New Roman"/>
                <w:b/>
                <w:bCs/>
                <w:color w:val="000000"/>
              </w:rPr>
            </w:pPr>
          </w:p>
        </w:tc>
      </w:tr>
      <w:tr w:rsidR="0093441E" w:rsidRPr="002A7673" w14:paraId="42398372" w14:textId="77777777" w:rsidTr="0048334E">
        <w:trPr>
          <w:trHeight w:val="296"/>
          <w:jc w:val="center"/>
        </w:trPr>
        <w:tc>
          <w:tcPr>
            <w:tcW w:w="3133" w:type="dxa"/>
            <w:vMerge w:val="restart"/>
            <w:tcBorders>
              <w:top w:val="nil"/>
              <w:left w:val="nil"/>
              <w:bottom w:val="single" w:sz="4" w:space="0" w:color="000000"/>
              <w:right w:val="nil"/>
            </w:tcBorders>
            <w:shd w:val="clear" w:color="auto" w:fill="auto"/>
            <w:vAlign w:val="center"/>
            <w:hideMark/>
          </w:tcPr>
          <w:p w14:paraId="7ADC63AF" w14:textId="77777777" w:rsidR="0093441E" w:rsidRPr="002A7673" w:rsidRDefault="0093441E" w:rsidP="0048334E">
            <w:pPr>
              <w:spacing w:after="0" w:line="240" w:lineRule="auto"/>
              <w:rPr>
                <w:rFonts w:ascii="Times New Roman" w:hAnsi="Times New Roman" w:cs="Times New Roman"/>
                <w:b/>
                <w:bCs/>
                <w:color w:val="000000"/>
                <w:lang w:val="en-US"/>
              </w:rPr>
            </w:pPr>
            <w:r w:rsidRPr="002A7673">
              <w:rPr>
                <w:rFonts w:ascii="Times New Roman" w:hAnsi="Times New Roman" w:cs="Times New Roman"/>
                <w:b/>
                <w:bCs/>
                <w:color w:val="000000"/>
                <w:lang w:val="en-US"/>
              </w:rPr>
              <w:t xml:space="preserve">Variable </w:t>
            </w:r>
            <w:proofErr w:type="spellStart"/>
            <w:r w:rsidRPr="002A7673">
              <w:rPr>
                <w:rFonts w:ascii="Times New Roman" w:hAnsi="Times New Roman" w:cs="Times New Roman"/>
                <w:b/>
                <w:bCs/>
                <w:color w:val="000000"/>
                <w:lang w:val="en-US"/>
              </w:rPr>
              <w:t>Estadística</w:t>
            </w:r>
            <w:proofErr w:type="spellEnd"/>
          </w:p>
        </w:tc>
        <w:tc>
          <w:tcPr>
            <w:tcW w:w="278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73E93C2A"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Año</w:t>
            </w:r>
            <w:proofErr w:type="spellEnd"/>
          </w:p>
        </w:tc>
        <w:tc>
          <w:tcPr>
            <w:tcW w:w="2683" w:type="dxa"/>
            <w:gridSpan w:val="2"/>
            <w:tcBorders>
              <w:top w:val="single" w:sz="4" w:space="0" w:color="auto"/>
              <w:left w:val="single" w:sz="4" w:space="0" w:color="auto"/>
              <w:bottom w:val="single" w:sz="4" w:space="0" w:color="auto"/>
            </w:tcBorders>
            <w:shd w:val="clear" w:color="auto" w:fill="auto"/>
            <w:vAlign w:val="center"/>
          </w:tcPr>
          <w:p w14:paraId="55B60062"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Variación</w:t>
            </w:r>
            <w:proofErr w:type="spellEnd"/>
          </w:p>
        </w:tc>
      </w:tr>
      <w:tr w:rsidR="0093441E" w:rsidRPr="002A7673" w14:paraId="605637EC" w14:textId="77777777" w:rsidTr="0048334E">
        <w:trPr>
          <w:trHeight w:val="296"/>
          <w:jc w:val="center"/>
        </w:trPr>
        <w:tc>
          <w:tcPr>
            <w:tcW w:w="3133" w:type="dxa"/>
            <w:vMerge/>
            <w:tcBorders>
              <w:top w:val="nil"/>
              <w:left w:val="nil"/>
              <w:bottom w:val="single" w:sz="4" w:space="0" w:color="000000"/>
              <w:right w:val="nil"/>
            </w:tcBorders>
            <w:vAlign w:val="center"/>
            <w:hideMark/>
          </w:tcPr>
          <w:p w14:paraId="33749012" w14:textId="77777777" w:rsidR="0093441E" w:rsidRPr="002A7673" w:rsidRDefault="0093441E" w:rsidP="0048334E">
            <w:pPr>
              <w:spacing w:after="0" w:line="240" w:lineRule="auto"/>
              <w:rPr>
                <w:rFonts w:ascii="Times New Roman" w:hAnsi="Times New Roman" w:cs="Times New Roman"/>
                <w:b/>
                <w:bCs/>
                <w:color w:val="000000"/>
                <w:lang w:val="en-US"/>
              </w:rPr>
            </w:pPr>
          </w:p>
        </w:tc>
        <w:tc>
          <w:tcPr>
            <w:tcW w:w="1394" w:type="dxa"/>
            <w:tcBorders>
              <w:top w:val="nil"/>
              <w:left w:val="single" w:sz="4" w:space="0" w:color="auto"/>
              <w:bottom w:val="single" w:sz="4" w:space="0" w:color="auto"/>
              <w:right w:val="single" w:sz="4" w:space="0" w:color="auto"/>
            </w:tcBorders>
            <w:shd w:val="clear" w:color="auto" w:fill="auto"/>
            <w:vAlign w:val="center"/>
            <w:hideMark/>
          </w:tcPr>
          <w:p w14:paraId="19C7CC59" w14:textId="77777777" w:rsidR="0093441E" w:rsidRPr="002A7673" w:rsidRDefault="0093441E" w:rsidP="0048334E">
            <w:pPr>
              <w:spacing w:after="0" w:line="240" w:lineRule="auto"/>
              <w:jc w:val="center"/>
              <w:rPr>
                <w:rFonts w:ascii="Times New Roman" w:hAnsi="Times New Roman" w:cs="Times New Roman"/>
                <w:b/>
                <w:bCs/>
                <w:color w:val="000000"/>
                <w:lang w:val="en-US"/>
              </w:rPr>
            </w:pPr>
            <w:r w:rsidRPr="002A7673">
              <w:rPr>
                <w:rFonts w:ascii="Times New Roman" w:hAnsi="Times New Roman" w:cs="Times New Roman"/>
                <w:b/>
                <w:bCs/>
                <w:color w:val="000000"/>
                <w:lang w:val="en-US"/>
              </w:rPr>
              <w:t>2019</w:t>
            </w:r>
          </w:p>
        </w:tc>
        <w:tc>
          <w:tcPr>
            <w:tcW w:w="1395" w:type="dxa"/>
            <w:tcBorders>
              <w:top w:val="nil"/>
              <w:left w:val="nil"/>
              <w:bottom w:val="single" w:sz="4" w:space="0" w:color="auto"/>
              <w:right w:val="single" w:sz="4" w:space="0" w:color="auto"/>
            </w:tcBorders>
            <w:shd w:val="clear" w:color="auto" w:fill="auto"/>
            <w:vAlign w:val="center"/>
            <w:hideMark/>
          </w:tcPr>
          <w:p w14:paraId="20F72297" w14:textId="77777777" w:rsidR="0093441E" w:rsidRPr="002A7673" w:rsidRDefault="0093441E" w:rsidP="0048334E">
            <w:pPr>
              <w:spacing w:after="0" w:line="240" w:lineRule="auto"/>
              <w:jc w:val="center"/>
              <w:rPr>
                <w:rFonts w:ascii="Times New Roman" w:hAnsi="Times New Roman" w:cs="Times New Roman"/>
                <w:b/>
                <w:bCs/>
                <w:color w:val="000000"/>
                <w:lang w:val="en-US"/>
              </w:rPr>
            </w:pPr>
            <w:r w:rsidRPr="002A7673">
              <w:rPr>
                <w:rFonts w:ascii="Times New Roman" w:hAnsi="Times New Roman" w:cs="Times New Roman"/>
                <w:b/>
                <w:bCs/>
                <w:color w:val="000000"/>
                <w:lang w:val="en-US"/>
              </w:rPr>
              <w:t>2020</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14:paraId="43F6AD6F"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Absoluta</w:t>
            </w:r>
            <w:proofErr w:type="spellEnd"/>
          </w:p>
        </w:tc>
        <w:tc>
          <w:tcPr>
            <w:tcW w:w="1289" w:type="dxa"/>
            <w:tcBorders>
              <w:top w:val="single" w:sz="4" w:space="0" w:color="auto"/>
              <w:left w:val="single" w:sz="4" w:space="0" w:color="auto"/>
              <w:bottom w:val="single" w:sz="4" w:space="0" w:color="auto"/>
            </w:tcBorders>
            <w:shd w:val="clear" w:color="auto" w:fill="auto"/>
            <w:vAlign w:val="center"/>
          </w:tcPr>
          <w:p w14:paraId="6968461A"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Relativa</w:t>
            </w:r>
            <w:proofErr w:type="spellEnd"/>
          </w:p>
        </w:tc>
      </w:tr>
      <w:tr w:rsidR="0093441E" w:rsidRPr="002A7673" w14:paraId="6E052E16"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66AC48D3"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Circulante</w:t>
            </w:r>
            <w:proofErr w:type="spellEnd"/>
            <w:r w:rsidRPr="002A7673">
              <w:rPr>
                <w:rFonts w:ascii="Times New Roman" w:hAnsi="Times New Roman" w:cs="Times New Roman"/>
                <w:color w:val="000000"/>
                <w:lang w:val="en-US"/>
              </w:rPr>
              <w:t xml:space="preserve"> al </w:t>
            </w:r>
            <w:proofErr w:type="spellStart"/>
            <w:proofErr w:type="gramStart"/>
            <w:r w:rsidRPr="002A7673">
              <w:rPr>
                <w:rFonts w:ascii="Times New Roman" w:hAnsi="Times New Roman" w:cs="Times New Roman"/>
                <w:color w:val="000000"/>
                <w:lang w:val="en-US"/>
              </w:rPr>
              <w:t>iniciar</w:t>
            </w:r>
            <w:proofErr w:type="spellEnd"/>
            <w:r w:rsidRPr="002A7673">
              <w:rPr>
                <w:rFonts w:ascii="Times New Roman" w:hAnsi="Times New Roman" w:cs="Times New Roman"/>
                <w:color w:val="000000"/>
                <w:vertAlign w:val="superscript"/>
                <w:lang w:val="en-US"/>
              </w:rPr>
              <w:t>(</w:t>
            </w:r>
            <w:proofErr w:type="gramEnd"/>
            <w:r w:rsidRPr="002A7673">
              <w:rPr>
                <w:rFonts w:ascii="Times New Roman" w:hAnsi="Times New Roman" w:cs="Times New Roman"/>
                <w:color w:val="000000"/>
                <w:vertAlign w:val="superscript"/>
                <w:lang w:val="en-US"/>
              </w:rPr>
              <w:t>1)</w:t>
            </w:r>
          </w:p>
        </w:tc>
        <w:tc>
          <w:tcPr>
            <w:tcW w:w="1394" w:type="dxa"/>
            <w:tcBorders>
              <w:top w:val="nil"/>
              <w:left w:val="nil"/>
              <w:bottom w:val="nil"/>
              <w:right w:val="single" w:sz="4" w:space="0" w:color="auto"/>
            </w:tcBorders>
            <w:shd w:val="clear" w:color="auto" w:fill="auto"/>
            <w:noWrap/>
            <w:vAlign w:val="center"/>
          </w:tcPr>
          <w:p w14:paraId="7A72BCA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1 929</w:t>
            </w:r>
          </w:p>
        </w:tc>
        <w:tc>
          <w:tcPr>
            <w:tcW w:w="1395" w:type="dxa"/>
            <w:tcBorders>
              <w:top w:val="nil"/>
              <w:left w:val="nil"/>
              <w:bottom w:val="nil"/>
              <w:right w:val="single" w:sz="4" w:space="0" w:color="auto"/>
            </w:tcBorders>
            <w:shd w:val="clear" w:color="auto" w:fill="auto"/>
            <w:noWrap/>
            <w:vAlign w:val="center"/>
          </w:tcPr>
          <w:p w14:paraId="1EBCA2D2"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1 722</w:t>
            </w:r>
          </w:p>
        </w:tc>
        <w:tc>
          <w:tcPr>
            <w:tcW w:w="1394" w:type="dxa"/>
            <w:tcBorders>
              <w:top w:val="nil"/>
              <w:left w:val="nil"/>
              <w:bottom w:val="nil"/>
              <w:right w:val="single" w:sz="4" w:space="0" w:color="auto"/>
            </w:tcBorders>
            <w:shd w:val="clear" w:color="auto" w:fill="auto"/>
            <w:noWrap/>
            <w:vAlign w:val="bottom"/>
          </w:tcPr>
          <w:p w14:paraId="45BF1CD8"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-207</w:t>
            </w:r>
          </w:p>
        </w:tc>
        <w:tc>
          <w:tcPr>
            <w:tcW w:w="1289" w:type="dxa"/>
            <w:tcBorders>
              <w:top w:val="nil"/>
              <w:left w:val="nil"/>
              <w:bottom w:val="nil"/>
              <w:right w:val="nil"/>
            </w:tcBorders>
            <w:shd w:val="clear" w:color="auto" w:fill="auto"/>
            <w:noWrap/>
            <w:vAlign w:val="bottom"/>
          </w:tcPr>
          <w:p w14:paraId="4FC25A0B"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-10,7%</w:t>
            </w:r>
          </w:p>
        </w:tc>
      </w:tr>
      <w:tr w:rsidR="0093441E" w:rsidRPr="002A7673" w14:paraId="04F35581"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57C5F6E1"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Casos </w:t>
            </w:r>
            <w:proofErr w:type="spellStart"/>
            <w:r w:rsidRPr="002A7673">
              <w:rPr>
                <w:rFonts w:ascii="Times New Roman" w:hAnsi="Times New Roman" w:cs="Times New Roman"/>
                <w:color w:val="000000"/>
                <w:lang w:val="en-US"/>
              </w:rPr>
              <w:t>entrados</w:t>
            </w:r>
            <w:proofErr w:type="spellEnd"/>
          </w:p>
        </w:tc>
        <w:tc>
          <w:tcPr>
            <w:tcW w:w="1394" w:type="dxa"/>
            <w:tcBorders>
              <w:top w:val="nil"/>
              <w:left w:val="nil"/>
              <w:bottom w:val="nil"/>
              <w:right w:val="single" w:sz="4" w:space="0" w:color="auto"/>
            </w:tcBorders>
            <w:shd w:val="clear" w:color="auto" w:fill="auto"/>
            <w:noWrap/>
            <w:vAlign w:val="center"/>
          </w:tcPr>
          <w:p w14:paraId="609CFD5D"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2 928</w:t>
            </w:r>
          </w:p>
        </w:tc>
        <w:tc>
          <w:tcPr>
            <w:tcW w:w="1395" w:type="dxa"/>
            <w:tcBorders>
              <w:top w:val="nil"/>
              <w:left w:val="nil"/>
              <w:bottom w:val="nil"/>
              <w:right w:val="single" w:sz="4" w:space="0" w:color="auto"/>
            </w:tcBorders>
            <w:shd w:val="clear" w:color="auto" w:fill="auto"/>
            <w:noWrap/>
            <w:vAlign w:val="center"/>
          </w:tcPr>
          <w:p w14:paraId="01B0BAA5"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2 253</w:t>
            </w:r>
          </w:p>
        </w:tc>
        <w:tc>
          <w:tcPr>
            <w:tcW w:w="1394" w:type="dxa"/>
            <w:tcBorders>
              <w:top w:val="nil"/>
              <w:left w:val="nil"/>
              <w:bottom w:val="nil"/>
              <w:right w:val="single" w:sz="4" w:space="0" w:color="auto"/>
            </w:tcBorders>
            <w:shd w:val="clear" w:color="auto" w:fill="auto"/>
            <w:noWrap/>
            <w:vAlign w:val="bottom"/>
          </w:tcPr>
          <w:p w14:paraId="73F507F5"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-675</w:t>
            </w:r>
          </w:p>
        </w:tc>
        <w:tc>
          <w:tcPr>
            <w:tcW w:w="1289" w:type="dxa"/>
            <w:tcBorders>
              <w:top w:val="nil"/>
              <w:left w:val="nil"/>
              <w:bottom w:val="nil"/>
              <w:right w:val="nil"/>
            </w:tcBorders>
            <w:shd w:val="clear" w:color="auto" w:fill="auto"/>
            <w:noWrap/>
            <w:vAlign w:val="bottom"/>
          </w:tcPr>
          <w:p w14:paraId="1A3F2ECE"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-23,1%</w:t>
            </w:r>
          </w:p>
        </w:tc>
      </w:tr>
      <w:tr w:rsidR="0093441E" w:rsidRPr="002A7673" w14:paraId="422A333E"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0623DFFA"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Casos </w:t>
            </w:r>
            <w:proofErr w:type="spellStart"/>
            <w:r w:rsidRPr="002A7673">
              <w:rPr>
                <w:rFonts w:ascii="Times New Roman" w:hAnsi="Times New Roman" w:cs="Times New Roman"/>
                <w:color w:val="000000"/>
                <w:lang w:val="en-US"/>
              </w:rPr>
              <w:t>reentrados</w:t>
            </w:r>
            <w:proofErr w:type="spellEnd"/>
          </w:p>
        </w:tc>
        <w:tc>
          <w:tcPr>
            <w:tcW w:w="1394" w:type="dxa"/>
            <w:tcBorders>
              <w:top w:val="nil"/>
              <w:left w:val="nil"/>
              <w:bottom w:val="nil"/>
              <w:right w:val="single" w:sz="4" w:space="0" w:color="auto"/>
            </w:tcBorders>
            <w:shd w:val="clear" w:color="auto" w:fill="auto"/>
            <w:noWrap/>
            <w:vAlign w:val="center"/>
          </w:tcPr>
          <w:p w14:paraId="29543072"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62</w:t>
            </w:r>
          </w:p>
        </w:tc>
        <w:tc>
          <w:tcPr>
            <w:tcW w:w="1395" w:type="dxa"/>
            <w:tcBorders>
              <w:top w:val="nil"/>
              <w:left w:val="nil"/>
              <w:bottom w:val="nil"/>
              <w:right w:val="single" w:sz="4" w:space="0" w:color="auto"/>
            </w:tcBorders>
            <w:shd w:val="clear" w:color="auto" w:fill="auto"/>
            <w:noWrap/>
            <w:vAlign w:val="center"/>
          </w:tcPr>
          <w:p w14:paraId="1DD348DA"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61</w:t>
            </w:r>
          </w:p>
        </w:tc>
        <w:tc>
          <w:tcPr>
            <w:tcW w:w="1394" w:type="dxa"/>
            <w:tcBorders>
              <w:top w:val="nil"/>
              <w:left w:val="nil"/>
              <w:bottom w:val="nil"/>
              <w:right w:val="single" w:sz="4" w:space="0" w:color="auto"/>
            </w:tcBorders>
            <w:shd w:val="clear" w:color="auto" w:fill="auto"/>
            <w:noWrap/>
            <w:vAlign w:val="bottom"/>
          </w:tcPr>
          <w:p w14:paraId="4D9E98F4"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-1</w:t>
            </w:r>
          </w:p>
        </w:tc>
        <w:tc>
          <w:tcPr>
            <w:tcW w:w="1289" w:type="dxa"/>
            <w:tcBorders>
              <w:top w:val="nil"/>
              <w:left w:val="nil"/>
              <w:bottom w:val="nil"/>
              <w:right w:val="nil"/>
            </w:tcBorders>
            <w:shd w:val="clear" w:color="auto" w:fill="auto"/>
            <w:noWrap/>
            <w:vAlign w:val="bottom"/>
          </w:tcPr>
          <w:p w14:paraId="585EA69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-1,6%</w:t>
            </w:r>
          </w:p>
        </w:tc>
      </w:tr>
      <w:tr w:rsidR="0093441E" w:rsidRPr="002A7673" w14:paraId="5EB59D44"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tcPr>
          <w:p w14:paraId="67FCAE6F"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Reactivos</w:t>
            </w:r>
            <w:proofErr w:type="spellEnd"/>
          </w:p>
        </w:tc>
        <w:tc>
          <w:tcPr>
            <w:tcW w:w="1394" w:type="dxa"/>
            <w:tcBorders>
              <w:top w:val="nil"/>
              <w:left w:val="nil"/>
              <w:bottom w:val="nil"/>
              <w:right w:val="single" w:sz="4" w:space="0" w:color="auto"/>
            </w:tcBorders>
            <w:shd w:val="clear" w:color="auto" w:fill="auto"/>
            <w:noWrap/>
            <w:vAlign w:val="center"/>
          </w:tcPr>
          <w:p w14:paraId="63BCBB2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0</w:t>
            </w:r>
          </w:p>
        </w:tc>
        <w:tc>
          <w:tcPr>
            <w:tcW w:w="1395" w:type="dxa"/>
            <w:tcBorders>
              <w:top w:val="nil"/>
              <w:left w:val="nil"/>
              <w:bottom w:val="nil"/>
              <w:right w:val="single" w:sz="4" w:space="0" w:color="auto"/>
            </w:tcBorders>
            <w:shd w:val="clear" w:color="auto" w:fill="auto"/>
            <w:noWrap/>
            <w:vAlign w:val="center"/>
          </w:tcPr>
          <w:p w14:paraId="5A64B76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4</w:t>
            </w:r>
          </w:p>
        </w:tc>
        <w:tc>
          <w:tcPr>
            <w:tcW w:w="1394" w:type="dxa"/>
            <w:tcBorders>
              <w:top w:val="nil"/>
              <w:left w:val="nil"/>
              <w:bottom w:val="nil"/>
              <w:right w:val="single" w:sz="4" w:space="0" w:color="auto"/>
            </w:tcBorders>
            <w:shd w:val="clear" w:color="auto" w:fill="auto"/>
            <w:noWrap/>
            <w:vAlign w:val="bottom"/>
          </w:tcPr>
          <w:p w14:paraId="64DD14BA"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4</w:t>
            </w:r>
          </w:p>
        </w:tc>
        <w:tc>
          <w:tcPr>
            <w:tcW w:w="1289" w:type="dxa"/>
            <w:tcBorders>
              <w:top w:val="nil"/>
              <w:left w:val="nil"/>
              <w:bottom w:val="nil"/>
              <w:right w:val="nil"/>
            </w:tcBorders>
            <w:shd w:val="clear" w:color="auto" w:fill="auto"/>
            <w:noWrap/>
            <w:vAlign w:val="bottom"/>
          </w:tcPr>
          <w:p w14:paraId="10711EC1"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w:t>
            </w:r>
          </w:p>
        </w:tc>
      </w:tr>
      <w:tr w:rsidR="0093441E" w:rsidRPr="002A7673" w14:paraId="02BAAEE6"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785F1AA8"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Legajos</w:t>
            </w:r>
            <w:proofErr w:type="spellEnd"/>
            <w:r w:rsidRPr="002A7673">
              <w:rPr>
                <w:rFonts w:ascii="Times New Roman" w:hAnsi="Times New Roman" w:cs="Times New Roman"/>
                <w:color w:val="000000"/>
                <w:lang w:val="en-US"/>
              </w:rPr>
              <w:t xml:space="preserve"> de </w:t>
            </w:r>
            <w:proofErr w:type="spellStart"/>
            <w:r w:rsidRPr="002A7673">
              <w:rPr>
                <w:rFonts w:ascii="Times New Roman" w:hAnsi="Times New Roman" w:cs="Times New Roman"/>
                <w:color w:val="000000"/>
                <w:lang w:val="en-US"/>
              </w:rPr>
              <w:t>ejecución</w:t>
            </w:r>
            <w:proofErr w:type="spellEnd"/>
          </w:p>
        </w:tc>
        <w:tc>
          <w:tcPr>
            <w:tcW w:w="1394" w:type="dxa"/>
            <w:tcBorders>
              <w:top w:val="nil"/>
              <w:left w:val="nil"/>
              <w:bottom w:val="nil"/>
              <w:right w:val="single" w:sz="4" w:space="0" w:color="auto"/>
            </w:tcBorders>
            <w:shd w:val="clear" w:color="auto" w:fill="auto"/>
            <w:noWrap/>
            <w:vAlign w:val="center"/>
          </w:tcPr>
          <w:p w14:paraId="738EA0E1"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0</w:t>
            </w:r>
          </w:p>
        </w:tc>
        <w:tc>
          <w:tcPr>
            <w:tcW w:w="1395" w:type="dxa"/>
            <w:tcBorders>
              <w:top w:val="nil"/>
              <w:left w:val="nil"/>
              <w:bottom w:val="nil"/>
              <w:right w:val="single" w:sz="4" w:space="0" w:color="auto"/>
            </w:tcBorders>
            <w:shd w:val="clear" w:color="auto" w:fill="auto"/>
            <w:noWrap/>
            <w:vAlign w:val="center"/>
          </w:tcPr>
          <w:p w14:paraId="41BECFB3"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0</w:t>
            </w:r>
          </w:p>
        </w:tc>
        <w:tc>
          <w:tcPr>
            <w:tcW w:w="1394" w:type="dxa"/>
            <w:tcBorders>
              <w:top w:val="nil"/>
              <w:left w:val="nil"/>
              <w:bottom w:val="nil"/>
              <w:right w:val="single" w:sz="4" w:space="0" w:color="auto"/>
            </w:tcBorders>
            <w:shd w:val="clear" w:color="auto" w:fill="auto"/>
            <w:noWrap/>
            <w:vAlign w:val="bottom"/>
          </w:tcPr>
          <w:p w14:paraId="5032D886"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0</w:t>
            </w:r>
          </w:p>
        </w:tc>
        <w:tc>
          <w:tcPr>
            <w:tcW w:w="1289" w:type="dxa"/>
            <w:tcBorders>
              <w:top w:val="nil"/>
              <w:left w:val="nil"/>
              <w:bottom w:val="nil"/>
              <w:right w:val="nil"/>
            </w:tcBorders>
            <w:shd w:val="clear" w:color="auto" w:fill="auto"/>
            <w:noWrap/>
            <w:vAlign w:val="bottom"/>
          </w:tcPr>
          <w:p w14:paraId="49A965FE"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w:t>
            </w:r>
          </w:p>
        </w:tc>
      </w:tr>
      <w:tr w:rsidR="0093441E" w:rsidRPr="002A7673" w14:paraId="220F152E"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4ED45710"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Testimonios de </w:t>
            </w:r>
            <w:proofErr w:type="spellStart"/>
            <w:r w:rsidRPr="002A7673">
              <w:rPr>
                <w:rFonts w:ascii="Times New Roman" w:hAnsi="Times New Roman" w:cs="Times New Roman"/>
                <w:color w:val="000000"/>
                <w:lang w:val="en-US"/>
              </w:rPr>
              <w:t>piezas</w:t>
            </w:r>
            <w:proofErr w:type="spellEnd"/>
          </w:p>
        </w:tc>
        <w:tc>
          <w:tcPr>
            <w:tcW w:w="1394" w:type="dxa"/>
            <w:tcBorders>
              <w:top w:val="nil"/>
              <w:left w:val="nil"/>
              <w:bottom w:val="nil"/>
              <w:right w:val="single" w:sz="4" w:space="0" w:color="auto"/>
            </w:tcBorders>
            <w:shd w:val="clear" w:color="auto" w:fill="auto"/>
            <w:noWrap/>
            <w:vAlign w:val="center"/>
          </w:tcPr>
          <w:p w14:paraId="431CF2C8"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197</w:t>
            </w:r>
          </w:p>
        </w:tc>
        <w:tc>
          <w:tcPr>
            <w:tcW w:w="1395" w:type="dxa"/>
            <w:tcBorders>
              <w:top w:val="nil"/>
              <w:left w:val="nil"/>
              <w:bottom w:val="nil"/>
              <w:right w:val="single" w:sz="4" w:space="0" w:color="auto"/>
            </w:tcBorders>
            <w:shd w:val="clear" w:color="auto" w:fill="auto"/>
            <w:noWrap/>
            <w:vAlign w:val="center"/>
          </w:tcPr>
          <w:p w14:paraId="489AB7B3"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317</w:t>
            </w:r>
          </w:p>
        </w:tc>
        <w:tc>
          <w:tcPr>
            <w:tcW w:w="1394" w:type="dxa"/>
            <w:tcBorders>
              <w:top w:val="nil"/>
              <w:left w:val="nil"/>
              <w:bottom w:val="nil"/>
              <w:right w:val="single" w:sz="4" w:space="0" w:color="auto"/>
            </w:tcBorders>
            <w:shd w:val="clear" w:color="auto" w:fill="auto"/>
            <w:noWrap/>
            <w:vAlign w:val="bottom"/>
          </w:tcPr>
          <w:p w14:paraId="72862E15"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120</w:t>
            </w:r>
          </w:p>
        </w:tc>
        <w:tc>
          <w:tcPr>
            <w:tcW w:w="1289" w:type="dxa"/>
            <w:tcBorders>
              <w:top w:val="nil"/>
              <w:left w:val="nil"/>
              <w:bottom w:val="nil"/>
              <w:right w:val="nil"/>
            </w:tcBorders>
            <w:shd w:val="clear" w:color="auto" w:fill="auto"/>
            <w:noWrap/>
            <w:vAlign w:val="bottom"/>
          </w:tcPr>
          <w:p w14:paraId="20A2D69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60,9%</w:t>
            </w:r>
          </w:p>
        </w:tc>
      </w:tr>
      <w:tr w:rsidR="0093441E" w:rsidRPr="002A7673" w14:paraId="456E686A"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37AC53A3"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Casos </w:t>
            </w:r>
            <w:proofErr w:type="spellStart"/>
            <w:r w:rsidRPr="002A7673">
              <w:rPr>
                <w:rFonts w:ascii="Times New Roman" w:hAnsi="Times New Roman" w:cs="Times New Roman"/>
                <w:color w:val="000000"/>
                <w:lang w:val="en-US"/>
              </w:rPr>
              <w:t>terminados</w:t>
            </w:r>
            <w:proofErr w:type="spellEnd"/>
          </w:p>
        </w:tc>
        <w:tc>
          <w:tcPr>
            <w:tcW w:w="1394" w:type="dxa"/>
            <w:tcBorders>
              <w:top w:val="nil"/>
              <w:left w:val="nil"/>
              <w:bottom w:val="nil"/>
              <w:right w:val="single" w:sz="4" w:space="0" w:color="auto"/>
            </w:tcBorders>
            <w:shd w:val="clear" w:color="auto" w:fill="auto"/>
            <w:noWrap/>
            <w:vAlign w:val="center"/>
          </w:tcPr>
          <w:p w14:paraId="69116A75"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3 374</w:t>
            </w:r>
          </w:p>
        </w:tc>
        <w:tc>
          <w:tcPr>
            <w:tcW w:w="1395" w:type="dxa"/>
            <w:tcBorders>
              <w:top w:val="nil"/>
              <w:left w:val="nil"/>
              <w:bottom w:val="nil"/>
              <w:right w:val="single" w:sz="4" w:space="0" w:color="auto"/>
            </w:tcBorders>
            <w:shd w:val="clear" w:color="auto" w:fill="auto"/>
            <w:noWrap/>
            <w:vAlign w:val="center"/>
          </w:tcPr>
          <w:p w14:paraId="5C2DE6F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2 583</w:t>
            </w:r>
          </w:p>
        </w:tc>
        <w:tc>
          <w:tcPr>
            <w:tcW w:w="1394" w:type="dxa"/>
            <w:tcBorders>
              <w:top w:val="nil"/>
              <w:left w:val="nil"/>
              <w:bottom w:val="nil"/>
              <w:right w:val="single" w:sz="4" w:space="0" w:color="auto"/>
            </w:tcBorders>
            <w:shd w:val="clear" w:color="auto" w:fill="auto"/>
            <w:noWrap/>
            <w:vAlign w:val="bottom"/>
          </w:tcPr>
          <w:p w14:paraId="6802711D"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-791</w:t>
            </w:r>
          </w:p>
        </w:tc>
        <w:tc>
          <w:tcPr>
            <w:tcW w:w="1289" w:type="dxa"/>
            <w:tcBorders>
              <w:top w:val="nil"/>
              <w:left w:val="nil"/>
              <w:bottom w:val="nil"/>
              <w:right w:val="nil"/>
            </w:tcBorders>
            <w:shd w:val="clear" w:color="auto" w:fill="auto"/>
            <w:noWrap/>
            <w:vAlign w:val="bottom"/>
          </w:tcPr>
          <w:p w14:paraId="40BA4824"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-23,4%</w:t>
            </w:r>
          </w:p>
        </w:tc>
      </w:tr>
      <w:tr w:rsidR="0093441E" w:rsidRPr="002A7673" w14:paraId="00F0084A"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37A89475"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Inactivos</w:t>
            </w:r>
            <w:proofErr w:type="spellEnd"/>
          </w:p>
        </w:tc>
        <w:tc>
          <w:tcPr>
            <w:tcW w:w="1394" w:type="dxa"/>
            <w:tcBorders>
              <w:top w:val="nil"/>
              <w:left w:val="nil"/>
              <w:bottom w:val="nil"/>
              <w:right w:val="single" w:sz="4" w:space="0" w:color="auto"/>
            </w:tcBorders>
            <w:shd w:val="clear" w:color="auto" w:fill="auto"/>
            <w:noWrap/>
            <w:vAlign w:val="center"/>
          </w:tcPr>
          <w:p w14:paraId="59542033"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w:t>
            </w:r>
          </w:p>
        </w:tc>
        <w:tc>
          <w:tcPr>
            <w:tcW w:w="1395" w:type="dxa"/>
            <w:tcBorders>
              <w:top w:val="nil"/>
              <w:left w:val="nil"/>
              <w:bottom w:val="nil"/>
              <w:right w:val="single" w:sz="4" w:space="0" w:color="auto"/>
            </w:tcBorders>
            <w:shd w:val="clear" w:color="auto" w:fill="auto"/>
            <w:noWrap/>
            <w:vAlign w:val="center"/>
          </w:tcPr>
          <w:p w14:paraId="0B641A4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9</w:t>
            </w:r>
          </w:p>
        </w:tc>
        <w:tc>
          <w:tcPr>
            <w:tcW w:w="1394" w:type="dxa"/>
            <w:tcBorders>
              <w:top w:val="nil"/>
              <w:left w:val="nil"/>
              <w:bottom w:val="nil"/>
              <w:right w:val="single" w:sz="4" w:space="0" w:color="auto"/>
            </w:tcBorders>
            <w:shd w:val="clear" w:color="auto" w:fill="auto"/>
            <w:noWrap/>
            <w:vAlign w:val="bottom"/>
          </w:tcPr>
          <w:p w14:paraId="1A4FB4F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-2</w:t>
            </w:r>
          </w:p>
        </w:tc>
        <w:tc>
          <w:tcPr>
            <w:tcW w:w="1289" w:type="dxa"/>
            <w:tcBorders>
              <w:top w:val="nil"/>
              <w:left w:val="nil"/>
              <w:bottom w:val="nil"/>
              <w:right w:val="nil"/>
            </w:tcBorders>
            <w:shd w:val="clear" w:color="auto" w:fill="auto"/>
            <w:noWrap/>
            <w:vAlign w:val="bottom"/>
          </w:tcPr>
          <w:p w14:paraId="7EDD0AB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-28,5%</w:t>
            </w:r>
          </w:p>
        </w:tc>
      </w:tr>
      <w:tr w:rsidR="0093441E" w:rsidRPr="002A7673" w14:paraId="38259967" w14:textId="77777777" w:rsidTr="0048334E">
        <w:trPr>
          <w:trHeight w:val="296"/>
          <w:jc w:val="center"/>
        </w:trPr>
        <w:tc>
          <w:tcPr>
            <w:tcW w:w="3133" w:type="dxa"/>
            <w:tcBorders>
              <w:top w:val="nil"/>
              <w:left w:val="nil"/>
              <w:bottom w:val="single" w:sz="4" w:space="0" w:color="auto"/>
              <w:right w:val="single" w:sz="4" w:space="0" w:color="auto"/>
            </w:tcBorders>
            <w:shd w:val="clear" w:color="auto" w:fill="auto"/>
            <w:noWrap/>
            <w:vAlign w:val="center"/>
            <w:hideMark/>
          </w:tcPr>
          <w:p w14:paraId="137AA639"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Circulante</w:t>
            </w:r>
            <w:proofErr w:type="spellEnd"/>
            <w:r w:rsidRPr="002A7673">
              <w:rPr>
                <w:rFonts w:ascii="Times New Roman" w:hAnsi="Times New Roman" w:cs="Times New Roman"/>
                <w:color w:val="000000"/>
                <w:lang w:val="en-US"/>
              </w:rPr>
              <w:t xml:space="preserve"> al </w:t>
            </w:r>
            <w:proofErr w:type="spellStart"/>
            <w:r w:rsidRPr="002A7673">
              <w:rPr>
                <w:rFonts w:ascii="Times New Roman" w:hAnsi="Times New Roman" w:cs="Times New Roman"/>
                <w:color w:val="000000"/>
                <w:lang w:val="en-US"/>
              </w:rPr>
              <w:t>finalizar</w:t>
            </w:r>
            <w:proofErr w:type="spellEnd"/>
          </w:p>
        </w:tc>
        <w:tc>
          <w:tcPr>
            <w:tcW w:w="1394" w:type="dxa"/>
            <w:tcBorders>
              <w:top w:val="nil"/>
              <w:left w:val="nil"/>
              <w:bottom w:val="single" w:sz="4" w:space="0" w:color="auto"/>
              <w:right w:val="single" w:sz="4" w:space="0" w:color="auto"/>
            </w:tcBorders>
            <w:shd w:val="clear" w:color="auto" w:fill="auto"/>
            <w:noWrap/>
            <w:vAlign w:val="center"/>
          </w:tcPr>
          <w:p w14:paraId="63479A0B"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1 724</w:t>
            </w:r>
          </w:p>
        </w:tc>
        <w:tc>
          <w:tcPr>
            <w:tcW w:w="1395" w:type="dxa"/>
            <w:tcBorders>
              <w:top w:val="nil"/>
              <w:left w:val="nil"/>
              <w:bottom w:val="single" w:sz="4" w:space="0" w:color="auto"/>
              <w:right w:val="single" w:sz="4" w:space="0" w:color="auto"/>
            </w:tcBorders>
            <w:shd w:val="clear" w:color="auto" w:fill="auto"/>
            <w:noWrap/>
            <w:vAlign w:val="center"/>
          </w:tcPr>
          <w:p w14:paraId="4CED8C52"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1 761</w:t>
            </w:r>
          </w:p>
        </w:tc>
        <w:tc>
          <w:tcPr>
            <w:tcW w:w="1394" w:type="dxa"/>
            <w:tcBorders>
              <w:top w:val="nil"/>
              <w:left w:val="nil"/>
              <w:bottom w:val="single" w:sz="4" w:space="0" w:color="auto"/>
              <w:right w:val="single" w:sz="4" w:space="0" w:color="auto"/>
            </w:tcBorders>
            <w:shd w:val="clear" w:color="auto" w:fill="auto"/>
            <w:noWrap/>
            <w:vAlign w:val="bottom"/>
          </w:tcPr>
          <w:p w14:paraId="502D12BC"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37</w:t>
            </w:r>
          </w:p>
        </w:tc>
        <w:tc>
          <w:tcPr>
            <w:tcW w:w="1289" w:type="dxa"/>
            <w:tcBorders>
              <w:top w:val="nil"/>
              <w:left w:val="nil"/>
              <w:bottom w:val="single" w:sz="4" w:space="0" w:color="auto"/>
              <w:right w:val="nil"/>
            </w:tcBorders>
            <w:shd w:val="clear" w:color="auto" w:fill="auto"/>
            <w:noWrap/>
            <w:vAlign w:val="bottom"/>
          </w:tcPr>
          <w:p w14:paraId="6C34942E"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2,1%</w:t>
            </w:r>
          </w:p>
        </w:tc>
      </w:tr>
      <w:tr w:rsidR="0093441E" w:rsidRPr="002A7673" w14:paraId="61097E32" w14:textId="77777777" w:rsidTr="0048334E">
        <w:trPr>
          <w:trHeight w:val="296"/>
          <w:jc w:val="center"/>
        </w:trPr>
        <w:tc>
          <w:tcPr>
            <w:tcW w:w="8605" w:type="dxa"/>
            <w:gridSpan w:val="5"/>
            <w:tcBorders>
              <w:top w:val="single" w:sz="4" w:space="0" w:color="auto"/>
              <w:left w:val="nil"/>
              <w:bottom w:val="nil"/>
              <w:right w:val="nil"/>
            </w:tcBorders>
            <w:shd w:val="clear" w:color="auto" w:fill="auto"/>
            <w:noWrap/>
            <w:vAlign w:val="center"/>
            <w:hideMark/>
          </w:tcPr>
          <w:p w14:paraId="157AE574" w14:textId="77777777" w:rsidR="0093441E" w:rsidRPr="002A7673" w:rsidRDefault="0093441E" w:rsidP="00FF3FAC">
            <w:pPr>
              <w:numPr>
                <w:ilvl w:val="0"/>
                <w:numId w:val="32"/>
              </w:numPr>
              <w:spacing w:after="0" w:line="240" w:lineRule="auto"/>
              <w:contextualSpacing/>
              <w:jc w:val="both"/>
              <w:rPr>
                <w:rFonts w:ascii="Times New Roman" w:eastAsia="Times New Roman" w:hAnsi="Times New Roman" w:cs="Times New Roman"/>
                <w:color w:val="000000"/>
                <w:sz w:val="20"/>
                <w:szCs w:val="20"/>
                <w:lang w:val="es-ES" w:eastAsia="es-ES"/>
              </w:rPr>
            </w:pPr>
            <w:r w:rsidRPr="002A7673">
              <w:rPr>
                <w:rFonts w:ascii="Times New Roman" w:eastAsia="Times New Roman" w:hAnsi="Times New Roman" w:cs="Times New Roman"/>
                <w:color w:val="000000"/>
                <w:sz w:val="20"/>
                <w:szCs w:val="20"/>
                <w:lang w:val="es-ES" w:eastAsia="es-ES"/>
              </w:rPr>
              <w:t>Diferencia de circulantes debido a inconsistencias y ajustes presentados en los despachos.</w:t>
            </w:r>
          </w:p>
          <w:p w14:paraId="26C14F3C" w14:textId="77777777" w:rsidR="0093441E" w:rsidRPr="002A7673" w:rsidRDefault="0093441E" w:rsidP="0048334E">
            <w:pPr>
              <w:spacing w:after="0" w:line="240" w:lineRule="auto"/>
              <w:rPr>
                <w:rFonts w:ascii="Times New Roman" w:hAnsi="Times New Roman" w:cs="Times New Roman"/>
                <w:color w:val="000000"/>
                <w:sz w:val="20"/>
                <w:szCs w:val="20"/>
              </w:rPr>
            </w:pPr>
            <w:r w:rsidRPr="002A7673">
              <w:rPr>
                <w:rFonts w:ascii="Times New Roman" w:hAnsi="Times New Roman" w:cs="Times New Roman"/>
                <w:b/>
                <w:bCs/>
                <w:color w:val="000000"/>
                <w:sz w:val="20"/>
                <w:szCs w:val="20"/>
              </w:rPr>
              <w:t>Fuente:</w:t>
            </w:r>
            <w:r w:rsidRPr="002A7673">
              <w:rPr>
                <w:rFonts w:ascii="Times New Roman" w:hAnsi="Times New Roman" w:cs="Times New Roman"/>
                <w:color w:val="000000"/>
                <w:sz w:val="20"/>
                <w:szCs w:val="20"/>
              </w:rPr>
              <w:t xml:space="preserve"> Subproceso de Estadística, Dirección de Planificación, Poder Judicial.</w:t>
            </w:r>
          </w:p>
        </w:tc>
      </w:tr>
    </w:tbl>
    <w:p w14:paraId="443B365B" w14:textId="77777777" w:rsidR="0093441E" w:rsidRPr="002A7673" w:rsidRDefault="0093441E" w:rsidP="0093441E">
      <w:pPr>
        <w:spacing w:after="0" w:line="360" w:lineRule="auto"/>
        <w:rPr>
          <w:rFonts w:ascii="Times New Roman" w:hAnsi="Times New Roman" w:cs="Times New Roman"/>
        </w:rPr>
      </w:pPr>
    </w:p>
    <w:p w14:paraId="2EA11401"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Durante el 2020 se produce una reducción del ingreso de nuevos casos a este Centro de Responsabilidad, el cual fue de un 23% respecto al año anterior, lo que en términos absolutos significó 675 expedientes menos. Dicho esto, se puede atribuir el descenso a un juzgado, el cual reporta menos casos en tres materias, </w:t>
      </w:r>
      <w:r w:rsidRPr="002A7673">
        <w:rPr>
          <w:rFonts w:ascii="Times New Roman" w:hAnsi="Times New Roman" w:cs="Times New Roman"/>
          <w:i/>
          <w:iCs/>
          <w:sz w:val="28"/>
          <w:szCs w:val="28"/>
        </w:rPr>
        <w:t>Faltas y Contravenciones de Quepos</w:t>
      </w:r>
      <w:r w:rsidRPr="002A7673">
        <w:rPr>
          <w:rFonts w:ascii="Times New Roman" w:hAnsi="Times New Roman" w:cs="Times New Roman"/>
          <w:sz w:val="28"/>
          <w:szCs w:val="28"/>
        </w:rPr>
        <w:t xml:space="preserve"> con 185 expedientes, seguido de </w:t>
      </w:r>
      <w:r w:rsidRPr="002A7673">
        <w:rPr>
          <w:rFonts w:ascii="Times New Roman" w:hAnsi="Times New Roman" w:cs="Times New Roman"/>
          <w:i/>
          <w:iCs/>
          <w:sz w:val="28"/>
          <w:szCs w:val="28"/>
        </w:rPr>
        <w:t>Tránsito de Quepos con 131</w:t>
      </w:r>
      <w:r w:rsidRPr="002A7673">
        <w:rPr>
          <w:rFonts w:ascii="Times New Roman" w:hAnsi="Times New Roman" w:cs="Times New Roman"/>
          <w:sz w:val="28"/>
          <w:szCs w:val="28"/>
        </w:rPr>
        <w:t xml:space="preserve"> y </w:t>
      </w:r>
      <w:r w:rsidRPr="002A7673">
        <w:rPr>
          <w:rFonts w:ascii="Times New Roman" w:hAnsi="Times New Roman" w:cs="Times New Roman"/>
          <w:i/>
          <w:iCs/>
          <w:sz w:val="28"/>
          <w:szCs w:val="28"/>
        </w:rPr>
        <w:t xml:space="preserve">Laboral de Quepos </w:t>
      </w:r>
      <w:r w:rsidRPr="002A7673">
        <w:rPr>
          <w:rFonts w:ascii="Times New Roman" w:hAnsi="Times New Roman" w:cs="Times New Roman"/>
          <w:sz w:val="28"/>
          <w:szCs w:val="28"/>
        </w:rPr>
        <w:t>con 119 casos, por debajo de lo registrado en 2019.</w:t>
      </w:r>
    </w:p>
    <w:p w14:paraId="7489471F" w14:textId="77777777" w:rsidR="0093441E" w:rsidRPr="002A7673" w:rsidRDefault="0093441E" w:rsidP="0093441E">
      <w:pPr>
        <w:spacing w:after="0" w:line="480" w:lineRule="auto"/>
        <w:ind w:firstLine="709"/>
        <w:jc w:val="both"/>
        <w:rPr>
          <w:rFonts w:ascii="Times New Roman" w:hAnsi="Times New Roman" w:cs="Times New Roman"/>
          <w:bCs/>
          <w:i/>
          <w:iCs/>
          <w:sz w:val="28"/>
          <w:szCs w:val="28"/>
        </w:rPr>
      </w:pPr>
      <w:r w:rsidRPr="002A7673">
        <w:rPr>
          <w:rFonts w:ascii="Times New Roman" w:hAnsi="Times New Roman" w:cs="Times New Roman"/>
          <w:bCs/>
          <w:sz w:val="28"/>
          <w:szCs w:val="28"/>
        </w:rPr>
        <w:lastRenderedPageBreak/>
        <w:t xml:space="preserve">Otros despachos que muestran bajas en el ingreso de casos para el período 2020 fueron: </w:t>
      </w:r>
      <w:r w:rsidRPr="002A7673">
        <w:rPr>
          <w:rFonts w:ascii="Times New Roman" w:hAnsi="Times New Roman" w:cs="Times New Roman"/>
          <w:bCs/>
          <w:i/>
          <w:iCs/>
          <w:sz w:val="28"/>
          <w:szCs w:val="28"/>
        </w:rPr>
        <w:t>Tránsito de Parrita (-64), Violencia Doméstica de Quepos (-90)</w:t>
      </w:r>
      <w:r w:rsidRPr="002A7673">
        <w:rPr>
          <w:rFonts w:ascii="Times New Roman" w:hAnsi="Times New Roman" w:cs="Times New Roman"/>
          <w:bCs/>
          <w:sz w:val="28"/>
          <w:szCs w:val="28"/>
        </w:rPr>
        <w:t xml:space="preserve"> y</w:t>
      </w:r>
      <w:r w:rsidRPr="002A7673">
        <w:rPr>
          <w:rFonts w:ascii="Times New Roman" w:hAnsi="Times New Roman" w:cs="Times New Roman"/>
          <w:bCs/>
          <w:i/>
          <w:iCs/>
          <w:sz w:val="28"/>
          <w:szCs w:val="28"/>
        </w:rPr>
        <w:t xml:space="preserve"> Penal Juvenil de Quepos (-44).</w:t>
      </w:r>
    </w:p>
    <w:p w14:paraId="517A6B85" w14:textId="77777777" w:rsidR="0093441E" w:rsidRPr="002A7673" w:rsidRDefault="0093441E" w:rsidP="0093441E">
      <w:pPr>
        <w:spacing w:after="0" w:line="480" w:lineRule="auto"/>
        <w:ind w:firstLine="709"/>
        <w:jc w:val="both"/>
        <w:rPr>
          <w:rFonts w:ascii="Times New Roman" w:hAnsi="Times New Roman" w:cs="Times New Roman"/>
          <w:bCs/>
          <w:sz w:val="28"/>
          <w:szCs w:val="28"/>
        </w:rPr>
      </w:pPr>
      <w:r w:rsidRPr="002A7673">
        <w:rPr>
          <w:rFonts w:ascii="Times New Roman" w:hAnsi="Times New Roman" w:cs="Times New Roman"/>
          <w:bCs/>
          <w:sz w:val="28"/>
          <w:szCs w:val="28"/>
        </w:rPr>
        <w:t>Es importante acotar, con relación al ingreso al país del virus conocido como COVID-19, el cual en gran medida impactó las operaciones de los despachos, tanto a nivel de ingreso de asuntos como también a nivel productivo, lo cual generó una afectación en los balances de gestión del despacho y cargas de trabajo.</w:t>
      </w:r>
    </w:p>
    <w:p w14:paraId="607B9F83"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Terminados:</w:t>
      </w:r>
      <w:r w:rsidRPr="002A7673">
        <w:rPr>
          <w:rFonts w:ascii="Times New Roman" w:hAnsi="Times New Roman" w:cs="Times New Roman"/>
          <w:sz w:val="28"/>
          <w:szCs w:val="28"/>
        </w:rPr>
        <w:t xml:space="preserve"> se redujo en una proporción muy similar a la de casos entrados (-791), generando una baja porcentual del 23,4%. En esa línea destacan tres despachos con disminuciones en la variable, es el caso de </w:t>
      </w:r>
      <w:r w:rsidRPr="002A7673">
        <w:rPr>
          <w:rFonts w:ascii="Times New Roman" w:hAnsi="Times New Roman" w:cs="Times New Roman"/>
          <w:i/>
          <w:iCs/>
          <w:sz w:val="28"/>
          <w:szCs w:val="28"/>
        </w:rPr>
        <w:t>Faltas y Contravenciones de Quepos (-193), Tránsito de Quepos (-185) y Familia de Quepos (-117)</w:t>
      </w:r>
      <w:r w:rsidRPr="002A7673">
        <w:rPr>
          <w:rFonts w:ascii="Times New Roman" w:hAnsi="Times New Roman" w:cs="Times New Roman"/>
          <w:sz w:val="28"/>
          <w:szCs w:val="28"/>
        </w:rPr>
        <w:t>, pues en conjunto sumaron 495 expedientes menos, lo que representa casi dos terceras partes (62,6%) del total de la baja registrada para el período analizado.</w:t>
      </w:r>
    </w:p>
    <w:p w14:paraId="01A3486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Llama la atención como el Juzgado </w:t>
      </w:r>
      <w:r w:rsidRPr="002A7673">
        <w:rPr>
          <w:rFonts w:ascii="Times New Roman" w:hAnsi="Times New Roman" w:cs="Times New Roman"/>
          <w:i/>
          <w:iCs/>
          <w:sz w:val="28"/>
          <w:szCs w:val="28"/>
        </w:rPr>
        <w:t xml:space="preserve">Contravencional y Tránsito </w:t>
      </w:r>
      <w:r w:rsidRPr="002A7673">
        <w:rPr>
          <w:rFonts w:ascii="Times New Roman" w:hAnsi="Times New Roman" w:cs="Times New Roman"/>
          <w:sz w:val="28"/>
          <w:szCs w:val="28"/>
        </w:rPr>
        <w:t>de Quepos son los únicos despachos que experimentaron de forma conjunta, los aumentos y disminuciones más relevantes durante el período evaluado.</w:t>
      </w:r>
    </w:p>
    <w:p w14:paraId="701D226E"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De un total de 11 despachos adscritos, únicamente dos registran aumentos en sus procesos productivos, siendo más relevante el ocurrido en el caso del Juzgado de Violencia Doméstica de Parrita, con un incremento de 30 expedientes respecto al 2019.</w:t>
      </w:r>
    </w:p>
    <w:p w14:paraId="28BECAB4"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Otros aspectos relevantes en torno a la gestión productiva del circuito judicial son:</w:t>
      </w:r>
    </w:p>
    <w:p w14:paraId="3A731A42" w14:textId="77777777" w:rsidR="0093441E" w:rsidRPr="002A7673" w:rsidRDefault="0093441E" w:rsidP="00FF3FAC">
      <w:pPr>
        <w:numPr>
          <w:ilvl w:val="0"/>
          <w:numId w:val="34"/>
        </w:numPr>
        <w:spacing w:after="0" w:line="240" w:lineRule="auto"/>
        <w:ind w:left="0" w:firstLine="709"/>
        <w:contextualSpacing/>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La disminución (-88) experimentada por el Juzgado de Tránsito de Parrita</w:t>
      </w:r>
    </w:p>
    <w:p w14:paraId="6CC318A9" w14:textId="77777777" w:rsidR="0093441E" w:rsidRPr="002A7673" w:rsidRDefault="0093441E" w:rsidP="00FF3FAC">
      <w:pPr>
        <w:numPr>
          <w:ilvl w:val="0"/>
          <w:numId w:val="34"/>
        </w:numPr>
        <w:spacing w:after="0" w:line="240" w:lineRule="auto"/>
        <w:ind w:left="0" w:firstLine="709"/>
        <w:contextualSpacing/>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La disminución contabilizada en el Juzgado Laboral de Quepos (-82).</w:t>
      </w:r>
    </w:p>
    <w:p w14:paraId="1395FE90" w14:textId="348D3F33" w:rsidR="0093441E" w:rsidRPr="002A7673" w:rsidRDefault="0093441E" w:rsidP="00FF3FAC">
      <w:pPr>
        <w:numPr>
          <w:ilvl w:val="0"/>
          <w:numId w:val="34"/>
        </w:numPr>
        <w:spacing w:after="0" w:line="240" w:lineRule="auto"/>
        <w:ind w:left="0" w:firstLine="709"/>
        <w:contextualSpacing/>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La baja registrada para el Juzgado de Violencia Doméstica de Quepos (-82)</w:t>
      </w:r>
    </w:p>
    <w:p w14:paraId="29BE596D" w14:textId="77777777" w:rsidR="00853967" w:rsidRPr="002A7673" w:rsidRDefault="00853967" w:rsidP="00853967">
      <w:pPr>
        <w:spacing w:after="0" w:line="240" w:lineRule="auto"/>
        <w:ind w:left="709"/>
        <w:contextualSpacing/>
        <w:jc w:val="both"/>
        <w:rPr>
          <w:rFonts w:ascii="Times New Roman" w:eastAsia="Times New Roman" w:hAnsi="Times New Roman" w:cs="Times New Roman"/>
          <w:sz w:val="28"/>
          <w:szCs w:val="28"/>
          <w:lang w:val="es-ES" w:eastAsia="es-ES"/>
        </w:rPr>
      </w:pPr>
    </w:p>
    <w:p w14:paraId="7C5394D4"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Circulante final:</w:t>
      </w:r>
      <w:r w:rsidRPr="002A7673">
        <w:rPr>
          <w:rFonts w:ascii="Times New Roman" w:hAnsi="Times New Roman" w:cs="Times New Roman"/>
          <w:sz w:val="28"/>
          <w:szCs w:val="28"/>
        </w:rPr>
        <w:t xml:space="preserve"> De forma conjunta este centro de responsabilidad inició labores en 2020 con un circulante de 1.722 expedientes y cerró el período con un total de 1.761, período que dejó un leve incremento en su carga de trabajo para el inicio de 2021 de 39 expedientes. De conformidad con las cargas de trabajo de cada uno de los despachos, es posible determinar que algunos de ellos como es el caso del Juzgado Laboral (+65), Violencia Doméstica (+15) y Familia de Quepos (+11), así como Violencia Doméstica de Parrita (+10), registran leves incrementos en el circulante final tras el cierre del período. Entre los despachos que más redujeron su circulante en trámite están los juzgados de Tránsito (-22), Faltas y Contravenciones (-22) de Quepos y Faltas y Contravenciones de Parrita (-18).</w:t>
      </w:r>
    </w:p>
    <w:p w14:paraId="2D8183E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Inactividad de expedientes</w:t>
      </w:r>
      <w:r w:rsidRPr="002A7673">
        <w:rPr>
          <w:rFonts w:ascii="Times New Roman" w:hAnsi="Times New Roman" w:cs="Times New Roman"/>
          <w:sz w:val="28"/>
          <w:szCs w:val="28"/>
        </w:rPr>
        <w:t>: durante el 2020 se registraron únicamente nueve expedientes inactivos, dos casos más respecto al año anterior.</w:t>
      </w:r>
    </w:p>
    <w:p w14:paraId="5CADE43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 xml:space="preserve">Actividad de Reactivados: </w:t>
      </w:r>
      <w:r w:rsidRPr="002A7673">
        <w:rPr>
          <w:rFonts w:ascii="Times New Roman" w:hAnsi="Times New Roman" w:cs="Times New Roman"/>
          <w:bCs/>
          <w:sz w:val="28"/>
          <w:szCs w:val="28"/>
        </w:rPr>
        <w:t>c</w:t>
      </w:r>
      <w:r w:rsidRPr="002A7673">
        <w:rPr>
          <w:rFonts w:ascii="Times New Roman" w:hAnsi="Times New Roman" w:cs="Times New Roman"/>
          <w:sz w:val="28"/>
          <w:szCs w:val="28"/>
        </w:rPr>
        <w:t xml:space="preserve">on la </w:t>
      </w:r>
      <w:proofErr w:type="gramStart"/>
      <w:r w:rsidRPr="002A7673">
        <w:rPr>
          <w:rFonts w:ascii="Times New Roman" w:hAnsi="Times New Roman" w:cs="Times New Roman"/>
          <w:sz w:val="28"/>
          <w:szCs w:val="28"/>
        </w:rPr>
        <w:t>entrada en vigencia</w:t>
      </w:r>
      <w:proofErr w:type="gramEnd"/>
      <w:r w:rsidRPr="002A7673">
        <w:rPr>
          <w:rFonts w:ascii="Times New Roman" w:hAnsi="Times New Roman" w:cs="Times New Roman"/>
          <w:sz w:val="28"/>
          <w:szCs w:val="28"/>
        </w:rPr>
        <w:t xml:space="preserve"> de la Reforma Civil y la Ley de Cobro Judicial, se agrega la variable “Casos reactivados”, la cual se define como </w:t>
      </w:r>
      <w:r w:rsidRPr="002A7673">
        <w:rPr>
          <w:rFonts w:ascii="Times New Roman" w:hAnsi="Times New Roman" w:cs="Times New Roman"/>
          <w:sz w:val="28"/>
          <w:szCs w:val="28"/>
        </w:rPr>
        <w:lastRenderedPageBreak/>
        <w:t>aquellos expedientes que permanecían inactivos, y que por impulso de las partes se les presentan gestiones para continuar con su trámite o propiciar su futura finalización. Como puede observarse, la cantidad de estos expedientes en 2020 fue de cuatro expedientes, sin embargo, esa cifra representa un incremento respecto de la cantidad obtenida un año atrás, la cual fue de cero casos.</w:t>
      </w:r>
    </w:p>
    <w:p w14:paraId="1618439C"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Incremento en Testimonios de Piezas:</w:t>
      </w:r>
      <w:r w:rsidRPr="002A7673">
        <w:rPr>
          <w:rFonts w:ascii="Times New Roman" w:hAnsi="Times New Roman" w:cs="Times New Roman"/>
          <w:sz w:val="28"/>
          <w:szCs w:val="28"/>
        </w:rPr>
        <w:t xml:space="preserve"> para el período analizado, se determina un incremento de un 61% más, respecto de los testimonios de piezas contabilizados en 2019, lo que en valores absolutos equivale a 197 expedientes más. Este evento guarda estrecha relación con la gestión emprendida por el Juzgado de Violencia Doméstica de Quepos, el cual pasó de generar 134 testimonios en el 2019 a 238 en el 2020.</w:t>
      </w:r>
    </w:p>
    <w:p w14:paraId="3BE66B4C" w14:textId="77777777" w:rsidR="0093441E" w:rsidRPr="002A7673" w:rsidRDefault="0093441E" w:rsidP="0093441E">
      <w:pPr>
        <w:spacing w:after="0" w:line="240" w:lineRule="auto"/>
        <w:jc w:val="center"/>
        <w:rPr>
          <w:rFonts w:ascii="Times New Roman" w:hAnsi="Times New Roman" w:cs="Times New Roman"/>
          <w:b/>
        </w:rPr>
      </w:pPr>
    </w:p>
    <w:p w14:paraId="11AF2239" w14:textId="77777777" w:rsidR="0093441E" w:rsidRPr="002A7673" w:rsidRDefault="0093441E" w:rsidP="00FF3FAC">
      <w:pPr>
        <w:numPr>
          <w:ilvl w:val="0"/>
          <w:numId w:val="31"/>
        </w:numPr>
        <w:spacing w:after="0" w:line="240" w:lineRule="auto"/>
        <w:ind w:hanging="1004"/>
        <w:jc w:val="center"/>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Análisis del comportamiento interanual del balance general entre 2019 y 2020 para el centro de responsabilidad I Circuito Judicial de la Zona Sur</w:t>
      </w:r>
    </w:p>
    <w:tbl>
      <w:tblPr>
        <w:tblW w:w="8605" w:type="dxa"/>
        <w:jc w:val="center"/>
        <w:tblLook w:val="04A0" w:firstRow="1" w:lastRow="0" w:firstColumn="1" w:lastColumn="0" w:noHBand="0" w:noVBand="1"/>
      </w:tblPr>
      <w:tblGrid>
        <w:gridCol w:w="3133"/>
        <w:gridCol w:w="1394"/>
        <w:gridCol w:w="1395"/>
        <w:gridCol w:w="1394"/>
        <w:gridCol w:w="1289"/>
      </w:tblGrid>
      <w:tr w:rsidR="0093441E" w:rsidRPr="002A7673" w14:paraId="1E070B5F" w14:textId="77777777" w:rsidTr="0048334E">
        <w:trPr>
          <w:trHeight w:val="296"/>
          <w:jc w:val="center"/>
        </w:trPr>
        <w:tc>
          <w:tcPr>
            <w:tcW w:w="3133" w:type="dxa"/>
            <w:tcBorders>
              <w:top w:val="nil"/>
              <w:left w:val="nil"/>
              <w:bottom w:val="nil"/>
              <w:right w:val="nil"/>
            </w:tcBorders>
            <w:shd w:val="clear" w:color="auto" w:fill="auto"/>
            <w:noWrap/>
            <w:vAlign w:val="bottom"/>
            <w:hideMark/>
          </w:tcPr>
          <w:p w14:paraId="06C08F7F" w14:textId="77777777" w:rsidR="0093441E" w:rsidRPr="002A7673" w:rsidRDefault="0093441E" w:rsidP="0048334E">
            <w:pPr>
              <w:spacing w:after="0" w:line="240" w:lineRule="auto"/>
              <w:rPr>
                <w:rFonts w:ascii="Times New Roman" w:hAnsi="Times New Roman" w:cs="Times New Roman"/>
                <w:b/>
                <w:color w:val="000000"/>
                <w:sz w:val="26"/>
                <w:szCs w:val="26"/>
              </w:rPr>
            </w:pPr>
          </w:p>
        </w:tc>
        <w:tc>
          <w:tcPr>
            <w:tcW w:w="1394" w:type="dxa"/>
            <w:tcBorders>
              <w:top w:val="nil"/>
              <w:left w:val="nil"/>
              <w:bottom w:val="nil"/>
              <w:right w:val="nil"/>
            </w:tcBorders>
            <w:shd w:val="clear" w:color="auto" w:fill="auto"/>
            <w:noWrap/>
            <w:vAlign w:val="bottom"/>
            <w:hideMark/>
          </w:tcPr>
          <w:p w14:paraId="244DA3C0" w14:textId="77777777" w:rsidR="0093441E" w:rsidRPr="002A7673" w:rsidRDefault="0093441E" w:rsidP="0048334E">
            <w:pPr>
              <w:spacing w:after="0" w:line="240" w:lineRule="auto"/>
              <w:rPr>
                <w:rFonts w:ascii="Times New Roman" w:hAnsi="Times New Roman" w:cs="Times New Roman"/>
                <w:color w:val="000000"/>
                <w:sz w:val="26"/>
                <w:szCs w:val="26"/>
              </w:rPr>
            </w:pPr>
          </w:p>
        </w:tc>
        <w:tc>
          <w:tcPr>
            <w:tcW w:w="1395" w:type="dxa"/>
            <w:tcBorders>
              <w:top w:val="nil"/>
              <w:left w:val="nil"/>
              <w:bottom w:val="nil"/>
              <w:right w:val="nil"/>
            </w:tcBorders>
            <w:shd w:val="clear" w:color="auto" w:fill="auto"/>
            <w:noWrap/>
            <w:vAlign w:val="bottom"/>
            <w:hideMark/>
          </w:tcPr>
          <w:p w14:paraId="518FC175" w14:textId="77777777" w:rsidR="0093441E" w:rsidRPr="002A7673" w:rsidRDefault="0093441E" w:rsidP="0048334E">
            <w:pPr>
              <w:spacing w:after="0" w:line="240" w:lineRule="auto"/>
              <w:rPr>
                <w:rFonts w:ascii="Times New Roman" w:hAnsi="Times New Roman" w:cs="Times New Roman"/>
                <w:sz w:val="26"/>
                <w:szCs w:val="26"/>
              </w:rPr>
            </w:pPr>
          </w:p>
        </w:tc>
        <w:tc>
          <w:tcPr>
            <w:tcW w:w="1394" w:type="dxa"/>
            <w:tcBorders>
              <w:top w:val="nil"/>
              <w:left w:val="nil"/>
              <w:bottom w:val="nil"/>
              <w:right w:val="nil"/>
            </w:tcBorders>
            <w:shd w:val="clear" w:color="auto" w:fill="auto"/>
            <w:noWrap/>
            <w:vAlign w:val="bottom"/>
            <w:hideMark/>
          </w:tcPr>
          <w:p w14:paraId="12FD9500" w14:textId="77777777" w:rsidR="0093441E" w:rsidRPr="002A7673" w:rsidRDefault="0093441E" w:rsidP="0048334E">
            <w:pPr>
              <w:spacing w:after="0" w:line="240" w:lineRule="auto"/>
              <w:rPr>
                <w:rFonts w:ascii="Times New Roman" w:hAnsi="Times New Roman" w:cs="Times New Roman"/>
                <w:sz w:val="26"/>
                <w:szCs w:val="26"/>
              </w:rPr>
            </w:pPr>
          </w:p>
        </w:tc>
        <w:tc>
          <w:tcPr>
            <w:tcW w:w="1289" w:type="dxa"/>
            <w:tcBorders>
              <w:top w:val="nil"/>
              <w:left w:val="nil"/>
              <w:bottom w:val="nil"/>
              <w:right w:val="nil"/>
            </w:tcBorders>
            <w:shd w:val="clear" w:color="auto" w:fill="auto"/>
            <w:noWrap/>
            <w:vAlign w:val="bottom"/>
            <w:hideMark/>
          </w:tcPr>
          <w:p w14:paraId="2549DF44" w14:textId="77777777" w:rsidR="0093441E" w:rsidRPr="002A7673" w:rsidRDefault="0093441E" w:rsidP="0048334E">
            <w:pPr>
              <w:spacing w:after="0" w:line="240" w:lineRule="auto"/>
              <w:rPr>
                <w:rFonts w:ascii="Times New Roman" w:hAnsi="Times New Roman" w:cs="Times New Roman"/>
                <w:sz w:val="26"/>
                <w:szCs w:val="26"/>
              </w:rPr>
            </w:pPr>
          </w:p>
        </w:tc>
      </w:tr>
      <w:tr w:rsidR="0093441E" w:rsidRPr="002A7673" w14:paraId="3930E48E" w14:textId="77777777" w:rsidTr="0048334E">
        <w:trPr>
          <w:trHeight w:val="456"/>
          <w:jc w:val="center"/>
        </w:trPr>
        <w:tc>
          <w:tcPr>
            <w:tcW w:w="8605" w:type="dxa"/>
            <w:gridSpan w:val="5"/>
            <w:tcBorders>
              <w:top w:val="nil"/>
              <w:left w:val="nil"/>
              <w:bottom w:val="single" w:sz="4" w:space="0" w:color="auto"/>
              <w:right w:val="nil"/>
            </w:tcBorders>
            <w:shd w:val="clear" w:color="auto" w:fill="auto"/>
            <w:vAlign w:val="bottom"/>
            <w:hideMark/>
          </w:tcPr>
          <w:p w14:paraId="0F4C02EC" w14:textId="77777777" w:rsidR="0093441E" w:rsidRPr="002A7673" w:rsidRDefault="0093441E" w:rsidP="0048334E">
            <w:pPr>
              <w:spacing w:after="0" w:line="240" w:lineRule="auto"/>
              <w:jc w:val="center"/>
              <w:rPr>
                <w:rFonts w:ascii="Times New Roman" w:hAnsi="Times New Roman" w:cs="Times New Roman"/>
                <w:b/>
                <w:bCs/>
                <w:color w:val="000000"/>
                <w:sz w:val="26"/>
                <w:szCs w:val="26"/>
              </w:rPr>
            </w:pPr>
            <w:r w:rsidRPr="002A7673">
              <w:rPr>
                <w:rFonts w:ascii="Times New Roman" w:hAnsi="Times New Roman" w:cs="Times New Roman"/>
                <w:b/>
                <w:bCs/>
                <w:color w:val="000000"/>
                <w:sz w:val="26"/>
                <w:szCs w:val="26"/>
              </w:rPr>
              <w:t>Comparación del Balance General para el centro de responsabilidad del I Circuito Judicial de Zona Sur, período 2019-2020</w:t>
            </w:r>
          </w:p>
          <w:p w14:paraId="7218CF2E" w14:textId="77777777" w:rsidR="0093441E" w:rsidRPr="002A7673" w:rsidRDefault="0093441E" w:rsidP="0048334E">
            <w:pPr>
              <w:spacing w:after="0" w:line="240" w:lineRule="auto"/>
              <w:rPr>
                <w:rFonts w:ascii="Times New Roman" w:hAnsi="Times New Roman" w:cs="Times New Roman"/>
                <w:b/>
                <w:bCs/>
                <w:color w:val="000000"/>
                <w:sz w:val="26"/>
                <w:szCs w:val="26"/>
              </w:rPr>
            </w:pPr>
          </w:p>
          <w:p w14:paraId="3CD1016F" w14:textId="77777777" w:rsidR="0093441E" w:rsidRPr="002A7673" w:rsidRDefault="0093441E" w:rsidP="0048334E">
            <w:pPr>
              <w:spacing w:after="0" w:line="240" w:lineRule="auto"/>
              <w:rPr>
                <w:rFonts w:ascii="Times New Roman" w:hAnsi="Times New Roman" w:cs="Times New Roman"/>
                <w:b/>
                <w:bCs/>
                <w:color w:val="000000"/>
                <w:sz w:val="26"/>
                <w:szCs w:val="26"/>
              </w:rPr>
            </w:pPr>
          </w:p>
        </w:tc>
      </w:tr>
      <w:tr w:rsidR="0093441E" w:rsidRPr="002A7673" w14:paraId="12556014" w14:textId="77777777" w:rsidTr="0048334E">
        <w:trPr>
          <w:trHeight w:val="296"/>
          <w:jc w:val="center"/>
        </w:trPr>
        <w:tc>
          <w:tcPr>
            <w:tcW w:w="3133" w:type="dxa"/>
            <w:vMerge w:val="restart"/>
            <w:tcBorders>
              <w:top w:val="nil"/>
              <w:left w:val="nil"/>
              <w:bottom w:val="single" w:sz="4" w:space="0" w:color="000000"/>
              <w:right w:val="nil"/>
            </w:tcBorders>
            <w:shd w:val="clear" w:color="auto" w:fill="auto"/>
            <w:vAlign w:val="center"/>
            <w:hideMark/>
          </w:tcPr>
          <w:p w14:paraId="23BCDE46" w14:textId="77777777" w:rsidR="0093441E" w:rsidRPr="002A7673" w:rsidRDefault="0093441E" w:rsidP="0048334E">
            <w:pPr>
              <w:spacing w:after="0" w:line="240" w:lineRule="auto"/>
              <w:rPr>
                <w:rFonts w:ascii="Times New Roman" w:hAnsi="Times New Roman" w:cs="Times New Roman"/>
                <w:b/>
                <w:bCs/>
                <w:color w:val="000000"/>
                <w:lang w:val="en-US"/>
              </w:rPr>
            </w:pPr>
            <w:r w:rsidRPr="002A7673">
              <w:rPr>
                <w:rFonts w:ascii="Times New Roman" w:hAnsi="Times New Roman" w:cs="Times New Roman"/>
                <w:b/>
                <w:bCs/>
                <w:color w:val="000000"/>
                <w:lang w:val="en-US"/>
              </w:rPr>
              <w:t xml:space="preserve">Variable </w:t>
            </w:r>
            <w:proofErr w:type="spellStart"/>
            <w:r w:rsidRPr="002A7673">
              <w:rPr>
                <w:rFonts w:ascii="Times New Roman" w:hAnsi="Times New Roman" w:cs="Times New Roman"/>
                <w:b/>
                <w:bCs/>
                <w:color w:val="000000"/>
                <w:lang w:val="en-US"/>
              </w:rPr>
              <w:t>Estadística</w:t>
            </w:r>
            <w:proofErr w:type="spellEnd"/>
          </w:p>
        </w:tc>
        <w:tc>
          <w:tcPr>
            <w:tcW w:w="278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FA7F03C"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Año</w:t>
            </w:r>
            <w:proofErr w:type="spellEnd"/>
          </w:p>
        </w:tc>
        <w:tc>
          <w:tcPr>
            <w:tcW w:w="2683" w:type="dxa"/>
            <w:gridSpan w:val="2"/>
            <w:tcBorders>
              <w:top w:val="single" w:sz="4" w:space="0" w:color="auto"/>
              <w:left w:val="single" w:sz="4" w:space="0" w:color="auto"/>
              <w:bottom w:val="single" w:sz="4" w:space="0" w:color="auto"/>
            </w:tcBorders>
            <w:shd w:val="clear" w:color="auto" w:fill="auto"/>
            <w:vAlign w:val="center"/>
          </w:tcPr>
          <w:p w14:paraId="08B7E83F"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Variación</w:t>
            </w:r>
            <w:proofErr w:type="spellEnd"/>
          </w:p>
        </w:tc>
      </w:tr>
      <w:tr w:rsidR="0093441E" w:rsidRPr="002A7673" w14:paraId="70886432" w14:textId="77777777" w:rsidTr="0048334E">
        <w:trPr>
          <w:trHeight w:val="296"/>
          <w:jc w:val="center"/>
        </w:trPr>
        <w:tc>
          <w:tcPr>
            <w:tcW w:w="3133" w:type="dxa"/>
            <w:vMerge/>
            <w:tcBorders>
              <w:top w:val="nil"/>
              <w:left w:val="nil"/>
              <w:bottom w:val="single" w:sz="4" w:space="0" w:color="000000"/>
              <w:right w:val="nil"/>
            </w:tcBorders>
            <w:vAlign w:val="center"/>
            <w:hideMark/>
          </w:tcPr>
          <w:p w14:paraId="705392AA" w14:textId="77777777" w:rsidR="0093441E" w:rsidRPr="002A7673" w:rsidRDefault="0093441E" w:rsidP="0048334E">
            <w:pPr>
              <w:spacing w:after="0" w:line="240" w:lineRule="auto"/>
              <w:rPr>
                <w:rFonts w:ascii="Times New Roman" w:hAnsi="Times New Roman" w:cs="Times New Roman"/>
                <w:b/>
                <w:bCs/>
                <w:color w:val="000000"/>
                <w:lang w:val="en-US"/>
              </w:rPr>
            </w:pPr>
          </w:p>
        </w:tc>
        <w:tc>
          <w:tcPr>
            <w:tcW w:w="1394" w:type="dxa"/>
            <w:tcBorders>
              <w:top w:val="nil"/>
              <w:left w:val="single" w:sz="4" w:space="0" w:color="auto"/>
              <w:bottom w:val="single" w:sz="4" w:space="0" w:color="auto"/>
              <w:right w:val="single" w:sz="4" w:space="0" w:color="auto"/>
            </w:tcBorders>
            <w:shd w:val="clear" w:color="auto" w:fill="auto"/>
            <w:vAlign w:val="center"/>
            <w:hideMark/>
          </w:tcPr>
          <w:p w14:paraId="512E74D3" w14:textId="77777777" w:rsidR="0093441E" w:rsidRPr="002A7673" w:rsidRDefault="0093441E" w:rsidP="0048334E">
            <w:pPr>
              <w:spacing w:after="0" w:line="240" w:lineRule="auto"/>
              <w:jc w:val="center"/>
              <w:rPr>
                <w:rFonts w:ascii="Times New Roman" w:hAnsi="Times New Roman" w:cs="Times New Roman"/>
                <w:b/>
                <w:bCs/>
                <w:color w:val="000000"/>
                <w:lang w:val="en-US"/>
              </w:rPr>
            </w:pPr>
            <w:r w:rsidRPr="002A7673">
              <w:rPr>
                <w:rFonts w:ascii="Times New Roman" w:hAnsi="Times New Roman" w:cs="Times New Roman"/>
                <w:b/>
                <w:bCs/>
                <w:color w:val="000000"/>
                <w:lang w:val="en-US"/>
              </w:rPr>
              <w:t>2019</w:t>
            </w:r>
          </w:p>
        </w:tc>
        <w:tc>
          <w:tcPr>
            <w:tcW w:w="1395" w:type="dxa"/>
            <w:tcBorders>
              <w:top w:val="nil"/>
              <w:left w:val="nil"/>
              <w:bottom w:val="single" w:sz="4" w:space="0" w:color="auto"/>
              <w:right w:val="single" w:sz="4" w:space="0" w:color="auto"/>
            </w:tcBorders>
            <w:shd w:val="clear" w:color="auto" w:fill="auto"/>
            <w:vAlign w:val="center"/>
            <w:hideMark/>
          </w:tcPr>
          <w:p w14:paraId="7E44A03C" w14:textId="77777777" w:rsidR="0093441E" w:rsidRPr="002A7673" w:rsidRDefault="0093441E" w:rsidP="0048334E">
            <w:pPr>
              <w:spacing w:after="0" w:line="240" w:lineRule="auto"/>
              <w:jc w:val="center"/>
              <w:rPr>
                <w:rFonts w:ascii="Times New Roman" w:hAnsi="Times New Roman" w:cs="Times New Roman"/>
                <w:b/>
                <w:bCs/>
                <w:color w:val="000000"/>
                <w:lang w:val="en-US"/>
              </w:rPr>
            </w:pPr>
            <w:r w:rsidRPr="002A7673">
              <w:rPr>
                <w:rFonts w:ascii="Times New Roman" w:hAnsi="Times New Roman" w:cs="Times New Roman"/>
                <w:b/>
                <w:bCs/>
                <w:color w:val="000000"/>
                <w:lang w:val="en-US"/>
              </w:rPr>
              <w:t>2020</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14:paraId="29C418FB"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Absoluta</w:t>
            </w:r>
            <w:proofErr w:type="spellEnd"/>
          </w:p>
        </w:tc>
        <w:tc>
          <w:tcPr>
            <w:tcW w:w="1289" w:type="dxa"/>
            <w:tcBorders>
              <w:top w:val="single" w:sz="4" w:space="0" w:color="auto"/>
              <w:left w:val="single" w:sz="4" w:space="0" w:color="auto"/>
              <w:bottom w:val="single" w:sz="4" w:space="0" w:color="auto"/>
            </w:tcBorders>
            <w:shd w:val="clear" w:color="auto" w:fill="auto"/>
            <w:vAlign w:val="center"/>
          </w:tcPr>
          <w:p w14:paraId="62FF2056" w14:textId="77777777" w:rsidR="0093441E" w:rsidRPr="002A7673" w:rsidRDefault="0093441E" w:rsidP="0048334E">
            <w:pPr>
              <w:spacing w:after="0" w:line="240" w:lineRule="auto"/>
              <w:jc w:val="center"/>
              <w:rPr>
                <w:rFonts w:ascii="Times New Roman" w:hAnsi="Times New Roman" w:cs="Times New Roman"/>
                <w:b/>
                <w:bCs/>
                <w:color w:val="000000"/>
                <w:lang w:val="en-US"/>
              </w:rPr>
            </w:pPr>
            <w:proofErr w:type="spellStart"/>
            <w:r w:rsidRPr="002A7673">
              <w:rPr>
                <w:rFonts w:ascii="Times New Roman" w:hAnsi="Times New Roman" w:cs="Times New Roman"/>
                <w:b/>
                <w:bCs/>
                <w:color w:val="000000"/>
                <w:lang w:val="en-US"/>
              </w:rPr>
              <w:t>Relativa</w:t>
            </w:r>
            <w:proofErr w:type="spellEnd"/>
          </w:p>
        </w:tc>
      </w:tr>
      <w:tr w:rsidR="0093441E" w:rsidRPr="002A7673" w14:paraId="40053536"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3B78D404"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Circulante</w:t>
            </w:r>
            <w:proofErr w:type="spellEnd"/>
            <w:r w:rsidRPr="002A7673">
              <w:rPr>
                <w:rFonts w:ascii="Times New Roman" w:hAnsi="Times New Roman" w:cs="Times New Roman"/>
                <w:color w:val="000000"/>
                <w:lang w:val="en-US"/>
              </w:rPr>
              <w:t xml:space="preserve"> al </w:t>
            </w:r>
            <w:proofErr w:type="spellStart"/>
            <w:r w:rsidRPr="002A7673">
              <w:rPr>
                <w:rFonts w:ascii="Times New Roman" w:hAnsi="Times New Roman" w:cs="Times New Roman"/>
                <w:color w:val="000000"/>
                <w:lang w:val="en-US"/>
              </w:rPr>
              <w:t>iniciar</w:t>
            </w:r>
            <w:proofErr w:type="spellEnd"/>
          </w:p>
        </w:tc>
        <w:tc>
          <w:tcPr>
            <w:tcW w:w="1394" w:type="dxa"/>
            <w:tcBorders>
              <w:top w:val="nil"/>
              <w:left w:val="nil"/>
              <w:bottom w:val="nil"/>
              <w:right w:val="single" w:sz="4" w:space="0" w:color="auto"/>
            </w:tcBorders>
            <w:shd w:val="clear" w:color="auto" w:fill="auto"/>
            <w:noWrap/>
            <w:vAlign w:val="center"/>
          </w:tcPr>
          <w:p w14:paraId="256A6F0D"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38 903</w:t>
            </w:r>
          </w:p>
        </w:tc>
        <w:tc>
          <w:tcPr>
            <w:tcW w:w="1395" w:type="dxa"/>
            <w:tcBorders>
              <w:top w:val="nil"/>
              <w:left w:val="nil"/>
              <w:bottom w:val="nil"/>
              <w:right w:val="single" w:sz="4" w:space="0" w:color="auto"/>
            </w:tcBorders>
            <w:shd w:val="clear" w:color="auto" w:fill="auto"/>
            <w:noWrap/>
            <w:vAlign w:val="center"/>
          </w:tcPr>
          <w:p w14:paraId="7F331824"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38 443</w:t>
            </w:r>
          </w:p>
        </w:tc>
        <w:tc>
          <w:tcPr>
            <w:tcW w:w="1394" w:type="dxa"/>
            <w:tcBorders>
              <w:top w:val="nil"/>
              <w:left w:val="nil"/>
              <w:bottom w:val="nil"/>
              <w:right w:val="single" w:sz="4" w:space="0" w:color="auto"/>
            </w:tcBorders>
            <w:shd w:val="clear" w:color="auto" w:fill="auto"/>
            <w:noWrap/>
            <w:vAlign w:val="bottom"/>
          </w:tcPr>
          <w:p w14:paraId="663215C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-460</w:t>
            </w:r>
          </w:p>
        </w:tc>
        <w:tc>
          <w:tcPr>
            <w:tcW w:w="1289" w:type="dxa"/>
            <w:tcBorders>
              <w:top w:val="nil"/>
              <w:left w:val="nil"/>
              <w:bottom w:val="nil"/>
              <w:right w:val="nil"/>
            </w:tcBorders>
            <w:shd w:val="clear" w:color="auto" w:fill="auto"/>
            <w:noWrap/>
            <w:vAlign w:val="bottom"/>
          </w:tcPr>
          <w:p w14:paraId="2A7AB1D6"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-1,2%</w:t>
            </w:r>
          </w:p>
        </w:tc>
      </w:tr>
      <w:tr w:rsidR="0093441E" w:rsidRPr="002A7673" w14:paraId="2911D7D9"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22D7239F"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Casos </w:t>
            </w:r>
            <w:proofErr w:type="spellStart"/>
            <w:r w:rsidRPr="002A7673">
              <w:rPr>
                <w:rFonts w:ascii="Times New Roman" w:hAnsi="Times New Roman" w:cs="Times New Roman"/>
                <w:color w:val="000000"/>
                <w:lang w:val="en-US"/>
              </w:rPr>
              <w:t>entrados</w:t>
            </w:r>
            <w:proofErr w:type="spellEnd"/>
          </w:p>
        </w:tc>
        <w:tc>
          <w:tcPr>
            <w:tcW w:w="1394" w:type="dxa"/>
            <w:tcBorders>
              <w:top w:val="nil"/>
              <w:left w:val="nil"/>
              <w:bottom w:val="nil"/>
              <w:right w:val="single" w:sz="4" w:space="0" w:color="auto"/>
            </w:tcBorders>
            <w:shd w:val="clear" w:color="auto" w:fill="auto"/>
            <w:noWrap/>
            <w:vAlign w:val="center"/>
          </w:tcPr>
          <w:p w14:paraId="327E5DC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26 249</w:t>
            </w:r>
          </w:p>
        </w:tc>
        <w:tc>
          <w:tcPr>
            <w:tcW w:w="1395" w:type="dxa"/>
            <w:tcBorders>
              <w:top w:val="nil"/>
              <w:left w:val="nil"/>
              <w:bottom w:val="nil"/>
              <w:right w:val="single" w:sz="4" w:space="0" w:color="auto"/>
            </w:tcBorders>
            <w:shd w:val="clear" w:color="auto" w:fill="auto"/>
            <w:noWrap/>
            <w:vAlign w:val="center"/>
          </w:tcPr>
          <w:p w14:paraId="34E0A563"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20 095</w:t>
            </w:r>
          </w:p>
        </w:tc>
        <w:tc>
          <w:tcPr>
            <w:tcW w:w="1394" w:type="dxa"/>
            <w:tcBorders>
              <w:top w:val="nil"/>
              <w:left w:val="nil"/>
              <w:bottom w:val="nil"/>
              <w:right w:val="single" w:sz="4" w:space="0" w:color="auto"/>
            </w:tcBorders>
            <w:shd w:val="clear" w:color="auto" w:fill="auto"/>
            <w:noWrap/>
            <w:vAlign w:val="bottom"/>
          </w:tcPr>
          <w:p w14:paraId="293597BD"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-6 154</w:t>
            </w:r>
          </w:p>
        </w:tc>
        <w:tc>
          <w:tcPr>
            <w:tcW w:w="1289" w:type="dxa"/>
            <w:tcBorders>
              <w:top w:val="nil"/>
              <w:left w:val="nil"/>
              <w:bottom w:val="nil"/>
              <w:right w:val="nil"/>
            </w:tcBorders>
            <w:shd w:val="clear" w:color="auto" w:fill="auto"/>
            <w:noWrap/>
            <w:vAlign w:val="bottom"/>
          </w:tcPr>
          <w:p w14:paraId="080B002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-23,4%</w:t>
            </w:r>
          </w:p>
        </w:tc>
      </w:tr>
      <w:tr w:rsidR="0093441E" w:rsidRPr="002A7673" w14:paraId="6E281870"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2C926717"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Casos </w:t>
            </w:r>
            <w:proofErr w:type="spellStart"/>
            <w:r w:rsidRPr="002A7673">
              <w:rPr>
                <w:rFonts w:ascii="Times New Roman" w:hAnsi="Times New Roman" w:cs="Times New Roman"/>
                <w:color w:val="000000"/>
                <w:lang w:val="en-US"/>
              </w:rPr>
              <w:t>reentrados</w:t>
            </w:r>
            <w:proofErr w:type="spellEnd"/>
          </w:p>
        </w:tc>
        <w:tc>
          <w:tcPr>
            <w:tcW w:w="1394" w:type="dxa"/>
            <w:tcBorders>
              <w:top w:val="nil"/>
              <w:left w:val="nil"/>
              <w:bottom w:val="nil"/>
              <w:right w:val="single" w:sz="4" w:space="0" w:color="auto"/>
            </w:tcBorders>
            <w:shd w:val="clear" w:color="auto" w:fill="auto"/>
            <w:noWrap/>
            <w:vAlign w:val="center"/>
          </w:tcPr>
          <w:p w14:paraId="0789AD3C"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4 561</w:t>
            </w:r>
          </w:p>
        </w:tc>
        <w:tc>
          <w:tcPr>
            <w:tcW w:w="1395" w:type="dxa"/>
            <w:tcBorders>
              <w:top w:val="nil"/>
              <w:left w:val="nil"/>
              <w:bottom w:val="nil"/>
              <w:right w:val="single" w:sz="4" w:space="0" w:color="auto"/>
            </w:tcBorders>
            <w:shd w:val="clear" w:color="auto" w:fill="auto"/>
            <w:noWrap/>
            <w:vAlign w:val="center"/>
          </w:tcPr>
          <w:p w14:paraId="47C77C0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7 646</w:t>
            </w:r>
          </w:p>
        </w:tc>
        <w:tc>
          <w:tcPr>
            <w:tcW w:w="1394" w:type="dxa"/>
            <w:tcBorders>
              <w:top w:val="nil"/>
              <w:left w:val="nil"/>
              <w:bottom w:val="nil"/>
              <w:right w:val="single" w:sz="4" w:space="0" w:color="auto"/>
            </w:tcBorders>
            <w:shd w:val="clear" w:color="auto" w:fill="auto"/>
            <w:noWrap/>
            <w:vAlign w:val="bottom"/>
          </w:tcPr>
          <w:p w14:paraId="4AEE49AC"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3 085</w:t>
            </w:r>
          </w:p>
        </w:tc>
        <w:tc>
          <w:tcPr>
            <w:tcW w:w="1289" w:type="dxa"/>
            <w:tcBorders>
              <w:top w:val="nil"/>
              <w:left w:val="nil"/>
              <w:bottom w:val="nil"/>
              <w:right w:val="nil"/>
            </w:tcBorders>
            <w:shd w:val="clear" w:color="auto" w:fill="auto"/>
            <w:noWrap/>
            <w:vAlign w:val="bottom"/>
          </w:tcPr>
          <w:p w14:paraId="328D349C"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67,6%</w:t>
            </w:r>
          </w:p>
        </w:tc>
      </w:tr>
      <w:tr w:rsidR="0093441E" w:rsidRPr="002A7673" w14:paraId="59A77DE5"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tcPr>
          <w:p w14:paraId="133E83BD"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Reactivos</w:t>
            </w:r>
            <w:proofErr w:type="spellEnd"/>
          </w:p>
        </w:tc>
        <w:tc>
          <w:tcPr>
            <w:tcW w:w="1394" w:type="dxa"/>
            <w:tcBorders>
              <w:top w:val="nil"/>
              <w:left w:val="nil"/>
              <w:bottom w:val="nil"/>
              <w:right w:val="single" w:sz="4" w:space="0" w:color="auto"/>
            </w:tcBorders>
            <w:shd w:val="clear" w:color="auto" w:fill="auto"/>
            <w:noWrap/>
            <w:vAlign w:val="center"/>
          </w:tcPr>
          <w:p w14:paraId="6050B7A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1 528</w:t>
            </w:r>
          </w:p>
        </w:tc>
        <w:tc>
          <w:tcPr>
            <w:tcW w:w="1395" w:type="dxa"/>
            <w:tcBorders>
              <w:top w:val="nil"/>
              <w:left w:val="nil"/>
              <w:bottom w:val="nil"/>
              <w:right w:val="single" w:sz="4" w:space="0" w:color="auto"/>
            </w:tcBorders>
            <w:shd w:val="clear" w:color="auto" w:fill="auto"/>
            <w:noWrap/>
            <w:vAlign w:val="center"/>
          </w:tcPr>
          <w:p w14:paraId="13A2AB9C"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806</w:t>
            </w:r>
          </w:p>
        </w:tc>
        <w:tc>
          <w:tcPr>
            <w:tcW w:w="1394" w:type="dxa"/>
            <w:tcBorders>
              <w:top w:val="nil"/>
              <w:left w:val="nil"/>
              <w:bottom w:val="nil"/>
              <w:right w:val="single" w:sz="4" w:space="0" w:color="auto"/>
            </w:tcBorders>
            <w:shd w:val="clear" w:color="auto" w:fill="auto"/>
            <w:noWrap/>
            <w:vAlign w:val="bottom"/>
          </w:tcPr>
          <w:p w14:paraId="629E31A6"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-722</w:t>
            </w:r>
          </w:p>
        </w:tc>
        <w:tc>
          <w:tcPr>
            <w:tcW w:w="1289" w:type="dxa"/>
            <w:tcBorders>
              <w:top w:val="nil"/>
              <w:left w:val="nil"/>
              <w:bottom w:val="nil"/>
              <w:right w:val="nil"/>
            </w:tcBorders>
            <w:shd w:val="clear" w:color="auto" w:fill="auto"/>
            <w:noWrap/>
            <w:vAlign w:val="bottom"/>
          </w:tcPr>
          <w:p w14:paraId="69E38D1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-47,3%</w:t>
            </w:r>
          </w:p>
        </w:tc>
      </w:tr>
      <w:tr w:rsidR="0093441E" w:rsidRPr="002A7673" w14:paraId="69A50B5D"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0995A74A"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Legajos</w:t>
            </w:r>
            <w:proofErr w:type="spellEnd"/>
            <w:r w:rsidRPr="002A7673">
              <w:rPr>
                <w:rFonts w:ascii="Times New Roman" w:hAnsi="Times New Roman" w:cs="Times New Roman"/>
                <w:color w:val="000000"/>
                <w:lang w:val="en-US"/>
              </w:rPr>
              <w:t xml:space="preserve"> de </w:t>
            </w:r>
            <w:proofErr w:type="spellStart"/>
            <w:r w:rsidRPr="002A7673">
              <w:rPr>
                <w:rFonts w:ascii="Times New Roman" w:hAnsi="Times New Roman" w:cs="Times New Roman"/>
                <w:color w:val="000000"/>
                <w:lang w:val="en-US"/>
              </w:rPr>
              <w:t>ejecución</w:t>
            </w:r>
            <w:proofErr w:type="spellEnd"/>
          </w:p>
        </w:tc>
        <w:tc>
          <w:tcPr>
            <w:tcW w:w="1394" w:type="dxa"/>
            <w:tcBorders>
              <w:top w:val="nil"/>
              <w:left w:val="nil"/>
              <w:bottom w:val="nil"/>
              <w:right w:val="single" w:sz="4" w:space="0" w:color="auto"/>
            </w:tcBorders>
            <w:shd w:val="clear" w:color="auto" w:fill="auto"/>
            <w:noWrap/>
            <w:vAlign w:val="center"/>
          </w:tcPr>
          <w:p w14:paraId="4D3F875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0</w:t>
            </w:r>
          </w:p>
        </w:tc>
        <w:tc>
          <w:tcPr>
            <w:tcW w:w="1395" w:type="dxa"/>
            <w:tcBorders>
              <w:top w:val="nil"/>
              <w:left w:val="nil"/>
              <w:bottom w:val="nil"/>
              <w:right w:val="single" w:sz="4" w:space="0" w:color="auto"/>
            </w:tcBorders>
            <w:shd w:val="clear" w:color="auto" w:fill="auto"/>
            <w:noWrap/>
            <w:vAlign w:val="center"/>
          </w:tcPr>
          <w:p w14:paraId="1937FD0F"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0</w:t>
            </w:r>
          </w:p>
        </w:tc>
        <w:tc>
          <w:tcPr>
            <w:tcW w:w="1394" w:type="dxa"/>
            <w:tcBorders>
              <w:top w:val="nil"/>
              <w:left w:val="nil"/>
              <w:bottom w:val="nil"/>
              <w:right w:val="single" w:sz="4" w:space="0" w:color="auto"/>
            </w:tcBorders>
            <w:shd w:val="clear" w:color="auto" w:fill="auto"/>
            <w:noWrap/>
            <w:vAlign w:val="bottom"/>
          </w:tcPr>
          <w:p w14:paraId="13F3E3DF"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0</w:t>
            </w:r>
          </w:p>
        </w:tc>
        <w:tc>
          <w:tcPr>
            <w:tcW w:w="1289" w:type="dxa"/>
            <w:tcBorders>
              <w:top w:val="nil"/>
              <w:left w:val="nil"/>
              <w:bottom w:val="nil"/>
              <w:right w:val="nil"/>
            </w:tcBorders>
            <w:shd w:val="clear" w:color="auto" w:fill="auto"/>
            <w:noWrap/>
            <w:vAlign w:val="bottom"/>
          </w:tcPr>
          <w:p w14:paraId="0E79971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0%</w:t>
            </w:r>
          </w:p>
        </w:tc>
      </w:tr>
      <w:tr w:rsidR="0093441E" w:rsidRPr="002A7673" w14:paraId="6C66ED23"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7BB1E4B8"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Testimonios de </w:t>
            </w:r>
            <w:proofErr w:type="spellStart"/>
            <w:r w:rsidRPr="002A7673">
              <w:rPr>
                <w:rFonts w:ascii="Times New Roman" w:hAnsi="Times New Roman" w:cs="Times New Roman"/>
                <w:color w:val="000000"/>
                <w:lang w:val="en-US"/>
              </w:rPr>
              <w:t>piezas</w:t>
            </w:r>
            <w:proofErr w:type="spellEnd"/>
          </w:p>
        </w:tc>
        <w:tc>
          <w:tcPr>
            <w:tcW w:w="1394" w:type="dxa"/>
            <w:tcBorders>
              <w:top w:val="nil"/>
              <w:left w:val="nil"/>
              <w:bottom w:val="nil"/>
              <w:right w:val="single" w:sz="4" w:space="0" w:color="auto"/>
            </w:tcBorders>
            <w:shd w:val="clear" w:color="auto" w:fill="auto"/>
            <w:noWrap/>
            <w:vAlign w:val="center"/>
          </w:tcPr>
          <w:p w14:paraId="72A0634C"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949</w:t>
            </w:r>
          </w:p>
        </w:tc>
        <w:tc>
          <w:tcPr>
            <w:tcW w:w="1395" w:type="dxa"/>
            <w:tcBorders>
              <w:top w:val="nil"/>
              <w:left w:val="nil"/>
              <w:bottom w:val="nil"/>
              <w:right w:val="single" w:sz="4" w:space="0" w:color="auto"/>
            </w:tcBorders>
            <w:shd w:val="clear" w:color="auto" w:fill="auto"/>
            <w:noWrap/>
            <w:vAlign w:val="center"/>
          </w:tcPr>
          <w:p w14:paraId="0E0E4F93"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819</w:t>
            </w:r>
          </w:p>
        </w:tc>
        <w:tc>
          <w:tcPr>
            <w:tcW w:w="1394" w:type="dxa"/>
            <w:tcBorders>
              <w:top w:val="nil"/>
              <w:left w:val="nil"/>
              <w:bottom w:val="nil"/>
              <w:right w:val="single" w:sz="4" w:space="0" w:color="auto"/>
            </w:tcBorders>
            <w:shd w:val="clear" w:color="auto" w:fill="auto"/>
            <w:noWrap/>
            <w:vAlign w:val="bottom"/>
          </w:tcPr>
          <w:p w14:paraId="560F82B5"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-130</w:t>
            </w:r>
          </w:p>
        </w:tc>
        <w:tc>
          <w:tcPr>
            <w:tcW w:w="1289" w:type="dxa"/>
            <w:tcBorders>
              <w:top w:val="nil"/>
              <w:left w:val="nil"/>
              <w:bottom w:val="nil"/>
              <w:right w:val="nil"/>
            </w:tcBorders>
            <w:shd w:val="clear" w:color="auto" w:fill="auto"/>
            <w:noWrap/>
            <w:vAlign w:val="bottom"/>
          </w:tcPr>
          <w:p w14:paraId="2C163E76"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-13,7%</w:t>
            </w:r>
          </w:p>
        </w:tc>
      </w:tr>
      <w:tr w:rsidR="0093441E" w:rsidRPr="002A7673" w14:paraId="06D0F177"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43A4415D" w14:textId="77777777" w:rsidR="0093441E" w:rsidRPr="002A7673" w:rsidRDefault="0093441E" w:rsidP="0048334E">
            <w:pPr>
              <w:spacing w:after="0" w:line="240" w:lineRule="auto"/>
              <w:rPr>
                <w:rFonts w:ascii="Times New Roman" w:hAnsi="Times New Roman" w:cs="Times New Roman"/>
                <w:color w:val="000000"/>
                <w:lang w:val="en-US"/>
              </w:rPr>
            </w:pPr>
            <w:r w:rsidRPr="002A7673">
              <w:rPr>
                <w:rFonts w:ascii="Times New Roman" w:hAnsi="Times New Roman" w:cs="Times New Roman"/>
                <w:color w:val="000000"/>
                <w:lang w:val="en-US"/>
              </w:rPr>
              <w:t xml:space="preserve">Casos </w:t>
            </w:r>
            <w:proofErr w:type="spellStart"/>
            <w:r w:rsidRPr="002A7673">
              <w:rPr>
                <w:rFonts w:ascii="Times New Roman" w:hAnsi="Times New Roman" w:cs="Times New Roman"/>
                <w:color w:val="000000"/>
                <w:lang w:val="en-US"/>
              </w:rPr>
              <w:t>terminados</w:t>
            </w:r>
            <w:proofErr w:type="spellEnd"/>
          </w:p>
        </w:tc>
        <w:tc>
          <w:tcPr>
            <w:tcW w:w="1394" w:type="dxa"/>
            <w:tcBorders>
              <w:top w:val="nil"/>
              <w:left w:val="nil"/>
              <w:bottom w:val="nil"/>
              <w:right w:val="single" w:sz="4" w:space="0" w:color="auto"/>
            </w:tcBorders>
            <w:shd w:val="clear" w:color="auto" w:fill="auto"/>
            <w:noWrap/>
            <w:vAlign w:val="center"/>
          </w:tcPr>
          <w:p w14:paraId="0F6C6B20"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26 059</w:t>
            </w:r>
          </w:p>
        </w:tc>
        <w:tc>
          <w:tcPr>
            <w:tcW w:w="1395" w:type="dxa"/>
            <w:tcBorders>
              <w:top w:val="nil"/>
              <w:left w:val="nil"/>
              <w:bottom w:val="nil"/>
              <w:right w:val="single" w:sz="4" w:space="0" w:color="auto"/>
            </w:tcBorders>
            <w:shd w:val="clear" w:color="auto" w:fill="auto"/>
            <w:noWrap/>
            <w:vAlign w:val="center"/>
          </w:tcPr>
          <w:p w14:paraId="4D565209"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18 906</w:t>
            </w:r>
          </w:p>
        </w:tc>
        <w:tc>
          <w:tcPr>
            <w:tcW w:w="1394" w:type="dxa"/>
            <w:tcBorders>
              <w:top w:val="nil"/>
              <w:left w:val="nil"/>
              <w:bottom w:val="nil"/>
              <w:right w:val="single" w:sz="4" w:space="0" w:color="auto"/>
            </w:tcBorders>
            <w:shd w:val="clear" w:color="auto" w:fill="auto"/>
            <w:noWrap/>
            <w:vAlign w:val="bottom"/>
          </w:tcPr>
          <w:p w14:paraId="039611F1"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-7 153</w:t>
            </w:r>
          </w:p>
        </w:tc>
        <w:tc>
          <w:tcPr>
            <w:tcW w:w="1289" w:type="dxa"/>
            <w:tcBorders>
              <w:top w:val="nil"/>
              <w:left w:val="nil"/>
              <w:bottom w:val="nil"/>
              <w:right w:val="nil"/>
            </w:tcBorders>
            <w:shd w:val="clear" w:color="auto" w:fill="auto"/>
            <w:noWrap/>
            <w:vAlign w:val="bottom"/>
          </w:tcPr>
          <w:p w14:paraId="2F3B08E4"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-27,4%</w:t>
            </w:r>
          </w:p>
        </w:tc>
      </w:tr>
      <w:tr w:rsidR="0093441E" w:rsidRPr="002A7673" w14:paraId="148C1ED5" w14:textId="77777777" w:rsidTr="0048334E">
        <w:trPr>
          <w:trHeight w:val="296"/>
          <w:jc w:val="center"/>
        </w:trPr>
        <w:tc>
          <w:tcPr>
            <w:tcW w:w="3133" w:type="dxa"/>
            <w:tcBorders>
              <w:top w:val="nil"/>
              <w:left w:val="nil"/>
              <w:bottom w:val="nil"/>
              <w:right w:val="single" w:sz="4" w:space="0" w:color="auto"/>
            </w:tcBorders>
            <w:shd w:val="clear" w:color="auto" w:fill="auto"/>
            <w:noWrap/>
            <w:vAlign w:val="center"/>
            <w:hideMark/>
          </w:tcPr>
          <w:p w14:paraId="18CC2585"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t>Inactivos</w:t>
            </w:r>
            <w:proofErr w:type="spellEnd"/>
          </w:p>
        </w:tc>
        <w:tc>
          <w:tcPr>
            <w:tcW w:w="1394" w:type="dxa"/>
            <w:tcBorders>
              <w:top w:val="nil"/>
              <w:left w:val="nil"/>
              <w:bottom w:val="nil"/>
              <w:right w:val="single" w:sz="4" w:space="0" w:color="auto"/>
            </w:tcBorders>
            <w:shd w:val="clear" w:color="auto" w:fill="auto"/>
            <w:noWrap/>
            <w:vAlign w:val="center"/>
          </w:tcPr>
          <w:p w14:paraId="6AC81723"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7 678</w:t>
            </w:r>
          </w:p>
        </w:tc>
        <w:tc>
          <w:tcPr>
            <w:tcW w:w="1395" w:type="dxa"/>
            <w:tcBorders>
              <w:top w:val="nil"/>
              <w:left w:val="nil"/>
              <w:bottom w:val="nil"/>
              <w:right w:val="single" w:sz="4" w:space="0" w:color="auto"/>
            </w:tcBorders>
            <w:shd w:val="clear" w:color="auto" w:fill="auto"/>
            <w:noWrap/>
            <w:vAlign w:val="center"/>
          </w:tcPr>
          <w:p w14:paraId="192C7FEB"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11 881</w:t>
            </w:r>
          </w:p>
        </w:tc>
        <w:tc>
          <w:tcPr>
            <w:tcW w:w="1394" w:type="dxa"/>
            <w:tcBorders>
              <w:top w:val="nil"/>
              <w:left w:val="nil"/>
              <w:bottom w:val="nil"/>
              <w:right w:val="single" w:sz="4" w:space="0" w:color="auto"/>
            </w:tcBorders>
            <w:shd w:val="clear" w:color="auto" w:fill="auto"/>
            <w:noWrap/>
            <w:vAlign w:val="bottom"/>
          </w:tcPr>
          <w:p w14:paraId="5B342AEB"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4 203</w:t>
            </w:r>
          </w:p>
        </w:tc>
        <w:tc>
          <w:tcPr>
            <w:tcW w:w="1289" w:type="dxa"/>
            <w:tcBorders>
              <w:top w:val="nil"/>
              <w:left w:val="nil"/>
              <w:bottom w:val="nil"/>
              <w:right w:val="nil"/>
            </w:tcBorders>
            <w:shd w:val="clear" w:color="auto" w:fill="auto"/>
            <w:noWrap/>
            <w:vAlign w:val="bottom"/>
          </w:tcPr>
          <w:p w14:paraId="7B5F5D52"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54,7%</w:t>
            </w:r>
          </w:p>
        </w:tc>
      </w:tr>
      <w:tr w:rsidR="0093441E" w:rsidRPr="002A7673" w14:paraId="021A1E5D" w14:textId="77777777" w:rsidTr="0048334E">
        <w:trPr>
          <w:trHeight w:val="296"/>
          <w:jc w:val="center"/>
        </w:trPr>
        <w:tc>
          <w:tcPr>
            <w:tcW w:w="3133" w:type="dxa"/>
            <w:tcBorders>
              <w:top w:val="nil"/>
              <w:left w:val="nil"/>
              <w:bottom w:val="single" w:sz="4" w:space="0" w:color="auto"/>
              <w:right w:val="single" w:sz="4" w:space="0" w:color="auto"/>
            </w:tcBorders>
            <w:shd w:val="clear" w:color="auto" w:fill="auto"/>
            <w:noWrap/>
            <w:vAlign w:val="center"/>
            <w:hideMark/>
          </w:tcPr>
          <w:p w14:paraId="5E879796" w14:textId="77777777" w:rsidR="0093441E" w:rsidRPr="002A7673" w:rsidRDefault="0093441E" w:rsidP="0048334E">
            <w:pPr>
              <w:spacing w:after="0" w:line="240" w:lineRule="auto"/>
              <w:rPr>
                <w:rFonts w:ascii="Times New Roman" w:hAnsi="Times New Roman" w:cs="Times New Roman"/>
                <w:color w:val="000000"/>
                <w:lang w:val="en-US"/>
              </w:rPr>
            </w:pPr>
            <w:proofErr w:type="spellStart"/>
            <w:r w:rsidRPr="002A7673">
              <w:rPr>
                <w:rFonts w:ascii="Times New Roman" w:hAnsi="Times New Roman" w:cs="Times New Roman"/>
                <w:color w:val="000000"/>
                <w:lang w:val="en-US"/>
              </w:rPr>
              <w:lastRenderedPageBreak/>
              <w:t>Circulante</w:t>
            </w:r>
            <w:proofErr w:type="spellEnd"/>
            <w:r w:rsidRPr="002A7673">
              <w:rPr>
                <w:rFonts w:ascii="Times New Roman" w:hAnsi="Times New Roman" w:cs="Times New Roman"/>
                <w:color w:val="000000"/>
                <w:lang w:val="en-US"/>
              </w:rPr>
              <w:t xml:space="preserve"> al </w:t>
            </w:r>
            <w:proofErr w:type="spellStart"/>
            <w:r w:rsidRPr="002A7673">
              <w:rPr>
                <w:rFonts w:ascii="Times New Roman" w:hAnsi="Times New Roman" w:cs="Times New Roman"/>
                <w:color w:val="000000"/>
                <w:lang w:val="en-US"/>
              </w:rPr>
              <w:t>finalizar</w:t>
            </w:r>
            <w:proofErr w:type="spellEnd"/>
          </w:p>
        </w:tc>
        <w:tc>
          <w:tcPr>
            <w:tcW w:w="1394" w:type="dxa"/>
            <w:tcBorders>
              <w:top w:val="nil"/>
              <w:left w:val="nil"/>
              <w:bottom w:val="single" w:sz="4" w:space="0" w:color="auto"/>
              <w:right w:val="single" w:sz="4" w:space="0" w:color="auto"/>
            </w:tcBorders>
            <w:shd w:val="clear" w:color="auto" w:fill="auto"/>
            <w:noWrap/>
            <w:vAlign w:val="center"/>
          </w:tcPr>
          <w:p w14:paraId="12CF36E7"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38 443</w:t>
            </w:r>
          </w:p>
        </w:tc>
        <w:tc>
          <w:tcPr>
            <w:tcW w:w="1395" w:type="dxa"/>
            <w:tcBorders>
              <w:top w:val="nil"/>
              <w:left w:val="nil"/>
              <w:bottom w:val="single" w:sz="4" w:space="0" w:color="auto"/>
              <w:right w:val="single" w:sz="4" w:space="0" w:color="auto"/>
            </w:tcBorders>
            <w:shd w:val="clear" w:color="auto" w:fill="auto"/>
            <w:noWrap/>
            <w:vAlign w:val="center"/>
          </w:tcPr>
          <w:p w14:paraId="3279F47D"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lang w:val="en-US"/>
              </w:rPr>
              <w:t>37 006</w:t>
            </w:r>
          </w:p>
        </w:tc>
        <w:tc>
          <w:tcPr>
            <w:tcW w:w="1394" w:type="dxa"/>
            <w:tcBorders>
              <w:top w:val="nil"/>
              <w:left w:val="nil"/>
              <w:bottom w:val="single" w:sz="4" w:space="0" w:color="auto"/>
              <w:right w:val="single" w:sz="4" w:space="0" w:color="auto"/>
            </w:tcBorders>
            <w:shd w:val="clear" w:color="auto" w:fill="auto"/>
            <w:noWrap/>
            <w:vAlign w:val="bottom"/>
          </w:tcPr>
          <w:p w14:paraId="0BA53E93"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-1 437</w:t>
            </w:r>
          </w:p>
        </w:tc>
        <w:tc>
          <w:tcPr>
            <w:tcW w:w="1289" w:type="dxa"/>
            <w:tcBorders>
              <w:top w:val="nil"/>
              <w:left w:val="nil"/>
              <w:bottom w:val="single" w:sz="4" w:space="0" w:color="auto"/>
              <w:right w:val="nil"/>
            </w:tcBorders>
            <w:shd w:val="clear" w:color="auto" w:fill="auto"/>
            <w:noWrap/>
            <w:vAlign w:val="bottom"/>
          </w:tcPr>
          <w:p w14:paraId="5D5E34BD" w14:textId="77777777" w:rsidR="0093441E" w:rsidRPr="002A7673" w:rsidRDefault="0093441E" w:rsidP="0048334E">
            <w:pPr>
              <w:spacing w:after="0" w:line="240" w:lineRule="auto"/>
              <w:jc w:val="right"/>
              <w:rPr>
                <w:rFonts w:ascii="Times New Roman" w:hAnsi="Times New Roman" w:cs="Times New Roman"/>
                <w:color w:val="000000"/>
                <w:lang w:val="en-US"/>
              </w:rPr>
            </w:pPr>
            <w:r w:rsidRPr="002A7673">
              <w:rPr>
                <w:rFonts w:ascii="Times New Roman" w:hAnsi="Times New Roman" w:cs="Times New Roman"/>
                <w:color w:val="000000"/>
              </w:rPr>
              <w:t>-3,7%</w:t>
            </w:r>
          </w:p>
        </w:tc>
      </w:tr>
      <w:tr w:rsidR="0093441E" w:rsidRPr="002A7673" w14:paraId="3ADC8726" w14:textId="77777777" w:rsidTr="0048334E">
        <w:trPr>
          <w:trHeight w:val="296"/>
          <w:jc w:val="center"/>
        </w:trPr>
        <w:tc>
          <w:tcPr>
            <w:tcW w:w="8605" w:type="dxa"/>
            <w:gridSpan w:val="5"/>
            <w:tcBorders>
              <w:top w:val="single" w:sz="4" w:space="0" w:color="auto"/>
              <w:left w:val="nil"/>
              <w:bottom w:val="nil"/>
              <w:right w:val="nil"/>
            </w:tcBorders>
            <w:shd w:val="clear" w:color="auto" w:fill="auto"/>
            <w:noWrap/>
            <w:vAlign w:val="center"/>
            <w:hideMark/>
          </w:tcPr>
          <w:p w14:paraId="3F0B983F" w14:textId="77777777" w:rsidR="0093441E" w:rsidRPr="002A7673" w:rsidRDefault="0093441E" w:rsidP="0048334E">
            <w:pPr>
              <w:spacing w:after="0" w:line="240" w:lineRule="auto"/>
              <w:rPr>
                <w:rFonts w:ascii="Times New Roman" w:hAnsi="Times New Roman" w:cs="Times New Roman"/>
                <w:color w:val="000000"/>
                <w:sz w:val="20"/>
                <w:szCs w:val="20"/>
              </w:rPr>
            </w:pPr>
            <w:r w:rsidRPr="002A7673">
              <w:rPr>
                <w:rFonts w:ascii="Times New Roman" w:hAnsi="Times New Roman" w:cs="Times New Roman"/>
                <w:b/>
                <w:bCs/>
                <w:color w:val="000000"/>
                <w:sz w:val="20"/>
                <w:szCs w:val="20"/>
              </w:rPr>
              <w:t>Fuente:</w:t>
            </w:r>
            <w:r w:rsidRPr="002A7673">
              <w:rPr>
                <w:rFonts w:ascii="Times New Roman" w:hAnsi="Times New Roman" w:cs="Times New Roman"/>
                <w:color w:val="000000"/>
                <w:sz w:val="20"/>
                <w:szCs w:val="20"/>
              </w:rPr>
              <w:t xml:space="preserve"> Subproceso de Estadística, Dirección de Planificación, Poder Judicial.</w:t>
            </w:r>
          </w:p>
        </w:tc>
      </w:tr>
    </w:tbl>
    <w:p w14:paraId="39399A9E" w14:textId="77777777" w:rsidR="0093441E" w:rsidRPr="002A7673" w:rsidRDefault="0093441E" w:rsidP="0093441E">
      <w:pPr>
        <w:spacing w:after="0" w:line="360" w:lineRule="auto"/>
        <w:rPr>
          <w:rFonts w:ascii="Times New Roman" w:hAnsi="Times New Roman" w:cs="Times New Roman"/>
        </w:rPr>
      </w:pPr>
    </w:p>
    <w:p w14:paraId="71ED62C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Durante el 2020 se produce una reducción del ingreso de nuevos casos a este Centro de Responsabilidad, el cual fue de un 23,4% respecto al año anterior, lo que en términos absolutos significó 6.154 expedientes menos que en 2019. Al analizar el origen de este descenso, es posible determinar que dos despachos </w:t>
      </w:r>
      <w:r w:rsidRPr="002A7673">
        <w:rPr>
          <w:rFonts w:ascii="Times New Roman" w:hAnsi="Times New Roman" w:cs="Times New Roman"/>
          <w:i/>
          <w:iCs/>
          <w:sz w:val="28"/>
          <w:szCs w:val="28"/>
        </w:rPr>
        <w:t xml:space="preserve">Juzgado de Cobro y Penal de Pérez Zeledón, </w:t>
      </w:r>
      <w:r w:rsidRPr="002A7673">
        <w:rPr>
          <w:rFonts w:ascii="Times New Roman" w:hAnsi="Times New Roman" w:cs="Times New Roman"/>
          <w:sz w:val="28"/>
          <w:szCs w:val="28"/>
        </w:rPr>
        <w:t>se muestran como los principales causantes de dicha baja al reducir su ingreso en 1.904 y 1.238 expedientes respectivamente.</w:t>
      </w:r>
    </w:p>
    <w:p w14:paraId="3AF291A1" w14:textId="77777777" w:rsidR="0093441E" w:rsidRPr="002A7673" w:rsidRDefault="0093441E" w:rsidP="0093441E">
      <w:pPr>
        <w:spacing w:after="0" w:line="480" w:lineRule="auto"/>
        <w:ind w:firstLine="709"/>
        <w:jc w:val="both"/>
        <w:rPr>
          <w:rFonts w:ascii="Times New Roman" w:hAnsi="Times New Roman" w:cs="Times New Roman"/>
          <w:bCs/>
          <w:i/>
          <w:iCs/>
          <w:sz w:val="28"/>
          <w:szCs w:val="28"/>
        </w:rPr>
      </w:pPr>
      <w:r w:rsidRPr="002A7673">
        <w:rPr>
          <w:rFonts w:ascii="Times New Roman" w:hAnsi="Times New Roman" w:cs="Times New Roman"/>
          <w:bCs/>
          <w:sz w:val="28"/>
          <w:szCs w:val="28"/>
        </w:rPr>
        <w:t xml:space="preserve">Otros despachos en menor escala que reportaron bajas en el ingreso de casos para el período 2020 son, </w:t>
      </w:r>
      <w:r w:rsidRPr="002A7673">
        <w:rPr>
          <w:rFonts w:ascii="Times New Roman" w:hAnsi="Times New Roman" w:cs="Times New Roman"/>
          <w:bCs/>
          <w:i/>
          <w:iCs/>
          <w:sz w:val="28"/>
          <w:szCs w:val="28"/>
        </w:rPr>
        <w:t>Penal de Buenos Aires (-744) y Pensiones Alimentarias (-343), Tránsito (-350) y Faltas y Contravenciones de Pérez Zeledón (-352).</w:t>
      </w:r>
    </w:p>
    <w:p w14:paraId="06C9AFB9" w14:textId="77777777" w:rsidR="0093441E" w:rsidRPr="002A7673" w:rsidRDefault="0093441E" w:rsidP="0093441E">
      <w:pPr>
        <w:spacing w:after="0" w:line="480" w:lineRule="auto"/>
        <w:ind w:firstLine="709"/>
        <w:jc w:val="both"/>
        <w:rPr>
          <w:rFonts w:ascii="Times New Roman" w:hAnsi="Times New Roman" w:cs="Times New Roman"/>
          <w:bCs/>
          <w:i/>
          <w:iCs/>
          <w:sz w:val="28"/>
          <w:szCs w:val="28"/>
        </w:rPr>
      </w:pPr>
      <w:r w:rsidRPr="002A7673">
        <w:rPr>
          <w:rFonts w:ascii="Times New Roman" w:hAnsi="Times New Roman" w:cs="Times New Roman"/>
          <w:bCs/>
          <w:sz w:val="28"/>
          <w:szCs w:val="28"/>
        </w:rPr>
        <w:t xml:space="preserve">Resulta importante acotar que solo dos despachos de los 28 experimentaron algún ingreso en el balance de nuevos casos ingresados para el período 2020, este es el caso del </w:t>
      </w:r>
      <w:r w:rsidRPr="002A7673">
        <w:rPr>
          <w:rFonts w:ascii="Times New Roman" w:hAnsi="Times New Roman" w:cs="Times New Roman"/>
          <w:bCs/>
          <w:i/>
          <w:iCs/>
          <w:sz w:val="28"/>
          <w:szCs w:val="28"/>
        </w:rPr>
        <w:t xml:space="preserve">Civil de Pérez Zeledón (+28) y Penal Juvenil de Buenos Aires (+7). </w:t>
      </w:r>
    </w:p>
    <w:p w14:paraId="026704B5" w14:textId="77777777" w:rsidR="0093441E" w:rsidRPr="002A7673" w:rsidRDefault="0093441E" w:rsidP="0093441E">
      <w:pPr>
        <w:spacing w:after="0" w:line="480" w:lineRule="auto"/>
        <w:ind w:firstLine="709"/>
        <w:jc w:val="both"/>
        <w:rPr>
          <w:rFonts w:ascii="Times New Roman" w:hAnsi="Times New Roman" w:cs="Times New Roman"/>
          <w:bCs/>
          <w:sz w:val="28"/>
          <w:szCs w:val="28"/>
        </w:rPr>
      </w:pPr>
      <w:r w:rsidRPr="002A7673">
        <w:rPr>
          <w:rFonts w:ascii="Times New Roman" w:hAnsi="Times New Roman" w:cs="Times New Roman"/>
          <w:bCs/>
          <w:sz w:val="28"/>
          <w:szCs w:val="28"/>
        </w:rPr>
        <w:t xml:space="preserve">Con relación al entorno que vivieron los despachos judiciales durante gran parte del período 2020, de cara al virus conocido como COVID-19, el cual en gran medida impactó las operaciones de los despachos, tanto a nivel de ingreso de asuntos como </w:t>
      </w:r>
      <w:r w:rsidRPr="002A7673">
        <w:rPr>
          <w:rFonts w:ascii="Times New Roman" w:hAnsi="Times New Roman" w:cs="Times New Roman"/>
          <w:bCs/>
          <w:sz w:val="28"/>
          <w:szCs w:val="28"/>
        </w:rPr>
        <w:lastRenderedPageBreak/>
        <w:t>también a nivel productivo, lo cual generó una afectación en los balances de gestión y cargas de trabajo.</w:t>
      </w:r>
    </w:p>
    <w:p w14:paraId="452C4595"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Terminados:</w:t>
      </w:r>
      <w:r w:rsidRPr="002A7673">
        <w:rPr>
          <w:rFonts w:ascii="Times New Roman" w:hAnsi="Times New Roman" w:cs="Times New Roman"/>
          <w:sz w:val="28"/>
          <w:szCs w:val="28"/>
        </w:rPr>
        <w:t xml:space="preserve"> La gestión productiva se redujo en mayor proporción que la registrada respecto a casos entrados (-6.154), para un total de 7.153 expedientes menos que el año anterior, generando una baja porcentual del 27,4%. En esa línea destacan dos despachos como los más afectados por el fenómeno, a saber: </w:t>
      </w:r>
      <w:r w:rsidRPr="002A7673">
        <w:rPr>
          <w:rFonts w:ascii="Times New Roman" w:hAnsi="Times New Roman" w:cs="Times New Roman"/>
          <w:i/>
          <w:iCs/>
          <w:sz w:val="28"/>
          <w:szCs w:val="28"/>
        </w:rPr>
        <w:t>Cobro de Pérez Zeledón,</w:t>
      </w:r>
      <w:r w:rsidRPr="002A7673">
        <w:rPr>
          <w:rFonts w:ascii="Times New Roman" w:hAnsi="Times New Roman" w:cs="Times New Roman"/>
          <w:sz w:val="28"/>
          <w:szCs w:val="28"/>
        </w:rPr>
        <w:t xml:space="preserve"> con una baja de 3.835 expedientes</w:t>
      </w:r>
      <w:r w:rsidRPr="002A7673">
        <w:rPr>
          <w:rFonts w:ascii="Times New Roman" w:hAnsi="Times New Roman" w:cs="Times New Roman"/>
          <w:i/>
          <w:iCs/>
          <w:sz w:val="28"/>
          <w:szCs w:val="28"/>
        </w:rPr>
        <w:t xml:space="preserve"> </w:t>
      </w:r>
      <w:r w:rsidRPr="002A7673">
        <w:rPr>
          <w:rFonts w:ascii="Times New Roman" w:hAnsi="Times New Roman" w:cs="Times New Roman"/>
          <w:sz w:val="28"/>
          <w:szCs w:val="28"/>
        </w:rPr>
        <w:t>y el</w:t>
      </w:r>
      <w:r w:rsidRPr="002A7673">
        <w:rPr>
          <w:rFonts w:ascii="Times New Roman" w:hAnsi="Times New Roman" w:cs="Times New Roman"/>
          <w:i/>
          <w:iCs/>
          <w:sz w:val="28"/>
          <w:szCs w:val="28"/>
        </w:rPr>
        <w:t xml:space="preserve"> Juzgado Penal de Pérez Zeledón (-1.498), </w:t>
      </w:r>
      <w:r w:rsidRPr="002A7673">
        <w:rPr>
          <w:rFonts w:ascii="Times New Roman" w:hAnsi="Times New Roman" w:cs="Times New Roman"/>
          <w:sz w:val="28"/>
          <w:szCs w:val="28"/>
        </w:rPr>
        <w:t>siendo que entre ambos despachos suman el 86,7% del total de la baja contenida entre un período y otro.</w:t>
      </w:r>
    </w:p>
    <w:p w14:paraId="4E7636F4"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De un total de 28 despachos adscritos, únicamente cinco (17,8%) registran algún incremento en sus procesos productivos, siendo más relevante el ocurrido en el caso del Juzgado de Tránsito de Buenos Aires, con un crecimiento de 213 de expedientes (+177%) respecto a 2019.</w:t>
      </w:r>
    </w:p>
    <w:p w14:paraId="2827069C"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Otros aspectos relevantes en torno a la gestión productiva del circuito judicial son:</w:t>
      </w:r>
    </w:p>
    <w:p w14:paraId="7C354B96" w14:textId="77777777" w:rsidR="0093441E" w:rsidRPr="002A7673" w:rsidRDefault="0093441E" w:rsidP="00FF3FAC">
      <w:pPr>
        <w:numPr>
          <w:ilvl w:val="0"/>
          <w:numId w:val="34"/>
        </w:numPr>
        <w:spacing w:after="0" w:line="480" w:lineRule="auto"/>
        <w:ind w:left="0" w:firstLine="709"/>
        <w:contextualSpacing/>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La disminución (-811) experimentada por el Juzgado de Faltas y contravenciones de Pérez Zeledón.</w:t>
      </w:r>
    </w:p>
    <w:p w14:paraId="23A1AD2F" w14:textId="77777777" w:rsidR="0093441E" w:rsidRPr="002A7673" w:rsidRDefault="0093441E" w:rsidP="00FF3FAC">
      <w:pPr>
        <w:numPr>
          <w:ilvl w:val="0"/>
          <w:numId w:val="34"/>
        </w:numPr>
        <w:spacing w:after="0" w:line="480" w:lineRule="auto"/>
        <w:ind w:left="0" w:firstLine="709"/>
        <w:contextualSpacing/>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t>El incremento contabilizado en el Juzgado Laboral de Pérez Zeledón (+173).</w:t>
      </w:r>
    </w:p>
    <w:p w14:paraId="0C7DA8F0" w14:textId="77777777" w:rsidR="0093441E" w:rsidRPr="002A7673" w:rsidRDefault="0093441E" w:rsidP="00FF3FAC">
      <w:pPr>
        <w:numPr>
          <w:ilvl w:val="0"/>
          <w:numId w:val="34"/>
        </w:numPr>
        <w:spacing w:after="0" w:line="480" w:lineRule="auto"/>
        <w:ind w:left="0" w:firstLine="709"/>
        <w:contextualSpacing/>
        <w:jc w:val="both"/>
        <w:rPr>
          <w:rFonts w:ascii="Times New Roman" w:eastAsia="Times New Roman" w:hAnsi="Times New Roman" w:cs="Times New Roman"/>
          <w:sz w:val="28"/>
          <w:szCs w:val="28"/>
          <w:lang w:val="es-ES" w:eastAsia="es-ES"/>
        </w:rPr>
      </w:pPr>
      <w:r w:rsidRPr="002A7673">
        <w:rPr>
          <w:rFonts w:ascii="Times New Roman" w:eastAsia="Times New Roman" w:hAnsi="Times New Roman" w:cs="Times New Roman"/>
          <w:sz w:val="28"/>
          <w:szCs w:val="28"/>
          <w:lang w:val="es-ES" w:eastAsia="es-ES"/>
        </w:rPr>
        <w:lastRenderedPageBreak/>
        <w:t>La baja registrada para el Juzgado de Tránsito de Pérez Zeledón (-338).</w:t>
      </w:r>
    </w:p>
    <w:p w14:paraId="4BC6AFE4"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Circulante final:</w:t>
      </w:r>
      <w:r w:rsidRPr="002A7673">
        <w:rPr>
          <w:rFonts w:ascii="Times New Roman" w:hAnsi="Times New Roman" w:cs="Times New Roman"/>
          <w:sz w:val="28"/>
          <w:szCs w:val="28"/>
        </w:rPr>
        <w:t xml:space="preserve"> De forma conjunta, este centro de responsabilidad inició labores en 2020 con un circulante de 38.443 expedientes y cerró el período con un total de 37.006, situación que dejó una disminución importante den las cargas de trabajo al reducir su circulante para el inicio de 2021 en 1.437 expedientes, o lo que es igual en un 3,7%. De conformidad con las cargas de trabajo de cada uno de los despachos, es posible determinar que algunos de ellos, como es el caso del Juzgado Violencia Doméstica de Buenos Aires (+220), Faltas y Contravenciones de Pérez Zeledón (+166) Penal de Pérez Zeledón (+86) y Familia de Buenos Aires (+50) registran incrementos en su circulante final tras el cierre del período. Entre los despachos que más redujeron su circulante en trámite están los juzgados de Cobro y Laboral de Pérez Zeledón con -555 y -161 expedientes respectivamente, mientras que en el caso del cantón de Buenos Aires destacan el Juzgado Penal (-425) y Tránsito (-161).</w:t>
      </w:r>
    </w:p>
    <w:p w14:paraId="20569A38"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Inactividad de expedientes</w:t>
      </w:r>
      <w:r w:rsidRPr="002A7673">
        <w:rPr>
          <w:rFonts w:ascii="Times New Roman" w:hAnsi="Times New Roman" w:cs="Times New Roman"/>
          <w:sz w:val="28"/>
          <w:szCs w:val="28"/>
        </w:rPr>
        <w:t xml:space="preserve">: durante el 2020 se presenta un incremento importante el volumen de asuntos bajo esta categoría, los cuales pasaron de 7.678 a 11.881 expedientes, en otras palabras; aumentó en 4.203 casos o lo que es igual un crecimiento del 54,7%, destacando despachos como Juzgado de Cobro de Pérez Zeledón (+4.063) y Pensiones Alimentarias de Pérez Zeledón (+47). </w:t>
      </w:r>
    </w:p>
    <w:p w14:paraId="3567086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lastRenderedPageBreak/>
        <w:t xml:space="preserve">Actividad de Reactivados: </w:t>
      </w:r>
      <w:r w:rsidRPr="002A7673">
        <w:rPr>
          <w:rFonts w:ascii="Times New Roman" w:hAnsi="Times New Roman" w:cs="Times New Roman"/>
          <w:bCs/>
          <w:sz w:val="28"/>
          <w:szCs w:val="28"/>
        </w:rPr>
        <w:t>c</w:t>
      </w:r>
      <w:r w:rsidRPr="002A7673">
        <w:rPr>
          <w:rFonts w:ascii="Times New Roman" w:hAnsi="Times New Roman" w:cs="Times New Roman"/>
          <w:sz w:val="28"/>
          <w:szCs w:val="28"/>
        </w:rPr>
        <w:t xml:space="preserve">on la </w:t>
      </w:r>
      <w:proofErr w:type="gramStart"/>
      <w:r w:rsidRPr="002A7673">
        <w:rPr>
          <w:rFonts w:ascii="Times New Roman" w:hAnsi="Times New Roman" w:cs="Times New Roman"/>
          <w:sz w:val="28"/>
          <w:szCs w:val="28"/>
        </w:rPr>
        <w:t>entrada en vigencia</w:t>
      </w:r>
      <w:proofErr w:type="gramEnd"/>
      <w:r w:rsidRPr="002A7673">
        <w:rPr>
          <w:rFonts w:ascii="Times New Roman" w:hAnsi="Times New Roman" w:cs="Times New Roman"/>
          <w:sz w:val="28"/>
          <w:szCs w:val="28"/>
        </w:rPr>
        <w:t xml:space="preserve"> de la Reforma Civil y la Ley de Cobro Judicial, se agrega la variable “Casos reactivados”, la cual se define como aquellos expedientes que permanecían inactivos y que por impulso de las partes se les presentan gestiones para continuar con su trámite o propiciar su futura finalización. Como puede observarse, la cantidad de estos expedientes en 2020 fue de tan solo 806 expedientes, la mayoría declarados en el Juzgado de Cobro de Pérez Zeledón (718).</w:t>
      </w:r>
    </w:p>
    <w:p w14:paraId="4CB9F16B"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Disminución en Testimonios de Piezas:</w:t>
      </w:r>
      <w:r w:rsidRPr="002A7673">
        <w:rPr>
          <w:rFonts w:ascii="Times New Roman" w:hAnsi="Times New Roman" w:cs="Times New Roman"/>
          <w:sz w:val="28"/>
          <w:szCs w:val="28"/>
        </w:rPr>
        <w:t xml:space="preserve"> para el período analizado, se determina un decrecimiento de un 14% menos, respecto de los testimonios de piezas contabilizados en 2019, lo que en valores absolutos equivale a 130 expedientes menos. Dicho evento guarda estrecha relación con la gestión emprendida por el Juzgado de Violencia Doméstica de Pérez Zeledón, el cual pasó de generar 884 testimonios en 2019 a 777 en 2020.</w:t>
      </w:r>
    </w:p>
    <w:p w14:paraId="146F70D6" w14:textId="77777777" w:rsidR="0093441E" w:rsidRPr="002A7673" w:rsidRDefault="0093441E" w:rsidP="0093441E">
      <w:pPr>
        <w:rPr>
          <w:rFonts w:ascii="Times New Roman" w:hAnsi="Times New Roman" w:cs="Times New Roman"/>
          <w:b/>
        </w:rPr>
      </w:pPr>
    </w:p>
    <w:p w14:paraId="124888DA" w14:textId="77777777" w:rsidR="0093441E" w:rsidRPr="002A7673" w:rsidRDefault="0093441E" w:rsidP="00FF3FAC">
      <w:pPr>
        <w:numPr>
          <w:ilvl w:val="0"/>
          <w:numId w:val="31"/>
        </w:numPr>
        <w:spacing w:after="0" w:line="240" w:lineRule="auto"/>
        <w:ind w:hanging="1004"/>
        <w:jc w:val="center"/>
        <w:rPr>
          <w:rFonts w:ascii="Times New Roman" w:eastAsia="Times New Roman" w:hAnsi="Times New Roman" w:cs="Times New Roman"/>
          <w:b/>
          <w:sz w:val="24"/>
          <w:szCs w:val="24"/>
          <w:lang w:val="es-ES" w:eastAsia="es-ES"/>
        </w:rPr>
      </w:pPr>
      <w:r w:rsidRPr="002A7673">
        <w:rPr>
          <w:rFonts w:ascii="Times New Roman" w:eastAsia="Times New Roman" w:hAnsi="Times New Roman" w:cs="Times New Roman"/>
          <w:b/>
          <w:sz w:val="24"/>
          <w:szCs w:val="24"/>
          <w:lang w:val="es-ES" w:eastAsia="es-ES"/>
        </w:rPr>
        <w:t>Análisis del comportamiento interanual del balance general entre 2019 y 2020 para el centro de responsabilidad Administración de Osa</w:t>
      </w:r>
    </w:p>
    <w:p w14:paraId="03B6D523" w14:textId="77777777" w:rsidR="0093441E" w:rsidRPr="002A7673" w:rsidRDefault="0093441E" w:rsidP="0093441E">
      <w:pPr>
        <w:jc w:val="center"/>
        <w:rPr>
          <w:rFonts w:ascii="Times New Roman" w:hAnsi="Times New Roman" w:cs="Times New Roman"/>
          <w:b/>
          <w:bCs/>
          <w:color w:val="000000"/>
        </w:rPr>
      </w:pPr>
    </w:p>
    <w:p w14:paraId="181B4D33" w14:textId="77777777" w:rsidR="0093441E" w:rsidRPr="002A7673" w:rsidRDefault="0093441E" w:rsidP="0093441E">
      <w:pPr>
        <w:spacing w:after="0" w:line="240" w:lineRule="auto"/>
        <w:ind w:firstLine="708"/>
        <w:jc w:val="center"/>
        <w:rPr>
          <w:rFonts w:ascii="Times New Roman" w:hAnsi="Times New Roman" w:cs="Times New Roman"/>
          <w:b/>
        </w:rPr>
      </w:pPr>
      <w:r w:rsidRPr="002A7673">
        <w:rPr>
          <w:rFonts w:ascii="Times New Roman" w:hAnsi="Times New Roman" w:cs="Times New Roman"/>
          <w:b/>
        </w:rPr>
        <w:t>Comparación del Balance General para el centro de responsabilidad Administración de Osa, durante los años 2019-2020</w:t>
      </w:r>
    </w:p>
    <w:tbl>
      <w:tblPr>
        <w:tblW w:w="8075" w:type="dxa"/>
        <w:jc w:val="center"/>
        <w:tblCellMar>
          <w:left w:w="70" w:type="dxa"/>
          <w:right w:w="70" w:type="dxa"/>
        </w:tblCellMar>
        <w:tblLook w:val="04A0" w:firstRow="1" w:lastRow="0" w:firstColumn="1" w:lastColumn="0" w:noHBand="0" w:noVBand="1"/>
      </w:tblPr>
      <w:tblGrid>
        <w:gridCol w:w="2080"/>
        <w:gridCol w:w="1601"/>
        <w:gridCol w:w="1701"/>
        <w:gridCol w:w="1276"/>
        <w:gridCol w:w="1417"/>
      </w:tblGrid>
      <w:tr w:rsidR="0093441E" w:rsidRPr="002A7673" w14:paraId="5178A32F" w14:textId="77777777" w:rsidTr="0048334E">
        <w:trPr>
          <w:trHeight w:val="300"/>
          <w:jc w:val="center"/>
        </w:trPr>
        <w:tc>
          <w:tcPr>
            <w:tcW w:w="2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D5AD1"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Variable estadística</w:t>
            </w:r>
          </w:p>
        </w:tc>
        <w:tc>
          <w:tcPr>
            <w:tcW w:w="33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041F419"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Año</w:t>
            </w:r>
          </w:p>
        </w:tc>
        <w:tc>
          <w:tcPr>
            <w:tcW w:w="2693" w:type="dxa"/>
            <w:gridSpan w:val="2"/>
            <w:tcBorders>
              <w:top w:val="single" w:sz="4" w:space="0" w:color="auto"/>
              <w:left w:val="nil"/>
              <w:bottom w:val="single" w:sz="4" w:space="0" w:color="auto"/>
              <w:right w:val="single" w:sz="4" w:space="0" w:color="auto"/>
            </w:tcBorders>
            <w:shd w:val="clear" w:color="auto" w:fill="auto"/>
            <w:noWrap/>
            <w:vAlign w:val="bottom"/>
            <w:hideMark/>
          </w:tcPr>
          <w:p w14:paraId="7D3E1355"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Variación</w:t>
            </w:r>
          </w:p>
        </w:tc>
      </w:tr>
      <w:tr w:rsidR="0093441E" w:rsidRPr="002A7673" w14:paraId="70F48D62" w14:textId="77777777" w:rsidTr="0048334E">
        <w:trPr>
          <w:trHeight w:val="300"/>
          <w:jc w:val="center"/>
        </w:trPr>
        <w:tc>
          <w:tcPr>
            <w:tcW w:w="20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191B51" w14:textId="77777777" w:rsidR="0093441E" w:rsidRPr="002A7673" w:rsidRDefault="0093441E" w:rsidP="0048334E">
            <w:pPr>
              <w:spacing w:after="0" w:line="240" w:lineRule="auto"/>
              <w:rPr>
                <w:rFonts w:ascii="Times New Roman" w:hAnsi="Times New Roman" w:cs="Times New Roman"/>
                <w:b/>
                <w:bCs/>
                <w:color w:val="000000" w:themeColor="text1"/>
                <w:lang w:eastAsia="es-CR"/>
              </w:rPr>
            </w:pPr>
          </w:p>
        </w:tc>
        <w:tc>
          <w:tcPr>
            <w:tcW w:w="1601" w:type="dxa"/>
            <w:tcBorders>
              <w:top w:val="nil"/>
              <w:left w:val="nil"/>
              <w:bottom w:val="single" w:sz="4" w:space="0" w:color="auto"/>
              <w:right w:val="single" w:sz="4" w:space="0" w:color="auto"/>
            </w:tcBorders>
            <w:shd w:val="clear" w:color="auto" w:fill="auto"/>
            <w:noWrap/>
            <w:vAlign w:val="bottom"/>
            <w:hideMark/>
          </w:tcPr>
          <w:p w14:paraId="0A39B2B8"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2019</w:t>
            </w:r>
          </w:p>
        </w:tc>
        <w:tc>
          <w:tcPr>
            <w:tcW w:w="1701" w:type="dxa"/>
            <w:tcBorders>
              <w:top w:val="nil"/>
              <w:left w:val="nil"/>
              <w:bottom w:val="single" w:sz="4" w:space="0" w:color="auto"/>
              <w:right w:val="single" w:sz="4" w:space="0" w:color="auto"/>
            </w:tcBorders>
            <w:shd w:val="clear" w:color="auto" w:fill="auto"/>
            <w:noWrap/>
            <w:vAlign w:val="bottom"/>
            <w:hideMark/>
          </w:tcPr>
          <w:p w14:paraId="6289EA79"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2020</w:t>
            </w:r>
          </w:p>
        </w:tc>
        <w:tc>
          <w:tcPr>
            <w:tcW w:w="1276" w:type="dxa"/>
            <w:tcBorders>
              <w:top w:val="nil"/>
              <w:left w:val="nil"/>
              <w:bottom w:val="single" w:sz="4" w:space="0" w:color="auto"/>
              <w:right w:val="single" w:sz="4" w:space="0" w:color="auto"/>
            </w:tcBorders>
            <w:shd w:val="clear" w:color="auto" w:fill="auto"/>
            <w:noWrap/>
            <w:vAlign w:val="bottom"/>
            <w:hideMark/>
          </w:tcPr>
          <w:p w14:paraId="5FF5158C"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Absoluta</w:t>
            </w:r>
          </w:p>
        </w:tc>
        <w:tc>
          <w:tcPr>
            <w:tcW w:w="1417" w:type="dxa"/>
            <w:tcBorders>
              <w:top w:val="nil"/>
              <w:left w:val="nil"/>
              <w:bottom w:val="single" w:sz="4" w:space="0" w:color="auto"/>
              <w:right w:val="single" w:sz="4" w:space="0" w:color="auto"/>
            </w:tcBorders>
            <w:shd w:val="clear" w:color="auto" w:fill="auto"/>
            <w:noWrap/>
            <w:vAlign w:val="bottom"/>
            <w:hideMark/>
          </w:tcPr>
          <w:p w14:paraId="584883C9" w14:textId="77777777" w:rsidR="0093441E" w:rsidRPr="002A7673" w:rsidRDefault="0093441E" w:rsidP="0048334E">
            <w:pPr>
              <w:spacing w:after="0" w:line="240" w:lineRule="auto"/>
              <w:jc w:val="center"/>
              <w:rPr>
                <w:rFonts w:ascii="Times New Roman" w:hAnsi="Times New Roman" w:cs="Times New Roman"/>
                <w:b/>
                <w:bCs/>
                <w:color w:val="000000" w:themeColor="text1"/>
                <w:lang w:eastAsia="es-CR"/>
              </w:rPr>
            </w:pPr>
            <w:r w:rsidRPr="002A7673">
              <w:rPr>
                <w:rFonts w:ascii="Times New Roman" w:hAnsi="Times New Roman" w:cs="Times New Roman"/>
                <w:b/>
                <w:bCs/>
                <w:color w:val="000000" w:themeColor="text1"/>
                <w:lang w:eastAsia="es-CR"/>
              </w:rPr>
              <w:t>Relativa</w:t>
            </w:r>
          </w:p>
        </w:tc>
      </w:tr>
      <w:tr w:rsidR="0093441E" w:rsidRPr="002A7673" w14:paraId="106AA119"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70E0E0D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Circulante inicial</w:t>
            </w:r>
          </w:p>
        </w:tc>
        <w:tc>
          <w:tcPr>
            <w:tcW w:w="1601" w:type="dxa"/>
            <w:tcBorders>
              <w:top w:val="nil"/>
              <w:left w:val="nil"/>
              <w:bottom w:val="single" w:sz="4" w:space="0" w:color="auto"/>
              <w:right w:val="single" w:sz="4" w:space="0" w:color="auto"/>
            </w:tcBorders>
            <w:shd w:val="clear" w:color="auto" w:fill="auto"/>
            <w:noWrap/>
            <w:vAlign w:val="center"/>
            <w:hideMark/>
          </w:tcPr>
          <w:p w14:paraId="7E1F464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2 547 </w:t>
            </w:r>
          </w:p>
        </w:tc>
        <w:tc>
          <w:tcPr>
            <w:tcW w:w="1701" w:type="dxa"/>
            <w:tcBorders>
              <w:top w:val="nil"/>
              <w:left w:val="nil"/>
              <w:bottom w:val="single" w:sz="4" w:space="0" w:color="auto"/>
              <w:right w:val="single" w:sz="4" w:space="0" w:color="auto"/>
            </w:tcBorders>
            <w:shd w:val="clear" w:color="auto" w:fill="auto"/>
            <w:noWrap/>
            <w:vAlign w:val="center"/>
            <w:hideMark/>
          </w:tcPr>
          <w:p w14:paraId="10D8742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2 940 </w:t>
            </w:r>
          </w:p>
        </w:tc>
        <w:tc>
          <w:tcPr>
            <w:tcW w:w="1276" w:type="dxa"/>
            <w:tcBorders>
              <w:top w:val="nil"/>
              <w:left w:val="nil"/>
              <w:bottom w:val="single" w:sz="4" w:space="0" w:color="auto"/>
              <w:right w:val="single" w:sz="4" w:space="0" w:color="auto"/>
            </w:tcBorders>
            <w:shd w:val="clear" w:color="auto" w:fill="auto"/>
            <w:noWrap/>
            <w:vAlign w:val="center"/>
            <w:hideMark/>
          </w:tcPr>
          <w:p w14:paraId="5AECCBF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393 </w:t>
            </w:r>
          </w:p>
        </w:tc>
        <w:tc>
          <w:tcPr>
            <w:tcW w:w="1417" w:type="dxa"/>
            <w:tcBorders>
              <w:top w:val="nil"/>
              <w:left w:val="nil"/>
              <w:bottom w:val="single" w:sz="4" w:space="0" w:color="auto"/>
              <w:right w:val="single" w:sz="4" w:space="0" w:color="auto"/>
            </w:tcBorders>
            <w:shd w:val="clear" w:color="auto" w:fill="auto"/>
            <w:noWrap/>
            <w:vAlign w:val="center"/>
            <w:hideMark/>
          </w:tcPr>
          <w:p w14:paraId="4959ADB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15,43%</w:t>
            </w:r>
          </w:p>
        </w:tc>
      </w:tr>
      <w:tr w:rsidR="0093441E" w:rsidRPr="002A7673" w14:paraId="55A0C2C6"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65B2FE7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Entrados</w:t>
            </w:r>
          </w:p>
        </w:tc>
        <w:tc>
          <w:tcPr>
            <w:tcW w:w="1601" w:type="dxa"/>
            <w:tcBorders>
              <w:top w:val="nil"/>
              <w:left w:val="nil"/>
              <w:bottom w:val="single" w:sz="4" w:space="0" w:color="auto"/>
              <w:right w:val="single" w:sz="4" w:space="0" w:color="auto"/>
            </w:tcBorders>
            <w:shd w:val="clear" w:color="auto" w:fill="auto"/>
            <w:noWrap/>
            <w:vAlign w:val="center"/>
            <w:hideMark/>
          </w:tcPr>
          <w:p w14:paraId="1ED918E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3 892 </w:t>
            </w:r>
          </w:p>
        </w:tc>
        <w:tc>
          <w:tcPr>
            <w:tcW w:w="1701" w:type="dxa"/>
            <w:tcBorders>
              <w:top w:val="nil"/>
              <w:left w:val="nil"/>
              <w:bottom w:val="single" w:sz="4" w:space="0" w:color="auto"/>
              <w:right w:val="single" w:sz="4" w:space="0" w:color="auto"/>
            </w:tcBorders>
            <w:shd w:val="clear" w:color="auto" w:fill="auto"/>
            <w:noWrap/>
            <w:vAlign w:val="center"/>
            <w:hideMark/>
          </w:tcPr>
          <w:p w14:paraId="099C876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3 368 </w:t>
            </w:r>
          </w:p>
        </w:tc>
        <w:tc>
          <w:tcPr>
            <w:tcW w:w="1276" w:type="dxa"/>
            <w:tcBorders>
              <w:top w:val="nil"/>
              <w:left w:val="nil"/>
              <w:bottom w:val="single" w:sz="4" w:space="0" w:color="auto"/>
              <w:right w:val="single" w:sz="4" w:space="0" w:color="auto"/>
            </w:tcBorders>
            <w:shd w:val="clear" w:color="auto" w:fill="auto"/>
            <w:noWrap/>
            <w:vAlign w:val="center"/>
            <w:hideMark/>
          </w:tcPr>
          <w:p w14:paraId="5502F9B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-524 </w:t>
            </w:r>
          </w:p>
        </w:tc>
        <w:tc>
          <w:tcPr>
            <w:tcW w:w="1417" w:type="dxa"/>
            <w:tcBorders>
              <w:top w:val="nil"/>
              <w:left w:val="nil"/>
              <w:bottom w:val="single" w:sz="4" w:space="0" w:color="auto"/>
              <w:right w:val="single" w:sz="4" w:space="0" w:color="auto"/>
            </w:tcBorders>
            <w:shd w:val="clear" w:color="auto" w:fill="auto"/>
            <w:noWrap/>
            <w:vAlign w:val="center"/>
            <w:hideMark/>
          </w:tcPr>
          <w:p w14:paraId="6E33D5D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-13,46%</w:t>
            </w:r>
          </w:p>
        </w:tc>
      </w:tr>
      <w:tr w:rsidR="0093441E" w:rsidRPr="002A7673" w14:paraId="3D7CC2F4"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35CFC0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Reactivados</w:t>
            </w:r>
          </w:p>
        </w:tc>
        <w:tc>
          <w:tcPr>
            <w:tcW w:w="1601" w:type="dxa"/>
            <w:tcBorders>
              <w:top w:val="nil"/>
              <w:left w:val="nil"/>
              <w:bottom w:val="single" w:sz="4" w:space="0" w:color="auto"/>
              <w:right w:val="single" w:sz="4" w:space="0" w:color="auto"/>
            </w:tcBorders>
            <w:shd w:val="clear" w:color="auto" w:fill="auto"/>
            <w:noWrap/>
            <w:vAlign w:val="center"/>
            <w:hideMark/>
          </w:tcPr>
          <w:p w14:paraId="713D40B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   </w:t>
            </w:r>
          </w:p>
        </w:tc>
        <w:tc>
          <w:tcPr>
            <w:tcW w:w="1701" w:type="dxa"/>
            <w:tcBorders>
              <w:top w:val="nil"/>
              <w:left w:val="nil"/>
              <w:bottom w:val="single" w:sz="4" w:space="0" w:color="auto"/>
              <w:right w:val="single" w:sz="4" w:space="0" w:color="auto"/>
            </w:tcBorders>
            <w:shd w:val="clear" w:color="auto" w:fill="auto"/>
            <w:noWrap/>
            <w:vAlign w:val="center"/>
            <w:hideMark/>
          </w:tcPr>
          <w:p w14:paraId="55E8210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   </w:t>
            </w:r>
          </w:p>
        </w:tc>
        <w:tc>
          <w:tcPr>
            <w:tcW w:w="1276" w:type="dxa"/>
            <w:tcBorders>
              <w:top w:val="nil"/>
              <w:left w:val="nil"/>
              <w:bottom w:val="single" w:sz="4" w:space="0" w:color="auto"/>
              <w:right w:val="single" w:sz="4" w:space="0" w:color="auto"/>
            </w:tcBorders>
            <w:shd w:val="clear" w:color="auto" w:fill="auto"/>
            <w:noWrap/>
            <w:vAlign w:val="center"/>
            <w:hideMark/>
          </w:tcPr>
          <w:p w14:paraId="4547786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   </w:t>
            </w:r>
          </w:p>
        </w:tc>
        <w:tc>
          <w:tcPr>
            <w:tcW w:w="1417" w:type="dxa"/>
            <w:tcBorders>
              <w:top w:val="nil"/>
              <w:left w:val="nil"/>
              <w:bottom w:val="single" w:sz="4" w:space="0" w:color="auto"/>
              <w:right w:val="single" w:sz="4" w:space="0" w:color="auto"/>
            </w:tcBorders>
            <w:shd w:val="clear" w:color="auto" w:fill="auto"/>
            <w:noWrap/>
            <w:vAlign w:val="center"/>
            <w:hideMark/>
          </w:tcPr>
          <w:p w14:paraId="61E230F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0,00%</w:t>
            </w:r>
          </w:p>
        </w:tc>
      </w:tr>
      <w:tr w:rsidR="0093441E" w:rsidRPr="002A7673" w14:paraId="1E8E57DB"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764FDAF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Reentrados</w:t>
            </w:r>
          </w:p>
        </w:tc>
        <w:tc>
          <w:tcPr>
            <w:tcW w:w="1601" w:type="dxa"/>
            <w:tcBorders>
              <w:top w:val="nil"/>
              <w:left w:val="nil"/>
              <w:bottom w:val="single" w:sz="4" w:space="0" w:color="auto"/>
              <w:right w:val="single" w:sz="4" w:space="0" w:color="auto"/>
            </w:tcBorders>
            <w:shd w:val="clear" w:color="auto" w:fill="auto"/>
            <w:noWrap/>
            <w:vAlign w:val="center"/>
            <w:hideMark/>
          </w:tcPr>
          <w:p w14:paraId="709004C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450 </w:t>
            </w:r>
          </w:p>
        </w:tc>
        <w:tc>
          <w:tcPr>
            <w:tcW w:w="1701" w:type="dxa"/>
            <w:tcBorders>
              <w:top w:val="nil"/>
              <w:left w:val="nil"/>
              <w:bottom w:val="single" w:sz="4" w:space="0" w:color="auto"/>
              <w:right w:val="single" w:sz="4" w:space="0" w:color="auto"/>
            </w:tcBorders>
            <w:shd w:val="clear" w:color="auto" w:fill="auto"/>
            <w:noWrap/>
            <w:vAlign w:val="center"/>
            <w:hideMark/>
          </w:tcPr>
          <w:p w14:paraId="6014386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384 </w:t>
            </w:r>
          </w:p>
        </w:tc>
        <w:tc>
          <w:tcPr>
            <w:tcW w:w="1276" w:type="dxa"/>
            <w:tcBorders>
              <w:top w:val="nil"/>
              <w:left w:val="nil"/>
              <w:bottom w:val="single" w:sz="4" w:space="0" w:color="auto"/>
              <w:right w:val="single" w:sz="4" w:space="0" w:color="auto"/>
            </w:tcBorders>
            <w:shd w:val="clear" w:color="auto" w:fill="auto"/>
            <w:noWrap/>
            <w:vAlign w:val="center"/>
            <w:hideMark/>
          </w:tcPr>
          <w:p w14:paraId="02C4E03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-66 </w:t>
            </w:r>
          </w:p>
        </w:tc>
        <w:tc>
          <w:tcPr>
            <w:tcW w:w="1417" w:type="dxa"/>
            <w:tcBorders>
              <w:top w:val="nil"/>
              <w:left w:val="nil"/>
              <w:bottom w:val="single" w:sz="4" w:space="0" w:color="auto"/>
              <w:right w:val="single" w:sz="4" w:space="0" w:color="auto"/>
            </w:tcBorders>
            <w:shd w:val="clear" w:color="auto" w:fill="auto"/>
            <w:noWrap/>
            <w:vAlign w:val="center"/>
            <w:hideMark/>
          </w:tcPr>
          <w:p w14:paraId="55D9C60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-14,67%</w:t>
            </w:r>
          </w:p>
        </w:tc>
      </w:tr>
      <w:tr w:rsidR="0093441E" w:rsidRPr="002A7673" w14:paraId="652A2162"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55CD333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Testimonios de pieza</w:t>
            </w:r>
          </w:p>
        </w:tc>
        <w:tc>
          <w:tcPr>
            <w:tcW w:w="1601" w:type="dxa"/>
            <w:tcBorders>
              <w:top w:val="nil"/>
              <w:left w:val="nil"/>
              <w:bottom w:val="single" w:sz="4" w:space="0" w:color="auto"/>
              <w:right w:val="single" w:sz="4" w:space="0" w:color="auto"/>
            </w:tcBorders>
            <w:shd w:val="clear" w:color="auto" w:fill="auto"/>
            <w:noWrap/>
            <w:vAlign w:val="center"/>
            <w:hideMark/>
          </w:tcPr>
          <w:p w14:paraId="3C32A9D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105 </w:t>
            </w:r>
          </w:p>
        </w:tc>
        <w:tc>
          <w:tcPr>
            <w:tcW w:w="1701" w:type="dxa"/>
            <w:tcBorders>
              <w:top w:val="nil"/>
              <w:left w:val="nil"/>
              <w:bottom w:val="single" w:sz="4" w:space="0" w:color="auto"/>
              <w:right w:val="single" w:sz="4" w:space="0" w:color="auto"/>
            </w:tcBorders>
            <w:shd w:val="clear" w:color="auto" w:fill="auto"/>
            <w:noWrap/>
            <w:vAlign w:val="center"/>
            <w:hideMark/>
          </w:tcPr>
          <w:p w14:paraId="7EAA3CF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105 </w:t>
            </w:r>
          </w:p>
        </w:tc>
        <w:tc>
          <w:tcPr>
            <w:tcW w:w="1276" w:type="dxa"/>
            <w:tcBorders>
              <w:top w:val="nil"/>
              <w:left w:val="nil"/>
              <w:bottom w:val="single" w:sz="4" w:space="0" w:color="auto"/>
              <w:right w:val="single" w:sz="4" w:space="0" w:color="auto"/>
            </w:tcBorders>
            <w:shd w:val="clear" w:color="auto" w:fill="auto"/>
            <w:noWrap/>
            <w:vAlign w:val="center"/>
            <w:hideMark/>
          </w:tcPr>
          <w:p w14:paraId="63F117A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   </w:t>
            </w:r>
          </w:p>
        </w:tc>
        <w:tc>
          <w:tcPr>
            <w:tcW w:w="1417" w:type="dxa"/>
            <w:tcBorders>
              <w:top w:val="nil"/>
              <w:left w:val="nil"/>
              <w:bottom w:val="single" w:sz="4" w:space="0" w:color="auto"/>
              <w:right w:val="single" w:sz="4" w:space="0" w:color="auto"/>
            </w:tcBorders>
            <w:shd w:val="clear" w:color="auto" w:fill="auto"/>
            <w:noWrap/>
            <w:vAlign w:val="center"/>
            <w:hideMark/>
          </w:tcPr>
          <w:p w14:paraId="3326738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0,00%</w:t>
            </w:r>
          </w:p>
        </w:tc>
      </w:tr>
      <w:tr w:rsidR="0093441E" w:rsidRPr="002A7673" w14:paraId="0753E0E0"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C4FA0A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Terminados</w:t>
            </w:r>
          </w:p>
        </w:tc>
        <w:tc>
          <w:tcPr>
            <w:tcW w:w="1601" w:type="dxa"/>
            <w:tcBorders>
              <w:top w:val="nil"/>
              <w:left w:val="nil"/>
              <w:bottom w:val="single" w:sz="4" w:space="0" w:color="auto"/>
              <w:right w:val="single" w:sz="4" w:space="0" w:color="auto"/>
            </w:tcBorders>
            <w:shd w:val="clear" w:color="auto" w:fill="auto"/>
            <w:noWrap/>
            <w:vAlign w:val="center"/>
            <w:hideMark/>
          </w:tcPr>
          <w:p w14:paraId="35D3817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3 923 </w:t>
            </w:r>
          </w:p>
        </w:tc>
        <w:tc>
          <w:tcPr>
            <w:tcW w:w="1701" w:type="dxa"/>
            <w:tcBorders>
              <w:top w:val="nil"/>
              <w:left w:val="nil"/>
              <w:bottom w:val="single" w:sz="4" w:space="0" w:color="auto"/>
              <w:right w:val="single" w:sz="4" w:space="0" w:color="auto"/>
            </w:tcBorders>
            <w:shd w:val="clear" w:color="auto" w:fill="auto"/>
            <w:noWrap/>
            <w:vAlign w:val="center"/>
            <w:hideMark/>
          </w:tcPr>
          <w:p w14:paraId="0E1A4E5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3 146 </w:t>
            </w:r>
          </w:p>
        </w:tc>
        <w:tc>
          <w:tcPr>
            <w:tcW w:w="1276" w:type="dxa"/>
            <w:tcBorders>
              <w:top w:val="nil"/>
              <w:left w:val="nil"/>
              <w:bottom w:val="single" w:sz="4" w:space="0" w:color="auto"/>
              <w:right w:val="single" w:sz="4" w:space="0" w:color="auto"/>
            </w:tcBorders>
            <w:shd w:val="clear" w:color="auto" w:fill="auto"/>
            <w:noWrap/>
            <w:vAlign w:val="center"/>
            <w:hideMark/>
          </w:tcPr>
          <w:p w14:paraId="223BCAC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-777 </w:t>
            </w:r>
          </w:p>
        </w:tc>
        <w:tc>
          <w:tcPr>
            <w:tcW w:w="1417" w:type="dxa"/>
            <w:tcBorders>
              <w:top w:val="nil"/>
              <w:left w:val="nil"/>
              <w:bottom w:val="single" w:sz="4" w:space="0" w:color="auto"/>
              <w:right w:val="single" w:sz="4" w:space="0" w:color="auto"/>
            </w:tcBorders>
            <w:shd w:val="clear" w:color="auto" w:fill="auto"/>
            <w:noWrap/>
            <w:vAlign w:val="center"/>
            <w:hideMark/>
          </w:tcPr>
          <w:p w14:paraId="6ADEFB1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-19,81%</w:t>
            </w:r>
          </w:p>
        </w:tc>
      </w:tr>
      <w:tr w:rsidR="0093441E" w:rsidRPr="002A7673" w14:paraId="7D0B41B9"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37E6AF5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Inactivos</w:t>
            </w:r>
          </w:p>
        </w:tc>
        <w:tc>
          <w:tcPr>
            <w:tcW w:w="1601" w:type="dxa"/>
            <w:tcBorders>
              <w:top w:val="nil"/>
              <w:left w:val="nil"/>
              <w:bottom w:val="single" w:sz="4" w:space="0" w:color="auto"/>
              <w:right w:val="single" w:sz="4" w:space="0" w:color="auto"/>
            </w:tcBorders>
            <w:shd w:val="clear" w:color="auto" w:fill="auto"/>
            <w:noWrap/>
            <w:vAlign w:val="center"/>
            <w:hideMark/>
          </w:tcPr>
          <w:p w14:paraId="27E17EC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130 </w:t>
            </w:r>
          </w:p>
        </w:tc>
        <w:tc>
          <w:tcPr>
            <w:tcW w:w="1701" w:type="dxa"/>
            <w:tcBorders>
              <w:top w:val="nil"/>
              <w:left w:val="nil"/>
              <w:bottom w:val="single" w:sz="4" w:space="0" w:color="auto"/>
              <w:right w:val="single" w:sz="4" w:space="0" w:color="auto"/>
            </w:tcBorders>
            <w:shd w:val="clear" w:color="auto" w:fill="auto"/>
            <w:noWrap/>
            <w:vAlign w:val="center"/>
            <w:hideMark/>
          </w:tcPr>
          <w:p w14:paraId="10C8D6B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398 </w:t>
            </w:r>
          </w:p>
        </w:tc>
        <w:tc>
          <w:tcPr>
            <w:tcW w:w="1276" w:type="dxa"/>
            <w:tcBorders>
              <w:top w:val="nil"/>
              <w:left w:val="nil"/>
              <w:bottom w:val="single" w:sz="4" w:space="0" w:color="auto"/>
              <w:right w:val="single" w:sz="4" w:space="0" w:color="auto"/>
            </w:tcBorders>
            <w:shd w:val="clear" w:color="auto" w:fill="auto"/>
            <w:noWrap/>
            <w:vAlign w:val="center"/>
            <w:hideMark/>
          </w:tcPr>
          <w:p w14:paraId="03E2A04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268 </w:t>
            </w:r>
          </w:p>
        </w:tc>
        <w:tc>
          <w:tcPr>
            <w:tcW w:w="1417" w:type="dxa"/>
            <w:tcBorders>
              <w:top w:val="nil"/>
              <w:left w:val="nil"/>
              <w:bottom w:val="single" w:sz="4" w:space="0" w:color="auto"/>
              <w:right w:val="single" w:sz="4" w:space="0" w:color="auto"/>
            </w:tcBorders>
            <w:shd w:val="clear" w:color="auto" w:fill="auto"/>
            <w:noWrap/>
            <w:vAlign w:val="center"/>
            <w:hideMark/>
          </w:tcPr>
          <w:p w14:paraId="282A625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206,15%</w:t>
            </w:r>
          </w:p>
        </w:tc>
      </w:tr>
      <w:tr w:rsidR="0093441E" w:rsidRPr="002A7673" w14:paraId="15476BD1" w14:textId="77777777" w:rsidTr="0048334E">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33E5572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Circulante final</w:t>
            </w:r>
          </w:p>
        </w:tc>
        <w:tc>
          <w:tcPr>
            <w:tcW w:w="1601" w:type="dxa"/>
            <w:tcBorders>
              <w:top w:val="nil"/>
              <w:left w:val="nil"/>
              <w:bottom w:val="single" w:sz="4" w:space="0" w:color="auto"/>
              <w:right w:val="single" w:sz="4" w:space="0" w:color="auto"/>
            </w:tcBorders>
            <w:shd w:val="clear" w:color="auto" w:fill="auto"/>
            <w:noWrap/>
            <w:vAlign w:val="center"/>
            <w:hideMark/>
          </w:tcPr>
          <w:p w14:paraId="004D8A9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2 940 </w:t>
            </w:r>
          </w:p>
        </w:tc>
        <w:tc>
          <w:tcPr>
            <w:tcW w:w="1701" w:type="dxa"/>
            <w:tcBorders>
              <w:top w:val="nil"/>
              <w:left w:val="nil"/>
              <w:bottom w:val="single" w:sz="4" w:space="0" w:color="auto"/>
              <w:right w:val="single" w:sz="4" w:space="0" w:color="auto"/>
            </w:tcBorders>
            <w:shd w:val="clear" w:color="auto" w:fill="auto"/>
            <w:noWrap/>
            <w:vAlign w:val="center"/>
            <w:hideMark/>
          </w:tcPr>
          <w:p w14:paraId="39CAED1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3 253 </w:t>
            </w:r>
          </w:p>
        </w:tc>
        <w:tc>
          <w:tcPr>
            <w:tcW w:w="1276" w:type="dxa"/>
            <w:tcBorders>
              <w:top w:val="nil"/>
              <w:left w:val="nil"/>
              <w:bottom w:val="single" w:sz="4" w:space="0" w:color="auto"/>
              <w:right w:val="single" w:sz="4" w:space="0" w:color="auto"/>
            </w:tcBorders>
            <w:shd w:val="clear" w:color="auto" w:fill="auto"/>
            <w:noWrap/>
            <w:vAlign w:val="center"/>
            <w:hideMark/>
          </w:tcPr>
          <w:p w14:paraId="38F67F9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313 </w:t>
            </w:r>
          </w:p>
        </w:tc>
        <w:tc>
          <w:tcPr>
            <w:tcW w:w="1417" w:type="dxa"/>
            <w:tcBorders>
              <w:top w:val="nil"/>
              <w:left w:val="nil"/>
              <w:bottom w:val="single" w:sz="4" w:space="0" w:color="auto"/>
              <w:right w:val="single" w:sz="4" w:space="0" w:color="auto"/>
            </w:tcBorders>
            <w:shd w:val="clear" w:color="auto" w:fill="auto"/>
            <w:noWrap/>
            <w:vAlign w:val="center"/>
            <w:hideMark/>
          </w:tcPr>
          <w:p w14:paraId="6388E1B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10,65%</w:t>
            </w:r>
          </w:p>
        </w:tc>
      </w:tr>
    </w:tbl>
    <w:p w14:paraId="6FFFF7F5" w14:textId="77777777" w:rsidR="0093441E" w:rsidRPr="002A7673" w:rsidRDefault="0093441E" w:rsidP="0093441E">
      <w:pPr>
        <w:spacing w:line="360" w:lineRule="auto"/>
        <w:ind w:right="567" w:firstLine="708"/>
        <w:rPr>
          <w:rFonts w:ascii="Times New Roman" w:hAnsi="Times New Roman" w:cs="Times New Roman"/>
          <w:b/>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Subproceso de Estadística, Dirección de Planificación, Poder Judicial</w:t>
      </w:r>
    </w:p>
    <w:p w14:paraId="49D8535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El ingreso de nuevos casos muestra un comportamiento descendente en 2020, al pasar de 3.892 a 3.368 asuntos, es decir; se disminuye en 524 expedientes, lo que consecuentemente le significó a este Centro de Responsabilidad un decrecimiento de su carga de trabajo del orden del 13,46%. Las razones asociadas a dicho comportamiento se encuentran generalizadas en la mayoría de los despachos, producto de la reducción en la afluencia de personas debido a los efectos de la pandemia provocada por el virus COVID-19. La única excepción es el Tribunal del II Circuito de la zona sur, sede Osa que presentó un incremento de 6 asuntos de un periodo a otro, lo que significa un crecimiento del 4,23%. </w:t>
      </w:r>
    </w:p>
    <w:p w14:paraId="0B01E249"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reentrados</w:t>
      </w:r>
      <w:r w:rsidRPr="002A7673">
        <w:rPr>
          <w:rFonts w:ascii="Times New Roman" w:hAnsi="Times New Roman" w:cs="Times New Roman"/>
          <w:sz w:val="28"/>
          <w:szCs w:val="28"/>
        </w:rPr>
        <w:t>: El reingreso de nuevos muestra un comportamiento descendente en 2020, al pasar de 450 a 384 asuntos, es decir; se disminuye en 66 expedientes, lo que consecuentemente le significó a este Centro de Responsabilidad un decrecimiento en el trámite de este tipo de asuntos en 14,67%. Las razones asociadas a dicho comportamiento se encuentran generalizadas en la mayoría de los despachos, producto de la reducción en la afluencia de personas debido a los efectos de la pandemia provocada por el virus COVID-19.</w:t>
      </w:r>
    </w:p>
    <w:p w14:paraId="6252CE67"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lastRenderedPageBreak/>
        <w:t>Casos terminados</w:t>
      </w:r>
      <w:r w:rsidRPr="002A7673">
        <w:rPr>
          <w:rFonts w:ascii="Times New Roman" w:hAnsi="Times New Roman" w:cs="Times New Roman"/>
          <w:sz w:val="28"/>
          <w:szCs w:val="28"/>
        </w:rPr>
        <w:t xml:space="preserve">: El termino de casos muestra un comportamiento descendente en 2020, al pasar de 3.923 a 3.146 asuntos, es decir; se disminuye en 777 expedientes, lo que consecuentemente le significó a este Centro de Responsabilidad un decrecimiento en su productividad del orden del 19,81%. Las razones asociadas a dicho comportamiento se encuentran generalizadas en la mayoría de los despachos, producto de las jornadas de trabajo, los cierres nacionales y otras labores asociadas a los efectos de la pandemia provocada por el virus COVID-19. La única excepción es el Juzgado Civil, Trabajo y Familia de Osa que presentó un incremento de 84 asuntos terminados de un periodo a otro, lo que significa un crecimiento del 7,41%. </w:t>
      </w:r>
    </w:p>
    <w:p w14:paraId="1DC534FD"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inactivos</w:t>
      </w:r>
      <w:r w:rsidRPr="002A7673">
        <w:rPr>
          <w:rFonts w:ascii="Times New Roman" w:hAnsi="Times New Roman" w:cs="Times New Roman"/>
          <w:sz w:val="28"/>
          <w:szCs w:val="28"/>
        </w:rPr>
        <w:t xml:space="preserve">: La inactividad de casos muestra un comportamiento ascendente en 2020, al pasar de 130 a 398 asuntos, es decir; se aumenta en 268 expedientes, lo que consecuentemente le significó a este Centro de Responsabilidad un crecimiento en la inactividad de los procesos del orden del 206,15%. La variación asociada a dicho comportamiento está concentrada en el Juzgado Contravencional de Osa en materia de Pensiones Alimentarias (267 asuntos inactivos más), producto de la reducción en la afluencia de personas debido a los efectos de la pandemia provocada por el virus COVID-19 y el procedimiento de inventario realizado a finales de 2020. </w:t>
      </w:r>
    </w:p>
    <w:p w14:paraId="318E9325"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del circulante</w:t>
      </w:r>
      <w:r w:rsidRPr="002A7673">
        <w:rPr>
          <w:rFonts w:ascii="Times New Roman" w:hAnsi="Times New Roman" w:cs="Times New Roman"/>
          <w:sz w:val="28"/>
          <w:szCs w:val="28"/>
        </w:rPr>
        <w:t xml:space="preserve">: Los casos en proceso muestran un comportamiento ascendente en 2020, al pasar de 2.940 a 3.253 asuntos, es decir; se aumenta en 313 </w:t>
      </w:r>
      <w:r w:rsidRPr="002A7673">
        <w:rPr>
          <w:rFonts w:ascii="Times New Roman" w:hAnsi="Times New Roman" w:cs="Times New Roman"/>
          <w:sz w:val="28"/>
          <w:szCs w:val="28"/>
        </w:rPr>
        <w:lastRenderedPageBreak/>
        <w:t xml:space="preserve">expedientes, lo que consecuentemente le significó a este Centro de Responsabilidad un crecimiento de los procesos del orden del 10,65%. La variación asociada a dicho comportamiento se encuentra concentrada en el Juzgado Penal de Osa (621 asuntos más), producto de la reducción en la afluencia de personas debido a los efectos de la pandemia provocada por el virus COVID-19. Respecto a las demás oficinas, el Juzgado Civil, Trabajo y Familia De Osa, el Juzgado Contravencional de </w:t>
      </w:r>
      <w:proofErr w:type="gramStart"/>
      <w:r w:rsidRPr="002A7673">
        <w:rPr>
          <w:rFonts w:ascii="Times New Roman" w:hAnsi="Times New Roman" w:cs="Times New Roman"/>
          <w:sz w:val="28"/>
          <w:szCs w:val="28"/>
        </w:rPr>
        <w:t>Osa  y</w:t>
      </w:r>
      <w:proofErr w:type="gramEnd"/>
      <w:r w:rsidRPr="002A7673">
        <w:rPr>
          <w:rFonts w:ascii="Times New Roman" w:hAnsi="Times New Roman" w:cs="Times New Roman"/>
          <w:sz w:val="28"/>
          <w:szCs w:val="28"/>
        </w:rPr>
        <w:t xml:space="preserve"> el Tribunal del II Circuito Judicial de la zona sur, sede Osa, presentaron reducciones de 7,31%, 15% y 8,59% respectivamente. </w:t>
      </w:r>
    </w:p>
    <w:p w14:paraId="45AFC5FD" w14:textId="77777777" w:rsidR="0093441E" w:rsidRPr="002A7673" w:rsidRDefault="0093441E" w:rsidP="0093441E">
      <w:pPr>
        <w:spacing w:line="360" w:lineRule="auto"/>
        <w:ind w:right="567"/>
        <w:rPr>
          <w:rFonts w:ascii="Times New Roman" w:hAnsi="Times New Roman" w:cs="Times New Roman"/>
        </w:rPr>
      </w:pPr>
    </w:p>
    <w:p w14:paraId="034B42B2" w14:textId="77777777" w:rsidR="0093441E" w:rsidRPr="002A7673" w:rsidRDefault="0093441E" w:rsidP="00FF3FAC">
      <w:pPr>
        <w:numPr>
          <w:ilvl w:val="0"/>
          <w:numId w:val="31"/>
        </w:numPr>
        <w:spacing w:after="0" w:line="240" w:lineRule="auto"/>
        <w:ind w:hanging="1004"/>
        <w:jc w:val="center"/>
        <w:rPr>
          <w:rFonts w:ascii="Times New Roman" w:eastAsia="Times New Roman" w:hAnsi="Times New Roman" w:cs="Times New Roman"/>
          <w:b/>
          <w:sz w:val="24"/>
          <w:szCs w:val="24"/>
          <w:lang w:val="es-ES" w:eastAsia="es-ES"/>
        </w:rPr>
      </w:pPr>
      <w:r w:rsidRPr="002A7673">
        <w:rPr>
          <w:rFonts w:ascii="Times New Roman" w:eastAsia="Times New Roman" w:hAnsi="Times New Roman" w:cs="Times New Roman"/>
          <w:b/>
          <w:sz w:val="24"/>
          <w:szCs w:val="24"/>
          <w:lang w:val="es-ES" w:eastAsia="es-ES"/>
        </w:rPr>
        <w:t xml:space="preserve">Análisis del comportamiento interanual del balance general entre 2019 y 2020 para el centro de responsabilidad de la Administración </w:t>
      </w:r>
      <w:proofErr w:type="gramStart"/>
      <w:r w:rsidRPr="002A7673">
        <w:rPr>
          <w:rFonts w:ascii="Times New Roman" w:eastAsia="Times New Roman" w:hAnsi="Times New Roman" w:cs="Times New Roman"/>
          <w:b/>
          <w:sz w:val="24"/>
          <w:szCs w:val="24"/>
          <w:lang w:val="es-ES" w:eastAsia="es-ES"/>
        </w:rPr>
        <w:t>del  II</w:t>
      </w:r>
      <w:proofErr w:type="gramEnd"/>
      <w:r w:rsidRPr="002A7673">
        <w:rPr>
          <w:rFonts w:ascii="Times New Roman" w:eastAsia="Times New Roman" w:hAnsi="Times New Roman" w:cs="Times New Roman"/>
          <w:b/>
          <w:sz w:val="24"/>
          <w:szCs w:val="24"/>
          <w:lang w:val="es-ES" w:eastAsia="es-ES"/>
        </w:rPr>
        <w:t xml:space="preserve"> Circuito Judicial de Guanacaste</w:t>
      </w:r>
    </w:p>
    <w:p w14:paraId="794A5A96" w14:textId="77777777" w:rsidR="0093441E" w:rsidRPr="002A7673" w:rsidRDefault="0093441E" w:rsidP="0093441E">
      <w:pPr>
        <w:spacing w:after="0" w:line="240" w:lineRule="auto"/>
        <w:ind w:left="720"/>
        <w:rPr>
          <w:rFonts w:ascii="Times New Roman" w:eastAsia="Times New Roman" w:hAnsi="Times New Roman" w:cs="Times New Roman"/>
          <w:b/>
          <w:sz w:val="24"/>
          <w:szCs w:val="24"/>
          <w:lang w:val="es-ES" w:eastAsia="es-ES"/>
        </w:rPr>
      </w:pPr>
    </w:p>
    <w:p w14:paraId="348227FA" w14:textId="77777777" w:rsidR="0093441E" w:rsidRPr="002A7673" w:rsidRDefault="0093441E" w:rsidP="0093441E">
      <w:pPr>
        <w:keepNext/>
        <w:widowControl w:val="0"/>
        <w:autoSpaceDE w:val="0"/>
        <w:autoSpaceDN w:val="0"/>
        <w:adjustRightInd w:val="0"/>
        <w:spacing w:after="0" w:line="240" w:lineRule="auto"/>
        <w:jc w:val="center"/>
        <w:rPr>
          <w:rFonts w:ascii="Times New Roman" w:eastAsia="Times New Roman" w:hAnsi="Times New Roman" w:cs="Times New Roman"/>
          <w:b/>
          <w:bCs/>
          <w:sz w:val="24"/>
          <w:szCs w:val="24"/>
          <w:lang w:val="es-ES" w:eastAsia="es-ES"/>
        </w:rPr>
      </w:pPr>
      <w:r w:rsidRPr="002A7673">
        <w:rPr>
          <w:rFonts w:ascii="Times New Roman" w:eastAsia="Times New Roman" w:hAnsi="Times New Roman" w:cs="Times New Roman"/>
          <w:b/>
          <w:bCs/>
          <w:sz w:val="24"/>
          <w:szCs w:val="24"/>
          <w:lang w:val="es-ES" w:eastAsia="es-ES"/>
        </w:rPr>
        <w:t>Movimientos generales de trabajo para el Centro de Responsabilidad de la Administración del II Circuito Judicial de Guanacaste, durante el bienio 2019-2020</w:t>
      </w:r>
    </w:p>
    <w:tbl>
      <w:tblPr>
        <w:tblW w:w="5000" w:type="pct"/>
        <w:tblBorders>
          <w:top w:val="single" w:sz="8" w:space="0" w:color="auto"/>
          <w:bottom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864"/>
        <w:gridCol w:w="1023"/>
        <w:gridCol w:w="1023"/>
        <w:gridCol w:w="1321"/>
        <w:gridCol w:w="1437"/>
      </w:tblGrid>
      <w:tr w:rsidR="0093441E" w:rsidRPr="002A7673" w14:paraId="502E9B82" w14:textId="77777777" w:rsidTr="0048334E">
        <w:trPr>
          <w:trHeight w:val="20"/>
        </w:trPr>
        <w:tc>
          <w:tcPr>
            <w:tcW w:w="2516" w:type="pct"/>
            <w:vMerge w:val="restart"/>
            <w:shd w:val="clear" w:color="auto" w:fill="auto"/>
            <w:vAlign w:val="center"/>
          </w:tcPr>
          <w:p w14:paraId="00447991"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Variable</w:t>
            </w:r>
          </w:p>
        </w:tc>
        <w:tc>
          <w:tcPr>
            <w:tcW w:w="1058" w:type="pct"/>
            <w:gridSpan w:val="2"/>
            <w:shd w:val="clear" w:color="auto" w:fill="auto"/>
            <w:vAlign w:val="center"/>
          </w:tcPr>
          <w:p w14:paraId="5DF857B0"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Año</w:t>
            </w:r>
          </w:p>
        </w:tc>
        <w:tc>
          <w:tcPr>
            <w:tcW w:w="683" w:type="pct"/>
            <w:vMerge w:val="restart"/>
            <w:shd w:val="clear" w:color="auto" w:fill="auto"/>
            <w:vAlign w:val="center"/>
          </w:tcPr>
          <w:p w14:paraId="1B48D4A1"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Variación absoluta</w:t>
            </w:r>
          </w:p>
        </w:tc>
        <w:tc>
          <w:tcPr>
            <w:tcW w:w="743" w:type="pct"/>
            <w:vMerge w:val="restart"/>
            <w:shd w:val="clear" w:color="auto" w:fill="auto"/>
            <w:vAlign w:val="center"/>
          </w:tcPr>
          <w:p w14:paraId="5411F69C"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Variación Porcentual</w:t>
            </w:r>
          </w:p>
        </w:tc>
      </w:tr>
      <w:tr w:rsidR="0093441E" w:rsidRPr="002A7673" w14:paraId="3797635E" w14:textId="77777777" w:rsidTr="0048334E">
        <w:trPr>
          <w:trHeight w:val="20"/>
        </w:trPr>
        <w:tc>
          <w:tcPr>
            <w:tcW w:w="2516" w:type="pct"/>
            <w:vMerge/>
            <w:tcBorders>
              <w:bottom w:val="single" w:sz="8" w:space="0" w:color="auto"/>
            </w:tcBorders>
            <w:shd w:val="clear" w:color="auto" w:fill="auto"/>
            <w:vAlign w:val="center"/>
          </w:tcPr>
          <w:p w14:paraId="2710A617" w14:textId="77777777" w:rsidR="0093441E" w:rsidRPr="002A7673" w:rsidRDefault="0093441E" w:rsidP="0048334E">
            <w:pPr>
              <w:spacing w:after="0" w:line="240" w:lineRule="auto"/>
              <w:rPr>
                <w:rFonts w:ascii="Times New Roman" w:hAnsi="Times New Roman" w:cs="Times New Roman"/>
                <w:b/>
                <w:bCs/>
                <w:lang w:eastAsia="es-CR"/>
              </w:rPr>
            </w:pPr>
          </w:p>
        </w:tc>
        <w:tc>
          <w:tcPr>
            <w:tcW w:w="529" w:type="pct"/>
            <w:tcBorders>
              <w:bottom w:val="single" w:sz="8" w:space="0" w:color="auto"/>
            </w:tcBorders>
            <w:shd w:val="clear" w:color="auto" w:fill="auto"/>
            <w:vAlign w:val="center"/>
          </w:tcPr>
          <w:p w14:paraId="44C08E5B"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2019</w:t>
            </w:r>
          </w:p>
        </w:tc>
        <w:tc>
          <w:tcPr>
            <w:tcW w:w="529" w:type="pct"/>
            <w:tcBorders>
              <w:bottom w:val="single" w:sz="8" w:space="0" w:color="auto"/>
            </w:tcBorders>
            <w:shd w:val="clear" w:color="auto" w:fill="auto"/>
            <w:vAlign w:val="center"/>
          </w:tcPr>
          <w:p w14:paraId="2A221645"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2020*</w:t>
            </w:r>
          </w:p>
        </w:tc>
        <w:tc>
          <w:tcPr>
            <w:tcW w:w="683" w:type="pct"/>
            <w:vMerge/>
            <w:tcBorders>
              <w:bottom w:val="single" w:sz="8" w:space="0" w:color="auto"/>
            </w:tcBorders>
            <w:shd w:val="clear" w:color="auto" w:fill="auto"/>
            <w:vAlign w:val="center"/>
          </w:tcPr>
          <w:p w14:paraId="78BD2D67" w14:textId="77777777" w:rsidR="0093441E" w:rsidRPr="002A7673" w:rsidRDefault="0093441E" w:rsidP="0048334E">
            <w:pPr>
              <w:spacing w:after="0" w:line="240" w:lineRule="auto"/>
              <w:rPr>
                <w:rFonts w:ascii="Times New Roman" w:hAnsi="Times New Roman" w:cs="Times New Roman"/>
                <w:b/>
                <w:bCs/>
                <w:lang w:eastAsia="es-CR"/>
              </w:rPr>
            </w:pPr>
          </w:p>
        </w:tc>
        <w:tc>
          <w:tcPr>
            <w:tcW w:w="743" w:type="pct"/>
            <w:vMerge/>
            <w:tcBorders>
              <w:bottom w:val="single" w:sz="8" w:space="0" w:color="auto"/>
            </w:tcBorders>
            <w:shd w:val="clear" w:color="auto" w:fill="auto"/>
            <w:vAlign w:val="center"/>
          </w:tcPr>
          <w:p w14:paraId="0C83CE8B" w14:textId="77777777" w:rsidR="0093441E" w:rsidRPr="002A7673" w:rsidRDefault="0093441E" w:rsidP="0048334E">
            <w:pPr>
              <w:spacing w:after="0" w:line="240" w:lineRule="auto"/>
              <w:rPr>
                <w:rFonts w:ascii="Times New Roman" w:hAnsi="Times New Roman" w:cs="Times New Roman"/>
                <w:b/>
                <w:bCs/>
                <w:lang w:eastAsia="es-CR"/>
              </w:rPr>
            </w:pPr>
          </w:p>
        </w:tc>
      </w:tr>
      <w:tr w:rsidR="0093441E" w:rsidRPr="002A7673" w14:paraId="722890AE"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45CBE1D1"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Circulante al iniciar</w:t>
            </w:r>
          </w:p>
        </w:tc>
        <w:tc>
          <w:tcPr>
            <w:tcW w:w="529" w:type="pct"/>
            <w:tcBorders>
              <w:top w:val="nil"/>
              <w:left w:val="nil"/>
              <w:bottom w:val="nil"/>
              <w:right w:val="single" w:sz="8" w:space="0" w:color="auto"/>
            </w:tcBorders>
            <w:shd w:val="clear" w:color="auto" w:fill="auto"/>
            <w:vAlign w:val="center"/>
            <w:hideMark/>
          </w:tcPr>
          <w:p w14:paraId="39A2F28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22 789</w:t>
            </w:r>
          </w:p>
        </w:tc>
        <w:tc>
          <w:tcPr>
            <w:tcW w:w="529" w:type="pct"/>
            <w:tcBorders>
              <w:top w:val="nil"/>
              <w:left w:val="nil"/>
              <w:bottom w:val="nil"/>
              <w:right w:val="single" w:sz="8" w:space="0" w:color="auto"/>
            </w:tcBorders>
            <w:shd w:val="clear" w:color="auto" w:fill="auto"/>
            <w:vAlign w:val="center"/>
            <w:hideMark/>
          </w:tcPr>
          <w:p w14:paraId="3B3E281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29 266</w:t>
            </w:r>
          </w:p>
        </w:tc>
        <w:tc>
          <w:tcPr>
            <w:tcW w:w="683" w:type="pct"/>
            <w:tcBorders>
              <w:top w:val="nil"/>
              <w:left w:val="nil"/>
              <w:bottom w:val="nil"/>
              <w:right w:val="single" w:sz="8" w:space="0" w:color="auto"/>
            </w:tcBorders>
            <w:shd w:val="clear" w:color="auto" w:fill="auto"/>
            <w:vAlign w:val="center"/>
            <w:hideMark/>
          </w:tcPr>
          <w:p w14:paraId="5A93C88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6 477</w:t>
            </w:r>
          </w:p>
        </w:tc>
        <w:tc>
          <w:tcPr>
            <w:tcW w:w="743" w:type="pct"/>
            <w:tcBorders>
              <w:top w:val="nil"/>
              <w:left w:val="nil"/>
              <w:bottom w:val="nil"/>
              <w:right w:val="nil"/>
            </w:tcBorders>
            <w:shd w:val="clear" w:color="auto" w:fill="auto"/>
            <w:vAlign w:val="center"/>
            <w:hideMark/>
          </w:tcPr>
          <w:p w14:paraId="7281A1C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28,4%</w:t>
            </w:r>
          </w:p>
        </w:tc>
      </w:tr>
      <w:tr w:rsidR="0093441E" w:rsidRPr="002A7673" w14:paraId="2AE11C4D"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19435C5F"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entrados</w:t>
            </w:r>
          </w:p>
        </w:tc>
        <w:tc>
          <w:tcPr>
            <w:tcW w:w="529" w:type="pct"/>
            <w:tcBorders>
              <w:top w:val="nil"/>
              <w:left w:val="nil"/>
              <w:bottom w:val="nil"/>
              <w:right w:val="single" w:sz="8" w:space="0" w:color="auto"/>
            </w:tcBorders>
            <w:shd w:val="clear" w:color="auto" w:fill="auto"/>
            <w:vAlign w:val="center"/>
            <w:hideMark/>
          </w:tcPr>
          <w:p w14:paraId="483B776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20 689</w:t>
            </w:r>
          </w:p>
        </w:tc>
        <w:tc>
          <w:tcPr>
            <w:tcW w:w="529" w:type="pct"/>
            <w:tcBorders>
              <w:top w:val="nil"/>
              <w:left w:val="nil"/>
              <w:bottom w:val="nil"/>
              <w:right w:val="single" w:sz="8" w:space="0" w:color="auto"/>
            </w:tcBorders>
            <w:shd w:val="clear" w:color="auto" w:fill="auto"/>
            <w:vAlign w:val="center"/>
            <w:hideMark/>
          </w:tcPr>
          <w:p w14:paraId="2C60DB4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17 507</w:t>
            </w:r>
          </w:p>
        </w:tc>
        <w:tc>
          <w:tcPr>
            <w:tcW w:w="683" w:type="pct"/>
            <w:tcBorders>
              <w:top w:val="nil"/>
              <w:left w:val="nil"/>
              <w:bottom w:val="nil"/>
              <w:right w:val="single" w:sz="8" w:space="0" w:color="auto"/>
            </w:tcBorders>
            <w:shd w:val="clear" w:color="auto" w:fill="auto"/>
            <w:vAlign w:val="center"/>
            <w:hideMark/>
          </w:tcPr>
          <w:p w14:paraId="1AC7F381"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-3 182</w:t>
            </w:r>
          </w:p>
        </w:tc>
        <w:tc>
          <w:tcPr>
            <w:tcW w:w="743" w:type="pct"/>
            <w:tcBorders>
              <w:top w:val="nil"/>
              <w:left w:val="nil"/>
              <w:bottom w:val="nil"/>
              <w:right w:val="nil"/>
            </w:tcBorders>
            <w:shd w:val="clear" w:color="auto" w:fill="auto"/>
            <w:vAlign w:val="center"/>
            <w:hideMark/>
          </w:tcPr>
          <w:p w14:paraId="03D559C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-15,4%</w:t>
            </w:r>
          </w:p>
        </w:tc>
      </w:tr>
      <w:tr w:rsidR="0093441E" w:rsidRPr="002A7673" w14:paraId="59F14CB9"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190791FD"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reentrados</w:t>
            </w:r>
          </w:p>
        </w:tc>
        <w:tc>
          <w:tcPr>
            <w:tcW w:w="529" w:type="pct"/>
            <w:tcBorders>
              <w:top w:val="nil"/>
              <w:left w:val="nil"/>
              <w:bottom w:val="nil"/>
              <w:right w:val="single" w:sz="8" w:space="0" w:color="auto"/>
            </w:tcBorders>
            <w:shd w:val="clear" w:color="auto" w:fill="auto"/>
            <w:vAlign w:val="center"/>
            <w:hideMark/>
          </w:tcPr>
          <w:p w14:paraId="52784C7C"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2 198</w:t>
            </w:r>
          </w:p>
        </w:tc>
        <w:tc>
          <w:tcPr>
            <w:tcW w:w="529" w:type="pct"/>
            <w:tcBorders>
              <w:top w:val="nil"/>
              <w:left w:val="nil"/>
              <w:bottom w:val="nil"/>
              <w:right w:val="single" w:sz="8" w:space="0" w:color="auto"/>
            </w:tcBorders>
            <w:shd w:val="clear" w:color="auto" w:fill="auto"/>
            <w:vAlign w:val="center"/>
            <w:hideMark/>
          </w:tcPr>
          <w:p w14:paraId="6C1B060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906</w:t>
            </w:r>
          </w:p>
        </w:tc>
        <w:tc>
          <w:tcPr>
            <w:tcW w:w="683" w:type="pct"/>
            <w:tcBorders>
              <w:top w:val="nil"/>
              <w:left w:val="nil"/>
              <w:bottom w:val="nil"/>
              <w:right w:val="single" w:sz="8" w:space="0" w:color="auto"/>
            </w:tcBorders>
            <w:shd w:val="clear" w:color="auto" w:fill="auto"/>
            <w:vAlign w:val="center"/>
            <w:hideMark/>
          </w:tcPr>
          <w:p w14:paraId="63C2A08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-1 292</w:t>
            </w:r>
          </w:p>
        </w:tc>
        <w:tc>
          <w:tcPr>
            <w:tcW w:w="743" w:type="pct"/>
            <w:tcBorders>
              <w:top w:val="nil"/>
              <w:left w:val="nil"/>
              <w:bottom w:val="nil"/>
              <w:right w:val="nil"/>
            </w:tcBorders>
            <w:shd w:val="clear" w:color="auto" w:fill="auto"/>
            <w:vAlign w:val="center"/>
            <w:hideMark/>
          </w:tcPr>
          <w:p w14:paraId="3C95CD4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-58,8%</w:t>
            </w:r>
          </w:p>
        </w:tc>
      </w:tr>
      <w:tr w:rsidR="0093441E" w:rsidRPr="002A7673" w14:paraId="5151996D"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191941EE"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Reactivados</w:t>
            </w:r>
          </w:p>
        </w:tc>
        <w:tc>
          <w:tcPr>
            <w:tcW w:w="529" w:type="pct"/>
            <w:tcBorders>
              <w:top w:val="nil"/>
              <w:left w:val="nil"/>
              <w:bottom w:val="nil"/>
              <w:right w:val="single" w:sz="8" w:space="0" w:color="auto"/>
            </w:tcBorders>
            <w:shd w:val="clear" w:color="auto" w:fill="auto"/>
            <w:vAlign w:val="center"/>
            <w:hideMark/>
          </w:tcPr>
          <w:p w14:paraId="7903107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0</w:t>
            </w:r>
          </w:p>
        </w:tc>
        <w:tc>
          <w:tcPr>
            <w:tcW w:w="529" w:type="pct"/>
            <w:tcBorders>
              <w:top w:val="nil"/>
              <w:left w:val="nil"/>
              <w:bottom w:val="nil"/>
              <w:right w:val="single" w:sz="8" w:space="0" w:color="auto"/>
            </w:tcBorders>
            <w:shd w:val="clear" w:color="auto" w:fill="auto"/>
            <w:vAlign w:val="center"/>
            <w:hideMark/>
          </w:tcPr>
          <w:p w14:paraId="059A95B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459</w:t>
            </w:r>
          </w:p>
        </w:tc>
        <w:tc>
          <w:tcPr>
            <w:tcW w:w="683" w:type="pct"/>
            <w:tcBorders>
              <w:top w:val="nil"/>
              <w:left w:val="nil"/>
              <w:bottom w:val="nil"/>
              <w:right w:val="single" w:sz="8" w:space="0" w:color="auto"/>
            </w:tcBorders>
            <w:shd w:val="clear" w:color="auto" w:fill="auto"/>
            <w:vAlign w:val="center"/>
            <w:hideMark/>
          </w:tcPr>
          <w:p w14:paraId="166F7A0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459</w:t>
            </w:r>
          </w:p>
        </w:tc>
        <w:tc>
          <w:tcPr>
            <w:tcW w:w="743" w:type="pct"/>
            <w:tcBorders>
              <w:top w:val="nil"/>
              <w:left w:val="nil"/>
              <w:bottom w:val="nil"/>
              <w:right w:val="nil"/>
            </w:tcBorders>
            <w:shd w:val="clear" w:color="auto" w:fill="auto"/>
            <w:vAlign w:val="center"/>
            <w:hideMark/>
          </w:tcPr>
          <w:p w14:paraId="4DA86C5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 xml:space="preserve"> --</w:t>
            </w:r>
          </w:p>
        </w:tc>
      </w:tr>
      <w:tr w:rsidR="0093441E" w:rsidRPr="002A7673" w14:paraId="6C7BB5D5"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4277D78B" w14:textId="77777777" w:rsidR="0093441E" w:rsidRPr="002A7673" w:rsidRDefault="0093441E" w:rsidP="0048334E">
            <w:pPr>
              <w:spacing w:after="0" w:line="240" w:lineRule="auto"/>
              <w:rPr>
                <w:rFonts w:ascii="Times New Roman" w:hAnsi="Times New Roman" w:cs="Times New Roman"/>
                <w:highlight w:val="yellow"/>
                <w:lang w:eastAsia="es-CR"/>
              </w:rPr>
            </w:pPr>
            <w:r w:rsidRPr="002A7673">
              <w:rPr>
                <w:rFonts w:ascii="Times New Roman" w:hAnsi="Times New Roman" w:cs="Times New Roman"/>
              </w:rPr>
              <w:t>Testimonio de Piezas</w:t>
            </w:r>
          </w:p>
        </w:tc>
        <w:tc>
          <w:tcPr>
            <w:tcW w:w="529" w:type="pct"/>
            <w:tcBorders>
              <w:top w:val="nil"/>
              <w:left w:val="nil"/>
              <w:bottom w:val="nil"/>
              <w:right w:val="single" w:sz="8" w:space="0" w:color="auto"/>
            </w:tcBorders>
            <w:shd w:val="clear" w:color="auto" w:fill="auto"/>
            <w:vAlign w:val="center"/>
            <w:hideMark/>
          </w:tcPr>
          <w:p w14:paraId="0A94CD63"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367</w:t>
            </w:r>
          </w:p>
        </w:tc>
        <w:tc>
          <w:tcPr>
            <w:tcW w:w="529" w:type="pct"/>
            <w:tcBorders>
              <w:top w:val="nil"/>
              <w:left w:val="nil"/>
              <w:bottom w:val="nil"/>
              <w:right w:val="single" w:sz="8" w:space="0" w:color="auto"/>
            </w:tcBorders>
            <w:shd w:val="clear" w:color="auto" w:fill="auto"/>
            <w:vAlign w:val="center"/>
            <w:hideMark/>
          </w:tcPr>
          <w:p w14:paraId="0997F2EF"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302</w:t>
            </w:r>
          </w:p>
        </w:tc>
        <w:tc>
          <w:tcPr>
            <w:tcW w:w="683" w:type="pct"/>
            <w:tcBorders>
              <w:top w:val="nil"/>
              <w:left w:val="nil"/>
              <w:bottom w:val="nil"/>
              <w:right w:val="single" w:sz="8" w:space="0" w:color="auto"/>
            </w:tcBorders>
            <w:shd w:val="clear" w:color="auto" w:fill="auto"/>
            <w:vAlign w:val="center"/>
            <w:hideMark/>
          </w:tcPr>
          <w:p w14:paraId="254F757F"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-65</w:t>
            </w:r>
          </w:p>
        </w:tc>
        <w:tc>
          <w:tcPr>
            <w:tcW w:w="743" w:type="pct"/>
            <w:tcBorders>
              <w:top w:val="nil"/>
              <w:left w:val="nil"/>
              <w:bottom w:val="nil"/>
              <w:right w:val="nil"/>
            </w:tcBorders>
            <w:shd w:val="clear" w:color="auto" w:fill="auto"/>
            <w:vAlign w:val="center"/>
            <w:hideMark/>
          </w:tcPr>
          <w:p w14:paraId="745B453A"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-17,7%</w:t>
            </w:r>
          </w:p>
        </w:tc>
      </w:tr>
      <w:tr w:rsidR="0093441E" w:rsidRPr="002A7673" w14:paraId="07B261B9"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60FB9EA5"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 xml:space="preserve">Casos por incompetencia, en materia de Cobro Judicial </w:t>
            </w:r>
          </w:p>
        </w:tc>
        <w:tc>
          <w:tcPr>
            <w:tcW w:w="529" w:type="pct"/>
            <w:tcBorders>
              <w:top w:val="nil"/>
              <w:left w:val="nil"/>
              <w:bottom w:val="nil"/>
              <w:right w:val="single" w:sz="8" w:space="0" w:color="auto"/>
            </w:tcBorders>
            <w:shd w:val="clear" w:color="auto" w:fill="auto"/>
            <w:vAlign w:val="center"/>
            <w:hideMark/>
          </w:tcPr>
          <w:p w14:paraId="3001F9E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530</w:t>
            </w:r>
          </w:p>
        </w:tc>
        <w:tc>
          <w:tcPr>
            <w:tcW w:w="529" w:type="pct"/>
            <w:tcBorders>
              <w:top w:val="nil"/>
              <w:left w:val="nil"/>
              <w:bottom w:val="nil"/>
              <w:right w:val="single" w:sz="8" w:space="0" w:color="auto"/>
            </w:tcBorders>
            <w:shd w:val="clear" w:color="auto" w:fill="auto"/>
            <w:vAlign w:val="center"/>
            <w:hideMark/>
          </w:tcPr>
          <w:p w14:paraId="56DDFF1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232</w:t>
            </w:r>
          </w:p>
        </w:tc>
        <w:tc>
          <w:tcPr>
            <w:tcW w:w="683" w:type="pct"/>
            <w:tcBorders>
              <w:top w:val="nil"/>
              <w:left w:val="nil"/>
              <w:bottom w:val="nil"/>
              <w:right w:val="single" w:sz="8" w:space="0" w:color="auto"/>
            </w:tcBorders>
            <w:shd w:val="clear" w:color="auto" w:fill="auto"/>
            <w:vAlign w:val="center"/>
            <w:hideMark/>
          </w:tcPr>
          <w:p w14:paraId="1D8F26B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-298</w:t>
            </w:r>
          </w:p>
        </w:tc>
        <w:tc>
          <w:tcPr>
            <w:tcW w:w="743" w:type="pct"/>
            <w:tcBorders>
              <w:top w:val="nil"/>
              <w:left w:val="nil"/>
              <w:bottom w:val="nil"/>
              <w:right w:val="nil"/>
            </w:tcBorders>
            <w:shd w:val="clear" w:color="auto" w:fill="auto"/>
            <w:vAlign w:val="center"/>
            <w:hideMark/>
          </w:tcPr>
          <w:p w14:paraId="17CBFCE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-56,2%</w:t>
            </w:r>
          </w:p>
        </w:tc>
      </w:tr>
      <w:tr w:rsidR="0093441E" w:rsidRPr="002A7673" w14:paraId="02B247E2"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615B98F9" w14:textId="77777777" w:rsidR="0093441E" w:rsidRPr="002A7673" w:rsidRDefault="0093441E" w:rsidP="0048334E">
            <w:pPr>
              <w:spacing w:after="0" w:line="240" w:lineRule="auto"/>
              <w:rPr>
                <w:rFonts w:ascii="Times New Roman" w:hAnsi="Times New Roman" w:cs="Times New Roman"/>
                <w:highlight w:val="yellow"/>
                <w:lang w:eastAsia="es-CR"/>
              </w:rPr>
            </w:pPr>
            <w:r w:rsidRPr="002A7673">
              <w:rPr>
                <w:rFonts w:ascii="Times New Roman" w:hAnsi="Times New Roman" w:cs="Times New Roman"/>
              </w:rPr>
              <w:t>Casos terminados</w:t>
            </w:r>
          </w:p>
        </w:tc>
        <w:tc>
          <w:tcPr>
            <w:tcW w:w="529" w:type="pct"/>
            <w:tcBorders>
              <w:top w:val="nil"/>
              <w:left w:val="nil"/>
              <w:bottom w:val="nil"/>
              <w:right w:val="single" w:sz="8" w:space="0" w:color="auto"/>
            </w:tcBorders>
            <w:shd w:val="clear" w:color="auto" w:fill="auto"/>
            <w:vAlign w:val="center"/>
            <w:hideMark/>
          </w:tcPr>
          <w:p w14:paraId="12086D17"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15 357</w:t>
            </w:r>
          </w:p>
        </w:tc>
        <w:tc>
          <w:tcPr>
            <w:tcW w:w="529" w:type="pct"/>
            <w:tcBorders>
              <w:top w:val="nil"/>
              <w:left w:val="nil"/>
              <w:bottom w:val="nil"/>
              <w:right w:val="single" w:sz="8" w:space="0" w:color="auto"/>
            </w:tcBorders>
            <w:shd w:val="clear" w:color="auto" w:fill="auto"/>
            <w:vAlign w:val="center"/>
            <w:hideMark/>
          </w:tcPr>
          <w:p w14:paraId="684DBCA8"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13 366</w:t>
            </w:r>
          </w:p>
        </w:tc>
        <w:tc>
          <w:tcPr>
            <w:tcW w:w="683" w:type="pct"/>
            <w:tcBorders>
              <w:top w:val="nil"/>
              <w:left w:val="nil"/>
              <w:bottom w:val="nil"/>
              <w:right w:val="single" w:sz="8" w:space="0" w:color="auto"/>
            </w:tcBorders>
            <w:shd w:val="clear" w:color="auto" w:fill="auto"/>
            <w:vAlign w:val="center"/>
            <w:hideMark/>
          </w:tcPr>
          <w:p w14:paraId="094B66CE"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-1 991</w:t>
            </w:r>
          </w:p>
        </w:tc>
        <w:tc>
          <w:tcPr>
            <w:tcW w:w="743" w:type="pct"/>
            <w:tcBorders>
              <w:top w:val="nil"/>
              <w:left w:val="nil"/>
              <w:bottom w:val="nil"/>
              <w:right w:val="nil"/>
            </w:tcBorders>
            <w:shd w:val="clear" w:color="auto" w:fill="auto"/>
            <w:vAlign w:val="center"/>
            <w:hideMark/>
          </w:tcPr>
          <w:p w14:paraId="2CB3A449" w14:textId="77777777" w:rsidR="0093441E" w:rsidRPr="002A7673" w:rsidRDefault="0093441E" w:rsidP="0048334E">
            <w:pPr>
              <w:spacing w:after="0" w:line="240" w:lineRule="auto"/>
              <w:jc w:val="right"/>
              <w:rPr>
                <w:rFonts w:ascii="Times New Roman" w:hAnsi="Times New Roman" w:cs="Times New Roman"/>
                <w:highlight w:val="yellow"/>
                <w:lang w:eastAsia="es-CR"/>
              </w:rPr>
            </w:pPr>
            <w:r w:rsidRPr="002A7673">
              <w:rPr>
                <w:rFonts w:ascii="Times New Roman" w:hAnsi="Times New Roman" w:cs="Times New Roman"/>
              </w:rPr>
              <w:t>-13,0%</w:t>
            </w:r>
          </w:p>
        </w:tc>
      </w:tr>
      <w:tr w:rsidR="0093441E" w:rsidRPr="002A7673" w14:paraId="274B923C" w14:textId="77777777" w:rsidTr="0048334E">
        <w:trPr>
          <w:trHeight w:val="20"/>
        </w:trPr>
        <w:tc>
          <w:tcPr>
            <w:tcW w:w="2516" w:type="pct"/>
            <w:tcBorders>
              <w:top w:val="nil"/>
              <w:left w:val="nil"/>
              <w:bottom w:val="nil"/>
              <w:right w:val="single" w:sz="8" w:space="0" w:color="auto"/>
            </w:tcBorders>
            <w:shd w:val="clear" w:color="auto" w:fill="auto"/>
            <w:vAlign w:val="bottom"/>
            <w:hideMark/>
          </w:tcPr>
          <w:p w14:paraId="0C7C67E5"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Casos inactivos</w:t>
            </w:r>
          </w:p>
        </w:tc>
        <w:tc>
          <w:tcPr>
            <w:tcW w:w="529" w:type="pct"/>
            <w:tcBorders>
              <w:top w:val="nil"/>
              <w:left w:val="nil"/>
              <w:bottom w:val="nil"/>
              <w:right w:val="single" w:sz="8" w:space="0" w:color="auto"/>
            </w:tcBorders>
            <w:shd w:val="clear" w:color="auto" w:fill="auto"/>
            <w:vAlign w:val="center"/>
            <w:hideMark/>
          </w:tcPr>
          <w:p w14:paraId="1BAA77E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886</w:t>
            </w:r>
          </w:p>
        </w:tc>
        <w:tc>
          <w:tcPr>
            <w:tcW w:w="529" w:type="pct"/>
            <w:tcBorders>
              <w:top w:val="nil"/>
              <w:left w:val="nil"/>
              <w:bottom w:val="nil"/>
              <w:right w:val="single" w:sz="8" w:space="0" w:color="auto"/>
            </w:tcBorders>
            <w:shd w:val="clear" w:color="auto" w:fill="auto"/>
            <w:vAlign w:val="center"/>
            <w:hideMark/>
          </w:tcPr>
          <w:p w14:paraId="75C70D8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567</w:t>
            </w:r>
          </w:p>
        </w:tc>
        <w:tc>
          <w:tcPr>
            <w:tcW w:w="683" w:type="pct"/>
            <w:tcBorders>
              <w:top w:val="nil"/>
              <w:left w:val="nil"/>
              <w:bottom w:val="nil"/>
              <w:right w:val="single" w:sz="8" w:space="0" w:color="auto"/>
            </w:tcBorders>
            <w:shd w:val="clear" w:color="auto" w:fill="auto"/>
            <w:vAlign w:val="center"/>
            <w:hideMark/>
          </w:tcPr>
          <w:p w14:paraId="7060156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-319</w:t>
            </w:r>
          </w:p>
        </w:tc>
        <w:tc>
          <w:tcPr>
            <w:tcW w:w="743" w:type="pct"/>
            <w:tcBorders>
              <w:top w:val="nil"/>
              <w:left w:val="nil"/>
              <w:bottom w:val="nil"/>
              <w:right w:val="nil"/>
            </w:tcBorders>
            <w:shd w:val="clear" w:color="auto" w:fill="auto"/>
            <w:vAlign w:val="center"/>
            <w:hideMark/>
          </w:tcPr>
          <w:p w14:paraId="3123038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-36,0%</w:t>
            </w:r>
          </w:p>
        </w:tc>
      </w:tr>
      <w:tr w:rsidR="0093441E" w:rsidRPr="002A7673" w14:paraId="3AF5444E" w14:textId="77777777" w:rsidTr="0048334E">
        <w:trPr>
          <w:trHeight w:val="20"/>
        </w:trPr>
        <w:tc>
          <w:tcPr>
            <w:tcW w:w="2516" w:type="pct"/>
            <w:tcBorders>
              <w:top w:val="nil"/>
              <w:left w:val="nil"/>
              <w:bottom w:val="single" w:sz="4" w:space="0" w:color="auto"/>
              <w:right w:val="single" w:sz="8" w:space="0" w:color="auto"/>
            </w:tcBorders>
            <w:shd w:val="clear" w:color="auto" w:fill="auto"/>
            <w:vAlign w:val="bottom"/>
            <w:hideMark/>
          </w:tcPr>
          <w:p w14:paraId="1935DE1E"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rPr>
              <w:t>Circulante al finalizar</w:t>
            </w:r>
          </w:p>
        </w:tc>
        <w:tc>
          <w:tcPr>
            <w:tcW w:w="529" w:type="pct"/>
            <w:tcBorders>
              <w:top w:val="nil"/>
              <w:left w:val="nil"/>
              <w:bottom w:val="single" w:sz="4" w:space="0" w:color="auto"/>
              <w:right w:val="single" w:sz="8" w:space="0" w:color="auto"/>
            </w:tcBorders>
            <w:shd w:val="clear" w:color="auto" w:fill="auto"/>
            <w:vAlign w:val="center"/>
            <w:hideMark/>
          </w:tcPr>
          <w:p w14:paraId="4296E1F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29 267</w:t>
            </w:r>
          </w:p>
        </w:tc>
        <w:tc>
          <w:tcPr>
            <w:tcW w:w="529" w:type="pct"/>
            <w:tcBorders>
              <w:top w:val="nil"/>
              <w:left w:val="nil"/>
              <w:bottom w:val="single" w:sz="4" w:space="0" w:color="auto"/>
              <w:right w:val="single" w:sz="8" w:space="0" w:color="auto"/>
            </w:tcBorders>
            <w:shd w:val="clear" w:color="auto" w:fill="auto"/>
            <w:vAlign w:val="center"/>
            <w:hideMark/>
          </w:tcPr>
          <w:p w14:paraId="31679BF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34 262</w:t>
            </w:r>
          </w:p>
        </w:tc>
        <w:tc>
          <w:tcPr>
            <w:tcW w:w="683" w:type="pct"/>
            <w:tcBorders>
              <w:top w:val="nil"/>
              <w:left w:val="nil"/>
              <w:bottom w:val="single" w:sz="4" w:space="0" w:color="auto"/>
              <w:right w:val="single" w:sz="8" w:space="0" w:color="auto"/>
            </w:tcBorders>
            <w:shd w:val="clear" w:color="auto" w:fill="auto"/>
            <w:vAlign w:val="center"/>
            <w:hideMark/>
          </w:tcPr>
          <w:p w14:paraId="6ED8424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4 995</w:t>
            </w:r>
          </w:p>
        </w:tc>
        <w:tc>
          <w:tcPr>
            <w:tcW w:w="743" w:type="pct"/>
            <w:tcBorders>
              <w:top w:val="nil"/>
              <w:left w:val="nil"/>
              <w:bottom w:val="single" w:sz="4" w:space="0" w:color="auto"/>
              <w:right w:val="nil"/>
            </w:tcBorders>
            <w:shd w:val="clear" w:color="auto" w:fill="auto"/>
            <w:vAlign w:val="center"/>
            <w:hideMark/>
          </w:tcPr>
          <w:p w14:paraId="79728F6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rPr>
              <w:t>17,1%</w:t>
            </w:r>
          </w:p>
        </w:tc>
      </w:tr>
    </w:tbl>
    <w:p w14:paraId="6E4A39FA" w14:textId="77777777" w:rsidR="0093441E" w:rsidRPr="002A7673" w:rsidRDefault="0093441E" w:rsidP="0093441E">
      <w:pPr>
        <w:spacing w:after="0" w:line="240" w:lineRule="auto"/>
        <w:rPr>
          <w:rFonts w:ascii="Times New Roman" w:hAnsi="Times New Roman" w:cs="Times New Roman"/>
          <w:sz w:val="20"/>
          <w:szCs w:val="20"/>
        </w:rPr>
      </w:pPr>
      <w:r w:rsidRPr="002A7673">
        <w:rPr>
          <w:rFonts w:ascii="Times New Roman" w:hAnsi="Times New Roman" w:cs="Times New Roman"/>
          <w:sz w:val="20"/>
          <w:szCs w:val="20"/>
        </w:rPr>
        <w:t>*Datos estadísticos de 2020 preliminares.</w:t>
      </w:r>
    </w:p>
    <w:p w14:paraId="309F1D43" w14:textId="77777777" w:rsidR="0093441E" w:rsidRPr="002A7673" w:rsidRDefault="0093441E" w:rsidP="0093441E">
      <w:pPr>
        <w:spacing w:after="0" w:line="240" w:lineRule="auto"/>
        <w:rPr>
          <w:rFonts w:ascii="Times New Roman" w:hAnsi="Times New Roman" w:cs="Times New Roman"/>
          <w:sz w:val="20"/>
          <w:szCs w:val="20"/>
        </w:rPr>
      </w:pPr>
      <w:r w:rsidRPr="002A7673">
        <w:rPr>
          <w:rFonts w:ascii="Times New Roman" w:hAnsi="Times New Roman" w:cs="Times New Roman"/>
          <w:b/>
          <w:bCs/>
          <w:sz w:val="20"/>
          <w:szCs w:val="20"/>
        </w:rPr>
        <w:t xml:space="preserve">Fuente: </w:t>
      </w:r>
      <w:r w:rsidRPr="002A7673">
        <w:rPr>
          <w:rFonts w:ascii="Times New Roman" w:hAnsi="Times New Roman" w:cs="Times New Roman"/>
          <w:sz w:val="20"/>
          <w:szCs w:val="20"/>
        </w:rPr>
        <w:t>Subproceso de Estadística, Dirección de Planificación, Poder Judicial.</w:t>
      </w:r>
    </w:p>
    <w:p w14:paraId="63326D7A" w14:textId="77777777" w:rsidR="0093441E" w:rsidRPr="002A7673" w:rsidRDefault="0093441E" w:rsidP="0093441E">
      <w:pPr>
        <w:spacing w:after="0" w:line="360" w:lineRule="auto"/>
        <w:rPr>
          <w:rFonts w:ascii="Times New Roman" w:hAnsi="Times New Roman" w:cs="Times New Roman"/>
        </w:rPr>
      </w:pPr>
    </w:p>
    <w:p w14:paraId="209ECEDE"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De los movimientos registrados en la tabla anterior, destacan los siguientes hechos:</w:t>
      </w:r>
    </w:p>
    <w:p w14:paraId="0772E38F"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el 2020 muestra una menor carga de trabajo (17.507) con relación a lo registrado en 2019 (20.689), es decir -3.182 asuntos menos (-15,4%), estos casos entrados incluyen los legajos de ejecución. Los hechos que justifican esta notable merma se relacionan -en esencia- con el efecto de la pandemia. Al profundizar en torno al origen de dicha disminución, es posible determinar que el Juzgado de Cobro del II Circuito Judicial de Guanacaste es el despacho que muestra mayor variación al pasar de 8.635 a 6.757 asuntos (-21,7%). En este sentido, todos los despachos de este Centro de Responsabilidad reportan disminuciones </w:t>
      </w:r>
      <w:proofErr w:type="gramStart"/>
      <w:r w:rsidRPr="002A7673">
        <w:rPr>
          <w:rFonts w:ascii="Times New Roman" w:hAnsi="Times New Roman" w:cs="Times New Roman"/>
          <w:sz w:val="28"/>
          <w:szCs w:val="28"/>
        </w:rPr>
        <w:t>en relación a</w:t>
      </w:r>
      <w:proofErr w:type="gramEnd"/>
      <w:r w:rsidRPr="002A7673">
        <w:rPr>
          <w:rFonts w:ascii="Times New Roman" w:hAnsi="Times New Roman" w:cs="Times New Roman"/>
          <w:sz w:val="28"/>
          <w:szCs w:val="28"/>
        </w:rPr>
        <w:t xml:space="preserve"> 2019, siendo el únicamente los Juzgados: Contravencional de Carrillo, materia Violencia Doméstica con 18 casos más (+2,7%), el Civil de Santa Cruz con 43 casos más (+8,4%), y Contravencional y Pensiones Alimentarias de Santa Cruz, para la materia de Faltas y Contravenciones, con 144 casos más (+15,8%) los que presenta una conducta al alza.</w:t>
      </w:r>
    </w:p>
    <w:p w14:paraId="5D908E4F"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 xml:space="preserve">Casos Reentrados: </w:t>
      </w:r>
      <w:r w:rsidRPr="002A7673">
        <w:rPr>
          <w:rFonts w:ascii="Times New Roman" w:hAnsi="Times New Roman" w:cs="Times New Roman"/>
          <w:sz w:val="28"/>
          <w:szCs w:val="28"/>
        </w:rPr>
        <w:t>se muestra un decrecimiento de -1.292 casos (-58,8%) en esta modalidad de carga de trabajo, dicha conducta se encuentra asociada a la disminución en lo registrado en el Juzgado de Cobro del II Circuito Judicial de Guanacaste, el cual pasó de reingresar 1.027 asuntos en 2019 a 114 en 2020 (-88,9%).</w:t>
      </w:r>
    </w:p>
    <w:p w14:paraId="0DB050BB"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lastRenderedPageBreak/>
        <w:t>Casos terminados:</w:t>
      </w:r>
      <w:r w:rsidRPr="002A7673">
        <w:rPr>
          <w:rFonts w:ascii="Times New Roman" w:hAnsi="Times New Roman" w:cs="Times New Roman"/>
          <w:sz w:val="28"/>
          <w:szCs w:val="28"/>
        </w:rPr>
        <w:t xml:space="preserve"> La cantidad de casos terminados en el II Circuito Judicial de Guanacaste llegó a 13.366 casos en el último año, lo cual denota una disminución de -1.991 finiquitos, en contraste con el 2019, para una variación porcentual de -13%. En este sentido, se advierte que no se toma en cuenta en los terminados, el número de asuntos fenecidos por incompetencia (530 en 2019 y 232 en 2020), producto de los cambios en la legislación, para las demandas concernientes a la materia de Cobro Judicial.</w:t>
      </w:r>
    </w:p>
    <w:p w14:paraId="4015DC37"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bCs/>
          <w:sz w:val="28"/>
          <w:szCs w:val="28"/>
        </w:rPr>
        <w:t>Inactividad de expedientes:</w:t>
      </w:r>
      <w:r w:rsidRPr="002A7673">
        <w:rPr>
          <w:rFonts w:ascii="Times New Roman" w:hAnsi="Times New Roman" w:cs="Times New Roman"/>
          <w:sz w:val="28"/>
          <w:szCs w:val="28"/>
        </w:rPr>
        <w:t xml:space="preserve"> durante el 2020 se produce una disminución significativa en el número de expedientes denominados inactivos (-36%), pasando de 886 a 567, para una diferencia de -319 causas. Ahondando un poco en el tema, se logra identificar que es el Juzgado de Cobro del II Circuito Judicial de Guanacaste, es el que registra la mayor baja para el período en cuestión, al pasar de 213 expedientes inactivos en 2019 a 2 en 2020 (-99,1%).</w:t>
      </w:r>
    </w:p>
    <w:p w14:paraId="21AE125C"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Circulante al finalizar al año:</w:t>
      </w:r>
      <w:r w:rsidRPr="002A7673">
        <w:rPr>
          <w:rFonts w:ascii="Times New Roman" w:hAnsi="Times New Roman" w:cs="Times New Roman"/>
          <w:sz w:val="28"/>
          <w:szCs w:val="28"/>
        </w:rPr>
        <w:t xml:space="preserve"> El circulante al finalizar el 2020 en conjunto de los despachos del II Circuito Judicial de Guanacaste acumuló un total de 34.262 casos, mostrando un repunte de +4.995 versus lo registrado en 2019, lo que representa un incremento de 17,1%.</w:t>
      </w:r>
      <w:bookmarkStart w:id="203" w:name="_Hlk66369805"/>
    </w:p>
    <w:p w14:paraId="2E0307E0"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El incremento en el circulante final en 2020 se puede ver justificado por la brecha entre la cifra de asuntos entrados totales frente a los terminados totales, la cual asciende </w:t>
      </w:r>
      <w:r w:rsidRPr="002A7673">
        <w:rPr>
          <w:rFonts w:ascii="Times New Roman" w:hAnsi="Times New Roman" w:cs="Times New Roman"/>
          <w:sz w:val="28"/>
          <w:szCs w:val="28"/>
        </w:rPr>
        <w:lastRenderedPageBreak/>
        <w:t>a 5.009 casos, siendo superior lo ingresado a lo finiquitado, para un porcentaje de relación entre lo terminado y entrado de 73,9%, resultado similar a lo reportado en 2019 con 72,1%.</w:t>
      </w:r>
    </w:p>
    <w:bookmarkEnd w:id="203"/>
    <w:p w14:paraId="4551D58C" w14:textId="77777777" w:rsidR="0093441E" w:rsidRPr="002A7673" w:rsidRDefault="0093441E" w:rsidP="00FF3FAC">
      <w:pPr>
        <w:numPr>
          <w:ilvl w:val="0"/>
          <w:numId w:val="31"/>
        </w:numPr>
        <w:spacing w:after="0" w:line="240" w:lineRule="auto"/>
        <w:ind w:left="851" w:right="851"/>
        <w:jc w:val="center"/>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Análisis del comportamiento interanual del balance general entre 2019 y 2020 para</w:t>
      </w:r>
      <w:r w:rsidRPr="002A7673">
        <w:rPr>
          <w:rFonts w:ascii="Times New Roman" w:eastAsia="Times New Roman" w:hAnsi="Times New Roman" w:cs="Times New Roman"/>
          <w:b/>
          <w:bCs/>
          <w:sz w:val="26"/>
          <w:szCs w:val="26"/>
          <w:lang w:val="es-ES" w:eastAsia="es-ES"/>
        </w:rPr>
        <w:t xml:space="preserve"> el </w:t>
      </w:r>
      <w:r w:rsidRPr="002A7673">
        <w:rPr>
          <w:rFonts w:ascii="Times New Roman" w:eastAsia="Times New Roman" w:hAnsi="Times New Roman" w:cs="Times New Roman"/>
          <w:b/>
          <w:sz w:val="26"/>
          <w:szCs w:val="26"/>
          <w:lang w:val="es-ES" w:eastAsia="es-ES"/>
        </w:rPr>
        <w:t>centro de responsabilidad</w:t>
      </w:r>
      <w:r w:rsidRPr="002A7673">
        <w:rPr>
          <w:rFonts w:ascii="Times New Roman" w:eastAsia="Times New Roman" w:hAnsi="Times New Roman" w:cs="Times New Roman"/>
          <w:b/>
          <w:bCs/>
          <w:sz w:val="26"/>
          <w:szCs w:val="26"/>
          <w:lang w:val="es-ES" w:eastAsia="es-ES"/>
        </w:rPr>
        <w:t xml:space="preserve"> de la Administración Regional del Primer Circuito Judicial de la Zona Atlántica</w:t>
      </w:r>
    </w:p>
    <w:p w14:paraId="6F7A2609" w14:textId="77777777" w:rsidR="0093441E" w:rsidRPr="002A7673" w:rsidRDefault="0093441E" w:rsidP="0093441E">
      <w:pPr>
        <w:spacing w:after="0" w:line="240" w:lineRule="auto"/>
        <w:ind w:left="851" w:right="851"/>
        <w:rPr>
          <w:rFonts w:ascii="Times New Roman" w:hAnsi="Times New Roman" w:cs="Times New Roman"/>
          <w:sz w:val="26"/>
          <w:szCs w:val="26"/>
        </w:rPr>
      </w:pPr>
    </w:p>
    <w:p w14:paraId="3C1220BB" w14:textId="77777777" w:rsidR="0093441E" w:rsidRPr="002A7673" w:rsidRDefault="0093441E" w:rsidP="0093441E">
      <w:pPr>
        <w:spacing w:after="0" w:line="240" w:lineRule="auto"/>
        <w:ind w:left="851" w:right="851"/>
        <w:jc w:val="center"/>
        <w:rPr>
          <w:rFonts w:ascii="Times New Roman" w:hAnsi="Times New Roman" w:cs="Times New Roman"/>
          <w:sz w:val="26"/>
          <w:szCs w:val="26"/>
        </w:rPr>
      </w:pPr>
      <w:r w:rsidRPr="002A7673">
        <w:rPr>
          <w:rFonts w:ascii="Times New Roman" w:hAnsi="Times New Roman" w:cs="Times New Roman"/>
          <w:b/>
          <w:bCs/>
          <w:sz w:val="26"/>
          <w:szCs w:val="26"/>
        </w:rPr>
        <w:t>Movimientos generales de trabajo para el Centro de Responsabilidad de la Administración Judicial del Primer Circuito Judicial de la Zona Atlántica durante el bienio 2019-2020</w:t>
      </w:r>
    </w:p>
    <w:tbl>
      <w:tblPr>
        <w:tblW w:w="7189" w:type="dxa"/>
        <w:jc w:val="center"/>
        <w:tblCellMar>
          <w:left w:w="70" w:type="dxa"/>
          <w:right w:w="70" w:type="dxa"/>
        </w:tblCellMar>
        <w:tblLook w:val="04A0" w:firstRow="1" w:lastRow="0" w:firstColumn="1" w:lastColumn="0" w:noHBand="0" w:noVBand="1"/>
      </w:tblPr>
      <w:tblGrid>
        <w:gridCol w:w="2268"/>
        <w:gridCol w:w="1200"/>
        <w:gridCol w:w="1200"/>
        <w:gridCol w:w="1207"/>
        <w:gridCol w:w="1314"/>
      </w:tblGrid>
      <w:tr w:rsidR="0093441E" w:rsidRPr="002A7673" w14:paraId="6F158DAE" w14:textId="77777777" w:rsidTr="0048334E">
        <w:trPr>
          <w:tblHeader/>
          <w:jc w:val="center"/>
        </w:trPr>
        <w:tc>
          <w:tcPr>
            <w:tcW w:w="2268" w:type="dxa"/>
            <w:vMerge w:val="restart"/>
            <w:tcBorders>
              <w:top w:val="single" w:sz="4" w:space="0" w:color="auto"/>
              <w:left w:val="nil"/>
              <w:bottom w:val="single" w:sz="4" w:space="0" w:color="000000"/>
              <w:right w:val="nil"/>
            </w:tcBorders>
            <w:shd w:val="clear" w:color="auto" w:fill="auto"/>
            <w:vAlign w:val="center"/>
            <w:hideMark/>
          </w:tcPr>
          <w:p w14:paraId="1E7E6A58"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Variable</w:t>
            </w:r>
          </w:p>
        </w:tc>
        <w:tc>
          <w:tcPr>
            <w:tcW w:w="240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2C28596"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Año</w:t>
            </w:r>
          </w:p>
        </w:tc>
        <w:tc>
          <w:tcPr>
            <w:tcW w:w="120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B8BC09B"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Variación absoluta</w:t>
            </w:r>
          </w:p>
        </w:tc>
        <w:tc>
          <w:tcPr>
            <w:tcW w:w="1314" w:type="dxa"/>
            <w:vMerge w:val="restart"/>
            <w:tcBorders>
              <w:top w:val="single" w:sz="4" w:space="0" w:color="auto"/>
              <w:left w:val="nil"/>
              <w:bottom w:val="single" w:sz="4" w:space="0" w:color="000000"/>
              <w:right w:val="nil"/>
            </w:tcBorders>
            <w:shd w:val="clear" w:color="auto" w:fill="auto"/>
            <w:vAlign w:val="center"/>
            <w:hideMark/>
          </w:tcPr>
          <w:p w14:paraId="2B68D08D"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Variación Porcentual</w:t>
            </w:r>
          </w:p>
        </w:tc>
      </w:tr>
      <w:tr w:rsidR="0093441E" w:rsidRPr="002A7673" w14:paraId="5FB1B995" w14:textId="77777777" w:rsidTr="0048334E">
        <w:trPr>
          <w:tblHeader/>
          <w:jc w:val="center"/>
        </w:trPr>
        <w:tc>
          <w:tcPr>
            <w:tcW w:w="2268" w:type="dxa"/>
            <w:vMerge/>
            <w:tcBorders>
              <w:top w:val="single" w:sz="4" w:space="0" w:color="auto"/>
              <w:left w:val="nil"/>
              <w:bottom w:val="single" w:sz="4" w:space="0" w:color="000000"/>
              <w:right w:val="nil"/>
            </w:tcBorders>
            <w:vAlign w:val="center"/>
            <w:hideMark/>
          </w:tcPr>
          <w:p w14:paraId="28E951F6" w14:textId="77777777" w:rsidR="0093441E" w:rsidRPr="002A7673" w:rsidRDefault="0093441E" w:rsidP="0048334E">
            <w:pPr>
              <w:spacing w:after="0" w:line="240" w:lineRule="auto"/>
              <w:rPr>
                <w:rFonts w:ascii="Times New Roman" w:hAnsi="Times New Roman" w:cs="Times New Roman"/>
                <w:b/>
                <w:bCs/>
                <w:lang w:eastAsia="es-CR"/>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14:paraId="19FA06B0"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2019</w:t>
            </w:r>
          </w:p>
        </w:tc>
        <w:tc>
          <w:tcPr>
            <w:tcW w:w="1200" w:type="dxa"/>
            <w:tcBorders>
              <w:top w:val="nil"/>
              <w:left w:val="nil"/>
              <w:bottom w:val="single" w:sz="4" w:space="0" w:color="auto"/>
              <w:right w:val="single" w:sz="4" w:space="0" w:color="auto"/>
            </w:tcBorders>
            <w:shd w:val="clear" w:color="auto" w:fill="auto"/>
            <w:vAlign w:val="center"/>
            <w:hideMark/>
          </w:tcPr>
          <w:p w14:paraId="27DF49E2" w14:textId="77777777" w:rsidR="0093441E" w:rsidRPr="002A7673" w:rsidRDefault="0093441E" w:rsidP="0048334E">
            <w:pPr>
              <w:spacing w:after="0" w:line="240" w:lineRule="auto"/>
              <w:jc w:val="center"/>
              <w:rPr>
                <w:rFonts w:ascii="Times New Roman" w:hAnsi="Times New Roman" w:cs="Times New Roman"/>
                <w:b/>
                <w:bCs/>
                <w:lang w:eastAsia="es-CR"/>
              </w:rPr>
            </w:pPr>
            <w:r w:rsidRPr="002A7673">
              <w:rPr>
                <w:rFonts w:ascii="Times New Roman" w:hAnsi="Times New Roman" w:cs="Times New Roman"/>
                <w:b/>
                <w:bCs/>
                <w:lang w:eastAsia="es-CR"/>
              </w:rPr>
              <w:t>2020</w:t>
            </w:r>
          </w:p>
        </w:tc>
        <w:tc>
          <w:tcPr>
            <w:tcW w:w="1207" w:type="dxa"/>
            <w:vMerge/>
            <w:tcBorders>
              <w:top w:val="single" w:sz="4" w:space="0" w:color="auto"/>
              <w:left w:val="single" w:sz="4" w:space="0" w:color="auto"/>
              <w:bottom w:val="single" w:sz="4" w:space="0" w:color="000000"/>
              <w:right w:val="single" w:sz="4" w:space="0" w:color="auto"/>
            </w:tcBorders>
            <w:vAlign w:val="center"/>
            <w:hideMark/>
          </w:tcPr>
          <w:p w14:paraId="3C222291" w14:textId="77777777" w:rsidR="0093441E" w:rsidRPr="002A7673" w:rsidRDefault="0093441E" w:rsidP="0048334E">
            <w:pPr>
              <w:spacing w:after="0" w:line="240" w:lineRule="auto"/>
              <w:rPr>
                <w:rFonts w:ascii="Times New Roman" w:hAnsi="Times New Roman" w:cs="Times New Roman"/>
                <w:b/>
                <w:bCs/>
                <w:lang w:eastAsia="es-CR"/>
              </w:rPr>
            </w:pPr>
          </w:p>
        </w:tc>
        <w:tc>
          <w:tcPr>
            <w:tcW w:w="1314" w:type="dxa"/>
            <w:vMerge/>
            <w:tcBorders>
              <w:top w:val="single" w:sz="4" w:space="0" w:color="auto"/>
              <w:left w:val="nil"/>
              <w:bottom w:val="single" w:sz="4" w:space="0" w:color="000000"/>
              <w:right w:val="nil"/>
            </w:tcBorders>
            <w:vAlign w:val="center"/>
            <w:hideMark/>
          </w:tcPr>
          <w:p w14:paraId="0494E8C0" w14:textId="77777777" w:rsidR="0093441E" w:rsidRPr="002A7673" w:rsidRDefault="0093441E" w:rsidP="0048334E">
            <w:pPr>
              <w:spacing w:after="0" w:line="240" w:lineRule="auto"/>
              <w:rPr>
                <w:rFonts w:ascii="Times New Roman" w:hAnsi="Times New Roman" w:cs="Times New Roman"/>
                <w:b/>
                <w:bCs/>
                <w:lang w:eastAsia="es-CR"/>
              </w:rPr>
            </w:pPr>
          </w:p>
        </w:tc>
      </w:tr>
      <w:tr w:rsidR="0093441E" w:rsidRPr="002A7673" w14:paraId="020B7729" w14:textId="77777777" w:rsidTr="0048334E">
        <w:trPr>
          <w:jc w:val="center"/>
        </w:trPr>
        <w:tc>
          <w:tcPr>
            <w:tcW w:w="2268" w:type="dxa"/>
            <w:tcBorders>
              <w:top w:val="nil"/>
              <w:left w:val="nil"/>
              <w:bottom w:val="nil"/>
              <w:right w:val="nil"/>
            </w:tcBorders>
            <w:shd w:val="clear" w:color="auto" w:fill="auto"/>
            <w:noWrap/>
            <w:vAlign w:val="center"/>
            <w:hideMark/>
          </w:tcPr>
          <w:p w14:paraId="40296CEF"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Circulante al iniciar</w:t>
            </w:r>
          </w:p>
        </w:tc>
        <w:tc>
          <w:tcPr>
            <w:tcW w:w="1200" w:type="dxa"/>
            <w:tcBorders>
              <w:top w:val="nil"/>
              <w:left w:val="single" w:sz="4" w:space="0" w:color="auto"/>
              <w:bottom w:val="nil"/>
              <w:right w:val="single" w:sz="4" w:space="0" w:color="auto"/>
            </w:tcBorders>
            <w:shd w:val="clear" w:color="auto" w:fill="auto"/>
            <w:noWrap/>
            <w:vAlign w:val="center"/>
            <w:hideMark/>
          </w:tcPr>
          <w:p w14:paraId="1044E49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40 430</w:t>
            </w:r>
          </w:p>
        </w:tc>
        <w:tc>
          <w:tcPr>
            <w:tcW w:w="1200" w:type="dxa"/>
            <w:tcBorders>
              <w:top w:val="nil"/>
              <w:left w:val="nil"/>
              <w:bottom w:val="nil"/>
              <w:right w:val="single" w:sz="4" w:space="0" w:color="auto"/>
            </w:tcBorders>
            <w:shd w:val="clear" w:color="auto" w:fill="auto"/>
            <w:noWrap/>
            <w:vAlign w:val="center"/>
            <w:hideMark/>
          </w:tcPr>
          <w:p w14:paraId="3E015D0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41 604</w:t>
            </w:r>
          </w:p>
        </w:tc>
        <w:tc>
          <w:tcPr>
            <w:tcW w:w="1207" w:type="dxa"/>
            <w:tcBorders>
              <w:top w:val="nil"/>
              <w:left w:val="nil"/>
              <w:bottom w:val="nil"/>
              <w:right w:val="single" w:sz="4" w:space="0" w:color="auto"/>
            </w:tcBorders>
            <w:shd w:val="clear" w:color="auto" w:fill="auto"/>
            <w:noWrap/>
            <w:vAlign w:val="center"/>
            <w:hideMark/>
          </w:tcPr>
          <w:p w14:paraId="555B956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1 174</w:t>
            </w:r>
          </w:p>
        </w:tc>
        <w:tc>
          <w:tcPr>
            <w:tcW w:w="1314" w:type="dxa"/>
            <w:tcBorders>
              <w:top w:val="nil"/>
              <w:left w:val="nil"/>
              <w:bottom w:val="nil"/>
              <w:right w:val="nil"/>
            </w:tcBorders>
            <w:shd w:val="clear" w:color="auto" w:fill="auto"/>
            <w:noWrap/>
            <w:vAlign w:val="center"/>
            <w:hideMark/>
          </w:tcPr>
          <w:p w14:paraId="357FC73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2,9%</w:t>
            </w:r>
          </w:p>
        </w:tc>
      </w:tr>
      <w:tr w:rsidR="0093441E" w:rsidRPr="002A7673" w14:paraId="531069C9" w14:textId="77777777" w:rsidTr="0048334E">
        <w:trPr>
          <w:jc w:val="center"/>
        </w:trPr>
        <w:tc>
          <w:tcPr>
            <w:tcW w:w="2268" w:type="dxa"/>
            <w:tcBorders>
              <w:top w:val="nil"/>
              <w:left w:val="nil"/>
              <w:bottom w:val="nil"/>
              <w:right w:val="nil"/>
            </w:tcBorders>
            <w:shd w:val="clear" w:color="auto" w:fill="auto"/>
            <w:noWrap/>
            <w:vAlign w:val="center"/>
            <w:hideMark/>
          </w:tcPr>
          <w:p w14:paraId="0CE70703"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entrados</w:t>
            </w:r>
          </w:p>
        </w:tc>
        <w:tc>
          <w:tcPr>
            <w:tcW w:w="1200" w:type="dxa"/>
            <w:tcBorders>
              <w:top w:val="nil"/>
              <w:left w:val="single" w:sz="4" w:space="0" w:color="auto"/>
              <w:bottom w:val="nil"/>
              <w:right w:val="single" w:sz="4" w:space="0" w:color="auto"/>
            </w:tcBorders>
            <w:shd w:val="clear" w:color="auto" w:fill="auto"/>
            <w:noWrap/>
            <w:vAlign w:val="center"/>
            <w:hideMark/>
          </w:tcPr>
          <w:p w14:paraId="1604AA87"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30 481</w:t>
            </w:r>
          </w:p>
        </w:tc>
        <w:tc>
          <w:tcPr>
            <w:tcW w:w="1200" w:type="dxa"/>
            <w:tcBorders>
              <w:top w:val="nil"/>
              <w:left w:val="nil"/>
              <w:bottom w:val="nil"/>
              <w:right w:val="single" w:sz="4" w:space="0" w:color="auto"/>
            </w:tcBorders>
            <w:shd w:val="clear" w:color="auto" w:fill="auto"/>
            <w:noWrap/>
            <w:vAlign w:val="center"/>
            <w:hideMark/>
          </w:tcPr>
          <w:p w14:paraId="4C0EBC7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24 225</w:t>
            </w:r>
          </w:p>
        </w:tc>
        <w:tc>
          <w:tcPr>
            <w:tcW w:w="1207" w:type="dxa"/>
            <w:tcBorders>
              <w:top w:val="nil"/>
              <w:left w:val="nil"/>
              <w:bottom w:val="nil"/>
              <w:right w:val="single" w:sz="4" w:space="0" w:color="auto"/>
            </w:tcBorders>
            <w:shd w:val="clear" w:color="auto" w:fill="auto"/>
            <w:noWrap/>
            <w:vAlign w:val="center"/>
            <w:hideMark/>
          </w:tcPr>
          <w:p w14:paraId="6C623F5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-6 256</w:t>
            </w:r>
          </w:p>
        </w:tc>
        <w:tc>
          <w:tcPr>
            <w:tcW w:w="1314" w:type="dxa"/>
            <w:tcBorders>
              <w:top w:val="nil"/>
              <w:left w:val="nil"/>
              <w:bottom w:val="nil"/>
              <w:right w:val="nil"/>
            </w:tcBorders>
            <w:shd w:val="clear" w:color="auto" w:fill="auto"/>
            <w:noWrap/>
            <w:vAlign w:val="center"/>
            <w:hideMark/>
          </w:tcPr>
          <w:p w14:paraId="1024139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-20,5%</w:t>
            </w:r>
          </w:p>
        </w:tc>
      </w:tr>
      <w:tr w:rsidR="0093441E" w:rsidRPr="002A7673" w14:paraId="1E084350" w14:textId="77777777" w:rsidTr="0048334E">
        <w:trPr>
          <w:jc w:val="center"/>
        </w:trPr>
        <w:tc>
          <w:tcPr>
            <w:tcW w:w="2268" w:type="dxa"/>
            <w:tcBorders>
              <w:top w:val="nil"/>
              <w:left w:val="nil"/>
              <w:bottom w:val="nil"/>
              <w:right w:val="nil"/>
            </w:tcBorders>
            <w:shd w:val="clear" w:color="auto" w:fill="auto"/>
            <w:noWrap/>
            <w:vAlign w:val="center"/>
            <w:hideMark/>
          </w:tcPr>
          <w:p w14:paraId="37B72D5F"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reentrados</w:t>
            </w:r>
          </w:p>
        </w:tc>
        <w:tc>
          <w:tcPr>
            <w:tcW w:w="1200" w:type="dxa"/>
            <w:tcBorders>
              <w:top w:val="nil"/>
              <w:left w:val="single" w:sz="4" w:space="0" w:color="auto"/>
              <w:bottom w:val="nil"/>
              <w:right w:val="single" w:sz="4" w:space="0" w:color="auto"/>
            </w:tcBorders>
            <w:shd w:val="clear" w:color="auto" w:fill="auto"/>
            <w:noWrap/>
            <w:vAlign w:val="center"/>
            <w:hideMark/>
          </w:tcPr>
          <w:p w14:paraId="095457D4"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2 710</w:t>
            </w:r>
          </w:p>
        </w:tc>
        <w:tc>
          <w:tcPr>
            <w:tcW w:w="1200" w:type="dxa"/>
            <w:tcBorders>
              <w:top w:val="nil"/>
              <w:left w:val="nil"/>
              <w:bottom w:val="nil"/>
              <w:right w:val="single" w:sz="4" w:space="0" w:color="auto"/>
            </w:tcBorders>
            <w:shd w:val="clear" w:color="auto" w:fill="auto"/>
            <w:noWrap/>
            <w:vAlign w:val="center"/>
            <w:hideMark/>
          </w:tcPr>
          <w:p w14:paraId="03BA09FB"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3 470</w:t>
            </w:r>
          </w:p>
        </w:tc>
        <w:tc>
          <w:tcPr>
            <w:tcW w:w="1207" w:type="dxa"/>
            <w:tcBorders>
              <w:top w:val="nil"/>
              <w:left w:val="nil"/>
              <w:bottom w:val="nil"/>
              <w:right w:val="single" w:sz="4" w:space="0" w:color="auto"/>
            </w:tcBorders>
            <w:shd w:val="clear" w:color="auto" w:fill="auto"/>
            <w:noWrap/>
            <w:vAlign w:val="center"/>
            <w:hideMark/>
          </w:tcPr>
          <w:p w14:paraId="131D8AD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760</w:t>
            </w:r>
          </w:p>
        </w:tc>
        <w:tc>
          <w:tcPr>
            <w:tcW w:w="1314" w:type="dxa"/>
            <w:tcBorders>
              <w:top w:val="nil"/>
              <w:left w:val="nil"/>
              <w:bottom w:val="nil"/>
              <w:right w:val="nil"/>
            </w:tcBorders>
            <w:shd w:val="clear" w:color="auto" w:fill="auto"/>
            <w:noWrap/>
            <w:vAlign w:val="center"/>
            <w:hideMark/>
          </w:tcPr>
          <w:p w14:paraId="6F6558B0"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28,0%</w:t>
            </w:r>
          </w:p>
        </w:tc>
      </w:tr>
      <w:tr w:rsidR="0093441E" w:rsidRPr="002A7673" w14:paraId="7CD27BBA" w14:textId="77777777" w:rsidTr="0048334E">
        <w:trPr>
          <w:jc w:val="center"/>
        </w:trPr>
        <w:tc>
          <w:tcPr>
            <w:tcW w:w="2268" w:type="dxa"/>
            <w:tcBorders>
              <w:top w:val="nil"/>
              <w:left w:val="nil"/>
              <w:bottom w:val="nil"/>
              <w:right w:val="nil"/>
            </w:tcBorders>
            <w:shd w:val="clear" w:color="auto" w:fill="auto"/>
            <w:noWrap/>
            <w:vAlign w:val="center"/>
            <w:hideMark/>
          </w:tcPr>
          <w:p w14:paraId="3E0B12C7"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Casos reactivados </w:t>
            </w:r>
          </w:p>
        </w:tc>
        <w:tc>
          <w:tcPr>
            <w:tcW w:w="1200" w:type="dxa"/>
            <w:tcBorders>
              <w:top w:val="nil"/>
              <w:left w:val="single" w:sz="4" w:space="0" w:color="auto"/>
              <w:bottom w:val="nil"/>
              <w:right w:val="single" w:sz="4" w:space="0" w:color="auto"/>
            </w:tcBorders>
            <w:shd w:val="clear" w:color="auto" w:fill="auto"/>
            <w:noWrap/>
            <w:vAlign w:val="center"/>
            <w:hideMark/>
          </w:tcPr>
          <w:p w14:paraId="49DC376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1 099</w:t>
            </w:r>
          </w:p>
        </w:tc>
        <w:tc>
          <w:tcPr>
            <w:tcW w:w="1200" w:type="dxa"/>
            <w:tcBorders>
              <w:top w:val="nil"/>
              <w:left w:val="nil"/>
              <w:bottom w:val="nil"/>
              <w:right w:val="single" w:sz="4" w:space="0" w:color="auto"/>
            </w:tcBorders>
            <w:shd w:val="clear" w:color="auto" w:fill="auto"/>
            <w:noWrap/>
            <w:vAlign w:val="center"/>
            <w:hideMark/>
          </w:tcPr>
          <w:p w14:paraId="204665D4"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984</w:t>
            </w:r>
          </w:p>
        </w:tc>
        <w:tc>
          <w:tcPr>
            <w:tcW w:w="1207" w:type="dxa"/>
            <w:tcBorders>
              <w:top w:val="nil"/>
              <w:left w:val="nil"/>
              <w:bottom w:val="nil"/>
              <w:right w:val="single" w:sz="4" w:space="0" w:color="auto"/>
            </w:tcBorders>
            <w:shd w:val="clear" w:color="auto" w:fill="auto"/>
            <w:noWrap/>
            <w:vAlign w:val="center"/>
            <w:hideMark/>
          </w:tcPr>
          <w:p w14:paraId="47BD2FB6"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-115</w:t>
            </w:r>
          </w:p>
        </w:tc>
        <w:tc>
          <w:tcPr>
            <w:tcW w:w="1314" w:type="dxa"/>
            <w:tcBorders>
              <w:top w:val="nil"/>
              <w:left w:val="nil"/>
              <w:bottom w:val="nil"/>
              <w:right w:val="nil"/>
            </w:tcBorders>
            <w:shd w:val="clear" w:color="auto" w:fill="auto"/>
            <w:noWrap/>
            <w:vAlign w:val="center"/>
            <w:hideMark/>
          </w:tcPr>
          <w:p w14:paraId="3FDC2DB6"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w:t>
            </w:r>
          </w:p>
        </w:tc>
      </w:tr>
      <w:tr w:rsidR="0093441E" w:rsidRPr="002A7673" w14:paraId="42918541" w14:textId="77777777" w:rsidTr="0048334E">
        <w:trPr>
          <w:jc w:val="center"/>
        </w:trPr>
        <w:tc>
          <w:tcPr>
            <w:tcW w:w="2268" w:type="dxa"/>
            <w:tcBorders>
              <w:top w:val="nil"/>
              <w:left w:val="nil"/>
              <w:bottom w:val="nil"/>
              <w:right w:val="nil"/>
            </w:tcBorders>
            <w:shd w:val="clear" w:color="auto" w:fill="auto"/>
            <w:noWrap/>
            <w:vAlign w:val="center"/>
            <w:hideMark/>
          </w:tcPr>
          <w:p w14:paraId="31E17BE4"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Testimonio de piezas</w:t>
            </w:r>
          </w:p>
        </w:tc>
        <w:tc>
          <w:tcPr>
            <w:tcW w:w="1200" w:type="dxa"/>
            <w:tcBorders>
              <w:top w:val="nil"/>
              <w:left w:val="single" w:sz="4" w:space="0" w:color="auto"/>
              <w:bottom w:val="nil"/>
              <w:right w:val="single" w:sz="4" w:space="0" w:color="auto"/>
            </w:tcBorders>
            <w:shd w:val="clear" w:color="auto" w:fill="auto"/>
            <w:noWrap/>
            <w:vAlign w:val="center"/>
            <w:hideMark/>
          </w:tcPr>
          <w:p w14:paraId="325AB445"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364</w:t>
            </w:r>
          </w:p>
        </w:tc>
        <w:tc>
          <w:tcPr>
            <w:tcW w:w="1200" w:type="dxa"/>
            <w:tcBorders>
              <w:top w:val="nil"/>
              <w:left w:val="nil"/>
              <w:bottom w:val="nil"/>
              <w:right w:val="single" w:sz="4" w:space="0" w:color="auto"/>
            </w:tcBorders>
            <w:shd w:val="clear" w:color="auto" w:fill="auto"/>
            <w:noWrap/>
            <w:vAlign w:val="center"/>
            <w:hideMark/>
          </w:tcPr>
          <w:p w14:paraId="5CC277C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413</w:t>
            </w:r>
          </w:p>
        </w:tc>
        <w:tc>
          <w:tcPr>
            <w:tcW w:w="1207" w:type="dxa"/>
            <w:tcBorders>
              <w:top w:val="nil"/>
              <w:left w:val="nil"/>
              <w:bottom w:val="nil"/>
              <w:right w:val="single" w:sz="4" w:space="0" w:color="auto"/>
            </w:tcBorders>
            <w:shd w:val="clear" w:color="auto" w:fill="auto"/>
            <w:noWrap/>
            <w:vAlign w:val="center"/>
            <w:hideMark/>
          </w:tcPr>
          <w:p w14:paraId="2B792C43"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49</w:t>
            </w:r>
          </w:p>
        </w:tc>
        <w:tc>
          <w:tcPr>
            <w:tcW w:w="1314" w:type="dxa"/>
            <w:tcBorders>
              <w:top w:val="nil"/>
              <w:left w:val="nil"/>
              <w:bottom w:val="nil"/>
              <w:right w:val="nil"/>
            </w:tcBorders>
            <w:shd w:val="clear" w:color="auto" w:fill="auto"/>
            <w:noWrap/>
            <w:vAlign w:val="center"/>
            <w:hideMark/>
          </w:tcPr>
          <w:p w14:paraId="62A3D78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13,5%</w:t>
            </w:r>
          </w:p>
        </w:tc>
      </w:tr>
      <w:tr w:rsidR="0093441E" w:rsidRPr="002A7673" w14:paraId="40851506" w14:textId="77777777" w:rsidTr="0048334E">
        <w:trPr>
          <w:jc w:val="center"/>
        </w:trPr>
        <w:tc>
          <w:tcPr>
            <w:tcW w:w="2268" w:type="dxa"/>
            <w:tcBorders>
              <w:top w:val="nil"/>
              <w:left w:val="nil"/>
              <w:bottom w:val="nil"/>
              <w:right w:val="nil"/>
            </w:tcBorders>
            <w:shd w:val="clear" w:color="auto" w:fill="auto"/>
            <w:noWrap/>
            <w:vAlign w:val="center"/>
            <w:hideMark/>
          </w:tcPr>
          <w:p w14:paraId="63B1F590"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terminados</w:t>
            </w:r>
          </w:p>
        </w:tc>
        <w:tc>
          <w:tcPr>
            <w:tcW w:w="1200" w:type="dxa"/>
            <w:tcBorders>
              <w:top w:val="nil"/>
              <w:left w:val="single" w:sz="4" w:space="0" w:color="auto"/>
              <w:bottom w:val="nil"/>
              <w:right w:val="single" w:sz="4" w:space="0" w:color="auto"/>
            </w:tcBorders>
            <w:shd w:val="clear" w:color="auto" w:fill="auto"/>
            <w:noWrap/>
            <w:vAlign w:val="center"/>
            <w:hideMark/>
          </w:tcPr>
          <w:p w14:paraId="3D26852E"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26 689</w:t>
            </w:r>
          </w:p>
        </w:tc>
        <w:tc>
          <w:tcPr>
            <w:tcW w:w="1200" w:type="dxa"/>
            <w:tcBorders>
              <w:top w:val="nil"/>
              <w:left w:val="nil"/>
              <w:bottom w:val="nil"/>
              <w:right w:val="single" w:sz="4" w:space="0" w:color="auto"/>
            </w:tcBorders>
            <w:shd w:val="clear" w:color="auto" w:fill="auto"/>
            <w:noWrap/>
            <w:vAlign w:val="center"/>
            <w:hideMark/>
          </w:tcPr>
          <w:p w14:paraId="09D016D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20 947</w:t>
            </w:r>
          </w:p>
        </w:tc>
        <w:tc>
          <w:tcPr>
            <w:tcW w:w="1207" w:type="dxa"/>
            <w:tcBorders>
              <w:top w:val="nil"/>
              <w:left w:val="nil"/>
              <w:bottom w:val="nil"/>
              <w:right w:val="single" w:sz="4" w:space="0" w:color="auto"/>
            </w:tcBorders>
            <w:shd w:val="clear" w:color="auto" w:fill="auto"/>
            <w:noWrap/>
            <w:vAlign w:val="center"/>
            <w:hideMark/>
          </w:tcPr>
          <w:p w14:paraId="0F08395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-5 742</w:t>
            </w:r>
          </w:p>
        </w:tc>
        <w:tc>
          <w:tcPr>
            <w:tcW w:w="1314" w:type="dxa"/>
            <w:tcBorders>
              <w:top w:val="nil"/>
              <w:left w:val="nil"/>
              <w:bottom w:val="nil"/>
              <w:right w:val="nil"/>
            </w:tcBorders>
            <w:shd w:val="clear" w:color="auto" w:fill="auto"/>
            <w:noWrap/>
            <w:vAlign w:val="center"/>
            <w:hideMark/>
          </w:tcPr>
          <w:p w14:paraId="498CFAFA"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-21,5%</w:t>
            </w:r>
          </w:p>
        </w:tc>
      </w:tr>
      <w:tr w:rsidR="0093441E" w:rsidRPr="002A7673" w14:paraId="52091EA3" w14:textId="77777777" w:rsidTr="0048334E">
        <w:trPr>
          <w:jc w:val="center"/>
        </w:trPr>
        <w:tc>
          <w:tcPr>
            <w:tcW w:w="2268" w:type="dxa"/>
            <w:tcBorders>
              <w:top w:val="nil"/>
              <w:left w:val="nil"/>
              <w:bottom w:val="nil"/>
              <w:right w:val="nil"/>
            </w:tcBorders>
            <w:shd w:val="clear" w:color="auto" w:fill="auto"/>
            <w:noWrap/>
            <w:vAlign w:val="center"/>
            <w:hideMark/>
          </w:tcPr>
          <w:p w14:paraId="4C84569A"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Casos inactivos</w:t>
            </w:r>
          </w:p>
        </w:tc>
        <w:tc>
          <w:tcPr>
            <w:tcW w:w="1200" w:type="dxa"/>
            <w:tcBorders>
              <w:top w:val="nil"/>
              <w:left w:val="single" w:sz="4" w:space="0" w:color="auto"/>
              <w:bottom w:val="nil"/>
              <w:right w:val="single" w:sz="4" w:space="0" w:color="auto"/>
            </w:tcBorders>
            <w:shd w:val="clear" w:color="auto" w:fill="auto"/>
            <w:noWrap/>
            <w:vAlign w:val="center"/>
            <w:hideMark/>
          </w:tcPr>
          <w:p w14:paraId="0BFB4078"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6 780</w:t>
            </w:r>
          </w:p>
        </w:tc>
        <w:tc>
          <w:tcPr>
            <w:tcW w:w="1200" w:type="dxa"/>
            <w:tcBorders>
              <w:top w:val="nil"/>
              <w:left w:val="nil"/>
              <w:bottom w:val="nil"/>
              <w:right w:val="single" w:sz="4" w:space="0" w:color="auto"/>
            </w:tcBorders>
            <w:shd w:val="clear" w:color="auto" w:fill="auto"/>
            <w:noWrap/>
            <w:vAlign w:val="center"/>
            <w:hideMark/>
          </w:tcPr>
          <w:p w14:paraId="40E4EBFF"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7 398</w:t>
            </w:r>
          </w:p>
        </w:tc>
        <w:tc>
          <w:tcPr>
            <w:tcW w:w="1207" w:type="dxa"/>
            <w:tcBorders>
              <w:top w:val="nil"/>
              <w:left w:val="nil"/>
              <w:bottom w:val="nil"/>
              <w:right w:val="single" w:sz="4" w:space="0" w:color="auto"/>
            </w:tcBorders>
            <w:shd w:val="clear" w:color="auto" w:fill="auto"/>
            <w:noWrap/>
            <w:vAlign w:val="center"/>
            <w:hideMark/>
          </w:tcPr>
          <w:p w14:paraId="293E7C84"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618</w:t>
            </w:r>
          </w:p>
        </w:tc>
        <w:tc>
          <w:tcPr>
            <w:tcW w:w="1314" w:type="dxa"/>
            <w:tcBorders>
              <w:top w:val="nil"/>
              <w:left w:val="nil"/>
              <w:bottom w:val="nil"/>
              <w:right w:val="nil"/>
            </w:tcBorders>
            <w:shd w:val="clear" w:color="auto" w:fill="auto"/>
            <w:noWrap/>
            <w:vAlign w:val="center"/>
            <w:hideMark/>
          </w:tcPr>
          <w:p w14:paraId="5D3B967D"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9,1%</w:t>
            </w:r>
          </w:p>
        </w:tc>
      </w:tr>
      <w:tr w:rsidR="0093441E" w:rsidRPr="002A7673" w14:paraId="22EC00FA" w14:textId="77777777" w:rsidTr="0048334E">
        <w:trPr>
          <w:jc w:val="center"/>
        </w:trPr>
        <w:tc>
          <w:tcPr>
            <w:tcW w:w="2268" w:type="dxa"/>
            <w:tcBorders>
              <w:top w:val="nil"/>
              <w:left w:val="nil"/>
              <w:bottom w:val="nil"/>
              <w:right w:val="nil"/>
            </w:tcBorders>
            <w:shd w:val="clear" w:color="auto" w:fill="auto"/>
            <w:noWrap/>
            <w:vAlign w:val="center"/>
            <w:hideMark/>
          </w:tcPr>
          <w:p w14:paraId="42E93C44"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Circulante al finalizar</w:t>
            </w:r>
          </w:p>
        </w:tc>
        <w:tc>
          <w:tcPr>
            <w:tcW w:w="1200" w:type="dxa"/>
            <w:tcBorders>
              <w:top w:val="nil"/>
              <w:left w:val="single" w:sz="4" w:space="0" w:color="auto"/>
              <w:bottom w:val="nil"/>
              <w:right w:val="single" w:sz="4" w:space="0" w:color="auto"/>
            </w:tcBorders>
            <w:shd w:val="clear" w:color="auto" w:fill="auto"/>
            <w:noWrap/>
            <w:vAlign w:val="center"/>
            <w:hideMark/>
          </w:tcPr>
          <w:p w14:paraId="08B9C982"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41 605</w:t>
            </w:r>
          </w:p>
        </w:tc>
        <w:tc>
          <w:tcPr>
            <w:tcW w:w="1200" w:type="dxa"/>
            <w:tcBorders>
              <w:top w:val="nil"/>
              <w:left w:val="nil"/>
              <w:bottom w:val="nil"/>
              <w:right w:val="single" w:sz="4" w:space="0" w:color="auto"/>
            </w:tcBorders>
            <w:shd w:val="clear" w:color="auto" w:fill="auto"/>
            <w:noWrap/>
            <w:vAlign w:val="center"/>
            <w:hideMark/>
          </w:tcPr>
          <w:p w14:paraId="5A743AAB"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42 353</w:t>
            </w:r>
          </w:p>
        </w:tc>
        <w:tc>
          <w:tcPr>
            <w:tcW w:w="1207" w:type="dxa"/>
            <w:tcBorders>
              <w:top w:val="nil"/>
              <w:left w:val="nil"/>
              <w:bottom w:val="nil"/>
              <w:right w:val="single" w:sz="4" w:space="0" w:color="auto"/>
            </w:tcBorders>
            <w:shd w:val="clear" w:color="auto" w:fill="auto"/>
            <w:noWrap/>
            <w:vAlign w:val="center"/>
            <w:hideMark/>
          </w:tcPr>
          <w:p w14:paraId="37FBA60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748</w:t>
            </w:r>
          </w:p>
        </w:tc>
        <w:tc>
          <w:tcPr>
            <w:tcW w:w="1314" w:type="dxa"/>
            <w:tcBorders>
              <w:top w:val="nil"/>
              <w:left w:val="nil"/>
              <w:bottom w:val="nil"/>
              <w:right w:val="nil"/>
            </w:tcBorders>
            <w:shd w:val="clear" w:color="auto" w:fill="auto"/>
            <w:noWrap/>
            <w:vAlign w:val="center"/>
            <w:hideMark/>
          </w:tcPr>
          <w:p w14:paraId="4C1D8109" w14:textId="77777777" w:rsidR="0093441E" w:rsidRPr="002A7673" w:rsidRDefault="0093441E" w:rsidP="0048334E">
            <w:pPr>
              <w:spacing w:after="0" w:line="240" w:lineRule="auto"/>
              <w:jc w:val="right"/>
              <w:rPr>
                <w:rFonts w:ascii="Times New Roman" w:hAnsi="Times New Roman" w:cs="Times New Roman"/>
                <w:lang w:eastAsia="es-CR"/>
              </w:rPr>
            </w:pPr>
            <w:r w:rsidRPr="002A7673">
              <w:rPr>
                <w:rFonts w:ascii="Times New Roman" w:hAnsi="Times New Roman" w:cs="Times New Roman"/>
                <w:lang w:eastAsia="es-CR"/>
              </w:rPr>
              <w:t>1,8%</w:t>
            </w:r>
          </w:p>
        </w:tc>
      </w:tr>
      <w:tr w:rsidR="0093441E" w:rsidRPr="002A7673" w14:paraId="166650F2" w14:textId="77777777" w:rsidTr="0048334E">
        <w:trPr>
          <w:jc w:val="center"/>
        </w:trPr>
        <w:tc>
          <w:tcPr>
            <w:tcW w:w="7189" w:type="dxa"/>
            <w:gridSpan w:val="5"/>
            <w:tcBorders>
              <w:top w:val="single" w:sz="4" w:space="0" w:color="auto"/>
              <w:left w:val="nil"/>
              <w:bottom w:val="nil"/>
              <w:right w:val="nil"/>
            </w:tcBorders>
            <w:shd w:val="clear" w:color="auto" w:fill="auto"/>
            <w:noWrap/>
            <w:vAlign w:val="center"/>
            <w:hideMark/>
          </w:tcPr>
          <w:p w14:paraId="52EE2DF7" w14:textId="77777777" w:rsidR="0093441E" w:rsidRPr="002A7673" w:rsidRDefault="0093441E" w:rsidP="0048334E">
            <w:pPr>
              <w:spacing w:after="0" w:line="240" w:lineRule="auto"/>
              <w:rPr>
                <w:rFonts w:ascii="Times New Roman" w:hAnsi="Times New Roman" w:cs="Times New Roman"/>
                <w:sz w:val="20"/>
                <w:szCs w:val="20"/>
                <w:lang w:eastAsia="es-CR"/>
              </w:rPr>
            </w:pPr>
            <w:r w:rsidRPr="002A7673">
              <w:rPr>
                <w:rFonts w:ascii="Times New Roman" w:hAnsi="Times New Roman" w:cs="Times New Roman"/>
                <w:b/>
                <w:bCs/>
                <w:sz w:val="20"/>
                <w:szCs w:val="20"/>
                <w:lang w:eastAsia="es-CR"/>
              </w:rPr>
              <w:t>Fuente:</w:t>
            </w:r>
            <w:r w:rsidRPr="002A7673">
              <w:rPr>
                <w:rFonts w:ascii="Times New Roman" w:hAnsi="Times New Roman" w:cs="Times New Roman"/>
                <w:sz w:val="20"/>
                <w:szCs w:val="20"/>
                <w:lang w:eastAsia="es-CR"/>
              </w:rPr>
              <w:t xml:space="preserve"> Subproceso de Estadística, Dirección de Planificación, Poder Judicial.</w:t>
            </w:r>
          </w:p>
        </w:tc>
      </w:tr>
    </w:tbl>
    <w:p w14:paraId="6E3C2330" w14:textId="77777777" w:rsidR="0093441E" w:rsidRPr="002A7673" w:rsidRDefault="0093441E" w:rsidP="0093441E">
      <w:pPr>
        <w:spacing w:after="0" w:line="240" w:lineRule="auto"/>
        <w:rPr>
          <w:rFonts w:ascii="Times New Roman" w:hAnsi="Times New Roman" w:cs="Times New Roman"/>
        </w:rPr>
      </w:pPr>
    </w:p>
    <w:p w14:paraId="141EC90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 las cifras contenidas en la tabla anterior, destacan los siguientes hechos: </w:t>
      </w:r>
    </w:p>
    <w:p w14:paraId="7C12A3E6"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72269BA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entrados:</w:t>
      </w:r>
      <w:r w:rsidRPr="002A7673">
        <w:rPr>
          <w:rFonts w:ascii="Times New Roman" w:hAnsi="Times New Roman" w:cs="Times New Roman"/>
          <w:sz w:val="28"/>
          <w:szCs w:val="28"/>
        </w:rPr>
        <w:t xml:space="preserve"> El volumen de expedientes ingresados en el Centro de Responsabilidad de la Administración Regional del </w:t>
      </w:r>
      <w:bookmarkStart w:id="204" w:name="_Hlk67387190"/>
      <w:r w:rsidRPr="002A7673">
        <w:rPr>
          <w:rFonts w:ascii="Times New Roman" w:hAnsi="Times New Roman" w:cs="Times New Roman"/>
          <w:sz w:val="28"/>
          <w:szCs w:val="28"/>
        </w:rPr>
        <w:t>Primer Circuito Judicial de la Zona Atlántica</w:t>
      </w:r>
      <w:bookmarkEnd w:id="204"/>
      <w:r w:rsidRPr="002A7673">
        <w:rPr>
          <w:rFonts w:ascii="Times New Roman" w:hAnsi="Times New Roman" w:cs="Times New Roman"/>
          <w:sz w:val="28"/>
          <w:szCs w:val="28"/>
        </w:rPr>
        <w:t xml:space="preserve"> registró 24.225 unidades durante el 2020, experimentando su entrada un importante descenso de 6.256 casos, para una baja porcentual de 20,5%. </w:t>
      </w:r>
    </w:p>
    <w:p w14:paraId="4E2E1B20"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En este sentido, sobresale el notable decremento presentado en el Juzgado de Cobro Judicial del Primer Circuito Judicial de la Zona Atlántica, que reportó 10.227 </w:t>
      </w:r>
      <w:r w:rsidRPr="002A7673">
        <w:rPr>
          <w:rFonts w:ascii="Times New Roman" w:hAnsi="Times New Roman" w:cs="Times New Roman"/>
          <w:sz w:val="28"/>
          <w:szCs w:val="28"/>
        </w:rPr>
        <w:lastRenderedPageBreak/>
        <w:t xml:space="preserve">casos nuevos en el 2019, para luego acoger 7.167 asuntos en el presente año (3.060 unidades menos, con una variación de 29,9%).   </w:t>
      </w:r>
    </w:p>
    <w:p w14:paraId="59D38326"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Casos terminados:</w:t>
      </w:r>
      <w:r w:rsidRPr="002A7673">
        <w:rPr>
          <w:rFonts w:ascii="Times New Roman" w:hAnsi="Times New Roman" w:cs="Times New Roman"/>
          <w:sz w:val="28"/>
          <w:szCs w:val="28"/>
        </w:rPr>
        <w:t xml:space="preserve"> Otra variable que experimenta un considerable descenso se relaciona con el número de procesos terminados en esta Administración Regional, que llegó a 20.947 en la actualidad, con una deflación de 5.742 demandas versus la cifra acaecida el año anterior, para una merma relativa de 21,5%. </w:t>
      </w:r>
    </w:p>
    <w:p w14:paraId="225B318E"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Una vez más, esta coyuntura se encuentra explicada por los movimientos acontecidos en el Juzgado de Cobro Judicial, que redujo su finiquito en 2.448 casos durante el 2020 (5.909 vs. 3.461), además del Juzgado Penal, que disminuyó el registro de casos terminados en 1.126 unidades (3.830 vs. 2.704).   </w:t>
      </w:r>
    </w:p>
    <w:p w14:paraId="1F88EBE1"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Circulante al finalizar al año:</w:t>
      </w:r>
      <w:r w:rsidRPr="002A7673">
        <w:rPr>
          <w:rFonts w:ascii="Times New Roman" w:hAnsi="Times New Roman" w:cs="Times New Roman"/>
          <w:sz w:val="28"/>
          <w:szCs w:val="28"/>
        </w:rPr>
        <w:t xml:space="preserve"> El circulante de los despachos adscritos a la Administración Regional del Primer Circuito Judicial de la Zona Atlántica se acumuló en 42.353 demandas al finalizar el 2020, que representa una reducción de 748 expedientes versus las existencias habidas hace un año exacto, para un declive porcentual de solo un 1,8</w:t>
      </w:r>
      <w:r w:rsidRPr="002A7673" w:rsidDel="00213CCC">
        <w:rPr>
          <w:rFonts w:ascii="Times New Roman" w:hAnsi="Times New Roman" w:cs="Times New Roman"/>
          <w:sz w:val="28"/>
          <w:szCs w:val="28"/>
        </w:rPr>
        <w:t xml:space="preserve"> </w:t>
      </w:r>
      <w:r w:rsidRPr="002A7673">
        <w:rPr>
          <w:rFonts w:ascii="Times New Roman" w:hAnsi="Times New Roman" w:cs="Times New Roman"/>
          <w:sz w:val="28"/>
          <w:szCs w:val="28"/>
        </w:rPr>
        <w:t xml:space="preserve">%. </w:t>
      </w:r>
    </w:p>
    <w:p w14:paraId="62CDE1AA"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Por su parte, se observa de la tabla anterior un efecto compensatorio en las brechas entre las cifras de asuntos entrados y terminados en esta ocasión (3.278 casos), siendo superior lo ingresado, y el número de litigios reentrados e inactivos (3.928 unidades), siendo en este caso mayor el grupo de sumarias inactivas o “</w:t>
      </w:r>
      <w:r w:rsidRPr="002A7673">
        <w:rPr>
          <w:rFonts w:ascii="Times New Roman" w:hAnsi="Times New Roman" w:cs="Times New Roman"/>
          <w:i/>
          <w:iCs/>
          <w:sz w:val="28"/>
          <w:szCs w:val="28"/>
        </w:rPr>
        <w:t>abandonadas</w:t>
      </w:r>
      <w:r w:rsidRPr="002A7673">
        <w:rPr>
          <w:rFonts w:ascii="Times New Roman" w:hAnsi="Times New Roman" w:cs="Times New Roman"/>
          <w:sz w:val="28"/>
          <w:szCs w:val="28"/>
        </w:rPr>
        <w:t xml:space="preserve">”, </w:t>
      </w:r>
      <w:r w:rsidRPr="002A7673">
        <w:rPr>
          <w:rFonts w:ascii="Times New Roman" w:hAnsi="Times New Roman" w:cs="Times New Roman"/>
          <w:sz w:val="28"/>
          <w:szCs w:val="28"/>
        </w:rPr>
        <w:lastRenderedPageBreak/>
        <w:t xml:space="preserve">lo cual induce a la estabilidad mostrada en el circulante, comentada en el párrafo anterior. </w:t>
      </w:r>
    </w:p>
    <w:p w14:paraId="0F57292D"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Aunado a estas variaciones, se debe recordar el conjunto de situaciones externas y extralaborales, ampliamente conocidas a nivel nacional, relacionadas con la emergencia por la pandemia, provocada por la propagación del virus Covid-19, conocido popularmente como “Coronavirus”, que produjo ceses, reducciones o modificaciones, en las labores desarrolladas por el personal de los despachos u oficinas judiciales. </w:t>
      </w:r>
    </w:p>
    <w:p w14:paraId="1DD364D6" w14:textId="77777777" w:rsidR="0093441E" w:rsidRPr="002A7673" w:rsidRDefault="0093441E" w:rsidP="0093441E">
      <w:pPr>
        <w:rPr>
          <w:rFonts w:ascii="Times New Roman" w:hAnsi="Times New Roman" w:cs="Times New Roman"/>
          <w:b/>
          <w:color w:val="000000" w:themeColor="text1"/>
          <w:kern w:val="32"/>
        </w:rPr>
      </w:pPr>
    </w:p>
    <w:p w14:paraId="3BB9D919" w14:textId="51155414" w:rsidR="0093441E" w:rsidRPr="002A7673" w:rsidRDefault="0093441E" w:rsidP="008C03A0">
      <w:pPr>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7. Informe Sobre la Ejecución Presupuestaria 2020 </w:t>
      </w:r>
    </w:p>
    <w:p w14:paraId="63CA5BA3"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lang w:eastAsia="es-CR"/>
        </w:rPr>
      </w:pPr>
      <w:r w:rsidRPr="002A7673">
        <w:rPr>
          <w:rFonts w:ascii="Times New Roman" w:hAnsi="Times New Roman" w:cs="Times New Roman"/>
          <w:color w:val="000000" w:themeColor="text1"/>
          <w:sz w:val="28"/>
          <w:szCs w:val="28"/>
        </w:rPr>
        <w:t xml:space="preserve">En la siguiente tabla se muestra la información de ejecución presupuestaria de todos los centros gestores, ordenando de forma descendente conforme al porcentaje de ejecución del 2020. También se detalla si con respecto al año anterior, el centro gestor tuvo un aumento o disminución en su ejecución presupuestaria. </w:t>
      </w:r>
    </w:p>
    <w:p w14:paraId="652A67F6" w14:textId="77777777" w:rsidR="0093441E" w:rsidRPr="002A7673" w:rsidRDefault="0093441E" w:rsidP="0093441E">
      <w:pPr>
        <w:spacing w:after="0" w:line="480" w:lineRule="auto"/>
        <w:ind w:left="-142"/>
        <w:rPr>
          <w:rFonts w:ascii="Times New Roman" w:hAnsi="Times New Roman" w:cs="Times New Roman"/>
          <w:color w:val="000000" w:themeColor="text1"/>
        </w:rPr>
      </w:pPr>
      <w:r w:rsidRPr="002A7673">
        <w:rPr>
          <w:rFonts w:ascii="Times New Roman" w:hAnsi="Times New Roman" w:cs="Times New Roman"/>
          <w:noProof/>
        </w:rPr>
        <w:lastRenderedPageBreak/>
        <w:drawing>
          <wp:inline distT="0" distB="0" distL="0" distR="0" wp14:anchorId="1CBE4A87" wp14:editId="4B3DD52A">
            <wp:extent cx="6088380" cy="5162550"/>
            <wp:effectExtent l="0" t="0" r="7620" b="0"/>
            <wp:docPr id="1263269063" name="Imagen 126326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6088380" cy="5162550"/>
                    </a:xfrm>
                    <a:prstGeom prst="rect">
                      <a:avLst/>
                    </a:prstGeom>
                    <a:noFill/>
                    <a:ln>
                      <a:noFill/>
                    </a:ln>
                  </pic:spPr>
                </pic:pic>
              </a:graphicData>
            </a:graphic>
          </wp:inline>
        </w:drawing>
      </w:r>
    </w:p>
    <w:p w14:paraId="26E329DA" w14:textId="77777777" w:rsidR="0093441E" w:rsidRPr="002A7673" w:rsidRDefault="0093441E" w:rsidP="0093441E">
      <w:pPr>
        <w:spacing w:after="0" w:line="240" w:lineRule="auto"/>
        <w:ind w:left="-426" w:firstLine="284"/>
        <w:rPr>
          <w:rFonts w:ascii="Times New Roman" w:hAnsi="Times New Roman" w:cs="Times New Roman"/>
          <w:color w:val="000000" w:themeColor="text1"/>
          <w:sz w:val="20"/>
          <w:szCs w:val="20"/>
        </w:rPr>
      </w:pPr>
      <w:r w:rsidRPr="002A7673">
        <w:rPr>
          <w:rFonts w:ascii="Times New Roman" w:hAnsi="Times New Roman" w:cs="Times New Roman"/>
          <w:b/>
          <w:color w:val="000000" w:themeColor="text1"/>
          <w:sz w:val="20"/>
          <w:szCs w:val="20"/>
        </w:rPr>
        <w:t>Fuente:</w:t>
      </w:r>
      <w:r w:rsidRPr="002A7673">
        <w:rPr>
          <w:rFonts w:ascii="Times New Roman" w:hAnsi="Times New Roman" w:cs="Times New Roman"/>
          <w:color w:val="000000" w:themeColor="text1"/>
          <w:sz w:val="20"/>
          <w:szCs w:val="20"/>
        </w:rPr>
        <w:t xml:space="preserve"> Liquidación 2020 Departamento de Financiero Contable.</w:t>
      </w:r>
    </w:p>
    <w:p w14:paraId="73C94FBB" w14:textId="77777777" w:rsidR="0093441E" w:rsidRPr="002A7673" w:rsidRDefault="0093441E" w:rsidP="0093441E">
      <w:pPr>
        <w:spacing w:after="0" w:line="240" w:lineRule="auto"/>
        <w:ind w:left="-142"/>
        <w:rPr>
          <w:rFonts w:ascii="Times New Roman" w:hAnsi="Times New Roman" w:cs="Times New Roman"/>
          <w:color w:val="000000" w:themeColor="text1"/>
          <w:sz w:val="20"/>
          <w:szCs w:val="20"/>
        </w:rPr>
      </w:pPr>
      <w:r w:rsidRPr="002A7673">
        <w:rPr>
          <w:rFonts w:ascii="Times New Roman" w:hAnsi="Times New Roman" w:cs="Times New Roman"/>
          <w:b/>
          <w:color w:val="000000" w:themeColor="text1"/>
          <w:sz w:val="20"/>
          <w:szCs w:val="20"/>
        </w:rPr>
        <w:t>Nota:</w:t>
      </w:r>
      <w:r w:rsidRPr="002A7673">
        <w:rPr>
          <w:rFonts w:ascii="Times New Roman" w:hAnsi="Times New Roman" w:cs="Times New Roman"/>
          <w:color w:val="000000" w:themeColor="text1"/>
          <w:sz w:val="20"/>
          <w:szCs w:val="20"/>
        </w:rPr>
        <w:t xml:space="preserve"> El monto ejecutado se obtuvo luego de sumar los montos comprometidos y los devengados del reporte del Departamento de Financiero Contable.</w:t>
      </w:r>
    </w:p>
    <w:p w14:paraId="0D04BA57" w14:textId="77777777" w:rsidR="0093441E" w:rsidRPr="002A7673" w:rsidRDefault="0093441E" w:rsidP="0093441E">
      <w:pPr>
        <w:spacing w:line="360" w:lineRule="auto"/>
        <w:rPr>
          <w:rFonts w:ascii="Times New Roman" w:hAnsi="Times New Roman" w:cs="Times New Roman"/>
          <w:lang w:eastAsia="es-CR"/>
        </w:rPr>
      </w:pPr>
    </w:p>
    <w:p w14:paraId="096D4365" w14:textId="77777777" w:rsidR="0093441E" w:rsidRPr="002A7673" w:rsidRDefault="0093441E" w:rsidP="0093441E">
      <w:pPr>
        <w:spacing w:after="0" w:line="480" w:lineRule="auto"/>
        <w:ind w:firstLine="709"/>
        <w:jc w:val="both"/>
        <w:rPr>
          <w:rFonts w:ascii="Times New Roman" w:hAnsi="Times New Roman" w:cs="Times New Roman"/>
          <w:sz w:val="28"/>
          <w:szCs w:val="28"/>
          <w:lang w:eastAsia="es-CR"/>
        </w:rPr>
      </w:pPr>
      <w:r w:rsidRPr="002A7673">
        <w:rPr>
          <w:rFonts w:ascii="Times New Roman" w:hAnsi="Times New Roman" w:cs="Times New Roman"/>
          <w:sz w:val="28"/>
          <w:szCs w:val="28"/>
          <w:lang w:eastAsia="es-CR"/>
        </w:rPr>
        <w:t>A continuación, la justificación brindada por los centros de responsabilidad cuya ejecución presupuestaria fue inferior al 50%.</w:t>
      </w:r>
    </w:p>
    <w:p w14:paraId="3FBF3E7A" w14:textId="77777777" w:rsidR="0093441E" w:rsidRPr="002A7673" w:rsidRDefault="0093441E" w:rsidP="0093441E">
      <w:pPr>
        <w:numPr>
          <w:ilvl w:val="0"/>
          <w:numId w:val="29"/>
        </w:numPr>
        <w:spacing w:after="0" w:line="480" w:lineRule="auto"/>
        <w:ind w:firstLine="709"/>
        <w:jc w:val="both"/>
        <w:rPr>
          <w:rFonts w:ascii="Times New Roman" w:eastAsia="Times New Roman" w:hAnsi="Times New Roman" w:cs="Times New Roman"/>
          <w:b/>
          <w:color w:val="000000" w:themeColor="text1"/>
          <w:sz w:val="28"/>
          <w:szCs w:val="28"/>
          <w:lang w:eastAsia="es-CR"/>
        </w:rPr>
      </w:pPr>
      <w:r w:rsidRPr="002A7673">
        <w:rPr>
          <w:rFonts w:ascii="Times New Roman" w:eastAsia="Times New Roman" w:hAnsi="Times New Roman" w:cs="Times New Roman"/>
          <w:b/>
          <w:color w:val="000000" w:themeColor="text1"/>
          <w:sz w:val="28"/>
          <w:szCs w:val="28"/>
          <w:lang w:eastAsia="es-CR"/>
        </w:rPr>
        <w:t>SALA PRIMERA</w:t>
      </w:r>
    </w:p>
    <w:p w14:paraId="26CC9E6C"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lang w:eastAsia="es-CR"/>
        </w:rPr>
      </w:pPr>
      <w:r w:rsidRPr="002A7673">
        <w:rPr>
          <w:rFonts w:ascii="Times New Roman" w:hAnsi="Times New Roman" w:cs="Times New Roman"/>
          <w:color w:val="000000" w:themeColor="text1"/>
          <w:sz w:val="28"/>
          <w:szCs w:val="28"/>
          <w:lang w:eastAsia="es-CR"/>
        </w:rPr>
        <w:lastRenderedPageBreak/>
        <w:t>Según la información que se muestra en la liquidación presupuestaria del 2020, este centro de responsabilidad ejecutó un 60% de los recursos. Las justificaciones de las subpartidas que influyeron en esta baja ejecución se muestran a continuación.</w:t>
      </w:r>
    </w:p>
    <w:tbl>
      <w:tblPr>
        <w:tblStyle w:val="Tablaconcuadrcula"/>
        <w:tblW w:w="0" w:type="auto"/>
        <w:tblLook w:val="04A0" w:firstRow="1" w:lastRow="0" w:firstColumn="1" w:lastColumn="0" w:noHBand="0" w:noVBand="1"/>
      </w:tblPr>
      <w:tblGrid>
        <w:gridCol w:w="3114"/>
        <w:gridCol w:w="5714"/>
      </w:tblGrid>
      <w:tr w:rsidR="0093441E" w:rsidRPr="002A7673" w14:paraId="5496D20A" w14:textId="77777777" w:rsidTr="0048334E">
        <w:tc>
          <w:tcPr>
            <w:tcW w:w="3114" w:type="dxa"/>
            <w:shd w:val="clear" w:color="auto" w:fill="9CC2E5" w:themeFill="accent1" w:themeFillTint="99"/>
            <w:vAlign w:val="center"/>
          </w:tcPr>
          <w:p w14:paraId="12E64F62" w14:textId="77777777" w:rsidR="0093441E" w:rsidRPr="002A7673" w:rsidRDefault="0093441E" w:rsidP="0048334E">
            <w:pPr>
              <w:jc w:val="center"/>
              <w:rPr>
                <w:b/>
                <w:color w:val="000000" w:themeColor="text1"/>
                <w:lang w:eastAsia="es-CR"/>
              </w:rPr>
            </w:pPr>
            <w:r w:rsidRPr="002A7673">
              <w:rPr>
                <w:b/>
                <w:color w:val="000000" w:themeColor="text1"/>
                <w:lang w:eastAsia="es-CR"/>
              </w:rPr>
              <w:t>Subpartida</w:t>
            </w:r>
          </w:p>
        </w:tc>
        <w:tc>
          <w:tcPr>
            <w:tcW w:w="5714" w:type="dxa"/>
            <w:shd w:val="clear" w:color="auto" w:fill="9CC2E5" w:themeFill="accent1" w:themeFillTint="99"/>
            <w:vAlign w:val="center"/>
          </w:tcPr>
          <w:p w14:paraId="28801448" w14:textId="77777777" w:rsidR="0093441E" w:rsidRPr="002A7673" w:rsidRDefault="0093441E" w:rsidP="0048334E">
            <w:pPr>
              <w:jc w:val="center"/>
              <w:rPr>
                <w:b/>
                <w:color w:val="000000" w:themeColor="text1"/>
                <w:lang w:eastAsia="es-CR"/>
              </w:rPr>
            </w:pPr>
            <w:r w:rsidRPr="002A7673">
              <w:rPr>
                <w:b/>
                <w:color w:val="000000" w:themeColor="text1"/>
                <w:lang w:eastAsia="es-CR"/>
              </w:rPr>
              <w:t>Justificación</w:t>
            </w:r>
          </w:p>
        </w:tc>
      </w:tr>
      <w:tr w:rsidR="0093441E" w:rsidRPr="002A7673" w14:paraId="4734302C" w14:textId="77777777" w:rsidTr="0048334E">
        <w:trPr>
          <w:trHeight w:val="390"/>
        </w:trPr>
        <w:tc>
          <w:tcPr>
            <w:tcW w:w="3114" w:type="dxa"/>
            <w:vAlign w:val="center"/>
          </w:tcPr>
          <w:p w14:paraId="3904B934" w14:textId="77777777" w:rsidR="0093441E" w:rsidRPr="002A7673" w:rsidRDefault="0093441E" w:rsidP="0048334E">
            <w:pPr>
              <w:rPr>
                <w:bCs/>
                <w:color w:val="000000" w:themeColor="text1"/>
                <w:lang w:eastAsia="es-CR"/>
              </w:rPr>
            </w:pPr>
            <w:r w:rsidRPr="002A7673">
              <w:rPr>
                <w:bCs/>
                <w:color w:val="000000" w:themeColor="text1"/>
                <w:lang w:eastAsia="es-CR"/>
              </w:rPr>
              <w:t xml:space="preserve">Subpartida 10406 Servicios Generales </w:t>
            </w:r>
          </w:p>
        </w:tc>
        <w:tc>
          <w:tcPr>
            <w:tcW w:w="5714" w:type="dxa"/>
            <w:vAlign w:val="center"/>
          </w:tcPr>
          <w:p w14:paraId="0541C521" w14:textId="77777777" w:rsidR="0093441E" w:rsidRPr="002A7673" w:rsidRDefault="0093441E" w:rsidP="0048334E">
            <w:pPr>
              <w:rPr>
                <w:color w:val="000000" w:themeColor="text1"/>
                <w:lang w:eastAsia="es-CR"/>
              </w:rPr>
            </w:pPr>
            <w:r w:rsidRPr="002A7673">
              <w:rPr>
                <w:bCs/>
                <w:color w:val="000000" w:themeColor="text1"/>
                <w:lang w:eastAsia="es-CR"/>
              </w:rPr>
              <w:t>Estos recursos no se ejecutaron debido a que con la implementación de teletrabajo no realizó el lavado de persianas.</w:t>
            </w:r>
          </w:p>
        </w:tc>
      </w:tr>
      <w:tr w:rsidR="0093441E" w:rsidRPr="002A7673" w14:paraId="67C9F2E4" w14:textId="77777777" w:rsidTr="0048334E">
        <w:tc>
          <w:tcPr>
            <w:tcW w:w="3114" w:type="dxa"/>
            <w:vAlign w:val="center"/>
          </w:tcPr>
          <w:p w14:paraId="3828CFC4" w14:textId="77777777" w:rsidR="0093441E" w:rsidRPr="002A7673" w:rsidRDefault="0093441E" w:rsidP="0048334E">
            <w:pPr>
              <w:rPr>
                <w:bCs/>
                <w:color w:val="000000" w:themeColor="text1"/>
                <w:lang w:eastAsia="es-CR"/>
              </w:rPr>
            </w:pPr>
            <w:r w:rsidRPr="002A7673">
              <w:rPr>
                <w:bCs/>
                <w:color w:val="000000" w:themeColor="text1"/>
                <w:lang w:eastAsia="es-CR"/>
              </w:rPr>
              <w:t>Subpartida 10807 Mantenimiento y Reparación de Equipo de Transporte</w:t>
            </w:r>
          </w:p>
        </w:tc>
        <w:tc>
          <w:tcPr>
            <w:tcW w:w="5714" w:type="dxa"/>
            <w:vAlign w:val="center"/>
          </w:tcPr>
          <w:p w14:paraId="10B76C7F" w14:textId="77777777" w:rsidR="0093441E" w:rsidRPr="002A7673" w:rsidRDefault="0093441E" w:rsidP="0048334E">
            <w:pPr>
              <w:rPr>
                <w:color w:val="000000" w:themeColor="text1"/>
                <w:lang w:eastAsia="es-CR"/>
              </w:rPr>
            </w:pPr>
            <w:r w:rsidRPr="002A7673">
              <w:rPr>
                <w:bCs/>
                <w:color w:val="000000" w:themeColor="text1"/>
                <w:lang w:eastAsia="es-CR"/>
              </w:rPr>
              <w:t>Inicialmente estos recursos se trasladaron al Departamento de Proveeduría para atender reparaciones de activos; sin embargo, fue hasta el 13 de noviembre 2020, que se comunicó la devolución de los recursos, imposibilitando su ejecución.</w:t>
            </w:r>
          </w:p>
        </w:tc>
      </w:tr>
      <w:tr w:rsidR="0093441E" w:rsidRPr="002A7673" w14:paraId="4930FCE4" w14:textId="77777777" w:rsidTr="0048334E">
        <w:tc>
          <w:tcPr>
            <w:tcW w:w="3114" w:type="dxa"/>
            <w:vAlign w:val="center"/>
          </w:tcPr>
          <w:p w14:paraId="4977FBDB" w14:textId="77777777" w:rsidR="0093441E" w:rsidRPr="002A7673" w:rsidRDefault="0093441E" w:rsidP="0048334E">
            <w:pPr>
              <w:rPr>
                <w:bCs/>
                <w:color w:val="000000" w:themeColor="text1"/>
                <w:lang w:eastAsia="es-CR"/>
              </w:rPr>
            </w:pPr>
            <w:r w:rsidRPr="002A7673">
              <w:rPr>
                <w:bCs/>
                <w:color w:val="000000" w:themeColor="text1"/>
                <w:lang w:eastAsia="es-CR"/>
              </w:rPr>
              <w:t>Subpartida 50104 Equipo y Mobiliario de Oficina</w:t>
            </w:r>
          </w:p>
        </w:tc>
        <w:tc>
          <w:tcPr>
            <w:tcW w:w="5714" w:type="dxa"/>
            <w:vAlign w:val="center"/>
          </w:tcPr>
          <w:p w14:paraId="1B05D109" w14:textId="77777777" w:rsidR="0093441E" w:rsidRPr="002A7673" w:rsidRDefault="0093441E" w:rsidP="0048334E">
            <w:pPr>
              <w:rPr>
                <w:color w:val="000000" w:themeColor="text1"/>
                <w:lang w:eastAsia="es-CR"/>
              </w:rPr>
            </w:pPr>
            <w:r w:rsidRPr="002A7673">
              <w:rPr>
                <w:bCs/>
                <w:color w:val="000000" w:themeColor="text1"/>
                <w:lang w:eastAsia="es-CR"/>
              </w:rPr>
              <w:t xml:space="preserve">Se tenían ¢1.709.090 para la compra de un </w:t>
            </w:r>
            <w:proofErr w:type="gramStart"/>
            <w:r w:rsidRPr="002A7673">
              <w:rPr>
                <w:bCs/>
                <w:color w:val="000000" w:themeColor="text1"/>
                <w:lang w:eastAsia="es-CR"/>
              </w:rPr>
              <w:t>escritorio</w:t>
            </w:r>
            <w:proofErr w:type="gramEnd"/>
            <w:r w:rsidRPr="002A7673">
              <w:rPr>
                <w:bCs/>
                <w:color w:val="000000" w:themeColor="text1"/>
                <w:lang w:eastAsia="es-CR"/>
              </w:rPr>
              <w:t xml:space="preserve"> pero la compra se realizó por un costo menor y eso provocó un sobrante en la subpartida.</w:t>
            </w:r>
          </w:p>
        </w:tc>
      </w:tr>
    </w:tbl>
    <w:p w14:paraId="7762A0A0" w14:textId="77777777" w:rsidR="0093441E" w:rsidRPr="002A7673" w:rsidRDefault="0093441E" w:rsidP="0093441E">
      <w:pPr>
        <w:spacing w:line="360" w:lineRule="auto"/>
        <w:rPr>
          <w:rFonts w:ascii="Times New Roman" w:hAnsi="Times New Roman" w:cs="Times New Roman"/>
          <w:b/>
          <w:color w:val="C00000"/>
          <w:lang w:eastAsia="es-CR"/>
        </w:rPr>
      </w:pPr>
    </w:p>
    <w:p w14:paraId="1DB90640" w14:textId="77777777" w:rsidR="0093441E" w:rsidRPr="002A7673" w:rsidRDefault="0093441E" w:rsidP="0093441E">
      <w:pPr>
        <w:numPr>
          <w:ilvl w:val="0"/>
          <w:numId w:val="29"/>
        </w:numPr>
        <w:spacing w:after="0" w:line="480" w:lineRule="auto"/>
        <w:ind w:firstLine="709"/>
        <w:jc w:val="both"/>
        <w:rPr>
          <w:rFonts w:ascii="Times New Roman" w:eastAsia="Times New Roman" w:hAnsi="Times New Roman" w:cs="Times New Roman"/>
          <w:b/>
          <w:sz w:val="28"/>
          <w:szCs w:val="28"/>
          <w:lang w:eastAsia="es-CR"/>
        </w:rPr>
      </w:pPr>
      <w:r w:rsidRPr="002A7673">
        <w:rPr>
          <w:rFonts w:ascii="Times New Roman" w:eastAsia="Times New Roman" w:hAnsi="Times New Roman" w:cs="Times New Roman"/>
          <w:b/>
          <w:sz w:val="28"/>
          <w:szCs w:val="28"/>
          <w:lang w:eastAsia="es-CR"/>
        </w:rPr>
        <w:t>CONTRALORÍA DE SERVICIOS</w:t>
      </w:r>
    </w:p>
    <w:p w14:paraId="5E317CEC" w14:textId="77777777" w:rsidR="0093441E" w:rsidRPr="002A7673" w:rsidRDefault="0093441E" w:rsidP="0093441E">
      <w:pPr>
        <w:spacing w:after="0" w:line="480" w:lineRule="auto"/>
        <w:ind w:firstLine="709"/>
        <w:jc w:val="both"/>
        <w:rPr>
          <w:rFonts w:ascii="Times New Roman" w:hAnsi="Times New Roman" w:cs="Times New Roman"/>
          <w:sz w:val="28"/>
          <w:szCs w:val="28"/>
          <w:lang w:eastAsia="es-CR"/>
        </w:rPr>
      </w:pPr>
      <w:r w:rsidRPr="002A7673">
        <w:rPr>
          <w:rFonts w:ascii="Times New Roman" w:hAnsi="Times New Roman" w:cs="Times New Roman"/>
          <w:sz w:val="28"/>
          <w:szCs w:val="28"/>
          <w:lang w:eastAsia="es-CR"/>
        </w:rPr>
        <w:t>Según la información que se muestra en la liquidación presupuestaria del 2020, este centro de responsabilidad ejecutó un 34% de los recursos. Las justificaciones de las subpartidas que influyeron en esta baja ejecución se muestran a continuación.</w:t>
      </w:r>
    </w:p>
    <w:tbl>
      <w:tblPr>
        <w:tblStyle w:val="Tablaconcuadrcula"/>
        <w:tblW w:w="0" w:type="auto"/>
        <w:tblLook w:val="04A0" w:firstRow="1" w:lastRow="0" w:firstColumn="1" w:lastColumn="0" w:noHBand="0" w:noVBand="1"/>
      </w:tblPr>
      <w:tblGrid>
        <w:gridCol w:w="3114"/>
        <w:gridCol w:w="5714"/>
      </w:tblGrid>
      <w:tr w:rsidR="0093441E" w:rsidRPr="002A7673" w14:paraId="45757296" w14:textId="77777777" w:rsidTr="0048334E">
        <w:tc>
          <w:tcPr>
            <w:tcW w:w="3114" w:type="dxa"/>
            <w:shd w:val="clear" w:color="auto" w:fill="9CC2E5" w:themeFill="accent1" w:themeFillTint="99"/>
            <w:vAlign w:val="center"/>
          </w:tcPr>
          <w:p w14:paraId="2B924200" w14:textId="77777777" w:rsidR="0093441E" w:rsidRPr="002A7673" w:rsidRDefault="0093441E" w:rsidP="0048334E">
            <w:pPr>
              <w:jc w:val="center"/>
              <w:rPr>
                <w:b/>
                <w:color w:val="000000" w:themeColor="text1"/>
                <w:lang w:eastAsia="es-CR"/>
              </w:rPr>
            </w:pPr>
            <w:r w:rsidRPr="002A7673">
              <w:rPr>
                <w:b/>
                <w:color w:val="000000" w:themeColor="text1"/>
                <w:lang w:eastAsia="es-CR"/>
              </w:rPr>
              <w:t>Subpartida</w:t>
            </w:r>
          </w:p>
        </w:tc>
        <w:tc>
          <w:tcPr>
            <w:tcW w:w="5714" w:type="dxa"/>
            <w:shd w:val="clear" w:color="auto" w:fill="9CC2E5" w:themeFill="accent1" w:themeFillTint="99"/>
            <w:vAlign w:val="center"/>
          </w:tcPr>
          <w:p w14:paraId="24FAD2CB" w14:textId="77777777" w:rsidR="0093441E" w:rsidRPr="002A7673" w:rsidRDefault="0093441E" w:rsidP="0048334E">
            <w:pPr>
              <w:jc w:val="center"/>
              <w:rPr>
                <w:b/>
                <w:color w:val="000000" w:themeColor="text1"/>
                <w:lang w:eastAsia="es-CR"/>
              </w:rPr>
            </w:pPr>
            <w:r w:rsidRPr="002A7673">
              <w:rPr>
                <w:b/>
                <w:color w:val="000000" w:themeColor="text1"/>
                <w:lang w:eastAsia="es-CR"/>
              </w:rPr>
              <w:t>Justificación</w:t>
            </w:r>
          </w:p>
        </w:tc>
      </w:tr>
      <w:tr w:rsidR="0093441E" w:rsidRPr="002A7673" w14:paraId="6DEAFB0F" w14:textId="77777777" w:rsidTr="0048334E">
        <w:trPr>
          <w:trHeight w:val="390"/>
        </w:trPr>
        <w:tc>
          <w:tcPr>
            <w:tcW w:w="3114" w:type="dxa"/>
            <w:vAlign w:val="center"/>
          </w:tcPr>
          <w:p w14:paraId="45B9D137" w14:textId="77777777" w:rsidR="0093441E" w:rsidRPr="002A7673" w:rsidRDefault="0093441E" w:rsidP="0048334E">
            <w:pPr>
              <w:rPr>
                <w:bCs/>
                <w:lang w:eastAsia="es-CR"/>
              </w:rPr>
            </w:pPr>
            <w:r w:rsidRPr="002A7673">
              <w:rPr>
                <w:bCs/>
                <w:lang w:eastAsia="es-CR"/>
              </w:rPr>
              <w:t>Subpartida 20203 Alimentos y Bebidas</w:t>
            </w:r>
          </w:p>
        </w:tc>
        <w:tc>
          <w:tcPr>
            <w:tcW w:w="5714" w:type="dxa"/>
            <w:vAlign w:val="center"/>
          </w:tcPr>
          <w:p w14:paraId="049BF3F7" w14:textId="77777777" w:rsidR="0093441E" w:rsidRPr="002A7673" w:rsidRDefault="0093441E" w:rsidP="0048334E">
            <w:pPr>
              <w:rPr>
                <w:bCs/>
                <w:lang w:eastAsia="es-CR"/>
              </w:rPr>
            </w:pPr>
            <w:r w:rsidRPr="002A7673">
              <w:rPr>
                <w:bCs/>
                <w:lang w:eastAsia="es-CR"/>
              </w:rPr>
              <w:t>Durante el 2020 y debido a la declaratoria de estado de emergencia nacional producto del Covid-19 y para evitar la propagación de contagios, se implementó la realización de actividades virtuales, cancelándose las reuniones presenciales, lo que involucró cancelar reuniones programadas con las Comisiones de Personas Usuarias a nivel nacional y realizarlas mediante plataformas tecnológicas. Ante la incertidumbre de si se iban a mantener las políticas adoptadas con el inicio de la pandemia, o por el contrario si se regresaba a laborar con normalidad, se tornó complejo prever el gasto en la subpartida de alimentos y bebidas, con la cual normalmente se realizaban compras de refrigerios para atender este tipo de reuniones. Posteriormente se intentó ceder recursos mediante las modificaciones externas 000348-SME-2020 y 000366-SME-2020, sin embargo, el Ministerio de Hacienda no aprobó el presupuesto extraordinario 06-2020.</w:t>
            </w:r>
          </w:p>
        </w:tc>
      </w:tr>
      <w:tr w:rsidR="0093441E" w:rsidRPr="002A7673" w14:paraId="0987721F" w14:textId="77777777" w:rsidTr="0048334E">
        <w:tc>
          <w:tcPr>
            <w:tcW w:w="3114" w:type="dxa"/>
            <w:vAlign w:val="center"/>
          </w:tcPr>
          <w:p w14:paraId="6AAE4E5B" w14:textId="77777777" w:rsidR="0093441E" w:rsidRPr="002A7673" w:rsidRDefault="0093441E" w:rsidP="0048334E">
            <w:pPr>
              <w:rPr>
                <w:bCs/>
                <w:lang w:eastAsia="es-CR"/>
              </w:rPr>
            </w:pPr>
            <w:r w:rsidRPr="002A7673">
              <w:rPr>
                <w:bCs/>
                <w:lang w:eastAsia="es-CR"/>
              </w:rPr>
              <w:t>Subpartida 50104 Equipo y Mobiliario de Oficina</w:t>
            </w:r>
          </w:p>
        </w:tc>
        <w:tc>
          <w:tcPr>
            <w:tcW w:w="5714" w:type="dxa"/>
            <w:vAlign w:val="center"/>
          </w:tcPr>
          <w:p w14:paraId="3C00E614" w14:textId="77777777" w:rsidR="0093441E" w:rsidRPr="002A7673" w:rsidRDefault="0093441E" w:rsidP="0048334E">
            <w:pPr>
              <w:rPr>
                <w:bCs/>
                <w:lang w:eastAsia="es-CR"/>
              </w:rPr>
            </w:pPr>
            <w:r w:rsidRPr="002A7673">
              <w:rPr>
                <w:bCs/>
                <w:lang w:eastAsia="es-CR"/>
              </w:rPr>
              <w:t xml:space="preserve">Se intentó ceder los recursos por medio de modificación externa para cubrir el presupuesto extraordinario 06-2020, ya que a raíz de la pandemia ocasionada por el virus del COVID-19, el stand </w:t>
            </w:r>
            <w:r w:rsidRPr="002A7673">
              <w:rPr>
                <w:bCs/>
                <w:lang w:eastAsia="es-CR"/>
              </w:rPr>
              <w:lastRenderedPageBreak/>
              <w:t>portátil, mesa y sillas plegables, entre otros, utilizados en actividades de acercamiento a la comunidad, no se iban a requerir ya que se debía evitar el contacto o aglomeraciones. Sin embargo, a pesar de que se incluyó en las modificaciones externas 000348-SME-2020 y 000366-SME-2020, el Ministerio de Hacienda no aprobó el presupuesto extraordinario 06-2020.</w:t>
            </w:r>
          </w:p>
        </w:tc>
      </w:tr>
      <w:tr w:rsidR="0093441E" w:rsidRPr="002A7673" w14:paraId="727264EE" w14:textId="77777777" w:rsidTr="0048334E">
        <w:tc>
          <w:tcPr>
            <w:tcW w:w="3114" w:type="dxa"/>
            <w:vAlign w:val="center"/>
          </w:tcPr>
          <w:p w14:paraId="2C31D579" w14:textId="77777777" w:rsidR="0093441E" w:rsidRPr="002A7673" w:rsidRDefault="0093441E" w:rsidP="0048334E">
            <w:pPr>
              <w:rPr>
                <w:bCs/>
                <w:lang w:eastAsia="es-CR"/>
              </w:rPr>
            </w:pPr>
            <w:r w:rsidRPr="002A7673">
              <w:rPr>
                <w:bCs/>
                <w:lang w:eastAsia="es-CR"/>
              </w:rPr>
              <w:lastRenderedPageBreak/>
              <w:t>Subpartida 10103 Alquiler de Equipo de Cómputo</w:t>
            </w:r>
          </w:p>
        </w:tc>
        <w:tc>
          <w:tcPr>
            <w:tcW w:w="5714" w:type="dxa"/>
            <w:vAlign w:val="center"/>
          </w:tcPr>
          <w:p w14:paraId="0ED73E01" w14:textId="77777777" w:rsidR="0093441E" w:rsidRPr="002A7673" w:rsidRDefault="0093441E" w:rsidP="0048334E">
            <w:pPr>
              <w:rPr>
                <w:bCs/>
                <w:lang w:eastAsia="es-CR"/>
              </w:rPr>
            </w:pPr>
            <w:r w:rsidRPr="002A7673">
              <w:rPr>
                <w:bCs/>
                <w:lang w:eastAsia="es-CR"/>
              </w:rPr>
              <w:t xml:space="preserve">Por motivo de la Pandemia se realizó la solicitud de prescindir del contrato 79118, correspondiente al alquiler de terminales electrónicas de recolección de información con el proveedor </w:t>
            </w:r>
            <w:proofErr w:type="spellStart"/>
            <w:r w:rsidRPr="002A7673">
              <w:rPr>
                <w:bCs/>
                <w:lang w:eastAsia="es-CR"/>
              </w:rPr>
              <w:t>Happy</w:t>
            </w:r>
            <w:proofErr w:type="spellEnd"/>
            <w:r w:rsidRPr="002A7673">
              <w:rPr>
                <w:bCs/>
                <w:lang w:eastAsia="es-CR"/>
              </w:rPr>
              <w:t xml:space="preserve"> </w:t>
            </w:r>
            <w:proofErr w:type="spellStart"/>
            <w:r w:rsidRPr="002A7673">
              <w:rPr>
                <w:bCs/>
                <w:lang w:eastAsia="es-CR"/>
              </w:rPr>
              <w:t>Customer</w:t>
            </w:r>
            <w:proofErr w:type="spellEnd"/>
            <w:r w:rsidRPr="002A7673">
              <w:rPr>
                <w:bCs/>
                <w:lang w:eastAsia="es-CR"/>
              </w:rPr>
              <w:t xml:space="preserve"> de Centroamérica S.A., siendo que fue en el mes de octubre 2020 cuando se solicitó el caduco del pedido 2019-091335, por lo que los recursos fueron devueltos al disponible de la subpartida, y al no existir un documento presupuestario que lo contenga como un CND, quedó como un presupuesto no ejecutado.</w:t>
            </w:r>
          </w:p>
        </w:tc>
      </w:tr>
    </w:tbl>
    <w:p w14:paraId="299703FC" w14:textId="77777777" w:rsidR="0093441E" w:rsidRPr="002A7673" w:rsidRDefault="0093441E" w:rsidP="0093441E">
      <w:pPr>
        <w:spacing w:line="360" w:lineRule="auto"/>
        <w:rPr>
          <w:rFonts w:ascii="Times New Roman" w:hAnsi="Times New Roman" w:cs="Times New Roman"/>
          <w:b/>
          <w:color w:val="C00000"/>
          <w:lang w:eastAsia="es-CR"/>
        </w:rPr>
      </w:pPr>
    </w:p>
    <w:p w14:paraId="2180A866" w14:textId="77777777" w:rsidR="0093441E" w:rsidRPr="002A7673" w:rsidRDefault="0093441E" w:rsidP="0093441E">
      <w:pPr>
        <w:numPr>
          <w:ilvl w:val="0"/>
          <w:numId w:val="29"/>
        </w:numPr>
        <w:spacing w:after="0" w:line="480" w:lineRule="auto"/>
        <w:ind w:firstLine="709"/>
        <w:jc w:val="both"/>
        <w:rPr>
          <w:rFonts w:ascii="Times New Roman" w:eastAsia="Times New Roman" w:hAnsi="Times New Roman" w:cs="Times New Roman"/>
          <w:b/>
          <w:sz w:val="28"/>
          <w:szCs w:val="28"/>
          <w:lang w:eastAsia="es-CR"/>
        </w:rPr>
      </w:pPr>
      <w:r w:rsidRPr="002A7673">
        <w:rPr>
          <w:rFonts w:ascii="Times New Roman" w:eastAsia="Times New Roman" w:hAnsi="Times New Roman" w:cs="Times New Roman"/>
          <w:b/>
          <w:sz w:val="28"/>
          <w:szCs w:val="28"/>
          <w:lang w:eastAsia="es-CR"/>
        </w:rPr>
        <w:t>INSPECCIÓN JUDICIAL</w:t>
      </w:r>
    </w:p>
    <w:p w14:paraId="5FC92054" w14:textId="77777777" w:rsidR="0093441E" w:rsidRPr="002A7673" w:rsidRDefault="0093441E" w:rsidP="0093441E">
      <w:pPr>
        <w:spacing w:after="0" w:line="480" w:lineRule="auto"/>
        <w:ind w:firstLine="709"/>
        <w:jc w:val="both"/>
        <w:rPr>
          <w:rFonts w:ascii="Times New Roman" w:hAnsi="Times New Roman" w:cs="Times New Roman"/>
          <w:sz w:val="28"/>
          <w:szCs w:val="28"/>
          <w:lang w:eastAsia="es-CR"/>
        </w:rPr>
      </w:pPr>
      <w:r w:rsidRPr="002A7673">
        <w:rPr>
          <w:rFonts w:ascii="Times New Roman" w:hAnsi="Times New Roman" w:cs="Times New Roman"/>
          <w:sz w:val="28"/>
          <w:szCs w:val="28"/>
          <w:lang w:eastAsia="es-CR"/>
        </w:rPr>
        <w:t>Según la información que se muestra en la liquidación presupuestaria del 2020, este centro de responsabilidad ejecutó un 32% de los recursos. Las justificaciones de las subpartidas que influyeron en esta baja ejecución se muestran a continuación.</w:t>
      </w:r>
    </w:p>
    <w:tbl>
      <w:tblPr>
        <w:tblStyle w:val="Tablaconcuadrcula"/>
        <w:tblW w:w="0" w:type="auto"/>
        <w:tblLook w:val="04A0" w:firstRow="1" w:lastRow="0" w:firstColumn="1" w:lastColumn="0" w:noHBand="0" w:noVBand="1"/>
      </w:tblPr>
      <w:tblGrid>
        <w:gridCol w:w="3114"/>
        <w:gridCol w:w="5714"/>
      </w:tblGrid>
      <w:tr w:rsidR="0093441E" w:rsidRPr="002A7673" w14:paraId="2454CD7C" w14:textId="77777777" w:rsidTr="0048334E">
        <w:tc>
          <w:tcPr>
            <w:tcW w:w="3114" w:type="dxa"/>
            <w:shd w:val="clear" w:color="auto" w:fill="9CC2E5" w:themeFill="accent1" w:themeFillTint="99"/>
            <w:vAlign w:val="center"/>
          </w:tcPr>
          <w:p w14:paraId="41EA1719" w14:textId="77777777" w:rsidR="0093441E" w:rsidRPr="002A7673" w:rsidRDefault="0093441E" w:rsidP="0048334E">
            <w:pPr>
              <w:jc w:val="center"/>
              <w:rPr>
                <w:b/>
                <w:color w:val="000000" w:themeColor="text1"/>
                <w:lang w:eastAsia="es-CR"/>
              </w:rPr>
            </w:pPr>
            <w:r w:rsidRPr="002A7673">
              <w:rPr>
                <w:b/>
                <w:color w:val="000000" w:themeColor="text1"/>
                <w:lang w:eastAsia="es-CR"/>
              </w:rPr>
              <w:t>Subpartida</w:t>
            </w:r>
          </w:p>
        </w:tc>
        <w:tc>
          <w:tcPr>
            <w:tcW w:w="5714" w:type="dxa"/>
            <w:shd w:val="clear" w:color="auto" w:fill="9CC2E5" w:themeFill="accent1" w:themeFillTint="99"/>
            <w:vAlign w:val="center"/>
          </w:tcPr>
          <w:p w14:paraId="4C84F917" w14:textId="77777777" w:rsidR="0093441E" w:rsidRPr="002A7673" w:rsidRDefault="0093441E" w:rsidP="0048334E">
            <w:pPr>
              <w:jc w:val="center"/>
              <w:rPr>
                <w:b/>
                <w:color w:val="000000" w:themeColor="text1"/>
                <w:lang w:eastAsia="es-CR"/>
              </w:rPr>
            </w:pPr>
            <w:r w:rsidRPr="002A7673">
              <w:rPr>
                <w:b/>
                <w:color w:val="000000" w:themeColor="text1"/>
                <w:lang w:eastAsia="es-CR"/>
              </w:rPr>
              <w:t>Justificación</w:t>
            </w:r>
          </w:p>
        </w:tc>
      </w:tr>
      <w:tr w:rsidR="0093441E" w:rsidRPr="002A7673" w14:paraId="73DD72D4" w14:textId="77777777" w:rsidTr="0048334E">
        <w:trPr>
          <w:trHeight w:val="390"/>
        </w:trPr>
        <w:tc>
          <w:tcPr>
            <w:tcW w:w="3114" w:type="dxa"/>
            <w:vAlign w:val="center"/>
          </w:tcPr>
          <w:p w14:paraId="645BD7A0" w14:textId="77777777" w:rsidR="0093441E" w:rsidRPr="002A7673" w:rsidRDefault="0093441E" w:rsidP="0048334E">
            <w:pPr>
              <w:rPr>
                <w:color w:val="C00000"/>
                <w:lang w:eastAsia="es-CR"/>
              </w:rPr>
            </w:pPr>
            <w:r w:rsidRPr="002A7673">
              <w:rPr>
                <w:bCs/>
                <w:lang w:eastAsia="es-CR"/>
              </w:rPr>
              <w:t>10502 Viáticos dentro del país</w:t>
            </w:r>
          </w:p>
        </w:tc>
        <w:tc>
          <w:tcPr>
            <w:tcW w:w="5714" w:type="dxa"/>
            <w:vAlign w:val="center"/>
          </w:tcPr>
          <w:p w14:paraId="326BFD34" w14:textId="77777777" w:rsidR="0093441E" w:rsidRPr="002A7673" w:rsidRDefault="0093441E" w:rsidP="0048334E">
            <w:pPr>
              <w:rPr>
                <w:lang w:eastAsia="es-CR"/>
              </w:rPr>
            </w:pPr>
            <w:r w:rsidRPr="002A7673">
              <w:rPr>
                <w:bCs/>
                <w:lang w:eastAsia="es-CR"/>
              </w:rPr>
              <w:t>Debido a la pandemia se suspendieron las giras programadas a nivel nacional.</w:t>
            </w:r>
          </w:p>
        </w:tc>
      </w:tr>
      <w:tr w:rsidR="0093441E" w:rsidRPr="002A7673" w14:paraId="255A7F55" w14:textId="77777777" w:rsidTr="0048334E">
        <w:tc>
          <w:tcPr>
            <w:tcW w:w="3114" w:type="dxa"/>
            <w:vAlign w:val="center"/>
          </w:tcPr>
          <w:p w14:paraId="118B1F09" w14:textId="77777777" w:rsidR="0093441E" w:rsidRPr="002A7673" w:rsidRDefault="0093441E" w:rsidP="0048334E">
            <w:pPr>
              <w:rPr>
                <w:lang w:eastAsia="es-CR"/>
              </w:rPr>
            </w:pPr>
            <w:r w:rsidRPr="002A7673">
              <w:rPr>
                <w:bCs/>
                <w:lang w:eastAsia="es-CR"/>
              </w:rPr>
              <w:t>10801 Mantenimiento de Edificios y Locales</w:t>
            </w:r>
          </w:p>
        </w:tc>
        <w:tc>
          <w:tcPr>
            <w:tcW w:w="5714" w:type="dxa"/>
            <w:vAlign w:val="center"/>
          </w:tcPr>
          <w:p w14:paraId="21326507" w14:textId="77777777" w:rsidR="0093441E" w:rsidRPr="002A7673" w:rsidRDefault="0093441E" w:rsidP="0048334E">
            <w:pPr>
              <w:rPr>
                <w:lang w:eastAsia="es-CR"/>
              </w:rPr>
            </w:pPr>
            <w:r w:rsidRPr="002A7673">
              <w:rPr>
                <w:bCs/>
                <w:lang w:eastAsia="es-CR"/>
              </w:rPr>
              <w:t xml:space="preserve">Se tenía previsto pintar las oficinas del sexto piso, pero debido a la pandemia y por las restricciones sanitarias no se contrató el servicio de Pintura. </w:t>
            </w:r>
          </w:p>
        </w:tc>
      </w:tr>
      <w:tr w:rsidR="0093441E" w:rsidRPr="002A7673" w14:paraId="124C2F6E" w14:textId="77777777" w:rsidTr="0048334E">
        <w:tc>
          <w:tcPr>
            <w:tcW w:w="3114" w:type="dxa"/>
            <w:vAlign w:val="center"/>
          </w:tcPr>
          <w:p w14:paraId="1BD3A5CA" w14:textId="77777777" w:rsidR="0093441E" w:rsidRPr="002A7673" w:rsidRDefault="0093441E" w:rsidP="0048334E">
            <w:pPr>
              <w:rPr>
                <w:lang w:eastAsia="es-CR"/>
              </w:rPr>
            </w:pPr>
            <w:r w:rsidRPr="002A7673">
              <w:rPr>
                <w:bCs/>
                <w:lang w:eastAsia="es-CR"/>
              </w:rPr>
              <w:t>10805 Mantenimiento y reparación de equipo de transporte</w:t>
            </w:r>
          </w:p>
        </w:tc>
        <w:tc>
          <w:tcPr>
            <w:tcW w:w="5714" w:type="dxa"/>
            <w:vAlign w:val="center"/>
          </w:tcPr>
          <w:p w14:paraId="218BFBEB" w14:textId="77777777" w:rsidR="0093441E" w:rsidRPr="002A7673" w:rsidRDefault="0093441E" w:rsidP="0048334E">
            <w:pPr>
              <w:rPr>
                <w:lang w:eastAsia="es-CR"/>
              </w:rPr>
            </w:pPr>
            <w:r w:rsidRPr="002A7673">
              <w:rPr>
                <w:bCs/>
                <w:lang w:eastAsia="es-CR"/>
              </w:rPr>
              <w:t xml:space="preserve">Debido a la pandemia, las giras se suspendieron, por lo que las unidades no se utilizaron, por lo cual no fueron necesarias reparaciones en caso de choques, ni el mantenimiento regular. </w:t>
            </w:r>
          </w:p>
        </w:tc>
      </w:tr>
      <w:tr w:rsidR="0093441E" w:rsidRPr="002A7673" w14:paraId="55907F3C" w14:textId="77777777" w:rsidTr="0048334E">
        <w:tc>
          <w:tcPr>
            <w:tcW w:w="3114" w:type="dxa"/>
            <w:vAlign w:val="center"/>
          </w:tcPr>
          <w:p w14:paraId="0FC44643" w14:textId="77777777" w:rsidR="0093441E" w:rsidRPr="002A7673" w:rsidRDefault="0093441E" w:rsidP="0048334E">
            <w:pPr>
              <w:rPr>
                <w:lang w:eastAsia="es-CR"/>
              </w:rPr>
            </w:pPr>
            <w:r w:rsidRPr="002A7673">
              <w:rPr>
                <w:bCs/>
                <w:lang w:eastAsia="es-CR"/>
              </w:rPr>
              <w:t>10808 Mantenimiento y reparación de equipo de cómputo y sistemas de información</w:t>
            </w:r>
          </w:p>
        </w:tc>
        <w:tc>
          <w:tcPr>
            <w:tcW w:w="5714" w:type="dxa"/>
            <w:vAlign w:val="center"/>
          </w:tcPr>
          <w:p w14:paraId="77C82DC3" w14:textId="77777777" w:rsidR="0093441E" w:rsidRPr="002A7673" w:rsidRDefault="0093441E" w:rsidP="0048334E">
            <w:pPr>
              <w:rPr>
                <w:lang w:eastAsia="es-CR"/>
              </w:rPr>
            </w:pPr>
            <w:r w:rsidRPr="002A7673">
              <w:rPr>
                <w:bCs/>
                <w:lang w:eastAsia="es-CR"/>
              </w:rPr>
              <w:t xml:space="preserve">Debido a que la mayoría del personal se encontraba en teletrabajo no surgieron necesidades de reparaciones. </w:t>
            </w:r>
          </w:p>
        </w:tc>
      </w:tr>
      <w:tr w:rsidR="0093441E" w:rsidRPr="002A7673" w14:paraId="1B570AEC" w14:textId="77777777" w:rsidTr="0048334E">
        <w:tc>
          <w:tcPr>
            <w:tcW w:w="3114" w:type="dxa"/>
            <w:vAlign w:val="center"/>
          </w:tcPr>
          <w:p w14:paraId="236E0221" w14:textId="77777777" w:rsidR="0093441E" w:rsidRPr="002A7673" w:rsidRDefault="0093441E" w:rsidP="0048334E">
            <w:pPr>
              <w:rPr>
                <w:bCs/>
                <w:lang w:eastAsia="es-CR"/>
              </w:rPr>
            </w:pPr>
            <w:r w:rsidRPr="002A7673">
              <w:rPr>
                <w:bCs/>
                <w:lang w:eastAsia="es-CR"/>
              </w:rPr>
              <w:t>20402 Repuestos y accesorios</w:t>
            </w:r>
          </w:p>
        </w:tc>
        <w:tc>
          <w:tcPr>
            <w:tcW w:w="5714" w:type="dxa"/>
            <w:vAlign w:val="center"/>
          </w:tcPr>
          <w:p w14:paraId="4E5483F4" w14:textId="77777777" w:rsidR="0093441E" w:rsidRPr="002A7673" w:rsidRDefault="0093441E" w:rsidP="0048334E">
            <w:pPr>
              <w:rPr>
                <w:bCs/>
                <w:lang w:eastAsia="es-CR"/>
              </w:rPr>
            </w:pPr>
            <w:r w:rsidRPr="002A7673">
              <w:rPr>
                <w:bCs/>
                <w:lang w:eastAsia="es-CR"/>
              </w:rPr>
              <w:t>Debido a la suspensión de las giras, las unidades asignadas a la Inspección no se utilizaron, por lo que no fue necesario ejecutar el dinero.</w:t>
            </w:r>
          </w:p>
        </w:tc>
      </w:tr>
      <w:tr w:rsidR="0093441E" w:rsidRPr="002A7673" w14:paraId="73F8D4A0" w14:textId="77777777" w:rsidTr="0048334E">
        <w:tc>
          <w:tcPr>
            <w:tcW w:w="3114" w:type="dxa"/>
            <w:vAlign w:val="center"/>
          </w:tcPr>
          <w:p w14:paraId="754ACD0F" w14:textId="77777777" w:rsidR="0093441E" w:rsidRPr="002A7673" w:rsidRDefault="0093441E" w:rsidP="0048334E">
            <w:pPr>
              <w:rPr>
                <w:lang w:eastAsia="es-CR"/>
              </w:rPr>
            </w:pPr>
            <w:r w:rsidRPr="002A7673">
              <w:rPr>
                <w:bCs/>
                <w:lang w:eastAsia="es-CR"/>
              </w:rPr>
              <w:t>50199 Maquinaria y equipo diverso</w:t>
            </w:r>
          </w:p>
        </w:tc>
        <w:tc>
          <w:tcPr>
            <w:tcW w:w="5714" w:type="dxa"/>
            <w:vAlign w:val="center"/>
          </w:tcPr>
          <w:p w14:paraId="51A9A3AC" w14:textId="77777777" w:rsidR="0093441E" w:rsidRPr="002A7673" w:rsidRDefault="0093441E" w:rsidP="0048334E">
            <w:pPr>
              <w:rPr>
                <w:lang w:eastAsia="es-CR"/>
              </w:rPr>
            </w:pPr>
            <w:r w:rsidRPr="002A7673">
              <w:rPr>
                <w:bCs/>
                <w:lang w:eastAsia="es-CR"/>
              </w:rPr>
              <w:t>Al no contar con dinero en esta subpartida, la Dirección Ejecutiva les cedió el dinero para la compra de un mueble de cocina en el área común de la Oficina. Sin embargo, el monto adjudicado fue menor al cotizado y el sobrante afecto el porcentaje de ejecución.</w:t>
            </w:r>
          </w:p>
        </w:tc>
      </w:tr>
    </w:tbl>
    <w:p w14:paraId="2C01E17B" w14:textId="77777777" w:rsidR="0093441E" w:rsidRPr="002A7673" w:rsidRDefault="0093441E" w:rsidP="0093441E">
      <w:pPr>
        <w:spacing w:line="360" w:lineRule="auto"/>
        <w:rPr>
          <w:rFonts w:ascii="Times New Roman" w:hAnsi="Times New Roman" w:cs="Times New Roman"/>
          <w:b/>
          <w:color w:val="C00000"/>
          <w:lang w:eastAsia="es-CR"/>
        </w:rPr>
      </w:pPr>
    </w:p>
    <w:p w14:paraId="5F340020" w14:textId="77777777" w:rsidR="0093441E" w:rsidRPr="002A7673" w:rsidRDefault="0093441E" w:rsidP="0093441E">
      <w:pPr>
        <w:numPr>
          <w:ilvl w:val="0"/>
          <w:numId w:val="29"/>
        </w:numPr>
        <w:spacing w:after="0" w:line="480" w:lineRule="auto"/>
        <w:ind w:firstLine="709"/>
        <w:jc w:val="both"/>
        <w:rPr>
          <w:rFonts w:ascii="Times New Roman" w:eastAsia="Times New Roman" w:hAnsi="Times New Roman" w:cs="Times New Roman"/>
          <w:b/>
          <w:color w:val="000000" w:themeColor="text1"/>
          <w:sz w:val="28"/>
          <w:szCs w:val="28"/>
          <w:lang w:eastAsia="es-CR"/>
        </w:rPr>
      </w:pPr>
      <w:r w:rsidRPr="002A7673">
        <w:rPr>
          <w:rFonts w:ascii="Times New Roman" w:eastAsia="Times New Roman" w:hAnsi="Times New Roman" w:cs="Times New Roman"/>
          <w:b/>
          <w:color w:val="000000" w:themeColor="text1"/>
          <w:sz w:val="28"/>
          <w:szCs w:val="28"/>
          <w:lang w:eastAsia="es-CR"/>
        </w:rPr>
        <w:t>CENTRO GESTIÓN DE LA CALIDAD</w:t>
      </w:r>
    </w:p>
    <w:p w14:paraId="68F5C0A9"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lang w:eastAsia="es-CR"/>
        </w:rPr>
      </w:pPr>
      <w:r w:rsidRPr="002A7673">
        <w:rPr>
          <w:rFonts w:ascii="Times New Roman" w:hAnsi="Times New Roman" w:cs="Times New Roman"/>
          <w:color w:val="000000" w:themeColor="text1"/>
          <w:sz w:val="28"/>
          <w:szCs w:val="28"/>
          <w:lang w:eastAsia="es-CR"/>
        </w:rPr>
        <w:lastRenderedPageBreak/>
        <w:t>Según la información que se muestra en la liquidación presupuestaria del 2020, este centro de responsabilidad ejecutó un 30% de los recursos. Las justificaciones de las subpartidas que influyeron en esta baja ejecución se muestran a continuación.</w:t>
      </w:r>
    </w:p>
    <w:tbl>
      <w:tblPr>
        <w:tblStyle w:val="Tablaconcuadrcula"/>
        <w:tblW w:w="0" w:type="auto"/>
        <w:tblLook w:val="04A0" w:firstRow="1" w:lastRow="0" w:firstColumn="1" w:lastColumn="0" w:noHBand="0" w:noVBand="1"/>
      </w:tblPr>
      <w:tblGrid>
        <w:gridCol w:w="3114"/>
        <w:gridCol w:w="5714"/>
      </w:tblGrid>
      <w:tr w:rsidR="0093441E" w:rsidRPr="002A7673" w14:paraId="6E892887" w14:textId="77777777" w:rsidTr="0048334E">
        <w:tc>
          <w:tcPr>
            <w:tcW w:w="3114" w:type="dxa"/>
            <w:shd w:val="clear" w:color="auto" w:fill="9CC2E5" w:themeFill="accent1" w:themeFillTint="99"/>
            <w:vAlign w:val="center"/>
          </w:tcPr>
          <w:p w14:paraId="36ED08F5" w14:textId="77777777" w:rsidR="0093441E" w:rsidRPr="002A7673" w:rsidRDefault="0093441E" w:rsidP="0048334E">
            <w:pPr>
              <w:jc w:val="center"/>
              <w:rPr>
                <w:b/>
                <w:color w:val="000000" w:themeColor="text1"/>
                <w:lang w:eastAsia="es-CR"/>
              </w:rPr>
            </w:pPr>
            <w:r w:rsidRPr="002A7673">
              <w:rPr>
                <w:b/>
                <w:color w:val="000000" w:themeColor="text1"/>
                <w:lang w:eastAsia="es-CR"/>
              </w:rPr>
              <w:t>Subpartida</w:t>
            </w:r>
          </w:p>
        </w:tc>
        <w:tc>
          <w:tcPr>
            <w:tcW w:w="5714" w:type="dxa"/>
            <w:shd w:val="clear" w:color="auto" w:fill="9CC2E5" w:themeFill="accent1" w:themeFillTint="99"/>
            <w:vAlign w:val="center"/>
          </w:tcPr>
          <w:p w14:paraId="3E7D789E" w14:textId="77777777" w:rsidR="0093441E" w:rsidRPr="002A7673" w:rsidRDefault="0093441E" w:rsidP="0048334E">
            <w:pPr>
              <w:jc w:val="center"/>
              <w:rPr>
                <w:b/>
                <w:color w:val="000000" w:themeColor="text1"/>
                <w:lang w:eastAsia="es-CR"/>
              </w:rPr>
            </w:pPr>
            <w:r w:rsidRPr="002A7673">
              <w:rPr>
                <w:b/>
                <w:color w:val="000000" w:themeColor="text1"/>
                <w:lang w:eastAsia="es-CR"/>
              </w:rPr>
              <w:t>Justificación</w:t>
            </w:r>
          </w:p>
        </w:tc>
      </w:tr>
      <w:tr w:rsidR="0093441E" w:rsidRPr="002A7673" w14:paraId="538618AD" w14:textId="77777777" w:rsidTr="0048334E">
        <w:trPr>
          <w:trHeight w:val="390"/>
        </w:trPr>
        <w:tc>
          <w:tcPr>
            <w:tcW w:w="3114" w:type="dxa"/>
            <w:vAlign w:val="center"/>
          </w:tcPr>
          <w:p w14:paraId="1EE4A8CC" w14:textId="77777777" w:rsidR="0093441E" w:rsidRPr="002A7673" w:rsidRDefault="0093441E" w:rsidP="0048334E">
            <w:pPr>
              <w:rPr>
                <w:bCs/>
                <w:color w:val="000000" w:themeColor="text1"/>
                <w:lang w:eastAsia="es-CR"/>
              </w:rPr>
            </w:pPr>
            <w:r w:rsidRPr="002A7673">
              <w:rPr>
                <w:bCs/>
                <w:color w:val="000000" w:themeColor="text1"/>
                <w:lang w:eastAsia="es-CR"/>
              </w:rPr>
              <w:t>10501 Transporte dentro del país</w:t>
            </w:r>
          </w:p>
        </w:tc>
        <w:tc>
          <w:tcPr>
            <w:tcW w:w="5714" w:type="dxa"/>
            <w:vAlign w:val="center"/>
          </w:tcPr>
          <w:p w14:paraId="452C675C" w14:textId="77777777" w:rsidR="0093441E" w:rsidRPr="002A7673" w:rsidRDefault="0093441E" w:rsidP="0048334E">
            <w:pPr>
              <w:rPr>
                <w:bCs/>
                <w:color w:val="000000" w:themeColor="text1"/>
                <w:lang w:eastAsia="es-CR"/>
              </w:rPr>
            </w:pPr>
            <w:r w:rsidRPr="002A7673">
              <w:rPr>
                <w:bCs/>
                <w:color w:val="000000" w:themeColor="text1"/>
                <w:lang w:eastAsia="es-CR"/>
              </w:rPr>
              <w:t>Debido a la modalidad de teletrabajo se eliminaron las visitas a oficinas, de manera tal que en su lugar se aprovecharon los medios tecnológicos.</w:t>
            </w:r>
          </w:p>
        </w:tc>
      </w:tr>
      <w:tr w:rsidR="0093441E" w:rsidRPr="002A7673" w14:paraId="62986717" w14:textId="77777777" w:rsidTr="0048334E">
        <w:tc>
          <w:tcPr>
            <w:tcW w:w="3114" w:type="dxa"/>
            <w:vAlign w:val="center"/>
          </w:tcPr>
          <w:p w14:paraId="5A6D8009" w14:textId="77777777" w:rsidR="0093441E" w:rsidRPr="002A7673" w:rsidRDefault="0093441E" w:rsidP="0048334E">
            <w:pPr>
              <w:rPr>
                <w:bCs/>
                <w:color w:val="000000" w:themeColor="text1"/>
                <w:lang w:eastAsia="es-CR"/>
              </w:rPr>
            </w:pPr>
            <w:r w:rsidRPr="002A7673">
              <w:rPr>
                <w:bCs/>
                <w:color w:val="000000" w:themeColor="text1"/>
                <w:lang w:eastAsia="es-CR"/>
              </w:rPr>
              <w:t>10502 Viáticos dentro del país</w:t>
            </w:r>
          </w:p>
        </w:tc>
        <w:tc>
          <w:tcPr>
            <w:tcW w:w="5714" w:type="dxa"/>
            <w:vAlign w:val="center"/>
          </w:tcPr>
          <w:p w14:paraId="35D5B548" w14:textId="77777777" w:rsidR="0093441E" w:rsidRPr="002A7673" w:rsidRDefault="0093441E" w:rsidP="0048334E">
            <w:pPr>
              <w:rPr>
                <w:bCs/>
                <w:color w:val="000000" w:themeColor="text1"/>
                <w:lang w:eastAsia="es-CR"/>
              </w:rPr>
            </w:pPr>
            <w:r w:rsidRPr="002A7673">
              <w:rPr>
                <w:bCs/>
                <w:color w:val="000000" w:themeColor="text1"/>
                <w:lang w:eastAsia="es-CR"/>
              </w:rPr>
              <w:t>Debido a la modalidad de teletrabajo se eliminaron las visitas a oficinas, de manera tal que en su lugar se aprovecharon los medios tecnológicos.</w:t>
            </w:r>
          </w:p>
        </w:tc>
      </w:tr>
      <w:tr w:rsidR="0093441E" w:rsidRPr="002A7673" w14:paraId="60943242" w14:textId="77777777" w:rsidTr="0048334E">
        <w:tc>
          <w:tcPr>
            <w:tcW w:w="3114" w:type="dxa"/>
            <w:vAlign w:val="center"/>
          </w:tcPr>
          <w:p w14:paraId="0BB7D8B1" w14:textId="77777777" w:rsidR="0093441E" w:rsidRPr="002A7673" w:rsidRDefault="0093441E" w:rsidP="0048334E">
            <w:pPr>
              <w:rPr>
                <w:bCs/>
                <w:color w:val="000000" w:themeColor="text1"/>
                <w:lang w:eastAsia="es-CR"/>
              </w:rPr>
            </w:pPr>
            <w:r w:rsidRPr="002A7673">
              <w:rPr>
                <w:bCs/>
                <w:color w:val="000000" w:themeColor="text1"/>
                <w:lang w:eastAsia="es-CR"/>
              </w:rPr>
              <w:t>10807 Mantenimiento y reparación de equipo y mobiliario de oficina</w:t>
            </w:r>
          </w:p>
        </w:tc>
        <w:tc>
          <w:tcPr>
            <w:tcW w:w="5714" w:type="dxa"/>
            <w:vAlign w:val="center"/>
          </w:tcPr>
          <w:p w14:paraId="2700B107" w14:textId="77777777" w:rsidR="0093441E" w:rsidRPr="002A7673" w:rsidRDefault="0093441E" w:rsidP="0048334E">
            <w:pPr>
              <w:rPr>
                <w:bCs/>
                <w:color w:val="000000" w:themeColor="text1"/>
                <w:lang w:eastAsia="es-CR"/>
              </w:rPr>
            </w:pPr>
            <w:r w:rsidRPr="002A7673">
              <w:rPr>
                <w:bCs/>
                <w:color w:val="000000" w:themeColor="text1"/>
                <w:lang w:eastAsia="es-CR"/>
              </w:rPr>
              <w:t>El haber estado en la modalidad de teletrabajo hace que el dinero no se haya utilizado.</w:t>
            </w:r>
          </w:p>
        </w:tc>
      </w:tr>
      <w:tr w:rsidR="0093441E" w:rsidRPr="002A7673" w14:paraId="41841979" w14:textId="77777777" w:rsidTr="0048334E">
        <w:tc>
          <w:tcPr>
            <w:tcW w:w="3114" w:type="dxa"/>
            <w:vAlign w:val="center"/>
          </w:tcPr>
          <w:p w14:paraId="3058EA37" w14:textId="77777777" w:rsidR="0093441E" w:rsidRPr="002A7673" w:rsidRDefault="0093441E" w:rsidP="0048334E">
            <w:pPr>
              <w:rPr>
                <w:bCs/>
                <w:color w:val="000000" w:themeColor="text1"/>
                <w:lang w:eastAsia="es-CR"/>
              </w:rPr>
            </w:pPr>
            <w:r w:rsidRPr="002A7673">
              <w:rPr>
                <w:bCs/>
                <w:color w:val="000000" w:themeColor="text1"/>
                <w:lang w:eastAsia="es-CR"/>
              </w:rPr>
              <w:t>20104 Tintas, pinturas y diluyentes</w:t>
            </w:r>
          </w:p>
        </w:tc>
        <w:tc>
          <w:tcPr>
            <w:tcW w:w="5714" w:type="dxa"/>
            <w:vAlign w:val="center"/>
          </w:tcPr>
          <w:p w14:paraId="5E1E0A75" w14:textId="77777777" w:rsidR="0093441E" w:rsidRPr="002A7673" w:rsidRDefault="0093441E" w:rsidP="0048334E">
            <w:pPr>
              <w:rPr>
                <w:bCs/>
                <w:color w:val="000000" w:themeColor="text1"/>
                <w:lang w:eastAsia="es-CR"/>
              </w:rPr>
            </w:pPr>
            <w:r w:rsidRPr="002A7673">
              <w:rPr>
                <w:bCs/>
                <w:color w:val="000000" w:themeColor="text1"/>
                <w:lang w:eastAsia="es-CR"/>
              </w:rPr>
              <w:t>El consumo de tintas y tóner se redujo por estar en teletrabajo, no fue necesario comprar ya que se contaba con stock.</w:t>
            </w:r>
          </w:p>
        </w:tc>
      </w:tr>
      <w:tr w:rsidR="0093441E" w:rsidRPr="002A7673" w14:paraId="17BE6A80" w14:textId="77777777" w:rsidTr="0048334E">
        <w:tc>
          <w:tcPr>
            <w:tcW w:w="3114" w:type="dxa"/>
            <w:vAlign w:val="center"/>
          </w:tcPr>
          <w:p w14:paraId="03D2112D" w14:textId="77777777" w:rsidR="0093441E" w:rsidRPr="002A7673" w:rsidRDefault="0093441E" w:rsidP="0048334E">
            <w:pPr>
              <w:rPr>
                <w:bCs/>
                <w:color w:val="000000" w:themeColor="text1"/>
                <w:lang w:eastAsia="es-CR"/>
              </w:rPr>
            </w:pPr>
            <w:r w:rsidRPr="002A7673">
              <w:rPr>
                <w:bCs/>
                <w:color w:val="000000" w:themeColor="text1"/>
                <w:lang w:eastAsia="es-CR"/>
              </w:rPr>
              <w:t>20203 Alimentos y bebidas</w:t>
            </w:r>
          </w:p>
        </w:tc>
        <w:tc>
          <w:tcPr>
            <w:tcW w:w="5714" w:type="dxa"/>
            <w:vAlign w:val="center"/>
          </w:tcPr>
          <w:p w14:paraId="2CE99323" w14:textId="77777777" w:rsidR="0093441E" w:rsidRPr="002A7673" w:rsidRDefault="0093441E" w:rsidP="0048334E">
            <w:pPr>
              <w:rPr>
                <w:bCs/>
                <w:color w:val="000000" w:themeColor="text1"/>
                <w:lang w:eastAsia="es-CR"/>
              </w:rPr>
            </w:pPr>
            <w:r w:rsidRPr="002A7673">
              <w:rPr>
                <w:bCs/>
                <w:color w:val="000000" w:themeColor="text1"/>
                <w:lang w:eastAsia="es-CR"/>
              </w:rPr>
              <w:t>Debido a la pandemia no se realizaron actividades que la oficina tiene programadas anualmente, por lo que no se requirió la compra de alimentos y bebidas.</w:t>
            </w:r>
          </w:p>
        </w:tc>
      </w:tr>
      <w:tr w:rsidR="0093441E" w:rsidRPr="002A7673" w14:paraId="4BD2A065" w14:textId="77777777" w:rsidTr="0048334E">
        <w:tc>
          <w:tcPr>
            <w:tcW w:w="3114" w:type="dxa"/>
            <w:vAlign w:val="center"/>
          </w:tcPr>
          <w:p w14:paraId="7F088098" w14:textId="77777777" w:rsidR="0093441E" w:rsidRPr="002A7673" w:rsidRDefault="0093441E" w:rsidP="0048334E">
            <w:pPr>
              <w:rPr>
                <w:bCs/>
                <w:color w:val="000000" w:themeColor="text1"/>
                <w:lang w:eastAsia="es-CR"/>
              </w:rPr>
            </w:pPr>
            <w:r w:rsidRPr="002A7673">
              <w:rPr>
                <w:bCs/>
                <w:color w:val="000000" w:themeColor="text1"/>
                <w:lang w:eastAsia="es-CR"/>
              </w:rPr>
              <w:t>20304 Materiales y productos eléctricos, telefónicos y de cómputo</w:t>
            </w:r>
          </w:p>
        </w:tc>
        <w:tc>
          <w:tcPr>
            <w:tcW w:w="5714" w:type="dxa"/>
            <w:vAlign w:val="center"/>
          </w:tcPr>
          <w:p w14:paraId="043A4E18" w14:textId="77777777" w:rsidR="0093441E" w:rsidRPr="002A7673" w:rsidRDefault="0093441E" w:rsidP="0048334E">
            <w:pPr>
              <w:rPr>
                <w:bCs/>
                <w:color w:val="000000" w:themeColor="text1"/>
                <w:lang w:eastAsia="es-CR"/>
              </w:rPr>
            </w:pPr>
            <w:r w:rsidRPr="002A7673">
              <w:rPr>
                <w:bCs/>
                <w:color w:val="000000" w:themeColor="text1"/>
                <w:lang w:eastAsia="es-CR"/>
              </w:rPr>
              <w:t>Se tenía prevista la compra de dispositivos de almacenamiento, posteriormente se cambió para la adquisición de mouse ergonómicos, pero se denegó la compra porque no se tenía el estudio de Salud Ocupacional.</w:t>
            </w:r>
          </w:p>
        </w:tc>
      </w:tr>
      <w:tr w:rsidR="0093441E" w:rsidRPr="002A7673" w14:paraId="180FF1B7" w14:textId="77777777" w:rsidTr="0048334E">
        <w:tc>
          <w:tcPr>
            <w:tcW w:w="3114" w:type="dxa"/>
            <w:vAlign w:val="center"/>
          </w:tcPr>
          <w:p w14:paraId="6A602CF0" w14:textId="77777777" w:rsidR="0093441E" w:rsidRPr="002A7673" w:rsidRDefault="0093441E" w:rsidP="0048334E">
            <w:pPr>
              <w:rPr>
                <w:bCs/>
                <w:color w:val="000000" w:themeColor="text1"/>
                <w:lang w:eastAsia="es-CR"/>
              </w:rPr>
            </w:pPr>
            <w:r w:rsidRPr="002A7673">
              <w:rPr>
                <w:bCs/>
                <w:color w:val="000000" w:themeColor="text1"/>
                <w:lang w:eastAsia="es-CR"/>
              </w:rPr>
              <w:t>29901 Útiles y materiales de oficina y cómputo</w:t>
            </w:r>
          </w:p>
        </w:tc>
        <w:tc>
          <w:tcPr>
            <w:tcW w:w="5714" w:type="dxa"/>
            <w:vAlign w:val="center"/>
          </w:tcPr>
          <w:p w14:paraId="06A8E2C2" w14:textId="77777777" w:rsidR="0093441E" w:rsidRPr="002A7673" w:rsidRDefault="0093441E" w:rsidP="0048334E">
            <w:pPr>
              <w:rPr>
                <w:bCs/>
                <w:color w:val="000000" w:themeColor="text1"/>
                <w:lang w:eastAsia="es-CR"/>
              </w:rPr>
            </w:pPr>
            <w:r w:rsidRPr="002A7673">
              <w:rPr>
                <w:bCs/>
                <w:color w:val="000000" w:themeColor="text1"/>
                <w:lang w:eastAsia="es-CR"/>
              </w:rPr>
              <w:t xml:space="preserve">Fueron cedidos en SME-000365-2020 ¢721.000 para cubrir necesidades institucionales de prioridad. </w:t>
            </w:r>
          </w:p>
        </w:tc>
      </w:tr>
      <w:tr w:rsidR="0093441E" w:rsidRPr="002A7673" w14:paraId="49357B6C" w14:textId="77777777" w:rsidTr="0048334E">
        <w:tc>
          <w:tcPr>
            <w:tcW w:w="3114" w:type="dxa"/>
            <w:vAlign w:val="center"/>
          </w:tcPr>
          <w:p w14:paraId="36B8A6AA" w14:textId="77777777" w:rsidR="0093441E" w:rsidRPr="002A7673" w:rsidRDefault="0093441E" w:rsidP="0048334E">
            <w:pPr>
              <w:rPr>
                <w:bCs/>
                <w:color w:val="000000" w:themeColor="text1"/>
                <w:lang w:eastAsia="es-CR"/>
              </w:rPr>
            </w:pPr>
            <w:r w:rsidRPr="002A7673">
              <w:rPr>
                <w:bCs/>
                <w:color w:val="000000" w:themeColor="text1"/>
                <w:lang w:eastAsia="es-CR"/>
              </w:rPr>
              <w:t>29903 Productos de papel, cartón e impresos</w:t>
            </w:r>
          </w:p>
        </w:tc>
        <w:tc>
          <w:tcPr>
            <w:tcW w:w="5714" w:type="dxa"/>
            <w:vAlign w:val="center"/>
          </w:tcPr>
          <w:p w14:paraId="64DE8F8A" w14:textId="77777777" w:rsidR="0093441E" w:rsidRPr="002A7673" w:rsidRDefault="0093441E" w:rsidP="0048334E">
            <w:pPr>
              <w:rPr>
                <w:bCs/>
                <w:color w:val="000000" w:themeColor="text1"/>
                <w:lang w:eastAsia="es-CR"/>
              </w:rPr>
            </w:pPr>
            <w:r w:rsidRPr="002A7673">
              <w:rPr>
                <w:bCs/>
                <w:color w:val="000000" w:themeColor="text1"/>
                <w:lang w:eastAsia="es-CR"/>
              </w:rPr>
              <w:t>No hubo actividades presenciales por la pandemia, entonces no se compraron servilletas. Se cedió en SME-00366-2020 la totalidad para necesidades institucionales de prioridad.</w:t>
            </w:r>
          </w:p>
        </w:tc>
      </w:tr>
      <w:tr w:rsidR="0093441E" w:rsidRPr="002A7673" w14:paraId="27500BAF" w14:textId="77777777" w:rsidTr="0048334E">
        <w:tc>
          <w:tcPr>
            <w:tcW w:w="3114" w:type="dxa"/>
            <w:vAlign w:val="center"/>
          </w:tcPr>
          <w:p w14:paraId="23CCB35B" w14:textId="77777777" w:rsidR="0093441E" w:rsidRPr="002A7673" w:rsidRDefault="0093441E" w:rsidP="0048334E">
            <w:pPr>
              <w:rPr>
                <w:bCs/>
                <w:color w:val="000000" w:themeColor="text1"/>
                <w:lang w:eastAsia="es-CR"/>
              </w:rPr>
            </w:pPr>
            <w:r w:rsidRPr="002A7673">
              <w:rPr>
                <w:bCs/>
                <w:color w:val="000000" w:themeColor="text1"/>
                <w:lang w:eastAsia="es-CR"/>
              </w:rPr>
              <w:t>29907 Útiles y materiales de cocina y comedor</w:t>
            </w:r>
          </w:p>
        </w:tc>
        <w:tc>
          <w:tcPr>
            <w:tcW w:w="5714" w:type="dxa"/>
            <w:vAlign w:val="center"/>
          </w:tcPr>
          <w:p w14:paraId="7F096AB8" w14:textId="77777777" w:rsidR="0093441E" w:rsidRPr="002A7673" w:rsidRDefault="0093441E" w:rsidP="0048334E">
            <w:pPr>
              <w:rPr>
                <w:bCs/>
                <w:color w:val="000000" w:themeColor="text1"/>
                <w:lang w:eastAsia="es-CR"/>
              </w:rPr>
            </w:pPr>
            <w:r w:rsidRPr="002A7673">
              <w:rPr>
                <w:bCs/>
                <w:color w:val="000000" w:themeColor="text1"/>
                <w:lang w:eastAsia="es-CR"/>
              </w:rPr>
              <w:t>No hubo actividades presenciales por la pandemia, entonces no se compraron vasos. Los recursos se rebajaron en la SME-005-2020 por un monto de ¢142.026.00.</w:t>
            </w:r>
          </w:p>
        </w:tc>
      </w:tr>
      <w:tr w:rsidR="0093441E" w:rsidRPr="002A7673" w14:paraId="545CAF45" w14:textId="77777777" w:rsidTr="0048334E">
        <w:tc>
          <w:tcPr>
            <w:tcW w:w="3114" w:type="dxa"/>
            <w:vAlign w:val="center"/>
          </w:tcPr>
          <w:p w14:paraId="44DCEF59" w14:textId="77777777" w:rsidR="0093441E" w:rsidRPr="002A7673" w:rsidRDefault="0093441E" w:rsidP="0048334E">
            <w:pPr>
              <w:rPr>
                <w:bCs/>
                <w:color w:val="000000" w:themeColor="text1"/>
                <w:lang w:eastAsia="es-CR"/>
              </w:rPr>
            </w:pPr>
            <w:r w:rsidRPr="002A7673">
              <w:rPr>
                <w:bCs/>
                <w:color w:val="000000" w:themeColor="text1"/>
                <w:lang w:eastAsia="es-CR"/>
              </w:rPr>
              <w:t>29999 Otros útiles, materiales y suministros diversos</w:t>
            </w:r>
          </w:p>
        </w:tc>
        <w:tc>
          <w:tcPr>
            <w:tcW w:w="5714" w:type="dxa"/>
            <w:vAlign w:val="center"/>
          </w:tcPr>
          <w:p w14:paraId="6AD6FAB4" w14:textId="77777777" w:rsidR="0093441E" w:rsidRPr="002A7673" w:rsidRDefault="0093441E" w:rsidP="0048334E">
            <w:pPr>
              <w:rPr>
                <w:bCs/>
                <w:color w:val="000000" w:themeColor="text1"/>
                <w:lang w:eastAsia="es-CR"/>
              </w:rPr>
            </w:pPr>
            <w:r w:rsidRPr="002A7673">
              <w:rPr>
                <w:bCs/>
                <w:color w:val="000000" w:themeColor="text1"/>
                <w:lang w:eastAsia="es-CR"/>
              </w:rPr>
              <w:t>Se realizó requisición 004634-SR-2020. El Consejo Superior únicamente autorizó el gasto de ¢600.000 en subpartida, por lo que sobró dinero que no fue autorizado ejecutar.</w:t>
            </w:r>
          </w:p>
        </w:tc>
      </w:tr>
      <w:tr w:rsidR="0093441E" w:rsidRPr="002A7673" w14:paraId="78EBF2D0" w14:textId="77777777" w:rsidTr="0048334E">
        <w:tc>
          <w:tcPr>
            <w:tcW w:w="3114" w:type="dxa"/>
            <w:vAlign w:val="center"/>
          </w:tcPr>
          <w:p w14:paraId="02BCC8DB" w14:textId="77777777" w:rsidR="0093441E" w:rsidRPr="002A7673" w:rsidRDefault="0093441E" w:rsidP="0048334E">
            <w:pPr>
              <w:rPr>
                <w:bCs/>
                <w:color w:val="000000" w:themeColor="text1"/>
                <w:lang w:eastAsia="es-CR"/>
              </w:rPr>
            </w:pPr>
            <w:r w:rsidRPr="002A7673">
              <w:rPr>
                <w:bCs/>
                <w:color w:val="000000" w:themeColor="text1"/>
                <w:lang w:eastAsia="es-CR"/>
              </w:rPr>
              <w:t>50103 Equipo de comunicación</w:t>
            </w:r>
          </w:p>
        </w:tc>
        <w:tc>
          <w:tcPr>
            <w:tcW w:w="5714" w:type="dxa"/>
            <w:vAlign w:val="center"/>
          </w:tcPr>
          <w:p w14:paraId="1F72246B" w14:textId="77777777" w:rsidR="0093441E" w:rsidRPr="002A7673" w:rsidRDefault="0093441E" w:rsidP="0048334E">
            <w:pPr>
              <w:rPr>
                <w:bCs/>
                <w:color w:val="000000" w:themeColor="text1"/>
                <w:lang w:eastAsia="es-CR"/>
              </w:rPr>
            </w:pPr>
            <w:r w:rsidRPr="002A7673">
              <w:rPr>
                <w:bCs/>
                <w:color w:val="000000" w:themeColor="text1"/>
                <w:lang w:eastAsia="es-CR"/>
              </w:rPr>
              <w:t>Monto cedido completamente en SME-000348-2020, la compra de lo requerido se realizó por medio de la Subpartida 50199.</w:t>
            </w:r>
          </w:p>
        </w:tc>
      </w:tr>
    </w:tbl>
    <w:p w14:paraId="0ECF1385" w14:textId="77777777" w:rsidR="0093441E" w:rsidRPr="002A7673" w:rsidRDefault="0093441E" w:rsidP="0093441E">
      <w:pPr>
        <w:spacing w:line="360" w:lineRule="auto"/>
        <w:rPr>
          <w:rFonts w:ascii="Times New Roman" w:hAnsi="Times New Roman" w:cs="Times New Roman"/>
          <w:color w:val="000000" w:themeColor="text1"/>
          <w:lang w:eastAsia="es-CR"/>
        </w:rPr>
      </w:pPr>
    </w:p>
    <w:p w14:paraId="392C95D5" w14:textId="77777777" w:rsidR="0093441E" w:rsidRPr="002A7673" w:rsidRDefault="0093441E" w:rsidP="0093441E">
      <w:pPr>
        <w:numPr>
          <w:ilvl w:val="0"/>
          <w:numId w:val="29"/>
        </w:numPr>
        <w:spacing w:after="0" w:line="480" w:lineRule="auto"/>
        <w:ind w:firstLine="709"/>
        <w:jc w:val="both"/>
        <w:rPr>
          <w:rFonts w:ascii="Times New Roman" w:eastAsia="Times New Roman" w:hAnsi="Times New Roman" w:cs="Times New Roman"/>
          <w:b/>
          <w:bCs/>
          <w:color w:val="000000" w:themeColor="text1"/>
          <w:sz w:val="28"/>
          <w:szCs w:val="28"/>
          <w:lang w:eastAsia="es-CR"/>
        </w:rPr>
      </w:pPr>
      <w:r w:rsidRPr="002A7673">
        <w:rPr>
          <w:rFonts w:ascii="Times New Roman" w:eastAsia="Times New Roman" w:hAnsi="Times New Roman" w:cs="Times New Roman"/>
          <w:b/>
          <w:bCs/>
          <w:color w:val="000000" w:themeColor="text1"/>
          <w:sz w:val="28"/>
          <w:szCs w:val="28"/>
          <w:lang w:eastAsia="es-CR"/>
        </w:rPr>
        <w:t>SALA SEGUNDA</w:t>
      </w:r>
    </w:p>
    <w:p w14:paraId="7E7CCEE9" w14:textId="77777777" w:rsidR="0093441E" w:rsidRPr="002A7673" w:rsidRDefault="0093441E" w:rsidP="0093441E">
      <w:pPr>
        <w:spacing w:after="0" w:line="480" w:lineRule="auto"/>
        <w:ind w:firstLine="709"/>
        <w:jc w:val="both"/>
        <w:rPr>
          <w:rFonts w:ascii="Times New Roman" w:hAnsi="Times New Roman" w:cs="Times New Roman"/>
          <w:color w:val="000000" w:themeColor="text1"/>
          <w:sz w:val="28"/>
          <w:szCs w:val="28"/>
          <w:lang w:eastAsia="es-CR"/>
        </w:rPr>
      </w:pPr>
      <w:r w:rsidRPr="002A7673">
        <w:rPr>
          <w:rFonts w:ascii="Times New Roman" w:hAnsi="Times New Roman" w:cs="Times New Roman"/>
          <w:color w:val="000000" w:themeColor="text1"/>
          <w:sz w:val="28"/>
          <w:szCs w:val="28"/>
          <w:lang w:eastAsia="es-CR"/>
        </w:rPr>
        <w:lastRenderedPageBreak/>
        <w:t xml:space="preserve">Según la información que se muestra en la liquidación presupuestaria del 2020, este centro de responsabilidad ejecutó un </w:t>
      </w:r>
      <w:r w:rsidRPr="002A7673">
        <w:rPr>
          <w:rFonts w:ascii="Times New Roman" w:hAnsi="Times New Roman" w:cs="Times New Roman"/>
          <w:bCs/>
          <w:color w:val="000000" w:themeColor="text1"/>
          <w:sz w:val="28"/>
          <w:szCs w:val="28"/>
          <w:lang w:eastAsia="es-CR"/>
        </w:rPr>
        <w:t>21</w:t>
      </w:r>
      <w:r w:rsidRPr="002A7673">
        <w:rPr>
          <w:rFonts w:ascii="Times New Roman" w:hAnsi="Times New Roman" w:cs="Times New Roman"/>
          <w:color w:val="000000" w:themeColor="text1"/>
          <w:sz w:val="28"/>
          <w:szCs w:val="28"/>
          <w:lang w:eastAsia="es-CR"/>
        </w:rPr>
        <w:t>% de los recursos. Las justificaciones de las subpartidas que influyeron en esta baja ejecución se muestran a continuación.</w:t>
      </w:r>
    </w:p>
    <w:tbl>
      <w:tblPr>
        <w:tblStyle w:val="Tablaconcuadrcula"/>
        <w:tblW w:w="0" w:type="auto"/>
        <w:tblLook w:val="04A0" w:firstRow="1" w:lastRow="0" w:firstColumn="1" w:lastColumn="0" w:noHBand="0" w:noVBand="1"/>
      </w:tblPr>
      <w:tblGrid>
        <w:gridCol w:w="3114"/>
        <w:gridCol w:w="5714"/>
      </w:tblGrid>
      <w:tr w:rsidR="0093441E" w:rsidRPr="002A7673" w14:paraId="40EEEB81" w14:textId="77777777" w:rsidTr="0048334E">
        <w:tc>
          <w:tcPr>
            <w:tcW w:w="3114" w:type="dxa"/>
            <w:shd w:val="clear" w:color="auto" w:fill="9CC2E5" w:themeFill="accent1" w:themeFillTint="99"/>
            <w:vAlign w:val="center"/>
          </w:tcPr>
          <w:p w14:paraId="151ACC3D" w14:textId="77777777" w:rsidR="0093441E" w:rsidRPr="002A7673" w:rsidRDefault="0093441E" w:rsidP="0048334E">
            <w:pPr>
              <w:jc w:val="center"/>
              <w:rPr>
                <w:color w:val="000000" w:themeColor="text1"/>
                <w:lang w:eastAsia="es-CR"/>
              </w:rPr>
            </w:pPr>
            <w:r w:rsidRPr="002A7673">
              <w:rPr>
                <w:color w:val="000000" w:themeColor="text1"/>
                <w:lang w:eastAsia="es-CR"/>
              </w:rPr>
              <w:t>Subpartida</w:t>
            </w:r>
          </w:p>
        </w:tc>
        <w:tc>
          <w:tcPr>
            <w:tcW w:w="5714" w:type="dxa"/>
            <w:shd w:val="clear" w:color="auto" w:fill="9CC2E5" w:themeFill="accent1" w:themeFillTint="99"/>
            <w:vAlign w:val="center"/>
          </w:tcPr>
          <w:p w14:paraId="401A02EC" w14:textId="77777777" w:rsidR="0093441E" w:rsidRPr="002A7673" w:rsidRDefault="0093441E" w:rsidP="0048334E">
            <w:pPr>
              <w:jc w:val="center"/>
              <w:rPr>
                <w:color w:val="000000" w:themeColor="text1"/>
                <w:lang w:eastAsia="es-CR"/>
              </w:rPr>
            </w:pPr>
            <w:r w:rsidRPr="002A7673">
              <w:rPr>
                <w:color w:val="000000" w:themeColor="text1"/>
                <w:lang w:eastAsia="es-CR"/>
              </w:rPr>
              <w:t>Justificación</w:t>
            </w:r>
          </w:p>
        </w:tc>
      </w:tr>
      <w:tr w:rsidR="0093441E" w:rsidRPr="002A7673" w14:paraId="3C966B0C" w14:textId="77777777" w:rsidTr="0048334E">
        <w:trPr>
          <w:trHeight w:val="390"/>
        </w:trPr>
        <w:tc>
          <w:tcPr>
            <w:tcW w:w="3114" w:type="dxa"/>
            <w:vAlign w:val="center"/>
          </w:tcPr>
          <w:p w14:paraId="28CD908D" w14:textId="77777777" w:rsidR="0093441E" w:rsidRPr="002A7673" w:rsidRDefault="0093441E" w:rsidP="0048334E">
            <w:pPr>
              <w:rPr>
                <w:bCs/>
                <w:color w:val="000000" w:themeColor="text1"/>
                <w:lang w:eastAsia="es-CR"/>
              </w:rPr>
            </w:pPr>
            <w:r w:rsidRPr="002A7673">
              <w:rPr>
                <w:bCs/>
                <w:color w:val="000000" w:themeColor="text1"/>
                <w:lang w:eastAsia="es-CR"/>
              </w:rPr>
              <w:t>10807 Mantenimiento y Repuestos de Equipo de Transporte</w:t>
            </w:r>
          </w:p>
        </w:tc>
        <w:tc>
          <w:tcPr>
            <w:tcW w:w="5714" w:type="dxa"/>
            <w:vAlign w:val="center"/>
          </w:tcPr>
          <w:p w14:paraId="712F3F25" w14:textId="77777777" w:rsidR="0093441E" w:rsidRPr="002A7673" w:rsidRDefault="0093441E" w:rsidP="0048334E">
            <w:pPr>
              <w:rPr>
                <w:color w:val="000000" w:themeColor="text1"/>
                <w:lang w:eastAsia="es-CR"/>
              </w:rPr>
            </w:pPr>
            <w:r w:rsidRPr="002A7673">
              <w:rPr>
                <w:bCs/>
                <w:color w:val="000000" w:themeColor="text1"/>
                <w:lang w:eastAsia="es-CR"/>
              </w:rPr>
              <w:t xml:space="preserve">Este rubro no se ejecutó debido a </w:t>
            </w:r>
            <w:proofErr w:type="gramStart"/>
            <w:r w:rsidRPr="002A7673">
              <w:rPr>
                <w:bCs/>
                <w:color w:val="000000" w:themeColor="text1"/>
                <w:lang w:eastAsia="es-CR"/>
              </w:rPr>
              <w:t>que  cedieron</w:t>
            </w:r>
            <w:proofErr w:type="gramEnd"/>
            <w:r w:rsidRPr="002A7673">
              <w:rPr>
                <w:bCs/>
                <w:color w:val="000000" w:themeColor="text1"/>
                <w:lang w:eastAsia="es-CR"/>
              </w:rPr>
              <w:t xml:space="preserve"> los recursos al Departamento de Proveeduría; sin embargo, la Proveeduría no los ejecutó y procedió a su devolución.</w:t>
            </w:r>
          </w:p>
        </w:tc>
      </w:tr>
      <w:tr w:rsidR="0093441E" w:rsidRPr="002A7673" w14:paraId="4984AD21" w14:textId="77777777" w:rsidTr="0048334E">
        <w:tc>
          <w:tcPr>
            <w:tcW w:w="3114" w:type="dxa"/>
            <w:vAlign w:val="center"/>
          </w:tcPr>
          <w:p w14:paraId="719587E5" w14:textId="77777777" w:rsidR="0093441E" w:rsidRPr="002A7673" w:rsidRDefault="0093441E" w:rsidP="0048334E">
            <w:pPr>
              <w:rPr>
                <w:bCs/>
                <w:color w:val="000000" w:themeColor="text1"/>
                <w:lang w:eastAsia="es-CR"/>
              </w:rPr>
            </w:pPr>
            <w:r w:rsidRPr="002A7673">
              <w:rPr>
                <w:bCs/>
                <w:color w:val="000000" w:themeColor="text1"/>
                <w:lang w:eastAsia="es-CR"/>
              </w:rPr>
              <w:t>29903 Productos de Papel, Cartón e Impresos</w:t>
            </w:r>
          </w:p>
        </w:tc>
        <w:tc>
          <w:tcPr>
            <w:tcW w:w="5714" w:type="dxa"/>
            <w:vAlign w:val="center"/>
          </w:tcPr>
          <w:p w14:paraId="108B428C" w14:textId="77777777" w:rsidR="0093441E" w:rsidRPr="002A7673" w:rsidRDefault="0093441E" w:rsidP="0048334E">
            <w:pPr>
              <w:rPr>
                <w:color w:val="000000" w:themeColor="text1"/>
                <w:lang w:eastAsia="es-CR"/>
              </w:rPr>
            </w:pPr>
            <w:r w:rsidRPr="002A7673">
              <w:rPr>
                <w:bCs/>
                <w:color w:val="000000" w:themeColor="text1"/>
                <w:lang w:eastAsia="es-CR"/>
              </w:rPr>
              <w:t xml:space="preserve">Estos recursos se solicitaron para la compra de libros, sin embargo, los requeridos no estaban disponibles en el mercado. </w:t>
            </w:r>
          </w:p>
        </w:tc>
      </w:tr>
      <w:tr w:rsidR="0093441E" w:rsidRPr="002A7673" w14:paraId="033DC243" w14:textId="77777777" w:rsidTr="0048334E">
        <w:tc>
          <w:tcPr>
            <w:tcW w:w="3114" w:type="dxa"/>
            <w:vAlign w:val="center"/>
          </w:tcPr>
          <w:p w14:paraId="01F2B4A4" w14:textId="77777777" w:rsidR="0093441E" w:rsidRPr="002A7673" w:rsidRDefault="0093441E" w:rsidP="0048334E">
            <w:pPr>
              <w:rPr>
                <w:bCs/>
                <w:color w:val="000000" w:themeColor="text1"/>
                <w:lang w:eastAsia="es-CR"/>
              </w:rPr>
            </w:pPr>
            <w:r w:rsidRPr="002A7673">
              <w:rPr>
                <w:bCs/>
                <w:color w:val="000000" w:themeColor="text1"/>
                <w:lang w:eastAsia="es-CR"/>
              </w:rPr>
              <w:t>50104 Equipo y Mobiliario de Oficina</w:t>
            </w:r>
          </w:p>
        </w:tc>
        <w:tc>
          <w:tcPr>
            <w:tcW w:w="5714" w:type="dxa"/>
            <w:vAlign w:val="center"/>
          </w:tcPr>
          <w:p w14:paraId="5708AF66" w14:textId="77777777" w:rsidR="0093441E" w:rsidRPr="002A7673" w:rsidRDefault="0093441E" w:rsidP="0048334E">
            <w:pPr>
              <w:rPr>
                <w:color w:val="000000" w:themeColor="text1"/>
                <w:lang w:eastAsia="es-CR"/>
              </w:rPr>
            </w:pPr>
            <w:r w:rsidRPr="002A7673">
              <w:rPr>
                <w:bCs/>
                <w:color w:val="000000" w:themeColor="text1"/>
                <w:lang w:eastAsia="es-CR"/>
              </w:rPr>
              <w:t xml:space="preserve">Estos recursos se solicitaron para la compra de una trituradora de papen Artículo 23857; sin embargo, cuando se </w:t>
            </w:r>
            <w:proofErr w:type="gramStart"/>
            <w:r w:rsidRPr="002A7673">
              <w:rPr>
                <w:bCs/>
                <w:color w:val="000000" w:themeColor="text1"/>
                <w:lang w:eastAsia="es-CR"/>
              </w:rPr>
              <w:t>adquirió  el</w:t>
            </w:r>
            <w:proofErr w:type="gramEnd"/>
            <w:r w:rsidRPr="002A7673">
              <w:rPr>
                <w:bCs/>
                <w:color w:val="000000" w:themeColor="text1"/>
                <w:lang w:eastAsia="es-CR"/>
              </w:rPr>
              <w:t xml:space="preserve"> costo fue de 75,500, ocasionando un sobrante de 221.220, el cual no fue posible ejecutarlo.  </w:t>
            </w:r>
          </w:p>
        </w:tc>
      </w:tr>
    </w:tbl>
    <w:p w14:paraId="73524586" w14:textId="77777777" w:rsidR="0093441E" w:rsidRPr="002A7673" w:rsidRDefault="0093441E" w:rsidP="0093441E">
      <w:pPr>
        <w:spacing w:line="480" w:lineRule="auto"/>
        <w:rPr>
          <w:rFonts w:ascii="Times New Roman" w:hAnsi="Times New Roman" w:cs="Times New Roman"/>
          <w:b/>
          <w:color w:val="C00000"/>
          <w:lang w:eastAsia="es-CR"/>
        </w:rPr>
      </w:pPr>
    </w:p>
    <w:p w14:paraId="364226EF" w14:textId="77777777" w:rsidR="0093441E" w:rsidRPr="002A7673" w:rsidRDefault="0093441E" w:rsidP="008C03A0">
      <w:pPr>
        <w:numPr>
          <w:ilvl w:val="0"/>
          <w:numId w:val="29"/>
        </w:numPr>
        <w:spacing w:after="0" w:line="480" w:lineRule="auto"/>
        <w:ind w:left="0" w:firstLine="709"/>
        <w:jc w:val="both"/>
        <w:rPr>
          <w:rFonts w:ascii="Times New Roman" w:eastAsia="Times New Roman" w:hAnsi="Times New Roman" w:cs="Times New Roman"/>
          <w:b/>
          <w:sz w:val="26"/>
          <w:szCs w:val="26"/>
          <w:lang w:eastAsia="es-CR"/>
        </w:rPr>
      </w:pPr>
      <w:r w:rsidRPr="002A7673">
        <w:rPr>
          <w:rFonts w:ascii="Times New Roman" w:eastAsia="Times New Roman" w:hAnsi="Times New Roman" w:cs="Times New Roman"/>
          <w:b/>
          <w:sz w:val="26"/>
          <w:szCs w:val="26"/>
          <w:lang w:eastAsia="es-CR"/>
        </w:rPr>
        <w:t>CENTRO ELECTRÓNICO DE INFORMACIÓN JURISPRUDENCIAL</w:t>
      </w:r>
    </w:p>
    <w:p w14:paraId="22DC75F8" w14:textId="77777777" w:rsidR="0093441E" w:rsidRPr="002A7673" w:rsidRDefault="0093441E" w:rsidP="0093441E">
      <w:pPr>
        <w:spacing w:after="0" w:line="480" w:lineRule="auto"/>
        <w:ind w:firstLine="709"/>
        <w:jc w:val="both"/>
        <w:rPr>
          <w:rFonts w:ascii="Times New Roman" w:hAnsi="Times New Roman" w:cs="Times New Roman"/>
          <w:sz w:val="28"/>
          <w:szCs w:val="28"/>
          <w:lang w:eastAsia="es-CR"/>
        </w:rPr>
      </w:pPr>
      <w:r w:rsidRPr="002A7673">
        <w:rPr>
          <w:rFonts w:ascii="Times New Roman" w:hAnsi="Times New Roman" w:cs="Times New Roman"/>
          <w:sz w:val="28"/>
          <w:szCs w:val="28"/>
          <w:lang w:eastAsia="es-CR"/>
        </w:rPr>
        <w:t>Según la información que se muestra en la liquidación presupuestaria del 2020, este centro de responsabilidad no ejecutó los recursos asignados. Las justificaciones de las subpartidas que influyeron en esta baja ejecución se muestran a continuación.</w:t>
      </w:r>
    </w:p>
    <w:tbl>
      <w:tblPr>
        <w:tblStyle w:val="Tablaconcuadrcula"/>
        <w:tblW w:w="0" w:type="auto"/>
        <w:tblLook w:val="04A0" w:firstRow="1" w:lastRow="0" w:firstColumn="1" w:lastColumn="0" w:noHBand="0" w:noVBand="1"/>
      </w:tblPr>
      <w:tblGrid>
        <w:gridCol w:w="3114"/>
        <w:gridCol w:w="5714"/>
      </w:tblGrid>
      <w:tr w:rsidR="0093441E" w:rsidRPr="002A7673" w14:paraId="38231FB2" w14:textId="77777777" w:rsidTr="0048334E">
        <w:tc>
          <w:tcPr>
            <w:tcW w:w="3114" w:type="dxa"/>
            <w:shd w:val="clear" w:color="auto" w:fill="9CC2E5" w:themeFill="accent1" w:themeFillTint="99"/>
            <w:vAlign w:val="center"/>
          </w:tcPr>
          <w:p w14:paraId="7EA66815" w14:textId="77777777" w:rsidR="0093441E" w:rsidRPr="002A7673" w:rsidRDefault="0093441E" w:rsidP="0048334E">
            <w:pPr>
              <w:jc w:val="center"/>
              <w:rPr>
                <w:b/>
                <w:color w:val="000000" w:themeColor="text1"/>
                <w:lang w:eastAsia="es-CR"/>
              </w:rPr>
            </w:pPr>
            <w:r w:rsidRPr="002A7673">
              <w:rPr>
                <w:b/>
                <w:color w:val="000000" w:themeColor="text1"/>
                <w:lang w:eastAsia="es-CR"/>
              </w:rPr>
              <w:t>Subpartida</w:t>
            </w:r>
          </w:p>
        </w:tc>
        <w:tc>
          <w:tcPr>
            <w:tcW w:w="5714" w:type="dxa"/>
            <w:shd w:val="clear" w:color="auto" w:fill="9CC2E5" w:themeFill="accent1" w:themeFillTint="99"/>
            <w:vAlign w:val="center"/>
          </w:tcPr>
          <w:p w14:paraId="50F3E849" w14:textId="77777777" w:rsidR="0093441E" w:rsidRPr="002A7673" w:rsidRDefault="0093441E" w:rsidP="0048334E">
            <w:pPr>
              <w:jc w:val="center"/>
              <w:rPr>
                <w:b/>
                <w:color w:val="000000" w:themeColor="text1"/>
                <w:lang w:eastAsia="es-CR"/>
              </w:rPr>
            </w:pPr>
            <w:r w:rsidRPr="002A7673">
              <w:rPr>
                <w:b/>
                <w:color w:val="000000" w:themeColor="text1"/>
                <w:lang w:eastAsia="es-CR"/>
              </w:rPr>
              <w:t>Justificación</w:t>
            </w:r>
          </w:p>
        </w:tc>
      </w:tr>
      <w:tr w:rsidR="0093441E" w:rsidRPr="002A7673" w14:paraId="12183B7E" w14:textId="77777777" w:rsidTr="0048334E">
        <w:tc>
          <w:tcPr>
            <w:tcW w:w="3114" w:type="dxa"/>
            <w:vAlign w:val="center"/>
          </w:tcPr>
          <w:p w14:paraId="3683CE13" w14:textId="77777777" w:rsidR="0093441E" w:rsidRPr="002A7673" w:rsidRDefault="0093441E" w:rsidP="0048334E">
            <w:pPr>
              <w:rPr>
                <w:lang w:eastAsia="es-CR"/>
              </w:rPr>
            </w:pPr>
            <w:r w:rsidRPr="002A7673">
              <w:rPr>
                <w:bCs/>
                <w:lang w:eastAsia="es-CR"/>
              </w:rPr>
              <w:t>10406 Servicios Generales</w:t>
            </w:r>
          </w:p>
        </w:tc>
        <w:tc>
          <w:tcPr>
            <w:tcW w:w="5714" w:type="dxa"/>
            <w:vAlign w:val="center"/>
          </w:tcPr>
          <w:p w14:paraId="798583A5" w14:textId="77777777" w:rsidR="0093441E" w:rsidRPr="002A7673" w:rsidRDefault="0093441E" w:rsidP="0048334E">
            <w:pPr>
              <w:rPr>
                <w:b/>
                <w:color w:val="C00000"/>
                <w:lang w:eastAsia="es-CR"/>
              </w:rPr>
            </w:pPr>
            <w:r w:rsidRPr="002A7673">
              <w:rPr>
                <w:bCs/>
                <w:color w:val="000000" w:themeColor="text1"/>
                <w:lang w:eastAsia="es-CR"/>
              </w:rPr>
              <w:t>Los recursos de esta subpartida fueron cedidos en acatamiento a las necesidades Institucionales de reducir el presupuesto con motivo de la pandemia nacional.</w:t>
            </w:r>
            <w:r w:rsidRPr="002A7673">
              <w:t> </w:t>
            </w:r>
          </w:p>
        </w:tc>
      </w:tr>
      <w:tr w:rsidR="0093441E" w:rsidRPr="002A7673" w14:paraId="70F10281" w14:textId="77777777" w:rsidTr="0048334E">
        <w:tc>
          <w:tcPr>
            <w:tcW w:w="3114" w:type="dxa"/>
            <w:vAlign w:val="center"/>
          </w:tcPr>
          <w:p w14:paraId="46AF0FA3" w14:textId="77777777" w:rsidR="0093441E" w:rsidRPr="002A7673" w:rsidRDefault="0093441E" w:rsidP="0048334E">
            <w:pPr>
              <w:rPr>
                <w:lang w:eastAsia="es-CR"/>
              </w:rPr>
            </w:pPr>
            <w:r w:rsidRPr="002A7673">
              <w:rPr>
                <w:bCs/>
                <w:lang w:eastAsia="es-CR"/>
              </w:rPr>
              <w:t>29901 Útiles y materiales de oficina y cómputo</w:t>
            </w:r>
          </w:p>
        </w:tc>
        <w:tc>
          <w:tcPr>
            <w:tcW w:w="5714" w:type="dxa"/>
            <w:vAlign w:val="center"/>
          </w:tcPr>
          <w:p w14:paraId="44F7C944" w14:textId="77777777" w:rsidR="0093441E" w:rsidRPr="002A7673" w:rsidRDefault="0093441E" w:rsidP="0048334E">
            <w:pPr>
              <w:rPr>
                <w:b/>
                <w:color w:val="C00000"/>
                <w:lang w:eastAsia="es-CR"/>
              </w:rPr>
            </w:pPr>
            <w:r w:rsidRPr="002A7673">
              <w:t>Los recursos de esta subpartida fueron cedidos ante la urgencia de la Secretaría de la Corte quienes requerían la confección de una firma digital, por un monto de ¢90.195.</w:t>
            </w:r>
          </w:p>
        </w:tc>
      </w:tr>
      <w:tr w:rsidR="0093441E" w:rsidRPr="002A7673" w14:paraId="74B99E08" w14:textId="77777777" w:rsidTr="0048334E">
        <w:tc>
          <w:tcPr>
            <w:tcW w:w="3114" w:type="dxa"/>
            <w:vAlign w:val="center"/>
          </w:tcPr>
          <w:p w14:paraId="68F9EFAB" w14:textId="77777777" w:rsidR="0093441E" w:rsidRPr="002A7673" w:rsidRDefault="0093441E" w:rsidP="0048334E">
            <w:pPr>
              <w:rPr>
                <w:lang w:eastAsia="es-CR"/>
              </w:rPr>
            </w:pPr>
            <w:r w:rsidRPr="002A7673">
              <w:rPr>
                <w:bCs/>
                <w:lang w:eastAsia="es-CR"/>
              </w:rPr>
              <w:t>50104 Equipo y mobiliario de oficina</w:t>
            </w:r>
          </w:p>
        </w:tc>
        <w:tc>
          <w:tcPr>
            <w:tcW w:w="5714" w:type="dxa"/>
            <w:vAlign w:val="center"/>
          </w:tcPr>
          <w:p w14:paraId="576C6709" w14:textId="77777777" w:rsidR="0093441E" w:rsidRPr="002A7673" w:rsidRDefault="0093441E" w:rsidP="0048334E">
            <w:pPr>
              <w:rPr>
                <w:b/>
                <w:color w:val="C00000"/>
                <w:lang w:eastAsia="es-CR"/>
              </w:rPr>
            </w:pPr>
            <w:r w:rsidRPr="002A7673">
              <w:t>Monto cedido en acatamiento a las necesidades Institucionales de reducir el presupuesto con motivo de la pandemia nacional. El monto era necesario para la compra de un stand móvil para ser utilizado en las ferias y presentaciones, no obstante, dichas actividades por las circunstancias debieron ser suspendidas, por lo que no se era necesaria la adquisición.</w:t>
            </w:r>
          </w:p>
        </w:tc>
      </w:tr>
    </w:tbl>
    <w:p w14:paraId="0FF089FA"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19E9F30C" w14:textId="77777777" w:rsidR="0093441E" w:rsidRPr="002A7673" w:rsidRDefault="0093441E" w:rsidP="0093441E">
      <w:pPr>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lastRenderedPageBreak/>
        <w:t>8. Informe sobre el Avance en el Cumplimiento del Plan Anual Operativo (PAO) 2020</w:t>
      </w:r>
    </w:p>
    <w:p w14:paraId="3F1DC1D1"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la siguiente tabla se muestra la información del porcentaje de cumplimiento del Plan Anual Operativo (PAO) 2019-2020, de los centros de responsabilidad de los programas 926 Dirección, Administración y Otros Órganos de Apoyo y 927 Servicio Jurisdiccional. También, se detalla si con respecto al año anterior, se presenta un aumento o una disminución en el cumplimiento de los planes.</w:t>
      </w:r>
    </w:p>
    <w:tbl>
      <w:tblPr>
        <w:tblW w:w="9774" w:type="dxa"/>
        <w:jc w:val="center"/>
        <w:tblCellMar>
          <w:left w:w="0" w:type="dxa"/>
          <w:right w:w="0" w:type="dxa"/>
        </w:tblCellMar>
        <w:tblLook w:val="04A0" w:firstRow="1" w:lastRow="0" w:firstColumn="1" w:lastColumn="0" w:noHBand="0" w:noVBand="1"/>
      </w:tblPr>
      <w:tblGrid>
        <w:gridCol w:w="5380"/>
        <w:gridCol w:w="1406"/>
        <w:gridCol w:w="1287"/>
        <w:gridCol w:w="1701"/>
      </w:tblGrid>
      <w:tr w:rsidR="0093441E" w:rsidRPr="002A7673" w14:paraId="0F2F822D" w14:textId="77777777" w:rsidTr="0048334E">
        <w:trPr>
          <w:trHeight w:val="670"/>
          <w:jc w:val="center"/>
        </w:trPr>
        <w:tc>
          <w:tcPr>
            <w:tcW w:w="5380" w:type="dxa"/>
            <w:tcBorders>
              <w:top w:val="single" w:sz="8" w:space="0" w:color="auto"/>
              <w:left w:val="single" w:sz="8" w:space="0" w:color="auto"/>
              <w:bottom w:val="single" w:sz="8" w:space="0" w:color="auto"/>
              <w:right w:val="single" w:sz="8" w:space="0" w:color="auto"/>
            </w:tcBorders>
            <w:shd w:val="clear" w:color="auto" w:fill="9CC2E5" w:themeFill="accent1" w:themeFillTint="99"/>
            <w:tcMar>
              <w:top w:w="0" w:type="dxa"/>
              <w:left w:w="70" w:type="dxa"/>
              <w:bottom w:w="0" w:type="dxa"/>
              <w:right w:w="70" w:type="dxa"/>
            </w:tcMar>
            <w:vAlign w:val="center"/>
            <w:hideMark/>
          </w:tcPr>
          <w:p w14:paraId="73A13A13"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Centro de Responsabilidad</w:t>
            </w:r>
          </w:p>
        </w:tc>
        <w:tc>
          <w:tcPr>
            <w:tcW w:w="1406" w:type="dxa"/>
            <w:tcBorders>
              <w:top w:val="single" w:sz="8" w:space="0" w:color="auto"/>
              <w:left w:val="nil"/>
              <w:bottom w:val="single" w:sz="8" w:space="0" w:color="auto"/>
              <w:right w:val="single" w:sz="8" w:space="0" w:color="auto"/>
            </w:tcBorders>
            <w:shd w:val="clear" w:color="auto" w:fill="9CC2E5" w:themeFill="accent1" w:themeFillTint="99"/>
            <w:tcMar>
              <w:top w:w="0" w:type="dxa"/>
              <w:left w:w="70" w:type="dxa"/>
              <w:bottom w:w="0" w:type="dxa"/>
              <w:right w:w="70" w:type="dxa"/>
            </w:tcMar>
            <w:vAlign w:val="center"/>
            <w:hideMark/>
          </w:tcPr>
          <w:p w14:paraId="0B3DF23A"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Porcentaje 2019</w:t>
            </w:r>
          </w:p>
        </w:tc>
        <w:tc>
          <w:tcPr>
            <w:tcW w:w="1287" w:type="dxa"/>
            <w:tcBorders>
              <w:top w:val="single" w:sz="8" w:space="0" w:color="auto"/>
              <w:left w:val="nil"/>
              <w:bottom w:val="single" w:sz="8" w:space="0" w:color="auto"/>
              <w:right w:val="single" w:sz="8" w:space="0" w:color="auto"/>
            </w:tcBorders>
            <w:shd w:val="clear" w:color="auto" w:fill="9CC2E5" w:themeFill="accent1" w:themeFillTint="99"/>
            <w:tcMar>
              <w:top w:w="0" w:type="dxa"/>
              <w:left w:w="70" w:type="dxa"/>
              <w:bottom w:w="0" w:type="dxa"/>
              <w:right w:w="70" w:type="dxa"/>
            </w:tcMar>
            <w:vAlign w:val="center"/>
            <w:hideMark/>
          </w:tcPr>
          <w:p w14:paraId="62825058"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Porcentaje 2020</w:t>
            </w:r>
          </w:p>
        </w:tc>
        <w:tc>
          <w:tcPr>
            <w:tcW w:w="1701" w:type="dxa"/>
            <w:tcBorders>
              <w:top w:val="single" w:sz="8" w:space="0" w:color="auto"/>
              <w:left w:val="nil"/>
              <w:bottom w:val="single" w:sz="8" w:space="0" w:color="auto"/>
              <w:right w:val="single" w:sz="8" w:space="0" w:color="auto"/>
            </w:tcBorders>
            <w:shd w:val="clear" w:color="auto" w:fill="9CC2E5" w:themeFill="accent1" w:themeFillTint="99"/>
            <w:tcMar>
              <w:top w:w="0" w:type="dxa"/>
              <w:left w:w="70" w:type="dxa"/>
              <w:bottom w:w="0" w:type="dxa"/>
              <w:right w:w="70" w:type="dxa"/>
            </w:tcMar>
            <w:vAlign w:val="center"/>
            <w:hideMark/>
          </w:tcPr>
          <w:p w14:paraId="3C511F6E" w14:textId="77777777" w:rsidR="0093441E" w:rsidRPr="002A7673" w:rsidRDefault="0093441E" w:rsidP="0048334E">
            <w:pPr>
              <w:spacing w:after="0" w:line="240" w:lineRule="auto"/>
              <w:jc w:val="center"/>
              <w:rPr>
                <w:rFonts w:ascii="Times New Roman" w:hAnsi="Times New Roman" w:cs="Times New Roman"/>
                <w:b/>
                <w:bCs/>
                <w:color w:val="000000"/>
                <w:lang w:eastAsia="es-CR"/>
              </w:rPr>
            </w:pPr>
            <w:r w:rsidRPr="002A7673">
              <w:rPr>
                <w:rFonts w:ascii="Times New Roman" w:hAnsi="Times New Roman" w:cs="Times New Roman"/>
                <w:b/>
                <w:bCs/>
                <w:color w:val="000000"/>
                <w:lang w:eastAsia="es-CR"/>
              </w:rPr>
              <w:t xml:space="preserve">Comparativo </w:t>
            </w:r>
            <w:r w:rsidRPr="002A7673">
              <w:rPr>
                <w:rFonts w:ascii="Times New Roman" w:hAnsi="Times New Roman" w:cs="Times New Roman"/>
                <w:b/>
                <w:bCs/>
                <w:lang w:eastAsia="es-CR"/>
              </w:rPr>
              <w:t>A</w:t>
            </w:r>
            <w:r w:rsidRPr="002A7673">
              <w:rPr>
                <w:rFonts w:ascii="Times New Roman" w:hAnsi="Times New Roman" w:cs="Times New Roman"/>
                <w:b/>
                <w:bCs/>
                <w:color w:val="000000"/>
                <w:lang w:eastAsia="es-CR"/>
              </w:rPr>
              <w:t>nual</w:t>
            </w:r>
          </w:p>
        </w:tc>
      </w:tr>
      <w:tr w:rsidR="0093441E" w:rsidRPr="002A7673" w14:paraId="6056091E"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CA1A93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Contraloría de Servicios</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0E4F3D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A6BC25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130C77A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13BED0F9"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FA8B57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Intervención de Comunicaciones (CJIC)</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647645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BE10E9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63FA489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1229A48A"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A63A25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Despacho de la Presidencia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B56F0A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5B918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40EAFE4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160693D0"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29A053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Presidencia de la Corte</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9C6187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FA4999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78A611D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650ADC1A"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561430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Secretaría de la Corte</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F55C47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85F611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6E1CE1A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6CFA0FA3"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CAAB01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Consejo Superior</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B31D8E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25B675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379868D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7E306B0E"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036C7C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Oficina de Control Interno</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9A853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F6699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623DF6C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548EC44F"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287FE9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Jurídica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63E75C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538BFA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5D1D9FF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7F187E8A"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40DF50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Inspección Judicial</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67DB75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FEFDF2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70516EE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36D7BC39"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9BB604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Secretaría Técnica de Ética y Valores</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4687BA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5C679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3EFE24D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102E090F"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D5C9D1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Secretaría Técnica Género y Acceso Justicia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5025E2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6E2FB3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3CCC999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7CFBFD6D" w14:textId="77777777" w:rsidTr="0048334E">
        <w:trPr>
          <w:trHeight w:val="286"/>
          <w:jc w:val="center"/>
        </w:trPr>
        <w:tc>
          <w:tcPr>
            <w:tcW w:w="5380" w:type="dxa"/>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11E42F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de Planificación</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0FADDC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31A3CE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209E890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 mantiene</w:t>
            </w:r>
          </w:p>
        </w:tc>
      </w:tr>
      <w:tr w:rsidR="0093441E" w:rsidRPr="002A7673" w14:paraId="631C0B90"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A3649A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Auditoría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FB4DD6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99,74</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89E2EF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077D0B0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00F287B6"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5F48A3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de Tecnología de Información</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6790A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99,67</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D25891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7408640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6A551B94"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34D0DE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Apoyo, Coordinación y Mejoramiento</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1A7CD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99,23</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934B63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463E97D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32F5A429"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E0FE73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San Joaquín de Flores</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326ED4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97,69</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7694F4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0E1411A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4BD037A4"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4A77BB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Electrónico Información Jurisprudencial</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428FA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92,22</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C8E920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7485CB2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7CF99391"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DF374B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de Gestión de la Calidad</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FD10D5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90,38</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1F95DF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76963EF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268CFE8A" w14:textId="77777777" w:rsidTr="0048334E">
        <w:trPr>
          <w:trHeight w:val="286"/>
          <w:jc w:val="center"/>
        </w:trPr>
        <w:tc>
          <w:tcPr>
            <w:tcW w:w="5380" w:type="dxa"/>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9F10C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Oficina de Cumplimiento </w:t>
            </w:r>
            <w:r w:rsidRPr="002A7673">
              <w:rPr>
                <w:rFonts w:ascii="Times New Roman" w:hAnsi="Times New Roman" w:cs="Times New Roman"/>
                <w:color w:val="000000"/>
                <w:vertAlign w:val="superscript"/>
                <w:lang w:eastAsia="es-CR"/>
              </w:rPr>
              <w:t>(1)</w:t>
            </w:r>
          </w:p>
        </w:tc>
        <w:tc>
          <w:tcPr>
            <w:tcW w:w="1406"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A5423F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w:t>
            </w:r>
          </w:p>
        </w:tc>
        <w:tc>
          <w:tcPr>
            <w:tcW w:w="1287"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8F4D45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6382A8A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w:t>
            </w:r>
          </w:p>
        </w:tc>
      </w:tr>
      <w:tr w:rsidR="0093441E" w:rsidRPr="002A7673" w14:paraId="385B83DA" w14:textId="77777777" w:rsidTr="0048334E">
        <w:trPr>
          <w:trHeight w:val="286"/>
          <w:jc w:val="center"/>
        </w:trPr>
        <w:tc>
          <w:tcPr>
            <w:tcW w:w="5380" w:type="dxa"/>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A0DAEE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Gestión Humana</w:t>
            </w:r>
          </w:p>
        </w:tc>
        <w:tc>
          <w:tcPr>
            <w:tcW w:w="1406"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49FAB0C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94,13</w:t>
            </w:r>
          </w:p>
        </w:tc>
        <w:tc>
          <w:tcPr>
            <w:tcW w:w="1287"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15D71C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99,67</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68E1C55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6D4A45F6" w14:textId="77777777" w:rsidTr="0048334E">
        <w:trPr>
          <w:trHeight w:val="286"/>
          <w:jc w:val="center"/>
        </w:trPr>
        <w:tc>
          <w:tcPr>
            <w:tcW w:w="5380" w:type="dxa"/>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DE0A5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Oficina Rectora de Justicia Restaurativa </w:t>
            </w:r>
            <w:r w:rsidRPr="002A7673">
              <w:rPr>
                <w:rFonts w:ascii="Times New Roman" w:hAnsi="Times New Roman" w:cs="Times New Roman"/>
                <w:color w:val="000000"/>
                <w:vertAlign w:val="superscript"/>
                <w:lang w:eastAsia="es-CR"/>
              </w:rPr>
              <w:t>(1)</w:t>
            </w:r>
          </w:p>
        </w:tc>
        <w:tc>
          <w:tcPr>
            <w:tcW w:w="1406"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63FF57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w:t>
            </w:r>
          </w:p>
        </w:tc>
        <w:tc>
          <w:tcPr>
            <w:tcW w:w="1287"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EB896B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99,47</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2A7BDFE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w:t>
            </w:r>
          </w:p>
        </w:tc>
      </w:tr>
      <w:tr w:rsidR="0093441E" w:rsidRPr="002A7673" w14:paraId="34583D05"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6AD76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Primer Circuito Judicial Alajuela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ED6F0D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97,44</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6E1970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98,76</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676BF9B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6F56FF1D"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829CA9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lastRenderedPageBreak/>
              <w:t>Administración de Golfito</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64E2AF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FD4433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98,33</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3D227E60"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07FC5B37"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85FE5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 Sarapiquí</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A7BEEF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99,11</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F8AF74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98,21</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013C790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0E639B15"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43F3A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 Grecia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4E6DBC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97,82</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78ACAB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97,46</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128EE13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0CD8BDDD"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E4137C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Segundo Circuito Judicial Zona Atlántica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052A7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98,76</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C3A6C3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97,15</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5856968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1726B501"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1F8897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Ejecutiva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6BDC32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97,75</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8F4F9B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96,63</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091C20E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2B5EF4EB"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2FAA99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Circuito Judicial Cartago</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549424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96,57</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681572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96,36</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2AF8F1B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4A99C518"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4E6AE9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Tercer Circuito Judicial Alajuela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0C5B5A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94,84</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BD74C0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96,33</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1D8D238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38C5AFCC"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82B00A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Salas</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4C43BA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93,12</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731C96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96,13</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3C08CDA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5E513323"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F5E6D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Departamento Trabajo Social y Psicología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EA4EB97"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97,61</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7EEEFE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95,95</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44752D2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25EAA867"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C23B1F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Escuela Judicial</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06FFC7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93,04</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3346A7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95,50</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1CE55B42"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3B15C9B4"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64B3E7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 Turrialba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A7A31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97,42</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29412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95,31</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12B4BF2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582236E2"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DE7E15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Circuito Judicial Heredia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3BDD15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96,44</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41458D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94,61</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0BA1C57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113E637D"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3A05A3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Primer Circuito Judicial San José</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9B1A8D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93,73</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FA787D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94,51</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79140CD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617AEA73"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17B66CA"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Departamento Prensa y Comunicación</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623059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95,33</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89A19C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94,17</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2ADC537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502C724B"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3811F0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Primer Circuito Judicial Zona Sur</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B906D4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89,70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EBCB11A"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94,08</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27E325C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58DD02CC"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42999E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Segundo Circuito Judicial Zona Sur</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B016FD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93,43</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12D0EF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93,96</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18A3A42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0AAACDC8"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1C1206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Tercer Circuito Judicial San José</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904F68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91,53</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E7223C2"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93,82</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6BD2A25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03BEE085"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A533F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Comisiones Institucionales</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C7816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98,28</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9BCB4E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93,21</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47758D6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4DC3CC68"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CB80CF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Primer Circuito Judicial Guanacaste</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BD5E72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94,42</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81175F8"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92,98</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00E78AC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49D1240C"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B85A2F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Comisión Nacional Mejoramiento Justicia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0CB078D"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92,11</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7ED69E4"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92,37</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3A04161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00AD1580"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60C9D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Segundo Circuito Judicial Alajuela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72CCD2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97,60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CC7D923"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91,67</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49E210D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29DF27EE"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B1E799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Segundo Circuito Judicial San José</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B2C32A9"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91,81</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9A04C55"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91,44</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759D2D4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005A0641"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10BAA3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Segundo Circuito Judicial Guanacaste</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78D777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87,85</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2BE8E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91,21</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6493420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Aumenta</w:t>
            </w:r>
          </w:p>
        </w:tc>
      </w:tr>
      <w:tr w:rsidR="0093441E" w:rsidRPr="002A7673" w14:paraId="20F6172B"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8AEA60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Primer Circuito Zona Atlántica</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255AF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95,78</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720F721"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91,09</w:t>
            </w:r>
          </w:p>
        </w:tc>
        <w:tc>
          <w:tcPr>
            <w:tcW w:w="1701" w:type="dxa"/>
            <w:tcBorders>
              <w:top w:val="single" w:sz="8" w:space="0" w:color="auto"/>
              <w:left w:val="nil"/>
              <w:bottom w:val="single" w:sz="8" w:space="0" w:color="auto"/>
              <w:right w:val="single" w:sz="8" w:space="0" w:color="auto"/>
            </w:tcBorders>
            <w:shd w:val="clear" w:color="auto" w:fill="33CC33"/>
            <w:tcMar>
              <w:top w:w="0" w:type="dxa"/>
              <w:left w:w="70" w:type="dxa"/>
              <w:bottom w:w="0" w:type="dxa"/>
              <w:right w:w="70" w:type="dxa"/>
            </w:tcMar>
            <w:vAlign w:val="center"/>
            <w:hideMark/>
          </w:tcPr>
          <w:p w14:paraId="26B5A134"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29C5C050"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BE386D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Centro de Conciliación del Poder Judicial</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2B8C51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99,88</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56ECFAB"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88,95</w:t>
            </w:r>
          </w:p>
        </w:tc>
        <w:tc>
          <w:tcPr>
            <w:tcW w:w="1701" w:type="dxa"/>
            <w:tcBorders>
              <w:top w:val="single" w:sz="8" w:space="0" w:color="auto"/>
              <w:left w:val="nil"/>
              <w:bottom w:val="single" w:sz="8" w:space="0" w:color="auto"/>
              <w:right w:val="single" w:sz="8" w:space="0" w:color="auto"/>
            </w:tcBorders>
            <w:shd w:val="clear" w:color="auto" w:fill="FFCC00"/>
            <w:tcMar>
              <w:top w:w="0" w:type="dxa"/>
              <w:left w:w="70" w:type="dxa"/>
              <w:bottom w:w="0" w:type="dxa"/>
              <w:right w:w="70" w:type="dxa"/>
            </w:tcMar>
            <w:vAlign w:val="center"/>
            <w:hideMark/>
          </w:tcPr>
          <w:p w14:paraId="07217658"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1A5A99B0"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26F8A0B"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Circuito Judicial Puntarenas</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C0F97C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97,59</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D3F31B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88,93</w:t>
            </w:r>
          </w:p>
        </w:tc>
        <w:tc>
          <w:tcPr>
            <w:tcW w:w="1701" w:type="dxa"/>
            <w:tcBorders>
              <w:top w:val="single" w:sz="8" w:space="0" w:color="auto"/>
              <w:left w:val="nil"/>
              <w:bottom w:val="single" w:sz="8" w:space="0" w:color="auto"/>
              <w:right w:val="single" w:sz="8" w:space="0" w:color="auto"/>
            </w:tcBorders>
            <w:shd w:val="clear" w:color="auto" w:fill="FFCC00"/>
            <w:tcMar>
              <w:top w:w="0" w:type="dxa"/>
              <w:left w:w="70" w:type="dxa"/>
              <w:bottom w:w="0" w:type="dxa"/>
              <w:right w:w="70" w:type="dxa"/>
            </w:tcMar>
            <w:vAlign w:val="center"/>
            <w:hideMark/>
          </w:tcPr>
          <w:p w14:paraId="2C642E8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0998217A"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0C6ACD6"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 Quepos</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0E1548E"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93,09</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F7571A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87,70</w:t>
            </w:r>
          </w:p>
        </w:tc>
        <w:tc>
          <w:tcPr>
            <w:tcW w:w="1701" w:type="dxa"/>
            <w:tcBorders>
              <w:top w:val="single" w:sz="8" w:space="0" w:color="auto"/>
              <w:left w:val="nil"/>
              <w:bottom w:val="single" w:sz="8" w:space="0" w:color="auto"/>
              <w:right w:val="single" w:sz="8" w:space="0" w:color="auto"/>
            </w:tcBorders>
            <w:shd w:val="clear" w:color="auto" w:fill="FFCC00"/>
            <w:tcMar>
              <w:top w:w="0" w:type="dxa"/>
              <w:left w:w="70" w:type="dxa"/>
              <w:bottom w:w="0" w:type="dxa"/>
              <w:right w:w="70" w:type="dxa"/>
            </w:tcMar>
            <w:vAlign w:val="center"/>
            <w:hideMark/>
          </w:tcPr>
          <w:p w14:paraId="3795D1A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51F19D2B" w14:textId="77777777" w:rsidTr="0048334E">
        <w:trPr>
          <w:trHeight w:val="286"/>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C48EED5"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Unidad de Adiestramiento</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4FF2CFC"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100</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C6D7D96"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84,00</w:t>
            </w:r>
          </w:p>
        </w:tc>
        <w:tc>
          <w:tcPr>
            <w:tcW w:w="1701" w:type="dxa"/>
            <w:tcBorders>
              <w:top w:val="single" w:sz="8" w:space="0" w:color="auto"/>
              <w:left w:val="nil"/>
              <w:bottom w:val="single" w:sz="8" w:space="0" w:color="auto"/>
              <w:right w:val="single" w:sz="8" w:space="0" w:color="auto"/>
            </w:tcBorders>
            <w:shd w:val="clear" w:color="auto" w:fill="FFCC00"/>
            <w:tcMar>
              <w:top w:w="0" w:type="dxa"/>
              <w:left w:w="70" w:type="dxa"/>
              <w:bottom w:w="0" w:type="dxa"/>
              <w:right w:w="70" w:type="dxa"/>
            </w:tcMar>
            <w:vAlign w:val="center"/>
            <w:hideMark/>
          </w:tcPr>
          <w:p w14:paraId="1F77CC9E"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r w:rsidR="0093441E" w:rsidRPr="002A7673" w14:paraId="360BB50E" w14:textId="77777777" w:rsidTr="0048334E">
        <w:trPr>
          <w:trHeight w:val="314"/>
          <w:jc w:val="center"/>
        </w:trPr>
        <w:tc>
          <w:tcPr>
            <w:tcW w:w="53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D27574F"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Administración de Santa Cruz</w:t>
            </w:r>
          </w:p>
        </w:tc>
        <w:tc>
          <w:tcPr>
            <w:tcW w:w="1406"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94D3FA0"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90,26</w:t>
            </w:r>
          </w:p>
        </w:tc>
        <w:tc>
          <w:tcPr>
            <w:tcW w:w="128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38EB35F" w14:textId="77777777" w:rsidR="0093441E" w:rsidRPr="002A7673" w:rsidRDefault="0093441E" w:rsidP="0048334E">
            <w:pPr>
              <w:spacing w:after="0" w:line="240" w:lineRule="auto"/>
              <w:jc w:val="right"/>
              <w:rPr>
                <w:rFonts w:ascii="Times New Roman" w:hAnsi="Times New Roman" w:cs="Times New Roman"/>
                <w:color w:val="000000"/>
                <w:lang w:eastAsia="es-CR"/>
              </w:rPr>
            </w:pPr>
            <w:r w:rsidRPr="002A7673">
              <w:rPr>
                <w:rFonts w:ascii="Times New Roman" w:hAnsi="Times New Roman" w:cs="Times New Roman"/>
                <w:color w:val="000000"/>
                <w:lang w:eastAsia="es-CR"/>
              </w:rPr>
              <w:t>69,43</w:t>
            </w:r>
          </w:p>
        </w:tc>
        <w:tc>
          <w:tcPr>
            <w:tcW w:w="1701" w:type="dxa"/>
            <w:tcBorders>
              <w:top w:val="single" w:sz="8" w:space="0" w:color="auto"/>
              <w:left w:val="nil"/>
              <w:bottom w:val="single" w:sz="8" w:space="0" w:color="auto"/>
              <w:right w:val="single" w:sz="8" w:space="0" w:color="auto"/>
            </w:tcBorders>
            <w:shd w:val="clear" w:color="auto" w:fill="FFCC00"/>
            <w:tcMar>
              <w:top w:w="0" w:type="dxa"/>
              <w:left w:w="70" w:type="dxa"/>
              <w:bottom w:w="0" w:type="dxa"/>
              <w:right w:w="70" w:type="dxa"/>
            </w:tcMar>
            <w:vAlign w:val="center"/>
            <w:hideMark/>
          </w:tcPr>
          <w:p w14:paraId="6483F99C"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Disminuye</w:t>
            </w:r>
          </w:p>
        </w:tc>
      </w:tr>
    </w:tbl>
    <w:p w14:paraId="7A2DBCB0" w14:textId="77777777" w:rsidR="0093441E" w:rsidRPr="002A7673" w:rsidRDefault="0093441E" w:rsidP="0093441E">
      <w:pPr>
        <w:spacing w:after="0" w:line="240" w:lineRule="auto"/>
        <w:rPr>
          <w:rFonts w:ascii="Times New Roman" w:hAnsi="Times New Roman" w:cs="Times New Roman"/>
          <w:sz w:val="20"/>
          <w:szCs w:val="20"/>
        </w:rPr>
      </w:pPr>
      <w:r w:rsidRPr="002A7673">
        <w:rPr>
          <w:rFonts w:ascii="Times New Roman" w:hAnsi="Times New Roman" w:cs="Times New Roman"/>
          <w:b/>
          <w:sz w:val="20"/>
          <w:szCs w:val="20"/>
        </w:rPr>
        <w:t xml:space="preserve">Fuente: </w:t>
      </w:r>
      <w:r w:rsidRPr="002A7673">
        <w:rPr>
          <w:rFonts w:ascii="Times New Roman" w:hAnsi="Times New Roman" w:cs="Times New Roman"/>
          <w:sz w:val="20"/>
          <w:szCs w:val="20"/>
        </w:rPr>
        <w:t>Sistema PAO.</w:t>
      </w:r>
    </w:p>
    <w:p w14:paraId="47ACADA3" w14:textId="77777777" w:rsidR="0093441E" w:rsidRPr="002A7673" w:rsidRDefault="0093441E" w:rsidP="0093441E">
      <w:pPr>
        <w:spacing w:after="0" w:line="240" w:lineRule="auto"/>
        <w:rPr>
          <w:rFonts w:ascii="Times New Roman" w:hAnsi="Times New Roman" w:cs="Times New Roman"/>
          <w:sz w:val="20"/>
          <w:szCs w:val="20"/>
        </w:rPr>
      </w:pPr>
      <w:r w:rsidRPr="002A7673">
        <w:rPr>
          <w:rFonts w:ascii="Times New Roman" w:hAnsi="Times New Roman" w:cs="Times New Roman"/>
          <w:sz w:val="20"/>
          <w:szCs w:val="20"/>
          <w:vertAlign w:val="superscript"/>
        </w:rPr>
        <w:t xml:space="preserve">(1) </w:t>
      </w:r>
      <w:r w:rsidRPr="002A7673">
        <w:rPr>
          <w:rFonts w:ascii="Times New Roman" w:hAnsi="Times New Roman" w:cs="Times New Roman"/>
          <w:sz w:val="20"/>
          <w:szCs w:val="20"/>
        </w:rPr>
        <w:t>Oficinas que se evalúan por primera vez.</w:t>
      </w:r>
    </w:p>
    <w:p w14:paraId="468E303D" w14:textId="77777777" w:rsidR="0093441E" w:rsidRPr="002A7673" w:rsidRDefault="0093441E" w:rsidP="0093441E">
      <w:pPr>
        <w:spacing w:after="0" w:line="480" w:lineRule="auto"/>
        <w:ind w:firstLine="709"/>
        <w:jc w:val="both"/>
        <w:rPr>
          <w:rFonts w:ascii="Times New Roman" w:hAnsi="Times New Roman" w:cs="Times New Roman"/>
          <w:sz w:val="28"/>
          <w:szCs w:val="28"/>
        </w:rPr>
      </w:pPr>
    </w:p>
    <w:p w14:paraId="57DD6ED2"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En el caso de Santa Cruz re realizó la consulta a la Administradora sobre las razones de la disminución mostrada en el cumplimiento del PAO, respecto al resultado obtenido en 2019, indicando que el 22 de enero pasado, solicitaron a los despachos </w:t>
      </w:r>
      <w:r w:rsidRPr="002A7673">
        <w:rPr>
          <w:rFonts w:ascii="Times New Roman" w:hAnsi="Times New Roman" w:cs="Times New Roman"/>
          <w:sz w:val="28"/>
          <w:szCs w:val="28"/>
        </w:rPr>
        <w:lastRenderedPageBreak/>
        <w:t xml:space="preserve">judiciales que realizaran la actualización en el sistema sobre el avance del PAO 2020, y que de todos los despachos solo dieron respuesta el Juzgado Agrario que alcanzó un 92% y el Juzgado de Familia que cerró con un 70%. </w:t>
      </w:r>
      <w:proofErr w:type="gramStart"/>
      <w:r w:rsidRPr="002A7673">
        <w:rPr>
          <w:rFonts w:ascii="Times New Roman" w:hAnsi="Times New Roman" w:cs="Times New Roman"/>
          <w:sz w:val="28"/>
          <w:szCs w:val="28"/>
        </w:rPr>
        <w:t>Agrega</w:t>
      </w:r>
      <w:proofErr w:type="gramEnd"/>
      <w:r w:rsidRPr="002A7673">
        <w:rPr>
          <w:rFonts w:ascii="Times New Roman" w:hAnsi="Times New Roman" w:cs="Times New Roman"/>
          <w:sz w:val="28"/>
          <w:szCs w:val="28"/>
        </w:rPr>
        <w:t xml:space="preserve"> además, que la Coordinadora del Área Jurisdiccional es quien hace el acompañamiento a las oficinas y remite los recordatorios a todo el Circuito, pero que esta labor con los despachos en ocasiones resulta difícil. Finalmente señala que, verificando los porcentajes por despachos, el Juzgado Penal es el que según el Sistema tiene el cumplimiento más bajo con tan solo un 5%.</w:t>
      </w:r>
    </w:p>
    <w:p w14:paraId="64F1663F"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Es importante señalar que el Ministerio de Hacienda establece los siguientes parámetros para valorar el nivel de cumplimiento de metas e indicadores.</w:t>
      </w:r>
    </w:p>
    <w:p w14:paraId="1BEC77AC" w14:textId="77777777" w:rsidR="0093441E" w:rsidRPr="002A7673" w:rsidRDefault="0093441E" w:rsidP="0093441E">
      <w:pPr>
        <w:spacing w:after="0" w:line="480" w:lineRule="auto"/>
        <w:jc w:val="center"/>
        <w:rPr>
          <w:rFonts w:ascii="Times New Roman" w:hAnsi="Times New Roman" w:cs="Times New Roman"/>
        </w:rPr>
      </w:pPr>
      <w:r w:rsidRPr="002A7673">
        <w:rPr>
          <w:rFonts w:ascii="Times New Roman" w:hAnsi="Times New Roman" w:cs="Times New Roman"/>
          <w:noProof/>
        </w:rPr>
        <w:drawing>
          <wp:inline distT="0" distB="0" distL="0" distR="0" wp14:anchorId="1E2787F9" wp14:editId="6D981B85">
            <wp:extent cx="5141594" cy="991340"/>
            <wp:effectExtent l="0" t="0" r="1905" b="0"/>
            <wp:docPr id="1263269064" name="Imagen 126326906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323">
                      <a:extLst>
                        <a:ext uri="{28A0092B-C50C-407E-A947-70E740481C1C}">
                          <a14:useLocalDpi xmlns:a14="http://schemas.microsoft.com/office/drawing/2010/main" val="0"/>
                        </a:ext>
                      </a:extLst>
                    </a:blip>
                    <a:stretch>
                      <a:fillRect/>
                    </a:stretch>
                  </pic:blipFill>
                  <pic:spPr>
                    <a:xfrm>
                      <a:off x="0" y="0"/>
                      <a:ext cx="5141594" cy="991340"/>
                    </a:xfrm>
                    <a:prstGeom prst="rect">
                      <a:avLst/>
                    </a:prstGeom>
                  </pic:spPr>
                </pic:pic>
              </a:graphicData>
            </a:graphic>
          </wp:inline>
        </w:drawing>
      </w:r>
    </w:p>
    <w:p w14:paraId="59B7D3D4" w14:textId="77777777" w:rsidR="0093441E" w:rsidRPr="002A7673" w:rsidRDefault="0093441E" w:rsidP="0093441E">
      <w:pPr>
        <w:spacing w:after="0" w:line="240" w:lineRule="auto"/>
        <w:ind w:left="284"/>
        <w:rPr>
          <w:rFonts w:ascii="Times New Roman" w:hAnsi="Times New Roman" w:cs="Times New Roman"/>
          <w:sz w:val="20"/>
          <w:szCs w:val="20"/>
        </w:rPr>
      </w:pPr>
      <w:r w:rsidRPr="002A7673">
        <w:rPr>
          <w:rFonts w:ascii="Times New Roman" w:hAnsi="Times New Roman" w:cs="Times New Roman"/>
          <w:b/>
          <w:bCs/>
          <w:color w:val="000000"/>
          <w:sz w:val="20"/>
          <w:szCs w:val="20"/>
          <w:lang w:eastAsia="es-CR"/>
        </w:rPr>
        <w:t xml:space="preserve">Fuente: </w:t>
      </w:r>
      <w:r w:rsidRPr="002A7673">
        <w:rPr>
          <w:rFonts w:ascii="Times New Roman" w:hAnsi="Times New Roman" w:cs="Times New Roman"/>
          <w:color w:val="000000"/>
          <w:sz w:val="20"/>
          <w:szCs w:val="20"/>
          <w:lang w:eastAsia="es-CR"/>
        </w:rPr>
        <w:t>Gobierno de la República, Informe de Resultados Físicos de los Programas Ejecutados Ejercicio Económico 2020, página del Ministerio de Hacienda.</w:t>
      </w:r>
    </w:p>
    <w:p w14:paraId="7C465DC1" w14:textId="77777777" w:rsidR="0093441E" w:rsidRPr="002A7673" w:rsidRDefault="0093441E" w:rsidP="0093441E">
      <w:pPr>
        <w:rPr>
          <w:rFonts w:ascii="Times New Roman" w:hAnsi="Times New Roman" w:cs="Times New Roman"/>
        </w:rPr>
      </w:pPr>
    </w:p>
    <w:p w14:paraId="3287AAFA" w14:textId="77777777" w:rsidR="0093441E" w:rsidRPr="002A7673" w:rsidRDefault="0093441E" w:rsidP="0093441E">
      <w:pPr>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9. Programación Presupuestaria del Ministerio de Hacienda</w:t>
      </w:r>
    </w:p>
    <w:p w14:paraId="19B70806" w14:textId="77777777" w:rsidR="0093441E" w:rsidRPr="002A7673" w:rsidRDefault="0093441E" w:rsidP="0093441E">
      <w:pPr>
        <w:spacing w:after="0" w:line="480" w:lineRule="auto"/>
        <w:ind w:firstLine="709"/>
        <w:jc w:val="both"/>
        <w:rPr>
          <w:rFonts w:ascii="Times New Roman" w:hAnsi="Times New Roman" w:cs="Times New Roman"/>
          <w:b/>
          <w:sz w:val="28"/>
          <w:szCs w:val="28"/>
        </w:rPr>
      </w:pPr>
    </w:p>
    <w:p w14:paraId="1DBB816F" w14:textId="77777777" w:rsidR="0093441E" w:rsidRPr="002A7673" w:rsidRDefault="0093441E" w:rsidP="0093441E">
      <w:pPr>
        <w:tabs>
          <w:tab w:val="left" w:pos="993"/>
        </w:tabs>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Programa 926 Dirección, Administración y Otros Órganos de Apoyo</w:t>
      </w:r>
    </w:p>
    <w:p w14:paraId="3D613C17" w14:textId="77777777" w:rsidR="0093441E" w:rsidRPr="002A7673" w:rsidRDefault="0093441E" w:rsidP="0093441E">
      <w:pPr>
        <w:tabs>
          <w:tab w:val="left" w:pos="993"/>
        </w:tabs>
        <w:spacing w:after="0" w:line="480" w:lineRule="auto"/>
        <w:ind w:firstLine="709"/>
        <w:jc w:val="both"/>
        <w:rPr>
          <w:rFonts w:ascii="Times New Roman" w:hAnsi="Times New Roman" w:cs="Times New Roman"/>
          <w:b/>
          <w:color w:val="FF0000"/>
          <w:sz w:val="28"/>
          <w:szCs w:val="28"/>
        </w:rPr>
      </w:pPr>
      <w:r w:rsidRPr="002A7673">
        <w:rPr>
          <w:rFonts w:ascii="Times New Roman" w:hAnsi="Times New Roman" w:cs="Times New Roman"/>
          <w:sz w:val="28"/>
          <w:szCs w:val="28"/>
        </w:rPr>
        <w:lastRenderedPageBreak/>
        <w:t xml:space="preserve">La programación presupuestaria del programa 926 Dirección, Administración y Otros Órganos de Apoyo, está respaldada por los planes anuales operativos elaborados en concordancia con el plan estratégico 2019-2024, conforme se describe a continuación. </w:t>
      </w:r>
    </w:p>
    <w:bookmarkStart w:id="205" w:name="_1679991150"/>
    <w:bookmarkStart w:id="206" w:name="_1680417376"/>
    <w:bookmarkStart w:id="207" w:name="_MON_1681118524"/>
    <w:bookmarkEnd w:id="205"/>
    <w:bookmarkEnd w:id="206"/>
    <w:bookmarkEnd w:id="207"/>
    <w:bookmarkStart w:id="208" w:name="_MON_1681131643"/>
    <w:bookmarkEnd w:id="208"/>
    <w:p w14:paraId="564B241B" w14:textId="77777777" w:rsidR="0093441E" w:rsidRPr="002A7673" w:rsidRDefault="0093441E" w:rsidP="0093441E">
      <w:pPr>
        <w:spacing w:after="0" w:line="480" w:lineRule="auto"/>
        <w:ind w:firstLine="709"/>
        <w:jc w:val="center"/>
        <w:rPr>
          <w:rFonts w:ascii="Times New Roman" w:hAnsi="Times New Roman" w:cs="Times New Roman"/>
          <w:b/>
          <w:color w:val="FF0000"/>
          <w:sz w:val="28"/>
          <w:szCs w:val="28"/>
        </w:rPr>
      </w:pPr>
      <w:r w:rsidRPr="002A7673">
        <w:rPr>
          <w:rFonts w:ascii="Times New Roman" w:hAnsi="Times New Roman" w:cs="Times New Roman"/>
          <w:b/>
          <w:color w:val="FF0000"/>
          <w:sz w:val="28"/>
          <w:szCs w:val="28"/>
        </w:rPr>
        <w:object w:dxaOrig="1376" w:dyaOrig="893" w14:anchorId="771A163C">
          <v:shape id="_x0000_i1147" type="#_x0000_t75" style="width:64.5pt;height:43.5pt" o:ole="">
            <v:imagedata r:id="rId324" o:title=""/>
          </v:shape>
          <o:OLEObject Type="Embed" ProgID="Excel.Sheet.8" ShapeID="_x0000_i1147" DrawAspect="Icon" ObjectID="_1684067090" r:id="rId325"/>
        </w:object>
      </w:r>
    </w:p>
    <w:p w14:paraId="1BB51347" w14:textId="77777777" w:rsidR="0093441E" w:rsidRPr="002A7673" w:rsidRDefault="0093441E" w:rsidP="0093441E">
      <w:pPr>
        <w:spacing w:after="0" w:line="360" w:lineRule="auto"/>
        <w:rPr>
          <w:rFonts w:ascii="Times New Roman" w:hAnsi="Times New Roman" w:cs="Times New Roman"/>
          <w:b/>
        </w:rPr>
      </w:pPr>
    </w:p>
    <w:p w14:paraId="0CB13AC0" w14:textId="77777777" w:rsidR="0093441E" w:rsidRPr="002A7673" w:rsidRDefault="0093441E" w:rsidP="0093441E">
      <w:pPr>
        <w:tabs>
          <w:tab w:val="left" w:pos="993"/>
        </w:tabs>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Programa 927 Servicio Jurisdiccional </w:t>
      </w:r>
    </w:p>
    <w:p w14:paraId="062794D2" w14:textId="77777777" w:rsidR="0093441E" w:rsidRPr="002A7673" w:rsidRDefault="0093441E" w:rsidP="0093441E">
      <w:pPr>
        <w:tabs>
          <w:tab w:val="left" w:pos="993"/>
        </w:tabs>
        <w:spacing w:after="0" w:line="480" w:lineRule="auto"/>
        <w:ind w:firstLine="709"/>
        <w:jc w:val="both"/>
        <w:rPr>
          <w:rFonts w:ascii="Times New Roman" w:hAnsi="Times New Roman" w:cs="Times New Roman"/>
          <w:b/>
          <w:sz w:val="28"/>
          <w:szCs w:val="28"/>
        </w:rPr>
      </w:pPr>
      <w:r w:rsidRPr="002A7673">
        <w:rPr>
          <w:rFonts w:ascii="Times New Roman" w:hAnsi="Times New Roman" w:cs="Times New Roman"/>
          <w:sz w:val="28"/>
          <w:szCs w:val="28"/>
        </w:rPr>
        <w:t xml:space="preserve">La programación presupuestaria del programa 927 Servicio Jurisdiccional, está respaldada por los planes anuales operativos elaborados en concordancia con el plan estratégico 2019-2024, conforme se describe a continuación. </w:t>
      </w:r>
    </w:p>
    <w:bookmarkStart w:id="209" w:name="_MON_1647329399"/>
    <w:bookmarkEnd w:id="209"/>
    <w:p w14:paraId="3784F130" w14:textId="77777777" w:rsidR="0093441E" w:rsidRPr="002A7673" w:rsidRDefault="0093441E" w:rsidP="0093441E">
      <w:pPr>
        <w:spacing w:after="0" w:line="360" w:lineRule="auto"/>
        <w:ind w:left="708"/>
        <w:jc w:val="center"/>
        <w:rPr>
          <w:rFonts w:ascii="Times New Roman" w:eastAsia="Book Antiqua" w:hAnsi="Times New Roman" w:cs="Times New Roman"/>
          <w:b/>
          <w:bCs/>
          <w:sz w:val="24"/>
          <w:szCs w:val="24"/>
          <w:lang w:val="es-ES" w:eastAsia="es-ES"/>
        </w:rPr>
      </w:pPr>
      <w:r w:rsidRPr="002A7673">
        <w:rPr>
          <w:rFonts w:ascii="Times New Roman" w:eastAsia="Times New Roman" w:hAnsi="Times New Roman" w:cs="Times New Roman"/>
          <w:b/>
          <w:sz w:val="24"/>
          <w:szCs w:val="24"/>
          <w:lang w:val="es-ES" w:eastAsia="es-ES"/>
        </w:rPr>
        <w:object w:dxaOrig="1469" w:dyaOrig="950" w14:anchorId="3ED3F40F">
          <v:shape id="_x0000_i1148" type="#_x0000_t75" style="width:1in;height:43.5pt" o:ole="">
            <v:imagedata r:id="rId326" o:title=""/>
          </v:shape>
          <o:OLEObject Type="Embed" ProgID="Word.Document.12" ShapeID="_x0000_i1148" DrawAspect="Icon" ObjectID="_1684067091" r:id="rId327">
            <o:FieldCodes>\s</o:FieldCodes>
          </o:OLEObject>
        </w:object>
      </w:r>
    </w:p>
    <w:p w14:paraId="0225A16C" w14:textId="77777777" w:rsidR="0093441E" w:rsidRPr="002A7673" w:rsidRDefault="0093441E" w:rsidP="0093441E">
      <w:pPr>
        <w:spacing w:after="0" w:line="480" w:lineRule="auto"/>
        <w:ind w:firstLine="709"/>
        <w:jc w:val="both"/>
        <w:rPr>
          <w:rFonts w:ascii="Times New Roman" w:hAnsi="Times New Roman" w:cs="Times New Roman"/>
          <w:b/>
          <w:bCs/>
          <w:sz w:val="28"/>
          <w:szCs w:val="28"/>
        </w:rPr>
      </w:pPr>
      <w:bookmarkStart w:id="210" w:name="_MON_1615977736"/>
      <w:bookmarkEnd w:id="210"/>
      <w:r w:rsidRPr="002A7673">
        <w:rPr>
          <w:rFonts w:ascii="Times New Roman" w:hAnsi="Times New Roman" w:cs="Times New Roman"/>
          <w:b/>
          <w:bCs/>
          <w:sz w:val="28"/>
          <w:szCs w:val="28"/>
        </w:rPr>
        <w:t>10. Anteproyecto de Presupuesto 2022 y el Cumplimiento con las Metas y Objetivos del Plan Estratégico Institucional 2019-2024</w:t>
      </w:r>
    </w:p>
    <w:p w14:paraId="78AE5DAF" w14:textId="77777777" w:rsidR="0093441E" w:rsidRPr="002A7673" w:rsidRDefault="0093441E" w:rsidP="0093441E">
      <w:pPr>
        <w:spacing w:after="0" w:line="480" w:lineRule="auto"/>
        <w:ind w:firstLine="709"/>
        <w:jc w:val="both"/>
        <w:rPr>
          <w:rFonts w:ascii="Times New Roman" w:eastAsia="Book Antiqua" w:hAnsi="Times New Roman" w:cs="Times New Roman"/>
          <w:b/>
          <w:bCs/>
          <w:sz w:val="28"/>
          <w:szCs w:val="28"/>
        </w:rPr>
      </w:pPr>
    </w:p>
    <w:p w14:paraId="544CFE48" w14:textId="77777777" w:rsidR="0093441E" w:rsidRPr="002A7673" w:rsidRDefault="0093441E" w:rsidP="0093441E">
      <w:pPr>
        <w:tabs>
          <w:tab w:val="left" w:pos="993"/>
        </w:tabs>
        <w:spacing w:after="0" w:line="480" w:lineRule="auto"/>
        <w:ind w:firstLine="709"/>
        <w:jc w:val="both"/>
        <w:rPr>
          <w:rFonts w:ascii="Times New Roman" w:eastAsia="Book Antiqua" w:hAnsi="Times New Roman" w:cs="Times New Roman"/>
          <w:sz w:val="28"/>
          <w:szCs w:val="28"/>
        </w:rPr>
      </w:pPr>
      <w:r w:rsidRPr="002A7673">
        <w:rPr>
          <w:rFonts w:ascii="Times New Roman" w:eastAsia="Book Antiqua" w:hAnsi="Times New Roman" w:cs="Times New Roman"/>
          <w:sz w:val="28"/>
          <w:szCs w:val="28"/>
        </w:rPr>
        <w:t xml:space="preserve">Adicionalmente se consultó a los centros de responsabilidad que si con los recursos formulados en el anteproyecto de presupuesto 2022, era posible el cumplimiento a los objetivos y metas de los planes anuales operativos elaborados en concordancia con el plan estratégico 2019-2024, al respecto el 89% es decir 73 de </w:t>
      </w:r>
      <w:r w:rsidRPr="002A7673">
        <w:rPr>
          <w:rFonts w:ascii="Times New Roman" w:eastAsia="Book Antiqua" w:hAnsi="Times New Roman" w:cs="Times New Roman"/>
          <w:sz w:val="28"/>
          <w:szCs w:val="28"/>
        </w:rPr>
        <w:lastRenderedPageBreak/>
        <w:t xml:space="preserve">los centros señalaron que siempre y cuando no se aplicaran más rebajos, sí era posible dar cumplimiento, mientras que un 11% que corresponde a 9 centros, señalaron que no. En el siguiente cuadro se muestran los centros de responsabilidad que indican la afectación </w:t>
      </w:r>
      <w:proofErr w:type="gramStart"/>
      <w:r w:rsidRPr="002A7673">
        <w:rPr>
          <w:rFonts w:ascii="Times New Roman" w:eastAsia="Book Antiqua" w:hAnsi="Times New Roman" w:cs="Times New Roman"/>
          <w:sz w:val="28"/>
          <w:szCs w:val="28"/>
        </w:rPr>
        <w:t>para  dar</w:t>
      </w:r>
      <w:proofErr w:type="gramEnd"/>
      <w:r w:rsidRPr="002A7673">
        <w:rPr>
          <w:rFonts w:ascii="Times New Roman" w:eastAsia="Book Antiqua" w:hAnsi="Times New Roman" w:cs="Times New Roman"/>
          <w:sz w:val="28"/>
          <w:szCs w:val="28"/>
        </w:rPr>
        <w:t xml:space="preserve"> cumplimiento y la justificación u observaciones correspondientes.</w:t>
      </w:r>
    </w:p>
    <w:p w14:paraId="28C3FCBB" w14:textId="77777777" w:rsidR="0093441E" w:rsidRPr="002A7673" w:rsidRDefault="0093441E" w:rsidP="0093441E">
      <w:pPr>
        <w:tabs>
          <w:tab w:val="left" w:pos="993"/>
        </w:tabs>
        <w:spacing w:after="0" w:line="480" w:lineRule="auto"/>
        <w:ind w:firstLine="709"/>
        <w:jc w:val="both"/>
        <w:rPr>
          <w:rFonts w:ascii="Times New Roman" w:eastAsia="Book Antiqua" w:hAnsi="Times New Roman" w:cs="Times New Roman"/>
          <w:sz w:val="28"/>
          <w:szCs w:val="28"/>
        </w:rPr>
      </w:pPr>
    </w:p>
    <w:tbl>
      <w:tblPr>
        <w:tblStyle w:val="Tablaconcuadrcula"/>
        <w:tblW w:w="0" w:type="auto"/>
        <w:tblLook w:val="04A0" w:firstRow="1" w:lastRow="0" w:firstColumn="1" w:lastColumn="0" w:noHBand="0" w:noVBand="1"/>
      </w:tblPr>
      <w:tblGrid>
        <w:gridCol w:w="4248"/>
        <w:gridCol w:w="4580"/>
      </w:tblGrid>
      <w:tr w:rsidR="0093441E" w:rsidRPr="002A7673" w14:paraId="3A835846" w14:textId="77777777" w:rsidTr="0048334E">
        <w:tc>
          <w:tcPr>
            <w:tcW w:w="4248" w:type="dxa"/>
            <w:shd w:val="clear" w:color="auto" w:fill="9CC2E5" w:themeFill="accent1" w:themeFillTint="99"/>
            <w:vAlign w:val="center"/>
          </w:tcPr>
          <w:p w14:paraId="01C34CFB" w14:textId="77777777" w:rsidR="0093441E" w:rsidRPr="002A7673" w:rsidRDefault="0093441E" w:rsidP="0048334E">
            <w:pPr>
              <w:tabs>
                <w:tab w:val="left" w:pos="993"/>
              </w:tabs>
              <w:jc w:val="center"/>
              <w:rPr>
                <w:rFonts w:eastAsia="Book Antiqua"/>
                <w:b/>
                <w:bCs/>
              </w:rPr>
            </w:pPr>
            <w:r w:rsidRPr="002A7673">
              <w:rPr>
                <w:rFonts w:eastAsia="Book Antiqua"/>
                <w:b/>
                <w:bCs/>
              </w:rPr>
              <w:t>Centro de Responsabilidad</w:t>
            </w:r>
          </w:p>
        </w:tc>
        <w:tc>
          <w:tcPr>
            <w:tcW w:w="4580" w:type="dxa"/>
            <w:shd w:val="clear" w:color="auto" w:fill="9CC2E5" w:themeFill="accent1" w:themeFillTint="99"/>
            <w:vAlign w:val="center"/>
          </w:tcPr>
          <w:p w14:paraId="3C6CF1C1" w14:textId="77777777" w:rsidR="0093441E" w:rsidRPr="002A7673" w:rsidRDefault="0093441E" w:rsidP="0048334E">
            <w:pPr>
              <w:tabs>
                <w:tab w:val="left" w:pos="993"/>
              </w:tabs>
              <w:jc w:val="center"/>
              <w:rPr>
                <w:rFonts w:eastAsia="Book Antiqua"/>
                <w:b/>
                <w:bCs/>
              </w:rPr>
            </w:pPr>
            <w:r w:rsidRPr="002A7673">
              <w:rPr>
                <w:rFonts w:eastAsia="Book Antiqua"/>
                <w:b/>
                <w:bCs/>
              </w:rPr>
              <w:t>Justificación</w:t>
            </w:r>
          </w:p>
        </w:tc>
      </w:tr>
      <w:tr w:rsidR="0093441E" w:rsidRPr="002A7673" w14:paraId="0B43B533" w14:textId="77777777" w:rsidTr="0048334E">
        <w:tc>
          <w:tcPr>
            <w:tcW w:w="4248" w:type="dxa"/>
            <w:vAlign w:val="center"/>
          </w:tcPr>
          <w:p w14:paraId="5BDE5A22" w14:textId="77777777" w:rsidR="0093441E" w:rsidRPr="002A7673" w:rsidRDefault="0093441E" w:rsidP="0048334E">
            <w:pPr>
              <w:tabs>
                <w:tab w:val="left" w:pos="993"/>
              </w:tabs>
              <w:rPr>
                <w:rFonts w:eastAsia="Book Antiqua"/>
              </w:rPr>
            </w:pPr>
            <w:r w:rsidRPr="002A7673">
              <w:rPr>
                <w:rFonts w:eastAsia="Book Antiqua"/>
              </w:rPr>
              <w:t>Dirección de Gestión Humana</w:t>
            </w:r>
          </w:p>
        </w:tc>
        <w:tc>
          <w:tcPr>
            <w:tcW w:w="4580" w:type="dxa"/>
            <w:vAlign w:val="center"/>
          </w:tcPr>
          <w:p w14:paraId="7C34A8FC" w14:textId="77777777" w:rsidR="0093441E" w:rsidRPr="002A7673" w:rsidRDefault="0093441E" w:rsidP="0048334E">
            <w:pPr>
              <w:tabs>
                <w:tab w:val="left" w:pos="993"/>
              </w:tabs>
              <w:rPr>
                <w:rFonts w:eastAsia="Book Antiqua"/>
                <w:color w:val="000000" w:themeColor="text1"/>
                <w:lang w:val="es"/>
              </w:rPr>
            </w:pPr>
            <w:r w:rsidRPr="002A7673">
              <w:rPr>
                <w:rFonts w:eastAsia="Book Antiqua"/>
                <w:color w:val="000000" w:themeColor="text1"/>
                <w:lang w:val="es"/>
              </w:rPr>
              <w:t>Conforme a la información remitida por la Dirección de Gestión se concluye que se afectarían un total de 12 objetivos del PAO, 2 de ellos relacionados con las necesidades de las regionales de atención médica y 10 relacionados con capacitación y becas.</w:t>
            </w:r>
          </w:p>
        </w:tc>
      </w:tr>
      <w:tr w:rsidR="0093441E" w:rsidRPr="002A7673" w14:paraId="70C0BD19" w14:textId="77777777" w:rsidTr="0048334E">
        <w:tc>
          <w:tcPr>
            <w:tcW w:w="4248" w:type="dxa"/>
            <w:vAlign w:val="center"/>
          </w:tcPr>
          <w:p w14:paraId="3F8B1D80" w14:textId="77777777" w:rsidR="0093441E" w:rsidRPr="002A7673" w:rsidRDefault="0093441E" w:rsidP="0048334E">
            <w:pPr>
              <w:tabs>
                <w:tab w:val="left" w:pos="993"/>
              </w:tabs>
              <w:rPr>
                <w:rFonts w:eastAsia="Book Antiqua"/>
              </w:rPr>
            </w:pPr>
            <w:r w:rsidRPr="002A7673">
              <w:rPr>
                <w:rFonts w:eastAsia="Book Antiqua"/>
              </w:rPr>
              <w:t>Sala Primera</w:t>
            </w:r>
          </w:p>
        </w:tc>
        <w:tc>
          <w:tcPr>
            <w:tcW w:w="4580" w:type="dxa"/>
            <w:vAlign w:val="center"/>
          </w:tcPr>
          <w:p w14:paraId="56F78546" w14:textId="77777777" w:rsidR="0093441E" w:rsidRPr="002A7673" w:rsidRDefault="0093441E" w:rsidP="0048334E">
            <w:pPr>
              <w:tabs>
                <w:tab w:val="left" w:pos="993"/>
              </w:tabs>
              <w:rPr>
                <w:rFonts w:eastAsia="Book Antiqua"/>
                <w:color w:val="000000" w:themeColor="text1"/>
                <w:lang w:val="es"/>
              </w:rPr>
            </w:pPr>
            <w:r w:rsidRPr="002A7673">
              <w:rPr>
                <w:rFonts w:eastAsia="Book Antiqua"/>
                <w:color w:val="000000" w:themeColor="text1"/>
                <w:lang w:val="es"/>
              </w:rPr>
              <w:t xml:space="preserve">Señalan que sí es posible cumplir con los objetivos y metas del Plan Estratégico Institucional; sin embargo, les preocupa que no se incluyen las tres plazas de Profesional en Derecho 3B que tiene la Sala Primera bajo la modalidad de permisos con goce salario, que han sido recomendadas por la Dirección de Planificación para atender el crecimiento en la carga de trabajo generada con la </w:t>
            </w:r>
            <w:proofErr w:type="gramStart"/>
            <w:r w:rsidRPr="002A7673">
              <w:rPr>
                <w:rFonts w:eastAsia="Book Antiqua"/>
                <w:color w:val="000000" w:themeColor="text1"/>
                <w:lang w:val="es"/>
              </w:rPr>
              <w:t>entrada en vigencia</w:t>
            </w:r>
            <w:proofErr w:type="gramEnd"/>
            <w:r w:rsidRPr="002A7673">
              <w:rPr>
                <w:rFonts w:eastAsia="Book Antiqua"/>
                <w:color w:val="000000" w:themeColor="text1"/>
                <w:lang w:val="es"/>
              </w:rPr>
              <w:t xml:space="preserve"> del Código Procesal Civil en el 2018.</w:t>
            </w:r>
          </w:p>
        </w:tc>
      </w:tr>
      <w:tr w:rsidR="0093441E" w:rsidRPr="002A7673" w14:paraId="0F248552" w14:textId="77777777" w:rsidTr="0048334E">
        <w:tc>
          <w:tcPr>
            <w:tcW w:w="4248" w:type="dxa"/>
            <w:vAlign w:val="center"/>
          </w:tcPr>
          <w:p w14:paraId="2D234CCA" w14:textId="77777777" w:rsidR="0093441E" w:rsidRPr="002A7673" w:rsidRDefault="0093441E" w:rsidP="0048334E">
            <w:pPr>
              <w:tabs>
                <w:tab w:val="left" w:pos="993"/>
              </w:tabs>
              <w:rPr>
                <w:rFonts w:eastAsia="Book Antiqua"/>
              </w:rPr>
            </w:pPr>
            <w:r w:rsidRPr="002A7673">
              <w:rPr>
                <w:rFonts w:eastAsia="Book Antiqua"/>
              </w:rPr>
              <w:t>Administración Regional de Heredia</w:t>
            </w:r>
          </w:p>
        </w:tc>
        <w:tc>
          <w:tcPr>
            <w:tcW w:w="4580" w:type="dxa"/>
            <w:vAlign w:val="center"/>
          </w:tcPr>
          <w:p w14:paraId="3E4599A8" w14:textId="77777777" w:rsidR="0093441E" w:rsidRPr="002A7673" w:rsidRDefault="0093441E" w:rsidP="0048334E">
            <w:pPr>
              <w:tabs>
                <w:tab w:val="left" w:pos="993"/>
              </w:tabs>
              <w:rPr>
                <w:rFonts w:eastAsia="Book Antiqua"/>
                <w:highlight w:val="yellow"/>
              </w:rPr>
            </w:pPr>
            <w:r w:rsidRPr="002A7673">
              <w:rPr>
                <w:rFonts w:eastAsia="Book Antiqua"/>
              </w:rPr>
              <w:t>El Administrador Regional señala que con los recursos presupuestados se pretende atender lo básico, pero debido a los rebajos que se tuvieron que aplicar, no se puede garantizar que no exista afectación futura.</w:t>
            </w:r>
          </w:p>
        </w:tc>
      </w:tr>
      <w:tr w:rsidR="0093441E" w:rsidRPr="002A7673" w14:paraId="47BD31EC" w14:textId="77777777" w:rsidTr="0048334E">
        <w:tc>
          <w:tcPr>
            <w:tcW w:w="4248" w:type="dxa"/>
            <w:vAlign w:val="center"/>
          </w:tcPr>
          <w:p w14:paraId="071B529D" w14:textId="77777777" w:rsidR="0093441E" w:rsidRPr="002A7673" w:rsidRDefault="0093441E" w:rsidP="0048334E">
            <w:pPr>
              <w:tabs>
                <w:tab w:val="left" w:pos="993"/>
              </w:tabs>
              <w:rPr>
                <w:rFonts w:eastAsia="Book Antiqua"/>
              </w:rPr>
            </w:pPr>
            <w:r w:rsidRPr="002A7673">
              <w:rPr>
                <w:rFonts w:eastAsia="Book Antiqua"/>
              </w:rPr>
              <w:t>Segundo Circuito Judicial de la Zona Atlántica</w:t>
            </w:r>
          </w:p>
        </w:tc>
        <w:tc>
          <w:tcPr>
            <w:tcW w:w="4580" w:type="dxa"/>
            <w:vAlign w:val="center"/>
          </w:tcPr>
          <w:p w14:paraId="3E3D10E0" w14:textId="77777777" w:rsidR="0093441E" w:rsidRPr="002A7673" w:rsidRDefault="0093441E" w:rsidP="0048334E">
            <w:pPr>
              <w:tabs>
                <w:tab w:val="left" w:pos="993"/>
              </w:tabs>
              <w:rPr>
                <w:rFonts w:eastAsia="Book Antiqua"/>
              </w:rPr>
            </w:pPr>
            <w:r w:rsidRPr="002A7673">
              <w:rPr>
                <w:rFonts w:eastAsia="Book Antiqua"/>
              </w:rPr>
              <w:t>Señalan que debido a las restricciones presupuestarias y recortes que se tuvieron que hacer en el anteproyecto de presupuesto 2022, no se van a poder cumplir con objetivos y metas relacionados con los objetivos estratégicos: Resolución Oportuna de Conflictos, Optimización e Innovación de los Servicios Judiciales y Planificación Institucional.</w:t>
            </w:r>
          </w:p>
        </w:tc>
      </w:tr>
      <w:tr w:rsidR="0093441E" w:rsidRPr="002A7673" w14:paraId="5C808288" w14:textId="77777777" w:rsidTr="0048334E">
        <w:tc>
          <w:tcPr>
            <w:tcW w:w="4248" w:type="dxa"/>
            <w:vAlign w:val="center"/>
          </w:tcPr>
          <w:p w14:paraId="40310EB0" w14:textId="77777777" w:rsidR="0093441E" w:rsidRPr="002A7673" w:rsidRDefault="0093441E" w:rsidP="0048334E">
            <w:pPr>
              <w:tabs>
                <w:tab w:val="left" w:pos="993"/>
              </w:tabs>
              <w:rPr>
                <w:rFonts w:eastAsia="Book Antiqua"/>
              </w:rPr>
            </w:pPr>
            <w:r w:rsidRPr="002A7673">
              <w:rPr>
                <w:rFonts w:eastAsia="Book Antiqua"/>
              </w:rPr>
              <w:t>Administración Regional de Alajuela</w:t>
            </w:r>
          </w:p>
        </w:tc>
        <w:tc>
          <w:tcPr>
            <w:tcW w:w="4580" w:type="dxa"/>
            <w:vAlign w:val="center"/>
          </w:tcPr>
          <w:p w14:paraId="350D5B9E" w14:textId="77777777" w:rsidR="0093441E" w:rsidRPr="002A7673" w:rsidRDefault="0093441E" w:rsidP="0048334E">
            <w:pPr>
              <w:tabs>
                <w:tab w:val="left" w:pos="993"/>
              </w:tabs>
              <w:rPr>
                <w:rFonts w:eastAsia="Book Antiqua"/>
              </w:rPr>
            </w:pPr>
            <w:r w:rsidRPr="002A7673">
              <w:rPr>
                <w:rFonts w:eastAsia="Book Antiqua"/>
              </w:rPr>
              <w:t>Señalan que con los recursos solicitados para el 2022, no se cumple el objetivo “Optimizar los Recursos Institucionales e Innovar en los Procesos Judiciales”, ya que con el recorte realizado del 4% no se incluyeron recursos para continuar con las remodelaciones en infraestructura para adecuar espacios para realizar audiencias virtuales y estaciones de conexión para personas usuarias.</w:t>
            </w:r>
          </w:p>
        </w:tc>
      </w:tr>
      <w:tr w:rsidR="0093441E" w:rsidRPr="002A7673" w14:paraId="66F06D76" w14:textId="77777777" w:rsidTr="0048334E">
        <w:tc>
          <w:tcPr>
            <w:tcW w:w="4248" w:type="dxa"/>
            <w:vAlign w:val="center"/>
          </w:tcPr>
          <w:p w14:paraId="491C75D8" w14:textId="77777777" w:rsidR="0093441E" w:rsidRPr="002A7673" w:rsidRDefault="0093441E" w:rsidP="0048334E">
            <w:pPr>
              <w:rPr>
                <w:rFonts w:eastAsia="Book Antiqua"/>
              </w:rPr>
            </w:pPr>
            <w:r w:rsidRPr="002A7673">
              <w:rPr>
                <w:rFonts w:eastAsia="Book Antiqua"/>
              </w:rPr>
              <w:t>Primer Circuito Judicial de la Zona Sur</w:t>
            </w:r>
          </w:p>
        </w:tc>
        <w:tc>
          <w:tcPr>
            <w:tcW w:w="4580" w:type="dxa"/>
            <w:vAlign w:val="center"/>
          </w:tcPr>
          <w:p w14:paraId="63E1C286" w14:textId="77777777" w:rsidR="0093441E" w:rsidRPr="002A7673" w:rsidRDefault="0093441E" w:rsidP="0048334E">
            <w:pPr>
              <w:rPr>
                <w:rFonts w:eastAsia="Book Antiqua"/>
              </w:rPr>
            </w:pPr>
            <w:r w:rsidRPr="002A7673">
              <w:rPr>
                <w:rFonts w:eastAsia="Book Antiqua"/>
              </w:rPr>
              <w:t xml:space="preserve">Señalan que es posible que afecten por cuanto los recortes presupuestarios obligaron a realizar rebajas en artículos de uso común. Además, a nivel de PAO </w:t>
            </w:r>
            <w:r w:rsidRPr="002A7673">
              <w:rPr>
                <w:rFonts w:eastAsia="Book Antiqua"/>
              </w:rPr>
              <w:lastRenderedPageBreak/>
              <w:t xml:space="preserve">no se podrá cumplir con el objetivo número cuatro, que señala: </w:t>
            </w:r>
            <w:r w:rsidRPr="002A7673">
              <w:rPr>
                <w:rFonts w:eastAsia="Book Antiqua"/>
                <w:i/>
                <w:iCs/>
              </w:rPr>
              <w:t>“…Contribuir con el bienestar en salud y seguridad laboral de los colaboradores de la Administración Regional de Pérez Zeledón…”</w:t>
            </w:r>
            <w:r w:rsidRPr="002A7673">
              <w:rPr>
                <w:rFonts w:eastAsia="Book Antiqua"/>
              </w:rPr>
              <w:t>, por cuanto no se contará con este servicio por los recortes presupuestarios.</w:t>
            </w:r>
          </w:p>
        </w:tc>
      </w:tr>
      <w:tr w:rsidR="0093441E" w:rsidRPr="002A7673" w14:paraId="65D2DB94" w14:textId="77777777" w:rsidTr="0048334E">
        <w:tc>
          <w:tcPr>
            <w:tcW w:w="4248" w:type="dxa"/>
            <w:vAlign w:val="center"/>
          </w:tcPr>
          <w:p w14:paraId="30A43F74" w14:textId="77777777" w:rsidR="0093441E" w:rsidRPr="002A7673" w:rsidRDefault="0093441E" w:rsidP="0048334E">
            <w:pPr>
              <w:rPr>
                <w:rFonts w:eastAsia="Book Antiqua"/>
              </w:rPr>
            </w:pPr>
            <w:r w:rsidRPr="002A7673">
              <w:rPr>
                <w:rFonts w:eastAsia="Book Antiqua"/>
              </w:rPr>
              <w:lastRenderedPageBreak/>
              <w:t>Escuela Judicial</w:t>
            </w:r>
          </w:p>
        </w:tc>
        <w:tc>
          <w:tcPr>
            <w:tcW w:w="4580" w:type="dxa"/>
            <w:vAlign w:val="center"/>
          </w:tcPr>
          <w:p w14:paraId="28231B16" w14:textId="77777777" w:rsidR="0093441E" w:rsidRPr="002A7673" w:rsidRDefault="0093441E" w:rsidP="0048334E">
            <w:pPr>
              <w:rPr>
                <w:rFonts w:eastAsia="Book Antiqua"/>
              </w:rPr>
            </w:pPr>
            <w:r w:rsidRPr="002A7673">
              <w:rPr>
                <w:rFonts w:eastAsia="Book Antiqua"/>
              </w:rPr>
              <w:t>El presupuesto reducido del -4% que aprobó Corte Plena para el año 2022, sí podría presentar afectación con el cumplimiento de los compromisos incluidos en el PEI, lo anterior ya que se cuenta con presupuesto limitado en subpartidas sensibles para la Escuela Judicial, como las de la partida 5 las cuales se consideran necesarias para desarrollar y modernizar la capacitación en su etapa virtual y bimodal. Además, en la subpartida 60203 Ayuda a Funcionarios se encuentran los recursos para los participantes del Programa de Formación Inicial para Aspirantes a la Judicatura, lo que pone en riesgo la ejecución de dicho programa. No contar con recursos suficientes para los Especialistas en Contenido, que desarrollan la Capacitación Judicial, genera también afectación en el cumplimiento de las metas y objetivos.</w:t>
            </w:r>
          </w:p>
        </w:tc>
      </w:tr>
      <w:tr w:rsidR="0093441E" w:rsidRPr="002A7673" w14:paraId="12ABD76E" w14:textId="77777777" w:rsidTr="0048334E">
        <w:tc>
          <w:tcPr>
            <w:tcW w:w="4248" w:type="dxa"/>
            <w:vAlign w:val="center"/>
          </w:tcPr>
          <w:p w14:paraId="653EACA2" w14:textId="77777777" w:rsidR="0093441E" w:rsidRPr="002A7673" w:rsidRDefault="0093441E" w:rsidP="0048334E">
            <w:pPr>
              <w:rPr>
                <w:rFonts w:eastAsia="Book Antiqua"/>
              </w:rPr>
            </w:pPr>
            <w:r w:rsidRPr="002A7673">
              <w:rPr>
                <w:rFonts w:eastAsia="Book Antiqua"/>
              </w:rPr>
              <w:t>Departamento de Prensa y Comunicación Organizacional</w:t>
            </w:r>
          </w:p>
        </w:tc>
        <w:tc>
          <w:tcPr>
            <w:tcW w:w="4580" w:type="dxa"/>
            <w:vAlign w:val="center"/>
          </w:tcPr>
          <w:p w14:paraId="3071A3F6" w14:textId="77777777" w:rsidR="0093441E" w:rsidRPr="002A7673" w:rsidRDefault="0093441E" w:rsidP="0048334E">
            <w:pPr>
              <w:rPr>
                <w:rFonts w:eastAsia="Book Antiqua"/>
              </w:rPr>
            </w:pPr>
            <w:r w:rsidRPr="002A7673">
              <w:rPr>
                <w:rFonts w:eastAsia="Book Antiqua"/>
              </w:rPr>
              <w:t>Indican que no se afectará directamente el cumplimiento de objetivos y metas del PEI, porque se plantean diversas acciones dentro del PAO para cumplir, pero sí se tuvo que hacer ajustes porque es menor el recurso. Es decir, hay una afectación del impacto que se pudo tener con algunas acciones, pero se han definido otras para cumplir con las metas. En el caso del Departamento se dispone de recursos para difusión de la campaña de institucionalidad, que son mensajes sobre servicios del Poder Judicial, que se pautan en medios de comunicación para tener un mayor impacto, por lo que ante la reducción de presupuesto se hace un Plan de Medios que se ajusta al recurso disponible y se toman decisiones que procuran maximizar el disponible presupuestario.  También se busca el apoyo por ejemplo con la Dirección Ejecutiva o el Despacho de la Presidencia, para en caso de tener la disponibilidad de algún recurso se pueda reforzar la campaña.</w:t>
            </w:r>
          </w:p>
        </w:tc>
      </w:tr>
      <w:tr w:rsidR="0093441E" w:rsidRPr="002A7673" w14:paraId="6CB20CFE" w14:textId="77777777" w:rsidTr="0048334E">
        <w:tc>
          <w:tcPr>
            <w:tcW w:w="4248" w:type="dxa"/>
            <w:vAlign w:val="center"/>
          </w:tcPr>
          <w:p w14:paraId="6574603D" w14:textId="77777777" w:rsidR="0093441E" w:rsidRPr="002A7673" w:rsidRDefault="0093441E" w:rsidP="0048334E">
            <w:pPr>
              <w:rPr>
                <w:rFonts w:eastAsia="Book Antiqua"/>
              </w:rPr>
            </w:pPr>
            <w:r w:rsidRPr="002A7673">
              <w:rPr>
                <w:rFonts w:eastAsia="Book Antiqua"/>
              </w:rPr>
              <w:t>Primer Circuito Judicial de la Zona Atlántica</w:t>
            </w:r>
          </w:p>
        </w:tc>
        <w:tc>
          <w:tcPr>
            <w:tcW w:w="4580" w:type="dxa"/>
            <w:vAlign w:val="center"/>
          </w:tcPr>
          <w:p w14:paraId="3C9CF6BA" w14:textId="77777777" w:rsidR="0093441E" w:rsidRPr="002A7673" w:rsidRDefault="0093441E" w:rsidP="0048334E">
            <w:pPr>
              <w:rPr>
                <w:rFonts w:eastAsia="Book Antiqua"/>
              </w:rPr>
            </w:pPr>
            <w:r w:rsidRPr="002A7673">
              <w:rPr>
                <w:rFonts w:eastAsia="Book Antiqua"/>
              </w:rPr>
              <w:t>Por el recorte que se debió aplicar en la subpartida de viáticos, una de las oficinas afectadas fue la Oficina de Comunicaciones Judiciales, por lo que en caso de que se agote el presupuesto para giras, se podría afectar la cantidad total de comunicados.</w:t>
            </w:r>
          </w:p>
        </w:tc>
      </w:tr>
    </w:tbl>
    <w:p w14:paraId="05A95ACC" w14:textId="77777777" w:rsidR="0093441E" w:rsidRPr="002A7673" w:rsidRDefault="0093441E" w:rsidP="0093441E">
      <w:pPr>
        <w:spacing w:after="0" w:line="480" w:lineRule="auto"/>
        <w:jc w:val="center"/>
        <w:rPr>
          <w:rFonts w:ascii="Times New Roman" w:eastAsia="Book Antiqua" w:hAnsi="Times New Roman" w:cs="Times New Roman"/>
          <w:sz w:val="28"/>
          <w:szCs w:val="28"/>
        </w:rPr>
      </w:pPr>
      <w:r w:rsidRPr="002A7673">
        <w:rPr>
          <w:rFonts w:ascii="Times New Roman" w:eastAsia="Book Antiqua" w:hAnsi="Times New Roman" w:cs="Times New Roman"/>
          <w:sz w:val="28"/>
          <w:szCs w:val="28"/>
        </w:rPr>
        <w:t>-0-</w:t>
      </w:r>
    </w:p>
    <w:p w14:paraId="4D0CF496" w14:textId="77777777" w:rsidR="0093441E" w:rsidRPr="002A7673" w:rsidRDefault="0093441E" w:rsidP="0093441E">
      <w:pPr>
        <w:spacing w:after="0" w:line="480" w:lineRule="auto"/>
        <w:ind w:firstLine="709"/>
        <w:jc w:val="both"/>
        <w:rPr>
          <w:rFonts w:ascii="Times New Roman" w:eastAsiaTheme="majorEastAsia" w:hAnsi="Times New Roman" w:cs="Times New Roman"/>
          <w:bCs/>
          <w:sz w:val="28"/>
          <w:szCs w:val="28"/>
        </w:rPr>
      </w:pPr>
      <w:r w:rsidRPr="002A7673">
        <w:rPr>
          <w:rFonts w:ascii="Times New Roman" w:eastAsiaTheme="majorEastAsia" w:hAnsi="Times New Roman" w:cs="Times New Roman"/>
          <w:bCs/>
          <w:sz w:val="28"/>
          <w:szCs w:val="28"/>
        </w:rPr>
        <w:lastRenderedPageBreak/>
        <w:t xml:space="preserve">El </w:t>
      </w:r>
      <w:proofErr w:type="gramStart"/>
      <w:r w:rsidRPr="002A7673">
        <w:rPr>
          <w:rFonts w:ascii="Times New Roman" w:eastAsiaTheme="majorEastAsia" w:hAnsi="Times New Roman" w:cs="Times New Roman"/>
          <w:bCs/>
          <w:sz w:val="28"/>
          <w:szCs w:val="28"/>
        </w:rPr>
        <w:t>Master</w:t>
      </w:r>
      <w:proofErr w:type="gramEnd"/>
      <w:r w:rsidRPr="002A7673">
        <w:rPr>
          <w:rFonts w:ascii="Times New Roman" w:eastAsiaTheme="majorEastAsia" w:hAnsi="Times New Roman" w:cs="Times New Roman"/>
          <w:bCs/>
          <w:sz w:val="28"/>
          <w:szCs w:val="28"/>
        </w:rPr>
        <w:t xml:space="preserve"> Erick Antonio Mora Leiva, Jefe del Proceso de Planeación y Evaluación explica que tanto a nivel de título, esto es, el presupuesto total del Poder Judicial, como a nivel de cada Programa, al día viernes 23 de abril de 2021, se tiene un comportamiento muy controlado del gasto, lo anterior gracias al esfuerzo institucional de los distintos centros de responsabilidad y Programas para cumplir con el acuerdo de Corte Plena de ajustar la solicitud presupuestaria del 2022 en un -4%. Lo anterior, permitió que al consolidarse las peticiones de gastos variable con la previsión presupuestaria de Remuneraciones se logre un comportamiento muy controlado del gasto institucional, dentro de los límites establecidos por el Ministerio de Hacienda. Se concluye </w:t>
      </w:r>
      <w:proofErr w:type="gramStart"/>
      <w:r w:rsidRPr="002A7673">
        <w:rPr>
          <w:rFonts w:ascii="Times New Roman" w:eastAsiaTheme="majorEastAsia" w:hAnsi="Times New Roman" w:cs="Times New Roman"/>
          <w:bCs/>
          <w:sz w:val="28"/>
          <w:szCs w:val="28"/>
        </w:rPr>
        <w:t>que</w:t>
      </w:r>
      <w:proofErr w:type="gramEnd"/>
      <w:r w:rsidRPr="002A7673">
        <w:rPr>
          <w:rFonts w:ascii="Times New Roman" w:eastAsiaTheme="majorEastAsia" w:hAnsi="Times New Roman" w:cs="Times New Roman"/>
          <w:bCs/>
          <w:sz w:val="28"/>
          <w:szCs w:val="28"/>
        </w:rPr>
        <w:t xml:space="preserve"> de no haberse adoptado esta medida, posiblemente al consolidarse la petición de necesidades de gasto variable con las de remuneraciones, el monto total habría sido superior al tope presupuestario para el 2022 establecido para el Poder Judicial, tanto en gasto corriente como en gasto de capital.</w:t>
      </w:r>
    </w:p>
    <w:p w14:paraId="05100C57" w14:textId="77777777" w:rsidR="0093441E" w:rsidRPr="002A7673" w:rsidRDefault="0093441E" w:rsidP="0093441E">
      <w:pPr>
        <w:spacing w:after="0" w:line="480" w:lineRule="auto"/>
        <w:ind w:firstLine="709"/>
        <w:jc w:val="both"/>
        <w:rPr>
          <w:rFonts w:ascii="Times New Roman" w:eastAsiaTheme="majorEastAsia" w:hAnsi="Times New Roman" w:cs="Times New Roman"/>
          <w:bCs/>
          <w:sz w:val="28"/>
          <w:szCs w:val="28"/>
        </w:rPr>
      </w:pPr>
      <w:r w:rsidRPr="002A7673">
        <w:rPr>
          <w:rFonts w:ascii="Times New Roman" w:eastAsiaTheme="majorEastAsia" w:hAnsi="Times New Roman" w:cs="Times New Roman"/>
          <w:bCs/>
          <w:sz w:val="28"/>
          <w:szCs w:val="28"/>
        </w:rPr>
        <w:t>Se reitera también que como parte del presupuesto consolidado de los Programas 926 y 927 se absorbe el impacto de la inclusión de los recursos formulados para el Área de Tecnología, en el entendido que se autorizó no aplicarle un tope al presupuesto en tecnología de la información y poder mantener el límite presupuestario tal y como se aprobó  originalmente en el presupuesto para el 2021, lo anterior según el acuerdo de Corte Plena de sesión N°02-2021 celebrada el 11 de enero de 2021, artículo XLI.</w:t>
      </w:r>
    </w:p>
    <w:p w14:paraId="53B62405" w14:textId="77777777" w:rsidR="0093441E" w:rsidRPr="002A7673" w:rsidRDefault="0093441E" w:rsidP="0093441E">
      <w:pPr>
        <w:spacing w:after="0" w:line="480" w:lineRule="auto"/>
        <w:ind w:firstLine="709"/>
        <w:jc w:val="both"/>
        <w:rPr>
          <w:rFonts w:ascii="Times New Roman" w:eastAsiaTheme="majorEastAsia" w:hAnsi="Times New Roman" w:cs="Times New Roman"/>
          <w:bCs/>
          <w:sz w:val="28"/>
          <w:szCs w:val="28"/>
        </w:rPr>
      </w:pPr>
      <w:r w:rsidRPr="002A7673">
        <w:rPr>
          <w:rFonts w:ascii="Times New Roman" w:eastAsiaTheme="majorEastAsia" w:hAnsi="Times New Roman" w:cs="Times New Roman"/>
          <w:bCs/>
          <w:sz w:val="28"/>
          <w:szCs w:val="28"/>
        </w:rPr>
        <w:lastRenderedPageBreak/>
        <w:t xml:space="preserve">Adicionalmente, en relación con el cumplimiento de los PAOS, indica que como complemento a lo señalado en el contenido de la agenda, se realizó consulta a la Administración de Santa Cruz, por el bajo nivel de cumplimiento de PAOS y se indicó por parte de su Administradora que el 22 de enero pasado, solicitaron a los despachos judiciales que realizaran la actualización en el sistema sobre el avance del PAO 2020, y que de todos los despachos solo dieron respuesta el Juzgado Agrario que alcanzó un 92% y el Juzgado de Familia que cerró con un 70%. </w:t>
      </w:r>
      <w:proofErr w:type="gramStart"/>
      <w:r w:rsidRPr="002A7673">
        <w:rPr>
          <w:rFonts w:ascii="Times New Roman" w:eastAsiaTheme="majorEastAsia" w:hAnsi="Times New Roman" w:cs="Times New Roman"/>
          <w:bCs/>
          <w:sz w:val="28"/>
          <w:szCs w:val="28"/>
        </w:rPr>
        <w:t>Agregó</w:t>
      </w:r>
      <w:proofErr w:type="gramEnd"/>
      <w:r w:rsidRPr="002A7673">
        <w:rPr>
          <w:rFonts w:ascii="Times New Roman" w:eastAsiaTheme="majorEastAsia" w:hAnsi="Times New Roman" w:cs="Times New Roman"/>
          <w:bCs/>
          <w:sz w:val="28"/>
          <w:szCs w:val="28"/>
        </w:rPr>
        <w:t xml:space="preserve"> además, que la Coordinadora del Área Jurisdiccional es quien hace el acompañamiento a las oficinas y remite los recordatorios a todo el Circuito, pero que esta labor con los despachos en ocasiones resulta difícil. Finalmente señaló que, verificando los porcentajes por despachos, el Juzgado Penal es el que según el Sistema tiene el cumplimiento más bajo con tan solo un 5%.</w:t>
      </w:r>
    </w:p>
    <w:p w14:paraId="0D90B96C" w14:textId="77777777" w:rsidR="0093441E" w:rsidRPr="002A7673" w:rsidRDefault="0093441E" w:rsidP="0093441E">
      <w:pPr>
        <w:spacing w:after="0" w:line="480" w:lineRule="auto"/>
        <w:ind w:firstLine="709"/>
        <w:jc w:val="both"/>
        <w:rPr>
          <w:rFonts w:ascii="Times New Roman" w:eastAsia="Book Antiqua" w:hAnsi="Times New Roman" w:cs="Times New Roman"/>
          <w:b/>
          <w:bCs/>
          <w:sz w:val="28"/>
          <w:szCs w:val="28"/>
        </w:rPr>
      </w:pPr>
      <w:r w:rsidRPr="002A7673">
        <w:rPr>
          <w:rFonts w:ascii="Times New Roman" w:eastAsiaTheme="majorEastAsia" w:hAnsi="Times New Roman" w:cs="Times New Roman"/>
          <w:b/>
          <w:sz w:val="28"/>
          <w:szCs w:val="28"/>
        </w:rPr>
        <w:t>Se acordó</w:t>
      </w:r>
      <w:r w:rsidRPr="002A7673">
        <w:rPr>
          <w:rFonts w:ascii="Times New Roman" w:eastAsiaTheme="majorEastAsia" w:hAnsi="Times New Roman" w:cs="Times New Roman"/>
          <w:bCs/>
          <w:sz w:val="28"/>
          <w:szCs w:val="28"/>
        </w:rPr>
        <w:t xml:space="preserve">: </w:t>
      </w:r>
      <w:r w:rsidRPr="002A7673">
        <w:rPr>
          <w:rFonts w:ascii="Times New Roman" w:eastAsiaTheme="majorEastAsia" w:hAnsi="Times New Roman" w:cs="Times New Roman"/>
          <w:b/>
          <w:sz w:val="28"/>
          <w:szCs w:val="28"/>
        </w:rPr>
        <w:t>1)</w:t>
      </w:r>
      <w:r w:rsidRPr="002A7673">
        <w:rPr>
          <w:rFonts w:ascii="Times New Roman" w:eastAsiaTheme="majorEastAsia" w:hAnsi="Times New Roman" w:cs="Times New Roman"/>
          <w:bCs/>
          <w:sz w:val="28"/>
          <w:szCs w:val="28"/>
        </w:rPr>
        <w:t xml:space="preserve"> Dar por conocido el presupuesto y las programaciones presupuestarias de los programas 926 Dirección, Administración y Otros Órganos de Apoyo y 927 Servicio Jurisdiccional para el 2022; sin embargo, se estará a la espera del análisis global del presupuesto 2022, para presentar una propuesta general que integre todas las necesidades institucionales. </w:t>
      </w:r>
      <w:r w:rsidRPr="002A7673">
        <w:rPr>
          <w:rFonts w:ascii="Times New Roman" w:eastAsiaTheme="majorEastAsia" w:hAnsi="Times New Roman" w:cs="Times New Roman"/>
          <w:b/>
          <w:sz w:val="28"/>
          <w:szCs w:val="28"/>
        </w:rPr>
        <w:t>2)</w:t>
      </w:r>
      <w:r w:rsidRPr="002A7673">
        <w:rPr>
          <w:rFonts w:ascii="Times New Roman" w:eastAsiaTheme="majorEastAsia" w:hAnsi="Times New Roman" w:cs="Times New Roman"/>
          <w:bCs/>
          <w:sz w:val="28"/>
          <w:szCs w:val="28"/>
        </w:rPr>
        <w:t xml:space="preserve"> Se toma nota del análisis del presupuesto asociado a la ejecución de proyectos estratégicos institucionales y se insta al cumplimiento de estos. </w:t>
      </w:r>
      <w:r w:rsidRPr="002A7673">
        <w:rPr>
          <w:rFonts w:ascii="Times New Roman" w:eastAsiaTheme="majorEastAsia" w:hAnsi="Times New Roman" w:cs="Times New Roman"/>
          <w:b/>
          <w:sz w:val="28"/>
          <w:szCs w:val="28"/>
        </w:rPr>
        <w:t>3)</w:t>
      </w:r>
      <w:r w:rsidRPr="002A7673">
        <w:rPr>
          <w:rFonts w:ascii="Times New Roman" w:eastAsiaTheme="majorEastAsia" w:hAnsi="Times New Roman" w:cs="Times New Roman"/>
          <w:bCs/>
          <w:sz w:val="28"/>
          <w:szCs w:val="28"/>
        </w:rPr>
        <w:t xml:space="preserve"> Aprobar todos los requerimientos adicionales solicitados </w:t>
      </w:r>
      <w:r w:rsidRPr="002A7673">
        <w:rPr>
          <w:rFonts w:ascii="Times New Roman" w:eastAsiaTheme="majorEastAsia" w:hAnsi="Times New Roman" w:cs="Times New Roman"/>
          <w:bCs/>
          <w:sz w:val="28"/>
          <w:szCs w:val="28"/>
        </w:rPr>
        <w:lastRenderedPageBreak/>
        <w:t>como “Requerimientos Adicionales Incluidos en los Informes por Centro de Responsabilidad”, por un total de ¢20.097.292 (veinte millones noventa y siete mil doscientos noventa y dos colones exactos), conforme el siguiente detalle:</w:t>
      </w:r>
    </w:p>
    <w:tbl>
      <w:tblPr>
        <w:tblW w:w="8779" w:type="dxa"/>
        <w:tblCellMar>
          <w:left w:w="70" w:type="dxa"/>
          <w:right w:w="70" w:type="dxa"/>
        </w:tblCellMar>
        <w:tblLook w:val="04A0" w:firstRow="1" w:lastRow="0" w:firstColumn="1" w:lastColumn="0" w:noHBand="0" w:noVBand="1"/>
      </w:tblPr>
      <w:tblGrid>
        <w:gridCol w:w="1985"/>
        <w:gridCol w:w="1718"/>
        <w:gridCol w:w="1361"/>
        <w:gridCol w:w="3715"/>
      </w:tblGrid>
      <w:tr w:rsidR="0093441E" w:rsidRPr="002A7673" w14:paraId="42BB21D9" w14:textId="77777777" w:rsidTr="0048334E">
        <w:trPr>
          <w:trHeight w:val="630"/>
        </w:trPr>
        <w:tc>
          <w:tcPr>
            <w:tcW w:w="1985"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04262367"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Centro de Responsabilidad</w:t>
            </w:r>
          </w:p>
        </w:tc>
        <w:tc>
          <w:tcPr>
            <w:tcW w:w="1718" w:type="dxa"/>
            <w:tcBorders>
              <w:top w:val="single" w:sz="8" w:space="0" w:color="auto"/>
              <w:left w:val="nil"/>
              <w:bottom w:val="single" w:sz="8" w:space="0" w:color="auto"/>
              <w:right w:val="single" w:sz="8" w:space="0" w:color="auto"/>
            </w:tcBorders>
            <w:shd w:val="clear" w:color="000000" w:fill="B4C6E7"/>
            <w:vAlign w:val="center"/>
            <w:hideMark/>
          </w:tcPr>
          <w:p w14:paraId="4628DE9D"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Subpartida</w:t>
            </w:r>
          </w:p>
        </w:tc>
        <w:tc>
          <w:tcPr>
            <w:tcW w:w="1361" w:type="dxa"/>
            <w:tcBorders>
              <w:top w:val="single" w:sz="8" w:space="0" w:color="auto"/>
              <w:left w:val="nil"/>
              <w:bottom w:val="single" w:sz="8" w:space="0" w:color="auto"/>
              <w:right w:val="single" w:sz="8" w:space="0" w:color="auto"/>
            </w:tcBorders>
            <w:shd w:val="clear" w:color="000000" w:fill="B4C6E7"/>
            <w:vAlign w:val="center"/>
            <w:hideMark/>
          </w:tcPr>
          <w:p w14:paraId="28F10FB8"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Monto Solicitado</w:t>
            </w:r>
          </w:p>
        </w:tc>
        <w:tc>
          <w:tcPr>
            <w:tcW w:w="3715" w:type="dxa"/>
            <w:tcBorders>
              <w:top w:val="single" w:sz="8" w:space="0" w:color="auto"/>
              <w:left w:val="nil"/>
              <w:bottom w:val="single" w:sz="8" w:space="0" w:color="auto"/>
              <w:right w:val="single" w:sz="8" w:space="0" w:color="auto"/>
            </w:tcBorders>
            <w:shd w:val="clear" w:color="000000" w:fill="B4C6E7"/>
            <w:vAlign w:val="center"/>
            <w:hideMark/>
          </w:tcPr>
          <w:p w14:paraId="42F4C1C9"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Justificación</w:t>
            </w:r>
          </w:p>
        </w:tc>
      </w:tr>
      <w:tr w:rsidR="0093441E" w:rsidRPr="002A7673" w14:paraId="000E92B6" w14:textId="77777777" w:rsidTr="0048334E">
        <w:trPr>
          <w:trHeight w:val="1200"/>
        </w:trPr>
        <w:tc>
          <w:tcPr>
            <w:tcW w:w="1985" w:type="dxa"/>
            <w:tcBorders>
              <w:top w:val="nil"/>
              <w:left w:val="single" w:sz="8" w:space="0" w:color="auto"/>
              <w:bottom w:val="single" w:sz="8" w:space="0" w:color="auto"/>
              <w:right w:val="single" w:sz="8" w:space="0" w:color="auto"/>
            </w:tcBorders>
            <w:shd w:val="clear" w:color="auto" w:fill="auto"/>
            <w:vAlign w:val="center"/>
            <w:hideMark/>
          </w:tcPr>
          <w:p w14:paraId="200E55E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Dirección de Gestión Humana</w:t>
            </w:r>
          </w:p>
        </w:tc>
        <w:tc>
          <w:tcPr>
            <w:tcW w:w="1718" w:type="dxa"/>
            <w:tcBorders>
              <w:top w:val="nil"/>
              <w:left w:val="nil"/>
              <w:bottom w:val="single" w:sz="8" w:space="0" w:color="auto"/>
              <w:right w:val="single" w:sz="8" w:space="0" w:color="auto"/>
            </w:tcBorders>
            <w:shd w:val="clear" w:color="auto" w:fill="auto"/>
            <w:vAlign w:val="center"/>
            <w:hideMark/>
          </w:tcPr>
          <w:p w14:paraId="6102511D"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10499 Otros Servicios de Gestión y Apoyo</w:t>
            </w:r>
          </w:p>
        </w:tc>
        <w:tc>
          <w:tcPr>
            <w:tcW w:w="1361" w:type="dxa"/>
            <w:tcBorders>
              <w:top w:val="nil"/>
              <w:left w:val="nil"/>
              <w:bottom w:val="single" w:sz="8" w:space="0" w:color="auto"/>
              <w:right w:val="single" w:sz="8" w:space="0" w:color="auto"/>
            </w:tcBorders>
            <w:shd w:val="clear" w:color="auto" w:fill="auto"/>
            <w:vAlign w:val="center"/>
            <w:hideMark/>
          </w:tcPr>
          <w:p w14:paraId="30EEA95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10 000 000 </w:t>
            </w:r>
          </w:p>
        </w:tc>
        <w:tc>
          <w:tcPr>
            <w:tcW w:w="3715" w:type="dxa"/>
            <w:tcBorders>
              <w:top w:val="nil"/>
              <w:left w:val="nil"/>
              <w:bottom w:val="single" w:sz="8" w:space="0" w:color="auto"/>
              <w:right w:val="single" w:sz="8" w:space="0" w:color="auto"/>
            </w:tcBorders>
            <w:shd w:val="clear" w:color="auto" w:fill="auto"/>
            <w:vAlign w:val="center"/>
            <w:hideMark/>
          </w:tcPr>
          <w:p w14:paraId="4EE34659"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Para contratar servicios profesionales y técnicos para el desarrollo de herramientas tecnológicas con el fin de satisfacer necesidades de capacitación que desde el Subproceso de Gestión de la Capacitación no es posible atender por el nivel de especialidad técnica que se requiere. </w:t>
            </w:r>
          </w:p>
        </w:tc>
      </w:tr>
      <w:tr w:rsidR="0093441E" w:rsidRPr="002A7673" w14:paraId="75E5FF27" w14:textId="77777777" w:rsidTr="0048334E">
        <w:trPr>
          <w:trHeight w:val="4480"/>
        </w:trPr>
        <w:tc>
          <w:tcPr>
            <w:tcW w:w="1985" w:type="dxa"/>
            <w:tcBorders>
              <w:top w:val="nil"/>
              <w:left w:val="single" w:sz="8" w:space="0" w:color="auto"/>
              <w:bottom w:val="single" w:sz="8" w:space="0" w:color="auto"/>
              <w:right w:val="single" w:sz="8" w:space="0" w:color="auto"/>
            </w:tcBorders>
            <w:shd w:val="clear" w:color="auto" w:fill="auto"/>
            <w:vAlign w:val="center"/>
            <w:hideMark/>
          </w:tcPr>
          <w:p w14:paraId="4A1F037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Segundo Circuito Judicial de la Zona Atlántica</w:t>
            </w:r>
          </w:p>
        </w:tc>
        <w:tc>
          <w:tcPr>
            <w:tcW w:w="1718" w:type="dxa"/>
            <w:tcBorders>
              <w:top w:val="nil"/>
              <w:left w:val="nil"/>
              <w:bottom w:val="single" w:sz="8" w:space="0" w:color="auto"/>
              <w:right w:val="single" w:sz="8" w:space="0" w:color="auto"/>
            </w:tcBorders>
            <w:shd w:val="clear" w:color="auto" w:fill="auto"/>
            <w:vAlign w:val="center"/>
            <w:hideMark/>
          </w:tcPr>
          <w:p w14:paraId="22D3F027"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10502 Viáticos dentro del País</w:t>
            </w:r>
          </w:p>
        </w:tc>
        <w:tc>
          <w:tcPr>
            <w:tcW w:w="1361" w:type="dxa"/>
            <w:tcBorders>
              <w:top w:val="nil"/>
              <w:left w:val="nil"/>
              <w:bottom w:val="single" w:sz="8" w:space="0" w:color="auto"/>
              <w:right w:val="single" w:sz="8" w:space="0" w:color="auto"/>
            </w:tcBorders>
            <w:shd w:val="clear" w:color="auto" w:fill="auto"/>
            <w:vAlign w:val="center"/>
            <w:hideMark/>
          </w:tcPr>
          <w:p w14:paraId="37B0D113"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     2 407 500 </w:t>
            </w:r>
          </w:p>
        </w:tc>
        <w:tc>
          <w:tcPr>
            <w:tcW w:w="3715" w:type="dxa"/>
            <w:tcBorders>
              <w:top w:val="nil"/>
              <w:left w:val="nil"/>
              <w:bottom w:val="single" w:sz="8" w:space="0" w:color="auto"/>
              <w:right w:val="single" w:sz="8" w:space="0" w:color="auto"/>
            </w:tcBorders>
            <w:shd w:val="clear" w:color="auto" w:fill="auto"/>
            <w:vAlign w:val="center"/>
            <w:hideMark/>
          </w:tcPr>
          <w:p w14:paraId="155195A1" w14:textId="77777777" w:rsidR="0093441E" w:rsidRPr="002A7673" w:rsidRDefault="0093441E" w:rsidP="0048334E">
            <w:pPr>
              <w:spacing w:after="0" w:line="240" w:lineRule="auto"/>
              <w:rPr>
                <w:rFonts w:ascii="Times New Roman" w:hAnsi="Times New Roman" w:cs="Times New Roman"/>
                <w:color w:val="000000"/>
                <w:lang w:eastAsia="es-CR"/>
              </w:rPr>
            </w:pPr>
            <w:r w:rsidRPr="002A7673">
              <w:rPr>
                <w:rFonts w:ascii="Times New Roman" w:hAnsi="Times New Roman" w:cs="Times New Roman"/>
                <w:color w:val="000000"/>
                <w:lang w:eastAsia="es-CR"/>
              </w:rPr>
              <w:t xml:space="preserve">Recursos que fueron recortados por directrices. Indica Miguel Gutiérrez que la pandemia del Covid-19 afectó las giras, ayudas económicas y actividades del circuito para el 2020, sobre todo en localidades como Pococí, Guácimo y Siquirres que son cantones en alerta naranja. Las medidas adoptadas por el Ministerio de Salud hicieron que la afluencia del público a los despachos judiciales se viera disminuida, incluso existieron lapsos en que se atendieron solamente servicios esenciales, todos estos elementos afectaron y disminuyeron la ejecución presupuestaria, pero para el 2022 se estima la normalidad en las actividades. Un factor que incide en el incremento de los recursos solicitados, es la estimación de enviar dos personas juzgadoras cuatro días a la semana del Tribunal de Juicio de Pococí para atender asuntos en Siquirres, siendo que solo existe un Juez en esa zona y los otros tres que completan el equipo, corresponden a permisos con goce de salario o plazas extraordinarias las cuales se ven en riesgo de no </w:t>
            </w:r>
            <w:r w:rsidRPr="002A7673">
              <w:rPr>
                <w:rFonts w:ascii="Times New Roman" w:hAnsi="Times New Roman" w:cs="Times New Roman"/>
                <w:color w:val="000000"/>
                <w:lang w:eastAsia="es-CR"/>
              </w:rPr>
              <w:lastRenderedPageBreak/>
              <w:t>prorrogarse ante la necesidad de minimizar los permisos por el artículo 44, aún y cuando en el rediseño del despacho la Dirección de Planificación se definió que es necesario un equipo completo en Siquirres.</w:t>
            </w:r>
          </w:p>
        </w:tc>
      </w:tr>
      <w:tr w:rsidR="0093441E" w:rsidRPr="002A7673" w14:paraId="16F34D5B" w14:textId="77777777" w:rsidTr="0048334E">
        <w:trPr>
          <w:trHeight w:val="1050"/>
        </w:trPr>
        <w:tc>
          <w:tcPr>
            <w:tcW w:w="1985" w:type="dxa"/>
            <w:tcBorders>
              <w:top w:val="nil"/>
              <w:left w:val="single" w:sz="8" w:space="0" w:color="auto"/>
              <w:bottom w:val="single" w:sz="8" w:space="0" w:color="auto"/>
              <w:right w:val="single" w:sz="8" w:space="0" w:color="auto"/>
            </w:tcBorders>
            <w:shd w:val="clear" w:color="auto" w:fill="auto"/>
            <w:vAlign w:val="center"/>
            <w:hideMark/>
          </w:tcPr>
          <w:p w14:paraId="137A67D1"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lastRenderedPageBreak/>
              <w:t>Centro Judicial de Intervención de las Comunicaciones</w:t>
            </w:r>
          </w:p>
        </w:tc>
        <w:tc>
          <w:tcPr>
            <w:tcW w:w="1718" w:type="dxa"/>
            <w:tcBorders>
              <w:top w:val="nil"/>
              <w:left w:val="nil"/>
              <w:bottom w:val="single" w:sz="8" w:space="0" w:color="auto"/>
              <w:right w:val="single" w:sz="8" w:space="0" w:color="auto"/>
            </w:tcBorders>
            <w:shd w:val="clear" w:color="auto" w:fill="auto"/>
            <w:vAlign w:val="center"/>
            <w:hideMark/>
          </w:tcPr>
          <w:p w14:paraId="59ED7F16"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50104 Equipo y Mobiliario de Oficina</w:t>
            </w:r>
          </w:p>
        </w:tc>
        <w:tc>
          <w:tcPr>
            <w:tcW w:w="1361" w:type="dxa"/>
            <w:tcBorders>
              <w:top w:val="nil"/>
              <w:left w:val="nil"/>
              <w:bottom w:val="single" w:sz="8" w:space="0" w:color="auto"/>
              <w:right w:val="single" w:sz="8" w:space="0" w:color="auto"/>
            </w:tcBorders>
            <w:shd w:val="clear" w:color="auto" w:fill="auto"/>
            <w:vAlign w:val="center"/>
            <w:hideMark/>
          </w:tcPr>
          <w:p w14:paraId="073157BF"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5 000 000 </w:t>
            </w:r>
          </w:p>
        </w:tc>
        <w:tc>
          <w:tcPr>
            <w:tcW w:w="3715" w:type="dxa"/>
            <w:tcBorders>
              <w:top w:val="nil"/>
              <w:left w:val="nil"/>
              <w:bottom w:val="single" w:sz="8" w:space="0" w:color="auto"/>
              <w:right w:val="single" w:sz="8" w:space="0" w:color="auto"/>
            </w:tcBorders>
            <w:shd w:val="clear" w:color="auto" w:fill="auto"/>
            <w:vAlign w:val="center"/>
            <w:hideMark/>
          </w:tcPr>
          <w:p w14:paraId="0AFFEB52"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Para la compra de muebles modulares debido a las condiciones de hacinamiento de esta oficina basado en el estudio técnico de la Unidad de Salud Ocupacional.</w:t>
            </w:r>
          </w:p>
        </w:tc>
      </w:tr>
      <w:tr w:rsidR="0093441E" w:rsidRPr="002A7673" w14:paraId="07272D73" w14:textId="77777777" w:rsidTr="0048334E">
        <w:trPr>
          <w:trHeight w:val="1050"/>
        </w:trPr>
        <w:tc>
          <w:tcPr>
            <w:tcW w:w="1985" w:type="dxa"/>
            <w:vMerge w:val="restart"/>
            <w:tcBorders>
              <w:top w:val="nil"/>
              <w:left w:val="single" w:sz="8" w:space="0" w:color="auto"/>
              <w:bottom w:val="single" w:sz="8" w:space="0" w:color="000000"/>
              <w:right w:val="single" w:sz="8" w:space="0" w:color="auto"/>
            </w:tcBorders>
            <w:shd w:val="clear" w:color="auto" w:fill="auto"/>
            <w:vAlign w:val="center"/>
            <w:hideMark/>
          </w:tcPr>
          <w:p w14:paraId="0EEB681D"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Centro de Conciliación</w:t>
            </w:r>
          </w:p>
        </w:tc>
        <w:tc>
          <w:tcPr>
            <w:tcW w:w="1718" w:type="dxa"/>
            <w:tcBorders>
              <w:top w:val="nil"/>
              <w:left w:val="nil"/>
              <w:bottom w:val="single" w:sz="8" w:space="0" w:color="auto"/>
              <w:right w:val="single" w:sz="8" w:space="0" w:color="auto"/>
            </w:tcBorders>
            <w:shd w:val="clear" w:color="auto" w:fill="auto"/>
            <w:vAlign w:val="center"/>
            <w:hideMark/>
          </w:tcPr>
          <w:p w14:paraId="7805E205"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10301 Información</w:t>
            </w:r>
          </w:p>
        </w:tc>
        <w:tc>
          <w:tcPr>
            <w:tcW w:w="1361" w:type="dxa"/>
            <w:tcBorders>
              <w:top w:val="nil"/>
              <w:left w:val="nil"/>
              <w:bottom w:val="single" w:sz="8" w:space="0" w:color="auto"/>
              <w:right w:val="single" w:sz="8" w:space="0" w:color="auto"/>
            </w:tcBorders>
            <w:shd w:val="clear" w:color="auto" w:fill="auto"/>
            <w:vAlign w:val="center"/>
            <w:hideMark/>
          </w:tcPr>
          <w:p w14:paraId="14BCD095"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200 000 </w:t>
            </w:r>
          </w:p>
        </w:tc>
        <w:tc>
          <w:tcPr>
            <w:tcW w:w="3715" w:type="dxa"/>
            <w:vMerge w:val="restart"/>
            <w:tcBorders>
              <w:top w:val="nil"/>
              <w:left w:val="single" w:sz="8" w:space="0" w:color="auto"/>
              <w:bottom w:val="single" w:sz="8" w:space="0" w:color="000000"/>
              <w:right w:val="single" w:sz="8" w:space="0" w:color="auto"/>
            </w:tcBorders>
            <w:shd w:val="clear" w:color="auto" w:fill="auto"/>
            <w:vAlign w:val="center"/>
            <w:hideMark/>
          </w:tcPr>
          <w:p w14:paraId="2A9A93DC"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Recursos requeridos para el Proyecto 963-CC-P01 "Política de tratamiento de métodos alternos de resolución de conflictos "los cuales fueron formulados en el Sistema de Presupuestación Plurianual pero no en el SIGA y por tratarse en todos los casos de subpartidas restringidas se presentan al Consejo Superior en este apartado para su correspondiente valoración.</w:t>
            </w:r>
          </w:p>
        </w:tc>
      </w:tr>
      <w:tr w:rsidR="0093441E" w:rsidRPr="002A7673" w14:paraId="2D933EA9" w14:textId="77777777" w:rsidTr="0048334E">
        <w:trPr>
          <w:trHeight w:val="1050"/>
        </w:trPr>
        <w:tc>
          <w:tcPr>
            <w:tcW w:w="1985" w:type="dxa"/>
            <w:vMerge/>
            <w:tcBorders>
              <w:top w:val="nil"/>
              <w:left w:val="single" w:sz="8" w:space="0" w:color="auto"/>
              <w:bottom w:val="single" w:sz="8" w:space="0" w:color="000000"/>
              <w:right w:val="single" w:sz="8" w:space="0" w:color="auto"/>
            </w:tcBorders>
            <w:vAlign w:val="center"/>
            <w:hideMark/>
          </w:tcPr>
          <w:p w14:paraId="0507560B" w14:textId="77777777" w:rsidR="0093441E" w:rsidRPr="002A7673" w:rsidRDefault="0093441E" w:rsidP="0048334E">
            <w:pPr>
              <w:spacing w:after="0" w:line="240" w:lineRule="auto"/>
              <w:rPr>
                <w:rFonts w:ascii="Times New Roman" w:hAnsi="Times New Roman" w:cs="Times New Roman"/>
                <w:lang w:eastAsia="es-CR"/>
              </w:rPr>
            </w:pPr>
          </w:p>
        </w:tc>
        <w:tc>
          <w:tcPr>
            <w:tcW w:w="1718" w:type="dxa"/>
            <w:tcBorders>
              <w:top w:val="nil"/>
              <w:left w:val="nil"/>
              <w:bottom w:val="single" w:sz="8" w:space="0" w:color="auto"/>
              <w:right w:val="single" w:sz="8" w:space="0" w:color="auto"/>
            </w:tcBorders>
            <w:shd w:val="clear" w:color="auto" w:fill="auto"/>
            <w:vAlign w:val="center"/>
            <w:hideMark/>
          </w:tcPr>
          <w:p w14:paraId="057C9F7E"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10303 Impresión, Encuadernación y Otros</w:t>
            </w:r>
          </w:p>
        </w:tc>
        <w:tc>
          <w:tcPr>
            <w:tcW w:w="1361" w:type="dxa"/>
            <w:tcBorders>
              <w:top w:val="nil"/>
              <w:left w:val="nil"/>
              <w:bottom w:val="single" w:sz="8" w:space="0" w:color="auto"/>
              <w:right w:val="single" w:sz="8" w:space="0" w:color="auto"/>
            </w:tcBorders>
            <w:shd w:val="clear" w:color="auto" w:fill="auto"/>
            <w:vAlign w:val="center"/>
            <w:hideMark/>
          </w:tcPr>
          <w:p w14:paraId="18FF60CB"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300 000 </w:t>
            </w:r>
          </w:p>
        </w:tc>
        <w:tc>
          <w:tcPr>
            <w:tcW w:w="3715" w:type="dxa"/>
            <w:vMerge/>
            <w:tcBorders>
              <w:top w:val="nil"/>
              <w:left w:val="single" w:sz="8" w:space="0" w:color="auto"/>
              <w:bottom w:val="single" w:sz="8" w:space="0" w:color="000000"/>
              <w:right w:val="single" w:sz="8" w:space="0" w:color="auto"/>
            </w:tcBorders>
            <w:vAlign w:val="center"/>
            <w:hideMark/>
          </w:tcPr>
          <w:p w14:paraId="1831122E" w14:textId="77777777" w:rsidR="0093441E" w:rsidRPr="002A7673" w:rsidRDefault="0093441E" w:rsidP="0048334E">
            <w:pPr>
              <w:spacing w:after="0" w:line="240" w:lineRule="auto"/>
              <w:rPr>
                <w:rFonts w:ascii="Times New Roman" w:hAnsi="Times New Roman" w:cs="Times New Roman"/>
                <w:lang w:eastAsia="es-CR"/>
              </w:rPr>
            </w:pPr>
          </w:p>
        </w:tc>
      </w:tr>
      <w:tr w:rsidR="0093441E" w:rsidRPr="002A7673" w14:paraId="00192BF8" w14:textId="77777777" w:rsidTr="0048334E">
        <w:trPr>
          <w:trHeight w:val="1050"/>
        </w:trPr>
        <w:tc>
          <w:tcPr>
            <w:tcW w:w="1985" w:type="dxa"/>
            <w:vMerge/>
            <w:tcBorders>
              <w:top w:val="nil"/>
              <w:left w:val="single" w:sz="8" w:space="0" w:color="auto"/>
              <w:bottom w:val="single" w:sz="8" w:space="0" w:color="000000"/>
              <w:right w:val="single" w:sz="8" w:space="0" w:color="auto"/>
            </w:tcBorders>
            <w:vAlign w:val="center"/>
            <w:hideMark/>
          </w:tcPr>
          <w:p w14:paraId="04D7ABF8" w14:textId="77777777" w:rsidR="0093441E" w:rsidRPr="002A7673" w:rsidRDefault="0093441E" w:rsidP="0048334E">
            <w:pPr>
              <w:spacing w:after="0" w:line="240" w:lineRule="auto"/>
              <w:rPr>
                <w:rFonts w:ascii="Times New Roman" w:hAnsi="Times New Roman" w:cs="Times New Roman"/>
                <w:lang w:eastAsia="es-CR"/>
              </w:rPr>
            </w:pPr>
          </w:p>
        </w:tc>
        <w:tc>
          <w:tcPr>
            <w:tcW w:w="1718" w:type="dxa"/>
            <w:tcBorders>
              <w:top w:val="nil"/>
              <w:left w:val="nil"/>
              <w:bottom w:val="single" w:sz="8" w:space="0" w:color="auto"/>
              <w:right w:val="single" w:sz="8" w:space="0" w:color="auto"/>
            </w:tcBorders>
            <w:shd w:val="clear" w:color="auto" w:fill="auto"/>
            <w:vAlign w:val="center"/>
            <w:hideMark/>
          </w:tcPr>
          <w:p w14:paraId="60ED0303"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10501 Transporte dentro del País</w:t>
            </w:r>
          </w:p>
        </w:tc>
        <w:tc>
          <w:tcPr>
            <w:tcW w:w="1361" w:type="dxa"/>
            <w:tcBorders>
              <w:top w:val="nil"/>
              <w:left w:val="nil"/>
              <w:bottom w:val="single" w:sz="8" w:space="0" w:color="auto"/>
              <w:right w:val="single" w:sz="8" w:space="0" w:color="auto"/>
            </w:tcBorders>
            <w:shd w:val="clear" w:color="auto" w:fill="auto"/>
            <w:vAlign w:val="center"/>
            <w:hideMark/>
          </w:tcPr>
          <w:p w14:paraId="7F997396"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50 000 </w:t>
            </w:r>
          </w:p>
        </w:tc>
        <w:tc>
          <w:tcPr>
            <w:tcW w:w="3715" w:type="dxa"/>
            <w:vMerge/>
            <w:tcBorders>
              <w:top w:val="nil"/>
              <w:left w:val="single" w:sz="8" w:space="0" w:color="auto"/>
              <w:bottom w:val="single" w:sz="8" w:space="0" w:color="000000"/>
              <w:right w:val="single" w:sz="8" w:space="0" w:color="auto"/>
            </w:tcBorders>
            <w:vAlign w:val="center"/>
            <w:hideMark/>
          </w:tcPr>
          <w:p w14:paraId="3CF4381B" w14:textId="77777777" w:rsidR="0093441E" w:rsidRPr="002A7673" w:rsidRDefault="0093441E" w:rsidP="0048334E">
            <w:pPr>
              <w:spacing w:after="0" w:line="240" w:lineRule="auto"/>
              <w:rPr>
                <w:rFonts w:ascii="Times New Roman" w:hAnsi="Times New Roman" w:cs="Times New Roman"/>
                <w:lang w:eastAsia="es-CR"/>
              </w:rPr>
            </w:pPr>
          </w:p>
        </w:tc>
      </w:tr>
      <w:tr w:rsidR="0093441E" w:rsidRPr="002A7673" w14:paraId="329D89DE" w14:textId="77777777" w:rsidTr="0048334E">
        <w:trPr>
          <w:trHeight w:val="1050"/>
        </w:trPr>
        <w:tc>
          <w:tcPr>
            <w:tcW w:w="1985" w:type="dxa"/>
            <w:vMerge/>
            <w:tcBorders>
              <w:top w:val="nil"/>
              <w:left w:val="single" w:sz="8" w:space="0" w:color="auto"/>
              <w:bottom w:val="single" w:sz="8" w:space="0" w:color="000000"/>
              <w:right w:val="single" w:sz="8" w:space="0" w:color="auto"/>
            </w:tcBorders>
            <w:vAlign w:val="center"/>
            <w:hideMark/>
          </w:tcPr>
          <w:p w14:paraId="60B8797F" w14:textId="77777777" w:rsidR="0093441E" w:rsidRPr="002A7673" w:rsidRDefault="0093441E" w:rsidP="0048334E">
            <w:pPr>
              <w:spacing w:after="0" w:line="240" w:lineRule="auto"/>
              <w:rPr>
                <w:rFonts w:ascii="Times New Roman" w:hAnsi="Times New Roman" w:cs="Times New Roman"/>
                <w:lang w:eastAsia="es-CR"/>
              </w:rPr>
            </w:pPr>
          </w:p>
        </w:tc>
        <w:tc>
          <w:tcPr>
            <w:tcW w:w="1718" w:type="dxa"/>
            <w:tcBorders>
              <w:top w:val="nil"/>
              <w:left w:val="nil"/>
              <w:bottom w:val="single" w:sz="8" w:space="0" w:color="auto"/>
              <w:right w:val="single" w:sz="8" w:space="0" w:color="auto"/>
            </w:tcBorders>
            <w:shd w:val="clear" w:color="auto" w:fill="auto"/>
            <w:vAlign w:val="center"/>
            <w:hideMark/>
          </w:tcPr>
          <w:p w14:paraId="2019E404"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10502 Viáticos dentro del País</w:t>
            </w:r>
          </w:p>
        </w:tc>
        <w:tc>
          <w:tcPr>
            <w:tcW w:w="1361" w:type="dxa"/>
            <w:tcBorders>
              <w:top w:val="nil"/>
              <w:left w:val="nil"/>
              <w:bottom w:val="single" w:sz="8" w:space="0" w:color="auto"/>
              <w:right w:val="single" w:sz="8" w:space="0" w:color="auto"/>
            </w:tcBorders>
            <w:shd w:val="clear" w:color="auto" w:fill="auto"/>
            <w:vAlign w:val="center"/>
            <w:hideMark/>
          </w:tcPr>
          <w:p w14:paraId="1C4D3DA1"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250 000 </w:t>
            </w:r>
          </w:p>
        </w:tc>
        <w:tc>
          <w:tcPr>
            <w:tcW w:w="3715" w:type="dxa"/>
            <w:vMerge/>
            <w:tcBorders>
              <w:top w:val="nil"/>
              <w:left w:val="single" w:sz="8" w:space="0" w:color="auto"/>
              <w:bottom w:val="single" w:sz="8" w:space="0" w:color="000000"/>
              <w:right w:val="single" w:sz="8" w:space="0" w:color="auto"/>
            </w:tcBorders>
            <w:vAlign w:val="center"/>
            <w:hideMark/>
          </w:tcPr>
          <w:p w14:paraId="5A420A9A" w14:textId="77777777" w:rsidR="0093441E" w:rsidRPr="002A7673" w:rsidRDefault="0093441E" w:rsidP="0048334E">
            <w:pPr>
              <w:spacing w:after="0" w:line="240" w:lineRule="auto"/>
              <w:rPr>
                <w:rFonts w:ascii="Times New Roman" w:hAnsi="Times New Roman" w:cs="Times New Roman"/>
                <w:lang w:eastAsia="es-CR"/>
              </w:rPr>
            </w:pPr>
          </w:p>
        </w:tc>
      </w:tr>
      <w:tr w:rsidR="0093441E" w:rsidRPr="002A7673" w14:paraId="5AE1087A" w14:textId="77777777" w:rsidTr="0048334E">
        <w:trPr>
          <w:trHeight w:val="1050"/>
        </w:trPr>
        <w:tc>
          <w:tcPr>
            <w:tcW w:w="1985" w:type="dxa"/>
            <w:vMerge/>
            <w:tcBorders>
              <w:top w:val="nil"/>
              <w:left w:val="single" w:sz="8" w:space="0" w:color="auto"/>
              <w:bottom w:val="single" w:sz="8" w:space="0" w:color="000000"/>
              <w:right w:val="single" w:sz="8" w:space="0" w:color="auto"/>
            </w:tcBorders>
            <w:vAlign w:val="center"/>
            <w:hideMark/>
          </w:tcPr>
          <w:p w14:paraId="60BECDE8" w14:textId="77777777" w:rsidR="0093441E" w:rsidRPr="002A7673" w:rsidRDefault="0093441E" w:rsidP="0048334E">
            <w:pPr>
              <w:spacing w:after="0" w:line="240" w:lineRule="auto"/>
              <w:rPr>
                <w:rFonts w:ascii="Times New Roman" w:hAnsi="Times New Roman" w:cs="Times New Roman"/>
                <w:lang w:eastAsia="es-CR"/>
              </w:rPr>
            </w:pPr>
          </w:p>
        </w:tc>
        <w:tc>
          <w:tcPr>
            <w:tcW w:w="1718" w:type="dxa"/>
            <w:tcBorders>
              <w:top w:val="nil"/>
              <w:left w:val="nil"/>
              <w:bottom w:val="single" w:sz="8" w:space="0" w:color="auto"/>
              <w:right w:val="single" w:sz="8" w:space="0" w:color="auto"/>
            </w:tcBorders>
            <w:shd w:val="clear" w:color="auto" w:fill="auto"/>
            <w:vAlign w:val="center"/>
            <w:hideMark/>
          </w:tcPr>
          <w:p w14:paraId="12EE2955"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50105 Equipo de Cómputo</w:t>
            </w:r>
          </w:p>
        </w:tc>
        <w:tc>
          <w:tcPr>
            <w:tcW w:w="1361" w:type="dxa"/>
            <w:tcBorders>
              <w:top w:val="nil"/>
              <w:left w:val="nil"/>
              <w:bottom w:val="single" w:sz="8" w:space="0" w:color="auto"/>
              <w:right w:val="single" w:sz="8" w:space="0" w:color="auto"/>
            </w:tcBorders>
            <w:shd w:val="clear" w:color="auto" w:fill="auto"/>
            <w:vAlign w:val="center"/>
            <w:hideMark/>
          </w:tcPr>
          <w:p w14:paraId="55B45282" w14:textId="77777777" w:rsidR="0093441E" w:rsidRPr="002A7673" w:rsidRDefault="0093441E" w:rsidP="0048334E">
            <w:pPr>
              <w:spacing w:after="0" w:line="240" w:lineRule="auto"/>
              <w:rPr>
                <w:rFonts w:ascii="Times New Roman" w:hAnsi="Times New Roman" w:cs="Times New Roman"/>
                <w:lang w:eastAsia="es-CR"/>
              </w:rPr>
            </w:pPr>
            <w:r w:rsidRPr="002A7673">
              <w:rPr>
                <w:rFonts w:ascii="Times New Roman" w:hAnsi="Times New Roman" w:cs="Times New Roman"/>
                <w:lang w:eastAsia="es-CR"/>
              </w:rPr>
              <w:t xml:space="preserve">     1 889 792 </w:t>
            </w:r>
          </w:p>
        </w:tc>
        <w:tc>
          <w:tcPr>
            <w:tcW w:w="3715" w:type="dxa"/>
            <w:vMerge/>
            <w:tcBorders>
              <w:top w:val="nil"/>
              <w:left w:val="single" w:sz="8" w:space="0" w:color="auto"/>
              <w:bottom w:val="single" w:sz="8" w:space="0" w:color="000000"/>
              <w:right w:val="single" w:sz="8" w:space="0" w:color="auto"/>
            </w:tcBorders>
            <w:vAlign w:val="center"/>
            <w:hideMark/>
          </w:tcPr>
          <w:p w14:paraId="01CE1AA6" w14:textId="77777777" w:rsidR="0093441E" w:rsidRPr="002A7673" w:rsidRDefault="0093441E" w:rsidP="0048334E">
            <w:pPr>
              <w:spacing w:after="0" w:line="240" w:lineRule="auto"/>
              <w:rPr>
                <w:rFonts w:ascii="Times New Roman" w:hAnsi="Times New Roman" w:cs="Times New Roman"/>
                <w:lang w:eastAsia="es-CR"/>
              </w:rPr>
            </w:pPr>
          </w:p>
        </w:tc>
      </w:tr>
      <w:tr w:rsidR="0093441E" w:rsidRPr="002A7673" w14:paraId="656CC4B2" w14:textId="77777777" w:rsidTr="0048334E">
        <w:trPr>
          <w:trHeight w:val="300"/>
        </w:trPr>
        <w:tc>
          <w:tcPr>
            <w:tcW w:w="3703" w:type="dxa"/>
            <w:gridSpan w:val="2"/>
            <w:tcBorders>
              <w:top w:val="single" w:sz="8" w:space="0" w:color="auto"/>
              <w:left w:val="single" w:sz="8" w:space="0" w:color="auto"/>
              <w:bottom w:val="single" w:sz="8" w:space="0" w:color="auto"/>
              <w:right w:val="single" w:sz="8" w:space="0" w:color="000000"/>
            </w:tcBorders>
            <w:shd w:val="clear" w:color="000000" w:fill="B4C6E7"/>
            <w:vAlign w:val="center"/>
            <w:hideMark/>
          </w:tcPr>
          <w:p w14:paraId="060F16AE"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TOTAL</w:t>
            </w:r>
          </w:p>
        </w:tc>
        <w:tc>
          <w:tcPr>
            <w:tcW w:w="1361" w:type="dxa"/>
            <w:tcBorders>
              <w:top w:val="nil"/>
              <w:left w:val="nil"/>
              <w:bottom w:val="single" w:sz="8" w:space="0" w:color="auto"/>
              <w:right w:val="single" w:sz="8" w:space="0" w:color="auto"/>
            </w:tcBorders>
            <w:shd w:val="clear" w:color="000000" w:fill="B4C6E7"/>
            <w:vAlign w:val="center"/>
            <w:hideMark/>
          </w:tcPr>
          <w:p w14:paraId="0BE5B9FA" w14:textId="77777777" w:rsidR="0093441E" w:rsidRPr="002A7673" w:rsidRDefault="0093441E" w:rsidP="0048334E">
            <w:pPr>
              <w:spacing w:after="0" w:line="240" w:lineRule="auto"/>
              <w:rPr>
                <w:rFonts w:ascii="Times New Roman" w:hAnsi="Times New Roman" w:cs="Times New Roman"/>
                <w:b/>
                <w:color w:val="000000"/>
                <w:lang w:eastAsia="es-CR"/>
              </w:rPr>
            </w:pPr>
            <w:r w:rsidRPr="002A7673">
              <w:rPr>
                <w:rFonts w:ascii="Times New Roman" w:hAnsi="Times New Roman" w:cs="Times New Roman"/>
                <w:b/>
                <w:color w:val="000000"/>
                <w:lang w:eastAsia="es-CR"/>
              </w:rPr>
              <w:t xml:space="preserve">    20 097 292 </w:t>
            </w:r>
          </w:p>
        </w:tc>
        <w:tc>
          <w:tcPr>
            <w:tcW w:w="3715" w:type="dxa"/>
            <w:tcBorders>
              <w:top w:val="nil"/>
              <w:left w:val="nil"/>
              <w:bottom w:val="single" w:sz="8" w:space="0" w:color="auto"/>
              <w:right w:val="single" w:sz="8" w:space="0" w:color="auto"/>
            </w:tcBorders>
            <w:shd w:val="clear" w:color="000000" w:fill="B4C6E7"/>
            <w:vAlign w:val="center"/>
            <w:hideMark/>
          </w:tcPr>
          <w:p w14:paraId="071C581B" w14:textId="77777777" w:rsidR="0093441E" w:rsidRPr="002A7673" w:rsidRDefault="0093441E" w:rsidP="0048334E">
            <w:pPr>
              <w:spacing w:after="0" w:line="240" w:lineRule="auto"/>
              <w:jc w:val="center"/>
              <w:rPr>
                <w:rFonts w:ascii="Times New Roman" w:hAnsi="Times New Roman" w:cs="Times New Roman"/>
                <w:b/>
                <w:color w:val="000000"/>
                <w:lang w:eastAsia="es-CR"/>
              </w:rPr>
            </w:pPr>
            <w:r w:rsidRPr="002A7673">
              <w:rPr>
                <w:rFonts w:ascii="Times New Roman" w:hAnsi="Times New Roman" w:cs="Times New Roman"/>
                <w:b/>
                <w:color w:val="000000"/>
                <w:lang w:eastAsia="es-CR"/>
              </w:rPr>
              <w:t> </w:t>
            </w:r>
          </w:p>
        </w:tc>
      </w:tr>
    </w:tbl>
    <w:p w14:paraId="18C2C60B" w14:textId="77777777" w:rsidR="0093441E" w:rsidRPr="002A7673" w:rsidRDefault="0093441E" w:rsidP="0093441E">
      <w:pPr>
        <w:spacing w:after="0" w:line="480" w:lineRule="auto"/>
        <w:ind w:firstLine="709"/>
        <w:jc w:val="both"/>
        <w:rPr>
          <w:rFonts w:ascii="Times New Roman" w:eastAsiaTheme="majorEastAsia" w:hAnsi="Times New Roman" w:cs="Times New Roman"/>
          <w:bCs/>
          <w:sz w:val="28"/>
          <w:szCs w:val="28"/>
        </w:rPr>
      </w:pPr>
    </w:p>
    <w:p w14:paraId="0334649F" w14:textId="77777777" w:rsidR="0093441E" w:rsidRPr="002A7673" w:rsidRDefault="0093441E" w:rsidP="0093441E">
      <w:pPr>
        <w:spacing w:after="0" w:line="480" w:lineRule="auto"/>
        <w:ind w:firstLine="709"/>
        <w:jc w:val="both"/>
        <w:rPr>
          <w:rFonts w:ascii="Times New Roman" w:hAnsi="Times New Roman" w:cs="Times New Roman"/>
          <w:sz w:val="28"/>
          <w:szCs w:val="28"/>
        </w:rPr>
      </w:pPr>
      <w:r w:rsidRPr="002A7673">
        <w:rPr>
          <w:rFonts w:ascii="Times New Roman" w:eastAsiaTheme="majorEastAsia" w:hAnsi="Times New Roman" w:cs="Times New Roman"/>
          <w:b/>
          <w:sz w:val="28"/>
          <w:szCs w:val="28"/>
        </w:rPr>
        <w:lastRenderedPageBreak/>
        <w:t>4)</w:t>
      </w:r>
      <w:r w:rsidRPr="002A7673">
        <w:rPr>
          <w:rFonts w:ascii="Times New Roman" w:eastAsiaTheme="majorEastAsia" w:hAnsi="Times New Roman" w:cs="Times New Roman"/>
          <w:bCs/>
          <w:sz w:val="28"/>
          <w:szCs w:val="28"/>
        </w:rPr>
        <w:t xml:space="preserve"> Tomar nota del informe sobre la carga de trabajo de los distintos circuitos judiciales, en los casos del Primer Circuito de San José, Primer Circuito de Alajuela, Grecia, Turrialba, Heredia, Sarapiquí, San Joaquín de Flores, Quepos, Primer Circuito de la Zona Sur, Osa, Segundo Circuito de Guanacaste, Primer Circuito de la Zona Atlántica, en que se presenta una disminución en la cantidad de casos terminados, se solicita a los Consejos de Administración tomar las acciones pertinentes para la mejora continua en la resolución de asuntos. </w:t>
      </w:r>
      <w:r w:rsidRPr="002A7673">
        <w:rPr>
          <w:rFonts w:ascii="Times New Roman" w:eastAsiaTheme="majorEastAsia" w:hAnsi="Times New Roman" w:cs="Times New Roman"/>
          <w:b/>
          <w:sz w:val="28"/>
          <w:szCs w:val="28"/>
        </w:rPr>
        <w:t>5)</w:t>
      </w:r>
      <w:r w:rsidRPr="002A7673">
        <w:rPr>
          <w:rFonts w:ascii="Times New Roman" w:eastAsiaTheme="majorEastAsia" w:hAnsi="Times New Roman" w:cs="Times New Roman"/>
          <w:bCs/>
          <w:sz w:val="28"/>
          <w:szCs w:val="28"/>
        </w:rPr>
        <w:t xml:space="preserve"> Se toma nota del informe sobre la ejecución presupuestaria de los distintos centros gestores y solicitar a los Consejos de Administración de Circuito y a las Jefaturas correspondientes, dar seguimiento permanente a la ejecución presupuestaria con el fin de lograr una mayor ejecución, de tal forma que se tomen las acciones en tiempo y forma para lograr la mejor utilización de los recursos (acuerdo del Consejo Superior sesión N°10-18, artículo LXVIII).  </w:t>
      </w:r>
      <w:r w:rsidRPr="002A7673">
        <w:rPr>
          <w:rFonts w:ascii="Times New Roman" w:eastAsiaTheme="majorEastAsia" w:hAnsi="Times New Roman" w:cs="Times New Roman"/>
          <w:b/>
          <w:sz w:val="28"/>
          <w:szCs w:val="28"/>
        </w:rPr>
        <w:t>6)</w:t>
      </w:r>
      <w:r w:rsidRPr="002A7673">
        <w:rPr>
          <w:rFonts w:ascii="Times New Roman" w:eastAsiaTheme="majorEastAsia" w:hAnsi="Times New Roman" w:cs="Times New Roman"/>
          <w:bCs/>
          <w:sz w:val="28"/>
          <w:szCs w:val="28"/>
        </w:rPr>
        <w:t xml:space="preserve"> Deberán los Consejos de Administración de Circuito, Jefaturas de los Centros de Responsabilidad, Programas y Oficinas, dar seguimiento constante para el cumplimiento del 100% de los planes anuales operativos propuestos. </w:t>
      </w:r>
      <w:r w:rsidRPr="002A7673">
        <w:rPr>
          <w:rFonts w:ascii="Times New Roman" w:hAnsi="Times New Roman" w:cs="Times New Roman"/>
          <w:sz w:val="28"/>
          <w:szCs w:val="28"/>
        </w:rPr>
        <w:t xml:space="preserve">En el caso específico de la Administración de Santa Cruz, se recuerda a todos los despachos judiciales la obligatoriedad de dar cumplimiento a los objetivos y metas establecidos en el PAO y a realizar la actualización correspondiente del Sistema en las fechas </w:t>
      </w:r>
      <w:r w:rsidRPr="002A7673">
        <w:rPr>
          <w:rFonts w:ascii="Times New Roman" w:hAnsi="Times New Roman" w:cs="Times New Roman"/>
          <w:sz w:val="28"/>
          <w:szCs w:val="28"/>
        </w:rPr>
        <w:lastRenderedPageBreak/>
        <w:t xml:space="preserve">establecidas, y en el caso de la Administración a velar por que eso se cumpla. </w:t>
      </w:r>
      <w:r w:rsidRPr="002A7673">
        <w:rPr>
          <w:rFonts w:ascii="Times New Roman" w:hAnsi="Times New Roman" w:cs="Times New Roman"/>
          <w:b/>
          <w:bCs/>
          <w:sz w:val="28"/>
          <w:szCs w:val="28"/>
        </w:rPr>
        <w:t>Se declara acuerdo firme.</w:t>
      </w:r>
    </w:p>
    <w:p w14:paraId="03A6F259" w14:textId="10762414" w:rsidR="00A74088" w:rsidRPr="002A7673" w:rsidRDefault="00A74088" w:rsidP="00FE5FBE">
      <w:pPr>
        <w:pStyle w:val="Ttulo1"/>
        <w:spacing w:line="360" w:lineRule="auto"/>
        <w:jc w:val="center"/>
        <w:rPr>
          <w:rFonts w:ascii="Times New Roman" w:eastAsia="Times New Roman" w:hAnsi="Times New Roman" w:cs="Times New Roman"/>
          <w:b/>
          <w:bCs/>
          <w:color w:val="000000"/>
          <w:kern w:val="36"/>
          <w:u w:val="single"/>
        </w:rPr>
      </w:pPr>
      <w:r w:rsidRPr="002A7673">
        <w:rPr>
          <w:rFonts w:ascii="Times New Roman" w:eastAsia="Times New Roman" w:hAnsi="Times New Roman" w:cs="Times New Roman"/>
          <w:b/>
          <w:bCs/>
          <w:color w:val="000000"/>
          <w:kern w:val="36"/>
          <w:u w:val="single"/>
        </w:rPr>
        <w:t>ARTÍCULO XIV</w:t>
      </w:r>
    </w:p>
    <w:p w14:paraId="553CDA3A" w14:textId="5C1BA485" w:rsidR="00A74088" w:rsidRPr="002A7673" w:rsidRDefault="00A74088" w:rsidP="00A74088">
      <w:pPr>
        <w:autoSpaceDE w:val="0"/>
        <w:autoSpaceDN w:val="0"/>
        <w:adjustRightInd w:val="0"/>
        <w:spacing w:line="480" w:lineRule="auto"/>
        <w:ind w:firstLine="708"/>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4418-2021</w:t>
      </w:r>
    </w:p>
    <w:p w14:paraId="1A8CB5A5" w14:textId="36ABF741" w:rsidR="00A74088" w:rsidRPr="002A7673" w:rsidRDefault="00A74088" w:rsidP="00A74088">
      <w:pPr>
        <w:spacing w:line="480" w:lineRule="auto"/>
        <w:ind w:firstLine="709"/>
        <w:jc w:val="both"/>
        <w:rPr>
          <w:rFonts w:ascii="Times New Roman" w:hAnsi="Times New Roman" w:cs="Times New Roman"/>
          <w:b/>
          <w:bCs/>
          <w:sz w:val="28"/>
          <w:szCs w:val="28"/>
        </w:rPr>
      </w:pPr>
      <w:r w:rsidRPr="002A7673">
        <w:rPr>
          <w:rFonts w:ascii="Times New Roman" w:hAnsi="Times New Roman" w:cs="Times New Roman"/>
          <w:sz w:val="28"/>
          <w:szCs w:val="28"/>
        </w:rPr>
        <w:t>En reunión de trabajo del pasado 23 de abril, la licenciada Nacira Valverde Bermúdez,</w:t>
      </w:r>
      <w:r w:rsidRPr="002A7673">
        <w:rPr>
          <w:rFonts w:ascii="Times New Roman" w:hAnsi="Times New Roman" w:cs="Times New Roman"/>
          <w:color w:val="000000"/>
          <w:sz w:val="28"/>
          <w:szCs w:val="28"/>
          <w:shd w:val="clear" w:color="auto" w:fill="FFFFFF"/>
        </w:rPr>
        <w:t xml:space="preserve"> </w:t>
      </w:r>
      <w:r w:rsidRPr="002A7673">
        <w:rPr>
          <w:rFonts w:ascii="Times New Roman" w:hAnsi="Times New Roman" w:cs="Times New Roman"/>
          <w:sz w:val="28"/>
          <w:szCs w:val="28"/>
        </w:rPr>
        <w:t xml:space="preserve">Directora de Planificación presentó el proyecto de presupuesto para el 2022 del </w:t>
      </w:r>
      <w:r w:rsidRPr="002A7673">
        <w:rPr>
          <w:rFonts w:ascii="Times New Roman" w:hAnsi="Times New Roman" w:cs="Times New Roman"/>
          <w:b/>
          <w:bCs/>
          <w:sz w:val="28"/>
          <w:szCs w:val="28"/>
        </w:rPr>
        <w:t>Programa 928 Organismo de Investigación Judicial.</w:t>
      </w:r>
    </w:p>
    <w:p w14:paraId="232134DD" w14:textId="77777777" w:rsidR="00A74088" w:rsidRPr="002A7673" w:rsidRDefault="00A74088" w:rsidP="00A74088">
      <w:pPr>
        <w:spacing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1.</w:t>
      </w:r>
      <w:r w:rsidRPr="002A7673">
        <w:rPr>
          <w:rFonts w:ascii="Times New Roman" w:hAnsi="Times New Roman" w:cs="Times New Roman"/>
          <w:b/>
          <w:bCs/>
          <w:sz w:val="28"/>
          <w:szCs w:val="28"/>
        </w:rPr>
        <w:tab/>
        <w:t xml:space="preserve">Información General </w:t>
      </w:r>
    </w:p>
    <w:p w14:paraId="4BF5C56C" w14:textId="77777777" w:rsidR="00A74088" w:rsidRPr="002A7673" w:rsidRDefault="00A74088" w:rsidP="00B67880">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A nivel de Programa, en el caso del Programa 928 Organismo de Investigación Judicial, al consolidar el presupuesto de Remuneraciones con el Gasto Variable, se tiene al 23 de abril del 2021, una variación total del 0,28%, y de forma específica de un 1,20% en Remuneraciones y de un -4,7% en Gasto Variable.  </w:t>
      </w:r>
    </w:p>
    <w:p w14:paraId="2EA3907C" w14:textId="77777777" w:rsidR="00A74088" w:rsidRPr="002A7673" w:rsidRDefault="00A74088" w:rsidP="00B67880">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Las cifras anteriores, reflejan el esfuerzo institucional del Programa para cumplir con el acuerdo de Corte Plena de ajustar la solicitud presupuestaria del 2022 en un -4%, siendo que al consolidarse con la previsión presupuestaria de Remuneraciones se logra un comportamiento muy controlado del gasto institucional, dentro de los límites establecidos por el Ministerio de Hacienda. </w:t>
      </w:r>
    </w:p>
    <w:p w14:paraId="53EAAD21" w14:textId="77777777" w:rsidR="00A74088" w:rsidRPr="002A7673" w:rsidRDefault="00A74088" w:rsidP="00B67880">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 no haberse adoptado esta medida, posiblemente al consolidarse la petición de necesidades de gasto variable con las de remuneraciones, el monto total habría sido muy superior al tope presupuestario establecido para el Poder Judicial, tanto en gasto corriente como en gasto de capital.  </w:t>
      </w:r>
    </w:p>
    <w:p w14:paraId="6D009AC9" w14:textId="77777777" w:rsidR="00A74088" w:rsidRPr="002A7673" w:rsidRDefault="00A74088" w:rsidP="00B67880">
      <w:pPr>
        <w:spacing w:line="240" w:lineRule="auto"/>
        <w:jc w:val="both"/>
        <w:rPr>
          <w:rFonts w:ascii="Times New Roman" w:hAnsi="Times New Roman" w:cs="Times New Roman"/>
          <w:i/>
          <w:iCs/>
          <w:sz w:val="28"/>
          <w:szCs w:val="28"/>
        </w:rPr>
      </w:pPr>
      <w:r w:rsidRPr="002A7673">
        <w:rPr>
          <w:rFonts w:ascii="Times New Roman" w:hAnsi="Times New Roman" w:cs="Times New Roman"/>
          <w:i/>
          <w:iCs/>
          <w:sz w:val="28"/>
          <w:szCs w:val="28"/>
        </w:rPr>
        <w:t>•</w:t>
      </w:r>
      <w:r w:rsidRPr="002A7673">
        <w:rPr>
          <w:rFonts w:ascii="Times New Roman" w:hAnsi="Times New Roman" w:cs="Times New Roman"/>
          <w:i/>
          <w:iCs/>
          <w:sz w:val="28"/>
          <w:szCs w:val="28"/>
        </w:rPr>
        <w:tab/>
        <w:t>Comportamiento específico del Gasto Variable</w:t>
      </w:r>
    </w:p>
    <w:p w14:paraId="4B3EFC04" w14:textId="77777777" w:rsidR="00A74088" w:rsidRPr="002A7673" w:rsidRDefault="00A74088" w:rsidP="00B67880">
      <w:pPr>
        <w:spacing w:line="240" w:lineRule="auto"/>
        <w:jc w:val="both"/>
        <w:rPr>
          <w:rFonts w:ascii="Times New Roman" w:hAnsi="Times New Roman" w:cs="Times New Roman"/>
          <w:i/>
          <w:iCs/>
          <w:sz w:val="28"/>
          <w:szCs w:val="28"/>
        </w:rPr>
      </w:pPr>
      <w:r w:rsidRPr="002A7673">
        <w:rPr>
          <w:rFonts w:ascii="Times New Roman" w:hAnsi="Times New Roman" w:cs="Times New Roman"/>
          <w:i/>
          <w:iCs/>
          <w:sz w:val="28"/>
          <w:szCs w:val="28"/>
        </w:rPr>
        <w:t xml:space="preserve">Al igual que en años anteriores, a </w:t>
      </w:r>
      <w:proofErr w:type="gramStart"/>
      <w:r w:rsidRPr="002A7673">
        <w:rPr>
          <w:rFonts w:ascii="Times New Roman" w:hAnsi="Times New Roman" w:cs="Times New Roman"/>
          <w:i/>
          <w:iCs/>
          <w:sz w:val="28"/>
          <w:szCs w:val="28"/>
        </w:rPr>
        <w:t>continuación</w:t>
      </w:r>
      <w:proofErr w:type="gramEnd"/>
      <w:r w:rsidRPr="002A7673">
        <w:rPr>
          <w:rFonts w:ascii="Times New Roman" w:hAnsi="Times New Roman" w:cs="Times New Roman"/>
          <w:i/>
          <w:iCs/>
          <w:sz w:val="28"/>
          <w:szCs w:val="28"/>
        </w:rPr>
        <w:t xml:space="preserve"> se presenta el comportamiento específico del presupuesto solicitado para necesidades de gasto variable:</w:t>
      </w:r>
    </w:p>
    <w:p w14:paraId="4A570DFA" w14:textId="77777777" w:rsidR="00A74088" w:rsidRPr="002A7673" w:rsidRDefault="00A74088" w:rsidP="00B67880">
      <w:pPr>
        <w:spacing w:line="240" w:lineRule="auto"/>
        <w:jc w:val="both"/>
        <w:rPr>
          <w:rFonts w:ascii="Times New Roman" w:hAnsi="Times New Roman" w:cs="Times New Roman"/>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9"/>
        <w:gridCol w:w="2203"/>
        <w:gridCol w:w="2370"/>
        <w:gridCol w:w="2370"/>
      </w:tblGrid>
      <w:tr w:rsidR="00A74088" w:rsidRPr="002A7673" w14:paraId="3F9904FE" w14:textId="77777777" w:rsidTr="0048334E">
        <w:trPr>
          <w:jc w:val="center"/>
        </w:trPr>
        <w:tc>
          <w:tcPr>
            <w:tcW w:w="2539" w:type="dxa"/>
          </w:tcPr>
          <w:p w14:paraId="08C01893" w14:textId="77777777" w:rsidR="00A74088" w:rsidRPr="002A7673" w:rsidRDefault="00A74088" w:rsidP="0048334E">
            <w:pPr>
              <w:jc w:val="center"/>
              <w:rPr>
                <w:rFonts w:ascii="Times New Roman" w:hAnsi="Times New Roman" w:cs="Times New Roman"/>
                <w:b/>
                <w:sz w:val="28"/>
                <w:szCs w:val="28"/>
              </w:rPr>
            </w:pPr>
            <w:r w:rsidRPr="002A7673">
              <w:rPr>
                <w:rFonts w:ascii="Times New Roman" w:hAnsi="Times New Roman" w:cs="Times New Roman"/>
                <w:b/>
                <w:sz w:val="28"/>
                <w:szCs w:val="28"/>
              </w:rPr>
              <w:lastRenderedPageBreak/>
              <w:t>Presupuesto</w:t>
            </w:r>
          </w:p>
          <w:p w14:paraId="4C7B7055" w14:textId="77777777" w:rsidR="00A74088" w:rsidRPr="002A7673" w:rsidRDefault="00A74088" w:rsidP="0048334E">
            <w:pPr>
              <w:jc w:val="center"/>
              <w:rPr>
                <w:rFonts w:ascii="Times New Roman" w:hAnsi="Times New Roman" w:cs="Times New Roman"/>
                <w:b/>
                <w:sz w:val="28"/>
                <w:szCs w:val="28"/>
              </w:rPr>
            </w:pPr>
            <w:r w:rsidRPr="002A7673">
              <w:rPr>
                <w:rFonts w:ascii="Times New Roman" w:hAnsi="Times New Roman" w:cs="Times New Roman"/>
                <w:b/>
                <w:sz w:val="28"/>
                <w:szCs w:val="28"/>
              </w:rPr>
              <w:t xml:space="preserve">Aprobado 2021 </w:t>
            </w:r>
          </w:p>
        </w:tc>
        <w:tc>
          <w:tcPr>
            <w:tcW w:w="2203" w:type="dxa"/>
          </w:tcPr>
          <w:p w14:paraId="369137CF" w14:textId="77777777" w:rsidR="00A74088" w:rsidRPr="002A7673" w:rsidRDefault="00A74088" w:rsidP="0048334E">
            <w:pPr>
              <w:jc w:val="center"/>
              <w:rPr>
                <w:rFonts w:ascii="Times New Roman" w:hAnsi="Times New Roman" w:cs="Times New Roman"/>
                <w:b/>
                <w:sz w:val="28"/>
                <w:szCs w:val="28"/>
              </w:rPr>
            </w:pPr>
            <w:r w:rsidRPr="002A7673">
              <w:rPr>
                <w:rFonts w:ascii="Times New Roman" w:hAnsi="Times New Roman" w:cs="Times New Roman"/>
                <w:b/>
                <w:sz w:val="28"/>
                <w:szCs w:val="28"/>
              </w:rPr>
              <w:t>Presupuesto Formulado 2022</w:t>
            </w:r>
          </w:p>
        </w:tc>
        <w:tc>
          <w:tcPr>
            <w:tcW w:w="2370" w:type="dxa"/>
          </w:tcPr>
          <w:p w14:paraId="7C16CC40" w14:textId="77777777" w:rsidR="00A74088" w:rsidRPr="002A7673" w:rsidRDefault="00A74088" w:rsidP="0048334E">
            <w:pPr>
              <w:jc w:val="center"/>
              <w:rPr>
                <w:rFonts w:ascii="Times New Roman" w:hAnsi="Times New Roman" w:cs="Times New Roman"/>
                <w:b/>
                <w:sz w:val="28"/>
                <w:szCs w:val="28"/>
              </w:rPr>
            </w:pPr>
            <w:r w:rsidRPr="002A7673">
              <w:rPr>
                <w:rFonts w:ascii="Times New Roman" w:hAnsi="Times New Roman" w:cs="Times New Roman"/>
                <w:b/>
                <w:sz w:val="28"/>
                <w:szCs w:val="28"/>
              </w:rPr>
              <w:t>Diferencia Absoluta</w:t>
            </w:r>
          </w:p>
        </w:tc>
        <w:tc>
          <w:tcPr>
            <w:tcW w:w="2370" w:type="dxa"/>
          </w:tcPr>
          <w:p w14:paraId="11A69B1B" w14:textId="77777777" w:rsidR="00A74088" w:rsidRPr="002A7673" w:rsidRDefault="00A74088" w:rsidP="0048334E">
            <w:pPr>
              <w:jc w:val="center"/>
              <w:rPr>
                <w:rFonts w:ascii="Times New Roman" w:hAnsi="Times New Roman" w:cs="Times New Roman"/>
                <w:b/>
                <w:sz w:val="28"/>
                <w:szCs w:val="28"/>
              </w:rPr>
            </w:pPr>
            <w:r w:rsidRPr="002A7673">
              <w:rPr>
                <w:rFonts w:ascii="Times New Roman" w:hAnsi="Times New Roman" w:cs="Times New Roman"/>
                <w:b/>
                <w:sz w:val="28"/>
                <w:szCs w:val="28"/>
              </w:rPr>
              <w:t>Porcentaje de Variación</w:t>
            </w:r>
          </w:p>
        </w:tc>
      </w:tr>
      <w:tr w:rsidR="00A74088" w:rsidRPr="002A7673" w14:paraId="3FEAABF3" w14:textId="77777777" w:rsidTr="0048334E">
        <w:trPr>
          <w:jc w:val="center"/>
        </w:trPr>
        <w:tc>
          <w:tcPr>
            <w:tcW w:w="2539" w:type="dxa"/>
            <w:shd w:val="clear" w:color="auto" w:fill="auto"/>
          </w:tcPr>
          <w:p w14:paraId="6C61683A" w14:textId="77777777" w:rsidR="00A74088" w:rsidRPr="002A7673" w:rsidRDefault="00A74088" w:rsidP="0048334E">
            <w:pPr>
              <w:spacing w:line="360" w:lineRule="auto"/>
              <w:jc w:val="center"/>
              <w:rPr>
                <w:rFonts w:ascii="Times New Roman" w:hAnsi="Times New Roman" w:cs="Times New Roman"/>
                <w:sz w:val="28"/>
                <w:szCs w:val="28"/>
              </w:rPr>
            </w:pPr>
            <w:r w:rsidRPr="002A7673">
              <w:rPr>
                <w:rFonts w:ascii="Times New Roman" w:hAnsi="Times New Roman" w:cs="Times New Roman"/>
                <w:sz w:val="28"/>
                <w:szCs w:val="28"/>
              </w:rPr>
              <w:t>¢18.895.994.435</w:t>
            </w:r>
          </w:p>
        </w:tc>
        <w:tc>
          <w:tcPr>
            <w:tcW w:w="2203" w:type="dxa"/>
            <w:shd w:val="clear" w:color="auto" w:fill="auto"/>
          </w:tcPr>
          <w:p w14:paraId="6FE85EBF" w14:textId="77777777" w:rsidR="00A74088" w:rsidRPr="002A7673" w:rsidRDefault="00A74088" w:rsidP="0048334E">
            <w:pPr>
              <w:spacing w:line="360" w:lineRule="auto"/>
              <w:jc w:val="center"/>
              <w:rPr>
                <w:rFonts w:ascii="Times New Roman" w:hAnsi="Times New Roman" w:cs="Times New Roman"/>
                <w:sz w:val="28"/>
                <w:szCs w:val="28"/>
              </w:rPr>
            </w:pPr>
            <w:r w:rsidRPr="002A7673">
              <w:rPr>
                <w:rFonts w:ascii="Times New Roman" w:hAnsi="Times New Roman" w:cs="Times New Roman"/>
                <w:sz w:val="28"/>
                <w:szCs w:val="28"/>
              </w:rPr>
              <w:t>¢18.011.993.159</w:t>
            </w:r>
          </w:p>
        </w:tc>
        <w:tc>
          <w:tcPr>
            <w:tcW w:w="2370" w:type="dxa"/>
            <w:shd w:val="clear" w:color="auto" w:fill="auto"/>
          </w:tcPr>
          <w:p w14:paraId="4087B1F5" w14:textId="77777777" w:rsidR="00A74088" w:rsidRPr="002A7673" w:rsidRDefault="00A74088" w:rsidP="0048334E">
            <w:pPr>
              <w:spacing w:line="360" w:lineRule="auto"/>
              <w:jc w:val="center"/>
              <w:rPr>
                <w:rFonts w:ascii="Times New Roman" w:hAnsi="Times New Roman" w:cs="Times New Roman"/>
                <w:sz w:val="28"/>
                <w:szCs w:val="28"/>
              </w:rPr>
            </w:pPr>
            <w:r w:rsidRPr="002A7673">
              <w:rPr>
                <w:rFonts w:ascii="Times New Roman" w:hAnsi="Times New Roman" w:cs="Times New Roman"/>
                <w:color w:val="000000"/>
              </w:rPr>
              <w:t xml:space="preserve"> </w:t>
            </w:r>
            <w:r w:rsidRPr="002A7673">
              <w:rPr>
                <w:rFonts w:ascii="Times New Roman" w:hAnsi="Times New Roman" w:cs="Times New Roman"/>
                <w:color w:val="000000"/>
                <w:sz w:val="28"/>
                <w:szCs w:val="28"/>
              </w:rPr>
              <w:t>-¢ 884.001.276</w:t>
            </w:r>
          </w:p>
        </w:tc>
        <w:tc>
          <w:tcPr>
            <w:tcW w:w="2370" w:type="dxa"/>
            <w:shd w:val="clear" w:color="auto" w:fill="auto"/>
          </w:tcPr>
          <w:p w14:paraId="30C2E57D" w14:textId="77777777" w:rsidR="00A74088" w:rsidRPr="002A7673" w:rsidRDefault="00A74088" w:rsidP="0048334E">
            <w:pPr>
              <w:spacing w:line="360" w:lineRule="auto"/>
              <w:jc w:val="center"/>
              <w:rPr>
                <w:rFonts w:ascii="Times New Roman" w:hAnsi="Times New Roman" w:cs="Times New Roman"/>
                <w:sz w:val="28"/>
                <w:szCs w:val="28"/>
              </w:rPr>
            </w:pPr>
            <w:r w:rsidRPr="002A7673">
              <w:rPr>
                <w:rFonts w:ascii="Times New Roman" w:hAnsi="Times New Roman" w:cs="Times New Roman"/>
                <w:sz w:val="28"/>
                <w:szCs w:val="28"/>
              </w:rPr>
              <w:t>-4,7%</w:t>
            </w:r>
          </w:p>
        </w:tc>
      </w:tr>
    </w:tbl>
    <w:p w14:paraId="28D36451" w14:textId="77777777" w:rsidR="00A74088" w:rsidRPr="002A7673" w:rsidRDefault="00A74088" w:rsidP="00A74088">
      <w:pPr>
        <w:ind w:right="1134"/>
        <w:jc w:val="both"/>
        <w:rPr>
          <w:rFonts w:ascii="Times New Roman" w:hAnsi="Times New Roman" w:cs="Times New Roman"/>
          <w:szCs w:val="28"/>
        </w:rPr>
      </w:pPr>
    </w:p>
    <w:p w14:paraId="61C323AD" w14:textId="202B0100" w:rsidR="00A74088" w:rsidRPr="002A7673" w:rsidRDefault="00A74088" w:rsidP="007F706B">
      <w:pPr>
        <w:spacing w:line="360" w:lineRule="auto"/>
        <w:ind w:left="501"/>
        <w:jc w:val="both"/>
        <w:rPr>
          <w:rFonts w:ascii="Times New Roman" w:hAnsi="Times New Roman" w:cs="Times New Roman"/>
          <w:b/>
          <w:sz w:val="28"/>
          <w:szCs w:val="28"/>
        </w:rPr>
      </w:pPr>
      <w:bookmarkStart w:id="211" w:name="_Hlk4071890"/>
      <w:r w:rsidRPr="002A7673">
        <w:rPr>
          <w:rFonts w:ascii="Times New Roman" w:hAnsi="Times New Roman" w:cs="Times New Roman"/>
          <w:b/>
          <w:sz w:val="28"/>
          <w:szCs w:val="28"/>
        </w:rPr>
        <w:t xml:space="preserve">2. Aspectos Relevantes </w:t>
      </w:r>
    </w:p>
    <w:p w14:paraId="163C9E6F" w14:textId="77777777" w:rsidR="00A74088" w:rsidRPr="002A7673" w:rsidRDefault="00A74088" w:rsidP="00FF3FAC">
      <w:pPr>
        <w:pStyle w:val="Prrafodelista"/>
        <w:numPr>
          <w:ilvl w:val="1"/>
          <w:numId w:val="58"/>
        </w:numPr>
        <w:spacing w:line="360" w:lineRule="auto"/>
        <w:contextualSpacing/>
        <w:rPr>
          <w:rFonts w:ascii="Times New Roman" w:hAnsi="Times New Roman" w:cs="Times New Roman"/>
          <w:b/>
          <w:i/>
          <w:sz w:val="28"/>
          <w:szCs w:val="28"/>
        </w:rPr>
      </w:pPr>
      <w:r w:rsidRPr="002A7673">
        <w:rPr>
          <w:rFonts w:ascii="Times New Roman" w:hAnsi="Times New Roman" w:cs="Times New Roman"/>
          <w:b/>
          <w:i/>
          <w:sz w:val="28"/>
          <w:szCs w:val="28"/>
        </w:rPr>
        <w:t>Variación 2021-2022</w:t>
      </w:r>
    </w:p>
    <w:p w14:paraId="2E96C218" w14:textId="77777777" w:rsidR="00A74088" w:rsidRPr="002A7673" w:rsidRDefault="00A74088" w:rsidP="00B67880">
      <w:pPr>
        <w:spacing w:line="240" w:lineRule="auto"/>
        <w:ind w:firstLine="708"/>
        <w:jc w:val="both"/>
        <w:rPr>
          <w:rFonts w:ascii="Times New Roman" w:hAnsi="Times New Roman" w:cs="Times New Roman"/>
          <w:sz w:val="28"/>
          <w:szCs w:val="28"/>
        </w:rPr>
      </w:pPr>
      <w:bookmarkStart w:id="212" w:name="_Hlk4071911"/>
      <w:bookmarkEnd w:id="211"/>
      <w:r w:rsidRPr="002A7673">
        <w:rPr>
          <w:rFonts w:ascii="Times New Roman" w:hAnsi="Times New Roman" w:cs="Times New Roman"/>
          <w:sz w:val="28"/>
          <w:szCs w:val="28"/>
        </w:rPr>
        <w:t>El presupuesto en gasto variable solicitado presenta un decrecimiento del -4,7% respecto al aprobado para el 2021.</w:t>
      </w:r>
      <w:bookmarkEnd w:id="212"/>
    </w:p>
    <w:p w14:paraId="68A0EE47" w14:textId="77777777" w:rsidR="00A74088" w:rsidRPr="002A7673" w:rsidRDefault="00A74088" w:rsidP="00B67880">
      <w:pPr>
        <w:spacing w:line="240" w:lineRule="auto"/>
        <w:ind w:left="567" w:right="567"/>
        <w:jc w:val="both"/>
        <w:rPr>
          <w:rFonts w:ascii="Times New Roman" w:hAnsi="Times New Roman" w:cs="Times New Roman"/>
          <w:b/>
        </w:rPr>
      </w:pPr>
    </w:p>
    <w:p w14:paraId="00E218A7" w14:textId="77777777" w:rsidR="00A74088" w:rsidRPr="002A7673" w:rsidRDefault="00A74088" w:rsidP="00A74088">
      <w:pPr>
        <w:ind w:left="567" w:right="567"/>
        <w:jc w:val="both"/>
        <w:rPr>
          <w:rFonts w:ascii="Times New Roman" w:hAnsi="Times New Roman" w:cs="Times New Roman"/>
        </w:rPr>
      </w:pPr>
    </w:p>
    <w:p w14:paraId="7CD85FA2" w14:textId="77777777" w:rsidR="00A74088" w:rsidRPr="002A7673" w:rsidRDefault="00A74088" w:rsidP="00A74088">
      <w:pPr>
        <w:ind w:left="567" w:right="567"/>
        <w:jc w:val="center"/>
        <w:rPr>
          <w:rFonts w:ascii="Times New Roman" w:hAnsi="Times New Roman" w:cs="Times New Roman"/>
        </w:rPr>
      </w:pPr>
      <w:r w:rsidRPr="002A7673">
        <w:rPr>
          <w:rFonts w:ascii="Times New Roman" w:hAnsi="Times New Roman" w:cs="Times New Roman"/>
          <w:noProof/>
        </w:rPr>
        <w:drawing>
          <wp:inline distT="0" distB="0" distL="0" distR="0" wp14:anchorId="0E8BF7B2" wp14:editId="2AAA234F">
            <wp:extent cx="5568950" cy="2927350"/>
            <wp:effectExtent l="0" t="0" r="0" b="6350"/>
            <wp:docPr id="1263269111" name="Imagen 126326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568950" cy="2927350"/>
                    </a:xfrm>
                    <a:prstGeom prst="rect">
                      <a:avLst/>
                    </a:prstGeom>
                    <a:noFill/>
                    <a:ln>
                      <a:noFill/>
                    </a:ln>
                  </pic:spPr>
                </pic:pic>
              </a:graphicData>
            </a:graphic>
          </wp:inline>
        </w:drawing>
      </w:r>
    </w:p>
    <w:p w14:paraId="13D9C710" w14:textId="77777777" w:rsidR="00A74088" w:rsidRPr="002A7673" w:rsidRDefault="00A74088" w:rsidP="00A74088">
      <w:pPr>
        <w:ind w:left="567" w:right="567"/>
        <w:jc w:val="center"/>
        <w:rPr>
          <w:rFonts w:ascii="Times New Roman" w:hAnsi="Times New Roman" w:cs="Times New Roman"/>
        </w:rPr>
      </w:pPr>
    </w:p>
    <w:p w14:paraId="24B65D8C" w14:textId="77777777" w:rsidR="00A74088" w:rsidRPr="002A7673" w:rsidRDefault="00A74088" w:rsidP="00A74088">
      <w:pPr>
        <w:ind w:left="567" w:right="567"/>
        <w:jc w:val="center"/>
        <w:rPr>
          <w:rFonts w:ascii="Times New Roman" w:hAnsi="Times New Roman" w:cs="Times New Roman"/>
        </w:rPr>
      </w:pPr>
    </w:p>
    <w:p w14:paraId="032F8833" w14:textId="77777777" w:rsidR="00A74088" w:rsidRPr="002A7673" w:rsidRDefault="00A74088" w:rsidP="00FF3FAC">
      <w:pPr>
        <w:pStyle w:val="Prrafodelista"/>
        <w:numPr>
          <w:ilvl w:val="1"/>
          <w:numId w:val="58"/>
        </w:numPr>
        <w:spacing w:line="360" w:lineRule="auto"/>
        <w:contextualSpacing/>
        <w:rPr>
          <w:rFonts w:ascii="Times New Roman" w:hAnsi="Times New Roman" w:cs="Times New Roman"/>
          <w:b/>
          <w:i/>
          <w:sz w:val="28"/>
          <w:szCs w:val="28"/>
        </w:rPr>
      </w:pPr>
      <w:r w:rsidRPr="002A7673">
        <w:rPr>
          <w:rFonts w:ascii="Times New Roman" w:hAnsi="Times New Roman" w:cs="Times New Roman"/>
          <w:b/>
          <w:i/>
          <w:sz w:val="28"/>
          <w:szCs w:val="28"/>
        </w:rPr>
        <w:t>Presupuesto total 2021 – 2022 Gasto Corriente y Gasto de Capital</w:t>
      </w:r>
    </w:p>
    <w:p w14:paraId="5188B2D1" w14:textId="77777777" w:rsidR="00A74088" w:rsidRPr="002A7673" w:rsidRDefault="00A74088" w:rsidP="00BD1254">
      <w:pPr>
        <w:spacing w:line="240" w:lineRule="auto"/>
        <w:ind w:firstLine="708"/>
        <w:jc w:val="both"/>
        <w:rPr>
          <w:rFonts w:ascii="Times New Roman" w:hAnsi="Times New Roman" w:cs="Times New Roman"/>
          <w:sz w:val="28"/>
          <w:szCs w:val="28"/>
        </w:rPr>
      </w:pPr>
    </w:p>
    <w:p w14:paraId="4FA8183B" w14:textId="5B11717F" w:rsidR="00A74088" w:rsidRPr="002A7673" w:rsidRDefault="00A74088" w:rsidP="00B67880">
      <w:pPr>
        <w:spacing w:line="24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lastRenderedPageBreak/>
        <w:t>Seguidamente se presentan los totales de la tabla anterior, pero desagregados en gasto corriente y gasto de capital, lo que permite medir la variación por componente.</w:t>
      </w:r>
    </w:p>
    <w:p w14:paraId="7EB66200" w14:textId="77777777" w:rsidR="00A74088" w:rsidRPr="002A7673" w:rsidRDefault="00A74088" w:rsidP="00A74088">
      <w:pPr>
        <w:spacing w:line="360" w:lineRule="auto"/>
        <w:ind w:firstLine="708"/>
        <w:jc w:val="center"/>
        <w:rPr>
          <w:rFonts w:ascii="Times New Roman" w:hAnsi="Times New Roman" w:cs="Times New Roman"/>
          <w:sz w:val="28"/>
          <w:szCs w:val="28"/>
        </w:rPr>
      </w:pPr>
    </w:p>
    <w:p w14:paraId="35DAA0A6" w14:textId="77777777" w:rsidR="00A74088" w:rsidRPr="002A7673" w:rsidRDefault="00A74088" w:rsidP="00A74088">
      <w:pPr>
        <w:spacing w:line="360" w:lineRule="auto"/>
        <w:ind w:firstLine="708"/>
        <w:jc w:val="center"/>
        <w:rPr>
          <w:rFonts w:ascii="Times New Roman" w:hAnsi="Times New Roman" w:cs="Times New Roman"/>
          <w:sz w:val="28"/>
          <w:szCs w:val="28"/>
        </w:rPr>
      </w:pPr>
      <w:r w:rsidRPr="002A7673">
        <w:rPr>
          <w:rFonts w:ascii="Times New Roman" w:hAnsi="Times New Roman" w:cs="Times New Roman"/>
          <w:noProof/>
        </w:rPr>
        <w:drawing>
          <wp:inline distT="0" distB="0" distL="0" distR="0" wp14:anchorId="5C1957A7" wp14:editId="53448639">
            <wp:extent cx="4083050" cy="793750"/>
            <wp:effectExtent l="0" t="0" r="0" b="6350"/>
            <wp:docPr id="1263269112" name="Imagen 126326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083050" cy="793750"/>
                    </a:xfrm>
                    <a:prstGeom prst="rect">
                      <a:avLst/>
                    </a:prstGeom>
                    <a:noFill/>
                    <a:ln>
                      <a:noFill/>
                    </a:ln>
                  </pic:spPr>
                </pic:pic>
              </a:graphicData>
            </a:graphic>
          </wp:inline>
        </w:drawing>
      </w:r>
    </w:p>
    <w:p w14:paraId="1EC6762C" w14:textId="6C18369C" w:rsidR="00A74088" w:rsidRPr="002A7673" w:rsidRDefault="00A74088" w:rsidP="00BD1254">
      <w:pPr>
        <w:spacing w:line="240" w:lineRule="auto"/>
        <w:ind w:firstLine="708"/>
        <w:jc w:val="both"/>
        <w:rPr>
          <w:rFonts w:ascii="Times New Roman" w:hAnsi="Times New Roman" w:cs="Times New Roman"/>
          <w:sz w:val="28"/>
          <w:szCs w:val="28"/>
        </w:rPr>
      </w:pPr>
    </w:p>
    <w:p w14:paraId="3EB039F2" w14:textId="77777777" w:rsidR="00A74088" w:rsidRPr="002A7673" w:rsidRDefault="00A74088" w:rsidP="00B67880">
      <w:pPr>
        <w:spacing w:line="24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Sin considerar las líneas que se adicionan al presupuesto, es posible afirmar que el 76,7% del presupuesto de gasto variable ordinario del OIJ para el 2022 se concentra en 14 subpartidas, tal como se aprecia a continuación:</w:t>
      </w:r>
    </w:p>
    <w:p w14:paraId="09ABC917" w14:textId="77777777" w:rsidR="00A74088" w:rsidRPr="002A7673" w:rsidRDefault="00A74088" w:rsidP="00A74088">
      <w:pPr>
        <w:spacing w:line="360" w:lineRule="auto"/>
        <w:ind w:firstLine="708"/>
        <w:jc w:val="both"/>
        <w:rPr>
          <w:rFonts w:ascii="Times New Roman" w:hAnsi="Times New Roman" w:cs="Times New Roman"/>
          <w:sz w:val="28"/>
          <w:szCs w:val="28"/>
        </w:rPr>
      </w:pPr>
    </w:p>
    <w:p w14:paraId="1E4E3878" w14:textId="77777777" w:rsidR="00A74088" w:rsidRPr="002A7673" w:rsidRDefault="00A74088" w:rsidP="00A74088">
      <w:pPr>
        <w:spacing w:line="360" w:lineRule="auto"/>
        <w:ind w:left="709"/>
        <w:jc w:val="center"/>
        <w:rPr>
          <w:rFonts w:ascii="Times New Roman" w:hAnsi="Times New Roman" w:cs="Times New Roman"/>
          <w:b/>
          <w:iCs/>
          <w:sz w:val="28"/>
          <w:szCs w:val="28"/>
        </w:rPr>
      </w:pPr>
      <w:r w:rsidRPr="002A7673">
        <w:rPr>
          <w:rFonts w:ascii="Times New Roman" w:hAnsi="Times New Roman" w:cs="Times New Roman"/>
          <w:noProof/>
        </w:rPr>
        <w:drawing>
          <wp:inline distT="0" distB="0" distL="0" distR="0" wp14:anchorId="06DE0969" wp14:editId="0F1BA650">
            <wp:extent cx="5794374" cy="3264393"/>
            <wp:effectExtent l="0" t="0" r="0" b="0"/>
            <wp:docPr id="1263269113" name="Imagen 126326911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113"/>
                    <pic:cNvPicPr/>
                  </pic:nvPicPr>
                  <pic:blipFill>
                    <a:blip r:embed="rId330">
                      <a:extLst>
                        <a:ext uri="{28A0092B-C50C-407E-A947-70E740481C1C}">
                          <a14:useLocalDpi xmlns:a14="http://schemas.microsoft.com/office/drawing/2010/main" val="0"/>
                        </a:ext>
                      </a:extLst>
                    </a:blip>
                    <a:stretch>
                      <a:fillRect/>
                    </a:stretch>
                  </pic:blipFill>
                  <pic:spPr>
                    <a:xfrm>
                      <a:off x="0" y="0"/>
                      <a:ext cx="5794374" cy="3264393"/>
                    </a:xfrm>
                    <a:prstGeom prst="rect">
                      <a:avLst/>
                    </a:prstGeom>
                  </pic:spPr>
                </pic:pic>
              </a:graphicData>
            </a:graphic>
          </wp:inline>
        </w:drawing>
      </w:r>
    </w:p>
    <w:p w14:paraId="39D92784" w14:textId="77777777" w:rsidR="00A74088" w:rsidRPr="002A7673" w:rsidRDefault="00A74088" w:rsidP="00A74088">
      <w:pPr>
        <w:spacing w:line="360" w:lineRule="auto"/>
        <w:rPr>
          <w:rFonts w:ascii="Times New Roman" w:hAnsi="Times New Roman" w:cs="Times New Roman"/>
          <w:i/>
          <w:color w:val="FF0000"/>
          <w:sz w:val="28"/>
          <w:szCs w:val="28"/>
        </w:rPr>
      </w:pPr>
    </w:p>
    <w:p w14:paraId="5ACDB736" w14:textId="77777777" w:rsidR="00A74088" w:rsidRPr="002A7673" w:rsidRDefault="00A74088" w:rsidP="00FF3FAC">
      <w:pPr>
        <w:numPr>
          <w:ilvl w:val="1"/>
          <w:numId w:val="58"/>
        </w:numPr>
        <w:spacing w:after="0" w:line="360" w:lineRule="auto"/>
        <w:rPr>
          <w:rFonts w:ascii="Times New Roman" w:hAnsi="Times New Roman" w:cs="Times New Roman"/>
          <w:b/>
          <w:i/>
          <w:sz w:val="28"/>
          <w:szCs w:val="28"/>
        </w:rPr>
      </w:pPr>
      <w:r w:rsidRPr="002A7673">
        <w:rPr>
          <w:rFonts w:ascii="Times New Roman" w:hAnsi="Times New Roman" w:cs="Times New Roman"/>
          <w:b/>
          <w:i/>
          <w:sz w:val="28"/>
          <w:szCs w:val="28"/>
        </w:rPr>
        <w:lastRenderedPageBreak/>
        <w:t>Justificación crecimiento del presupuesto que supera el límite del gasto corriente</w:t>
      </w:r>
    </w:p>
    <w:p w14:paraId="20FA7EAA" w14:textId="77777777" w:rsidR="00A74088" w:rsidRPr="002A7673" w:rsidRDefault="00A74088" w:rsidP="00A74088">
      <w:pPr>
        <w:pStyle w:val="Prrafodelista"/>
        <w:spacing w:line="360" w:lineRule="auto"/>
        <w:jc w:val="both"/>
        <w:rPr>
          <w:rFonts w:ascii="Times New Roman" w:hAnsi="Times New Roman" w:cs="Times New Roman"/>
          <w:sz w:val="28"/>
          <w:szCs w:val="28"/>
        </w:rPr>
      </w:pPr>
    </w:p>
    <w:p w14:paraId="5A365BF5" w14:textId="47770704" w:rsidR="00A74088" w:rsidRPr="002A7673" w:rsidRDefault="00A74088" w:rsidP="00B67880">
      <w:pPr>
        <w:spacing w:line="240" w:lineRule="auto"/>
        <w:ind w:firstLine="708"/>
        <w:jc w:val="both"/>
        <w:rPr>
          <w:rFonts w:ascii="Times New Roman" w:hAnsi="Times New Roman" w:cs="Times New Roman"/>
          <w:sz w:val="28"/>
          <w:szCs w:val="28"/>
        </w:rPr>
      </w:pPr>
      <w:r w:rsidRPr="002A7673">
        <w:rPr>
          <w:rFonts w:ascii="Times New Roman" w:hAnsi="Times New Roman" w:cs="Times New Roman"/>
          <w:sz w:val="28"/>
          <w:szCs w:val="28"/>
        </w:rPr>
        <w:t xml:space="preserve">El incremento en gasto corriente se debe a los aumentos experimentados en contratos de alquiler de locales (¢191.322.688), de servicios de vigilancia (¢103.252.412), de servicios de limpieza (¢27.777.076), de contratos del Departamento de Laboratorio de Ciencias Forenses en la subpartida 10899 para el  mantenimiento preventivo, calibración y/o verificación de varios equipos (¢70.701.664), de aumento en el presupuesto requerido para compra de municiones (¢93.583.052) y el resto se debe al aumento registrado en el monto requerido para la compra de artículos, productos e insumos utilizados en la aplicación de los protocolos de limpieza y desinfección por la atención de la Pandemia del Covid-19, presupuestados en las subpartidas 20102 Productos </w:t>
      </w:r>
      <w:proofErr w:type="spellStart"/>
      <w:r w:rsidRPr="002A7673">
        <w:rPr>
          <w:rFonts w:ascii="Times New Roman" w:hAnsi="Times New Roman" w:cs="Times New Roman"/>
          <w:sz w:val="28"/>
          <w:szCs w:val="28"/>
        </w:rPr>
        <w:t>Farmaceúticos</w:t>
      </w:r>
      <w:proofErr w:type="spellEnd"/>
      <w:r w:rsidRPr="002A7673">
        <w:rPr>
          <w:rFonts w:ascii="Times New Roman" w:hAnsi="Times New Roman" w:cs="Times New Roman"/>
          <w:sz w:val="28"/>
          <w:szCs w:val="28"/>
        </w:rPr>
        <w:t xml:space="preserve"> y Medicinales, 29905 Útiles y Materiales de Limpieza y 29906 Útiles y Materiales de Resguardo y Seguridad.</w:t>
      </w:r>
    </w:p>
    <w:p w14:paraId="7272AB74" w14:textId="77777777" w:rsidR="00A74088" w:rsidRPr="002A7673" w:rsidRDefault="00A74088" w:rsidP="00FF3FAC">
      <w:pPr>
        <w:pStyle w:val="Prrafodelista"/>
        <w:numPr>
          <w:ilvl w:val="1"/>
          <w:numId w:val="58"/>
        </w:numPr>
        <w:spacing w:line="360" w:lineRule="auto"/>
        <w:contextualSpacing/>
        <w:rPr>
          <w:rFonts w:ascii="Times New Roman" w:hAnsi="Times New Roman" w:cs="Times New Roman"/>
          <w:b/>
          <w:i/>
          <w:sz w:val="28"/>
          <w:szCs w:val="28"/>
        </w:rPr>
      </w:pPr>
      <w:r w:rsidRPr="002A7673">
        <w:rPr>
          <w:rFonts w:ascii="Times New Roman" w:hAnsi="Times New Roman" w:cs="Times New Roman"/>
          <w:b/>
          <w:i/>
          <w:sz w:val="28"/>
          <w:szCs w:val="28"/>
        </w:rPr>
        <w:t xml:space="preserve">Detalle de nuevos contratos </w:t>
      </w:r>
    </w:p>
    <w:p w14:paraId="7D8A8A1D" w14:textId="6800B479" w:rsidR="00A74088" w:rsidRPr="002A7673" w:rsidRDefault="00A74088" w:rsidP="00A74088">
      <w:pPr>
        <w:spacing w:line="360" w:lineRule="auto"/>
        <w:ind w:left="709"/>
        <w:rPr>
          <w:rFonts w:ascii="Times New Roman" w:hAnsi="Times New Roman" w:cs="Times New Roman"/>
          <w:sz w:val="28"/>
          <w:szCs w:val="28"/>
        </w:rPr>
      </w:pPr>
      <w:r w:rsidRPr="002A7673">
        <w:rPr>
          <w:rFonts w:ascii="Times New Roman" w:hAnsi="Times New Roman" w:cs="Times New Roman"/>
          <w:sz w:val="28"/>
          <w:szCs w:val="28"/>
        </w:rPr>
        <w:t>Para 2022 no existen contratos nuevos.</w:t>
      </w:r>
    </w:p>
    <w:p w14:paraId="46E18620" w14:textId="77777777" w:rsidR="00A74088" w:rsidRPr="002A7673" w:rsidRDefault="00A74088" w:rsidP="00FF3FAC">
      <w:pPr>
        <w:pStyle w:val="Prrafodelista"/>
        <w:numPr>
          <w:ilvl w:val="1"/>
          <w:numId w:val="58"/>
        </w:numPr>
        <w:spacing w:line="360" w:lineRule="auto"/>
        <w:contextualSpacing/>
        <w:rPr>
          <w:rFonts w:ascii="Times New Roman" w:hAnsi="Times New Roman" w:cs="Times New Roman"/>
          <w:b/>
          <w:i/>
          <w:sz w:val="28"/>
          <w:szCs w:val="28"/>
        </w:rPr>
      </w:pPr>
      <w:bookmarkStart w:id="213" w:name="_Hlk4072330"/>
      <w:r w:rsidRPr="002A7673">
        <w:rPr>
          <w:rFonts w:ascii="Times New Roman" w:hAnsi="Times New Roman" w:cs="Times New Roman"/>
          <w:b/>
          <w:i/>
          <w:sz w:val="28"/>
          <w:szCs w:val="28"/>
        </w:rPr>
        <w:t xml:space="preserve">Aspectos relevantes de algunas subpartidas </w:t>
      </w:r>
    </w:p>
    <w:bookmarkEnd w:id="213"/>
    <w:p w14:paraId="54E362C0" w14:textId="77777777" w:rsidR="00A74088" w:rsidRPr="002A7673" w:rsidRDefault="00A74088" w:rsidP="00A74088">
      <w:pPr>
        <w:spacing w:line="360" w:lineRule="auto"/>
        <w:rPr>
          <w:rFonts w:ascii="Times New Roman" w:hAnsi="Times New Roman" w:cs="Times New Roman"/>
          <w:i/>
          <w:sz w:val="28"/>
          <w:szCs w:val="28"/>
        </w:rPr>
      </w:pPr>
    </w:p>
    <w:p w14:paraId="32503385" w14:textId="77777777" w:rsidR="00A74088" w:rsidRPr="002A7673" w:rsidRDefault="00A74088" w:rsidP="00A74088">
      <w:pPr>
        <w:pStyle w:val="Prrafodelista"/>
        <w:spacing w:line="360" w:lineRule="auto"/>
        <w:rPr>
          <w:rFonts w:ascii="Times New Roman" w:hAnsi="Times New Roman" w:cs="Times New Roman"/>
          <w:b/>
          <w:sz w:val="28"/>
          <w:szCs w:val="28"/>
        </w:rPr>
      </w:pPr>
      <w:r w:rsidRPr="002A7673">
        <w:rPr>
          <w:rFonts w:ascii="Times New Roman" w:hAnsi="Times New Roman" w:cs="Times New Roman"/>
          <w:b/>
          <w:sz w:val="28"/>
          <w:szCs w:val="28"/>
        </w:rPr>
        <w:t>Subpartida 10199 Otros Alquileres</w:t>
      </w:r>
    </w:p>
    <w:p w14:paraId="49D55201" w14:textId="77777777" w:rsidR="00A74088" w:rsidRPr="002A7673" w:rsidRDefault="00A74088" w:rsidP="00FF3FAC">
      <w:pPr>
        <w:pStyle w:val="Prrafodelista"/>
        <w:numPr>
          <w:ilvl w:val="0"/>
          <w:numId w:val="73"/>
        </w:numPr>
        <w:contextualSpacing/>
        <w:jc w:val="both"/>
        <w:rPr>
          <w:rFonts w:ascii="Times New Roman" w:hAnsi="Times New Roman" w:cs="Times New Roman"/>
          <w:sz w:val="28"/>
          <w:szCs w:val="28"/>
        </w:rPr>
      </w:pPr>
      <w:r w:rsidRPr="002A7673">
        <w:rPr>
          <w:rFonts w:ascii="Times New Roman" w:hAnsi="Times New Roman" w:cs="Times New Roman"/>
          <w:sz w:val="28"/>
          <w:szCs w:val="28"/>
        </w:rPr>
        <w:t xml:space="preserve">Los recursos formulados por parte de la Plataforma de Información Policial (¢169.523.146) presentan un incremento del 70,09%, equivalente a ¢69.857.146 y se desglosan de la siguiente forma: </w:t>
      </w:r>
    </w:p>
    <w:p w14:paraId="17B7BE4B" w14:textId="77777777" w:rsidR="00A74088" w:rsidRPr="002A7673" w:rsidRDefault="00A74088" w:rsidP="00B67880">
      <w:pPr>
        <w:pStyle w:val="Prrafodelista"/>
        <w:ind w:left="1080"/>
        <w:jc w:val="both"/>
        <w:rPr>
          <w:rFonts w:ascii="Times New Roman" w:hAnsi="Times New Roman" w:cs="Times New Roman"/>
          <w:sz w:val="28"/>
          <w:szCs w:val="28"/>
          <w:lang w:eastAsia="en-US"/>
        </w:rPr>
      </w:pPr>
    </w:p>
    <w:p w14:paraId="7F0BF31F" w14:textId="77777777" w:rsidR="00A74088" w:rsidRPr="002A7673" w:rsidRDefault="00A74088" w:rsidP="00FF3FAC">
      <w:pPr>
        <w:pStyle w:val="Prrafodelista"/>
        <w:numPr>
          <w:ilvl w:val="0"/>
          <w:numId w:val="74"/>
        </w:numPr>
        <w:ind w:left="0" w:firstLine="709"/>
        <w:contextualSpacing/>
        <w:jc w:val="both"/>
        <w:rPr>
          <w:rFonts w:ascii="Times New Roman" w:hAnsi="Times New Roman" w:cs="Times New Roman"/>
          <w:sz w:val="28"/>
          <w:szCs w:val="28"/>
          <w:lang w:eastAsia="en-US"/>
        </w:rPr>
      </w:pPr>
      <w:r w:rsidRPr="002A7673">
        <w:rPr>
          <w:rFonts w:ascii="Times New Roman" w:hAnsi="Times New Roman" w:cs="Times New Roman"/>
          <w:sz w:val="28"/>
          <w:szCs w:val="28"/>
        </w:rPr>
        <w:t>¢103.233.270 para el pago del convenio ya existente con el INS para albergar los servidores de cómputo para el Centro de Datos Principal del Poder Judicial. Esto está considerado en el Primer Adendum (02-2018 de fecha 23/03/2018) al Convenio de Prestación de Servicios entre el Poder Judicial y el Instituto Nacional de Seguros N° 10-2017.</w:t>
      </w:r>
    </w:p>
    <w:p w14:paraId="087AEF17" w14:textId="77777777" w:rsidR="00A74088" w:rsidRPr="002A7673" w:rsidRDefault="00A74088" w:rsidP="00FB4BF4">
      <w:pPr>
        <w:pStyle w:val="Prrafodelista"/>
        <w:ind w:left="0" w:firstLine="709"/>
        <w:jc w:val="both"/>
        <w:rPr>
          <w:rFonts w:ascii="Times New Roman" w:hAnsi="Times New Roman" w:cs="Times New Roman"/>
          <w:sz w:val="28"/>
          <w:szCs w:val="28"/>
        </w:rPr>
      </w:pPr>
    </w:p>
    <w:p w14:paraId="6F32FE86" w14:textId="188BDE69" w:rsidR="00A74088" w:rsidRPr="002A7673" w:rsidRDefault="00A74088" w:rsidP="00FF3FAC">
      <w:pPr>
        <w:pStyle w:val="Prrafodelista"/>
        <w:numPr>
          <w:ilvl w:val="0"/>
          <w:numId w:val="74"/>
        </w:numPr>
        <w:ind w:left="0" w:firstLine="709"/>
        <w:contextualSpacing/>
        <w:jc w:val="both"/>
        <w:rPr>
          <w:rFonts w:ascii="Times New Roman" w:hAnsi="Times New Roman" w:cs="Times New Roman"/>
          <w:sz w:val="28"/>
          <w:szCs w:val="28"/>
        </w:rPr>
      </w:pPr>
      <w:r w:rsidRPr="002A7673">
        <w:rPr>
          <w:rFonts w:ascii="Times New Roman" w:hAnsi="Times New Roman" w:cs="Times New Roman"/>
          <w:sz w:val="28"/>
          <w:szCs w:val="28"/>
        </w:rPr>
        <w:t xml:space="preserve">¢66.289.877 que son el motivo del crecimiento y que se requieren para cumplir con el Plan General de Continuidad de Servicio del Poder Judicial que se </w:t>
      </w:r>
      <w:r w:rsidRPr="002A7673">
        <w:rPr>
          <w:rFonts w:ascii="Times New Roman" w:hAnsi="Times New Roman" w:cs="Times New Roman"/>
          <w:sz w:val="28"/>
          <w:szCs w:val="28"/>
        </w:rPr>
        <w:lastRenderedPageBreak/>
        <w:t xml:space="preserve">encuentra en desarrollo por parte de la Dirección de Tecnología de la Información. Dicho Plan es importante para: </w:t>
      </w:r>
    </w:p>
    <w:p w14:paraId="48E01C5D" w14:textId="77777777" w:rsidR="00E41D8B" w:rsidRPr="002A7673" w:rsidRDefault="00E41D8B" w:rsidP="00E41D8B">
      <w:pPr>
        <w:contextualSpacing/>
        <w:jc w:val="both"/>
        <w:rPr>
          <w:rFonts w:ascii="Times New Roman" w:hAnsi="Times New Roman" w:cs="Times New Roman"/>
          <w:sz w:val="28"/>
          <w:szCs w:val="28"/>
        </w:rPr>
      </w:pPr>
    </w:p>
    <w:p w14:paraId="125B4B3A" w14:textId="77777777" w:rsidR="00A74088" w:rsidRPr="002A7673" w:rsidRDefault="00A74088" w:rsidP="00FF3FAC">
      <w:pPr>
        <w:pStyle w:val="Prrafodelista"/>
        <w:numPr>
          <w:ilvl w:val="2"/>
          <w:numId w:val="73"/>
        </w:numPr>
        <w:spacing w:line="360" w:lineRule="auto"/>
        <w:ind w:left="0" w:firstLine="709"/>
        <w:contextualSpacing/>
        <w:jc w:val="both"/>
        <w:rPr>
          <w:rFonts w:ascii="Times New Roman" w:hAnsi="Times New Roman" w:cs="Times New Roman"/>
          <w:sz w:val="28"/>
          <w:szCs w:val="28"/>
        </w:rPr>
      </w:pPr>
      <w:r w:rsidRPr="002A7673">
        <w:rPr>
          <w:rFonts w:ascii="Times New Roman" w:hAnsi="Times New Roman" w:cs="Times New Roman"/>
          <w:sz w:val="28"/>
          <w:szCs w:val="28"/>
        </w:rPr>
        <w:t xml:space="preserve">Salvaguardar la vida humana. </w:t>
      </w:r>
    </w:p>
    <w:p w14:paraId="53619CF4" w14:textId="77777777" w:rsidR="00A74088" w:rsidRPr="002A7673" w:rsidRDefault="00A74088" w:rsidP="00FF3FAC">
      <w:pPr>
        <w:pStyle w:val="Prrafodelista"/>
        <w:numPr>
          <w:ilvl w:val="2"/>
          <w:numId w:val="73"/>
        </w:numPr>
        <w:spacing w:line="360" w:lineRule="auto"/>
        <w:ind w:left="0" w:firstLine="709"/>
        <w:contextualSpacing/>
        <w:jc w:val="both"/>
        <w:rPr>
          <w:rFonts w:ascii="Times New Roman" w:hAnsi="Times New Roman" w:cs="Times New Roman"/>
          <w:sz w:val="28"/>
          <w:szCs w:val="28"/>
        </w:rPr>
      </w:pPr>
      <w:r w:rsidRPr="002A7673">
        <w:rPr>
          <w:rFonts w:ascii="Times New Roman" w:hAnsi="Times New Roman" w:cs="Times New Roman"/>
          <w:sz w:val="28"/>
          <w:szCs w:val="28"/>
        </w:rPr>
        <w:t>Asegurar la supervivencia de la organización.</w:t>
      </w:r>
    </w:p>
    <w:p w14:paraId="62CF0EE9" w14:textId="77777777" w:rsidR="00A74088" w:rsidRPr="002A7673" w:rsidRDefault="00A74088" w:rsidP="00FF3FAC">
      <w:pPr>
        <w:pStyle w:val="Prrafodelista"/>
        <w:numPr>
          <w:ilvl w:val="2"/>
          <w:numId w:val="73"/>
        </w:numPr>
        <w:spacing w:line="360" w:lineRule="auto"/>
        <w:ind w:left="0" w:firstLine="709"/>
        <w:contextualSpacing/>
        <w:jc w:val="both"/>
        <w:rPr>
          <w:rFonts w:ascii="Times New Roman" w:hAnsi="Times New Roman" w:cs="Times New Roman"/>
          <w:sz w:val="28"/>
          <w:szCs w:val="28"/>
        </w:rPr>
      </w:pPr>
      <w:r w:rsidRPr="002A7673">
        <w:rPr>
          <w:rFonts w:ascii="Times New Roman" w:hAnsi="Times New Roman" w:cs="Times New Roman"/>
          <w:sz w:val="28"/>
          <w:szCs w:val="28"/>
        </w:rPr>
        <w:t>Facilitar la recuperación oportuna de funciones críticas de la empresa.</w:t>
      </w:r>
    </w:p>
    <w:p w14:paraId="3C7BEB6B" w14:textId="77777777" w:rsidR="00A74088" w:rsidRPr="002A7673" w:rsidRDefault="00A74088" w:rsidP="00FF3FAC">
      <w:pPr>
        <w:pStyle w:val="Prrafodelista"/>
        <w:numPr>
          <w:ilvl w:val="2"/>
          <w:numId w:val="73"/>
        </w:numPr>
        <w:spacing w:line="360" w:lineRule="auto"/>
        <w:ind w:left="0" w:firstLine="709"/>
        <w:contextualSpacing/>
        <w:jc w:val="both"/>
        <w:rPr>
          <w:rFonts w:ascii="Times New Roman" w:hAnsi="Times New Roman" w:cs="Times New Roman"/>
          <w:sz w:val="28"/>
          <w:szCs w:val="28"/>
        </w:rPr>
      </w:pPr>
      <w:r w:rsidRPr="002A7673">
        <w:rPr>
          <w:rFonts w:ascii="Times New Roman" w:hAnsi="Times New Roman" w:cs="Times New Roman"/>
          <w:sz w:val="28"/>
          <w:szCs w:val="28"/>
        </w:rPr>
        <w:t>Minimizar confusión y habilitar decisiones efectivas en tiempo de crisis.</w:t>
      </w:r>
    </w:p>
    <w:p w14:paraId="79033B7D" w14:textId="77777777" w:rsidR="00A74088" w:rsidRPr="002A7673" w:rsidRDefault="00A74088" w:rsidP="00FF3FAC">
      <w:pPr>
        <w:pStyle w:val="Prrafodelista"/>
        <w:numPr>
          <w:ilvl w:val="2"/>
          <w:numId w:val="73"/>
        </w:numPr>
        <w:spacing w:line="360" w:lineRule="auto"/>
        <w:ind w:left="0" w:firstLine="709"/>
        <w:contextualSpacing/>
        <w:jc w:val="both"/>
        <w:rPr>
          <w:rFonts w:ascii="Times New Roman" w:hAnsi="Times New Roman" w:cs="Times New Roman"/>
          <w:sz w:val="28"/>
          <w:szCs w:val="28"/>
        </w:rPr>
      </w:pPr>
      <w:r w:rsidRPr="002A7673">
        <w:rPr>
          <w:rFonts w:ascii="Times New Roman" w:hAnsi="Times New Roman" w:cs="Times New Roman"/>
          <w:sz w:val="28"/>
          <w:szCs w:val="28"/>
        </w:rPr>
        <w:t>Reducir dependencia de personal específico.</w:t>
      </w:r>
    </w:p>
    <w:p w14:paraId="0C0E1F87" w14:textId="77777777" w:rsidR="00A74088" w:rsidRPr="002A7673" w:rsidRDefault="00A74088" w:rsidP="00FF3FAC">
      <w:pPr>
        <w:pStyle w:val="Prrafodelista"/>
        <w:numPr>
          <w:ilvl w:val="2"/>
          <w:numId w:val="73"/>
        </w:numPr>
        <w:spacing w:line="360" w:lineRule="auto"/>
        <w:ind w:left="0" w:firstLine="709"/>
        <w:contextualSpacing/>
        <w:jc w:val="both"/>
        <w:rPr>
          <w:rFonts w:ascii="Times New Roman" w:hAnsi="Times New Roman" w:cs="Times New Roman"/>
          <w:sz w:val="28"/>
          <w:szCs w:val="28"/>
        </w:rPr>
      </w:pPr>
      <w:r w:rsidRPr="002A7673">
        <w:rPr>
          <w:rFonts w:ascii="Times New Roman" w:hAnsi="Times New Roman" w:cs="Times New Roman"/>
          <w:sz w:val="28"/>
          <w:szCs w:val="28"/>
        </w:rPr>
        <w:t>Minimizar la pérdida de información.</w:t>
      </w:r>
    </w:p>
    <w:p w14:paraId="14DC2DED" w14:textId="77777777" w:rsidR="00A74088" w:rsidRPr="002A7673" w:rsidRDefault="00A74088" w:rsidP="00FF3FAC">
      <w:pPr>
        <w:pStyle w:val="Prrafodelista"/>
        <w:numPr>
          <w:ilvl w:val="2"/>
          <w:numId w:val="73"/>
        </w:numPr>
        <w:spacing w:line="360" w:lineRule="auto"/>
        <w:ind w:left="0" w:firstLine="709"/>
        <w:contextualSpacing/>
        <w:jc w:val="both"/>
        <w:rPr>
          <w:rFonts w:ascii="Times New Roman" w:hAnsi="Times New Roman" w:cs="Times New Roman"/>
          <w:sz w:val="28"/>
          <w:szCs w:val="28"/>
        </w:rPr>
      </w:pPr>
      <w:r w:rsidRPr="002A7673">
        <w:rPr>
          <w:rFonts w:ascii="Times New Roman" w:hAnsi="Times New Roman" w:cs="Times New Roman"/>
          <w:sz w:val="28"/>
          <w:szCs w:val="28"/>
        </w:rPr>
        <w:t>Satisfacer cualquier requerimiento regulatorio o legal.</w:t>
      </w:r>
    </w:p>
    <w:p w14:paraId="5DDA9332" w14:textId="77777777" w:rsidR="00A74088" w:rsidRPr="002A7673" w:rsidRDefault="00A74088" w:rsidP="00FF3FAC">
      <w:pPr>
        <w:pStyle w:val="Prrafodelista"/>
        <w:numPr>
          <w:ilvl w:val="2"/>
          <w:numId w:val="73"/>
        </w:numPr>
        <w:spacing w:line="360" w:lineRule="auto"/>
        <w:ind w:left="0" w:firstLine="709"/>
        <w:contextualSpacing/>
        <w:jc w:val="both"/>
        <w:rPr>
          <w:rFonts w:ascii="Times New Roman" w:hAnsi="Times New Roman" w:cs="Times New Roman"/>
          <w:sz w:val="28"/>
          <w:szCs w:val="28"/>
        </w:rPr>
      </w:pPr>
      <w:r w:rsidRPr="002A7673">
        <w:rPr>
          <w:rFonts w:ascii="Times New Roman" w:hAnsi="Times New Roman" w:cs="Times New Roman"/>
          <w:sz w:val="28"/>
          <w:szCs w:val="28"/>
        </w:rPr>
        <w:t>Mantener la imagen pública y reputación de la institución.</w:t>
      </w:r>
    </w:p>
    <w:p w14:paraId="254DC48D" w14:textId="77777777" w:rsidR="00A74088" w:rsidRPr="002A7673" w:rsidRDefault="00A74088" w:rsidP="00A74088">
      <w:pPr>
        <w:pStyle w:val="Prrafodelista"/>
        <w:spacing w:line="360" w:lineRule="auto"/>
        <w:rPr>
          <w:rFonts w:ascii="Times New Roman" w:hAnsi="Times New Roman" w:cs="Times New Roman"/>
          <w:bCs/>
          <w:sz w:val="28"/>
          <w:szCs w:val="28"/>
        </w:rPr>
      </w:pPr>
    </w:p>
    <w:p w14:paraId="337A1177" w14:textId="77777777" w:rsidR="00A74088" w:rsidRPr="002A7673" w:rsidRDefault="00A74088" w:rsidP="00B67880">
      <w:pPr>
        <w:pStyle w:val="Prrafodelista"/>
        <w:ind w:firstLine="708"/>
        <w:jc w:val="both"/>
        <w:rPr>
          <w:rFonts w:ascii="Times New Roman" w:hAnsi="Times New Roman" w:cs="Times New Roman"/>
          <w:bCs/>
          <w:sz w:val="28"/>
          <w:szCs w:val="28"/>
        </w:rPr>
      </w:pPr>
      <w:r w:rsidRPr="002A7673">
        <w:rPr>
          <w:rFonts w:ascii="Times New Roman" w:hAnsi="Times New Roman" w:cs="Times New Roman"/>
          <w:bCs/>
          <w:sz w:val="28"/>
          <w:szCs w:val="28"/>
        </w:rPr>
        <w:t>Según indica Renán Leiva Vásquez, el monto se incluye a solicitud de la DTI y es para el financiamiento de otro convenio que se quiere formalizar en este caso con el ICE, para que se sirva como respaldo por si falla el Centro Alterno del INS, en este segundo convenio se incluyen solamente los Sistemas más críticos del OIJ.</w:t>
      </w:r>
    </w:p>
    <w:p w14:paraId="6CFCDD91" w14:textId="77777777" w:rsidR="00A74088" w:rsidRPr="002A7673" w:rsidRDefault="00A74088" w:rsidP="00A74088">
      <w:pPr>
        <w:pStyle w:val="Prrafodelista"/>
        <w:spacing w:line="360" w:lineRule="auto"/>
        <w:rPr>
          <w:rFonts w:ascii="Times New Roman" w:hAnsi="Times New Roman" w:cs="Times New Roman"/>
          <w:bCs/>
          <w:sz w:val="28"/>
          <w:szCs w:val="28"/>
        </w:rPr>
      </w:pPr>
      <w:r w:rsidRPr="002A7673">
        <w:rPr>
          <w:rFonts w:ascii="Times New Roman" w:hAnsi="Times New Roman" w:cs="Times New Roman"/>
          <w:bCs/>
          <w:sz w:val="28"/>
          <w:szCs w:val="28"/>
        </w:rPr>
        <w:t xml:space="preserve"> </w:t>
      </w:r>
    </w:p>
    <w:p w14:paraId="3BCCEDA0" w14:textId="77777777" w:rsidR="00A74088" w:rsidRPr="002A7673" w:rsidRDefault="00A74088" w:rsidP="00A74088">
      <w:pPr>
        <w:pStyle w:val="Prrafodelista"/>
        <w:spacing w:line="360" w:lineRule="auto"/>
        <w:rPr>
          <w:rFonts w:ascii="Times New Roman" w:hAnsi="Times New Roman" w:cs="Times New Roman"/>
          <w:b/>
          <w:sz w:val="28"/>
          <w:szCs w:val="28"/>
        </w:rPr>
      </w:pPr>
      <w:r w:rsidRPr="002A7673">
        <w:rPr>
          <w:rFonts w:ascii="Times New Roman" w:hAnsi="Times New Roman" w:cs="Times New Roman"/>
          <w:b/>
          <w:sz w:val="28"/>
          <w:szCs w:val="28"/>
        </w:rPr>
        <w:t>Subpartida 10405 Servicios Informáticos</w:t>
      </w:r>
    </w:p>
    <w:p w14:paraId="3FC4E6F8" w14:textId="77777777" w:rsidR="00A74088" w:rsidRPr="002A7673" w:rsidRDefault="00A74088" w:rsidP="00FF3FAC">
      <w:pPr>
        <w:pStyle w:val="Prrafodelista"/>
        <w:numPr>
          <w:ilvl w:val="0"/>
          <w:numId w:val="72"/>
        </w:numPr>
        <w:contextualSpacing/>
        <w:jc w:val="both"/>
        <w:rPr>
          <w:rFonts w:ascii="Times New Roman" w:hAnsi="Times New Roman" w:cs="Times New Roman"/>
          <w:sz w:val="28"/>
          <w:szCs w:val="28"/>
        </w:rPr>
      </w:pPr>
      <w:r w:rsidRPr="002A7673">
        <w:rPr>
          <w:rFonts w:ascii="Times New Roman" w:hAnsi="Times New Roman" w:cs="Times New Roman"/>
          <w:sz w:val="28"/>
          <w:szCs w:val="28"/>
        </w:rPr>
        <w:t>Los recursos presupuestados en esta subpartida son requeridos por la Plataforma de Información Policial para el Proyecto 1167-OIJ-P18 “Acreditación ISO 27001 UTI y PIP”, específicamente para la contratación de una empresa consultora que brinde acompañamiento en las tareas relacionadas con la sensibilización del personal en materia de ciberseguridad, normativa, controles y demás, temas relevantes para asegurar el correcto compromiso del personal, para poder dar cumplimiento a dicha norma, donde lo más importante es salvaguardar la información sensible que administra el OIJ. </w:t>
      </w:r>
    </w:p>
    <w:p w14:paraId="7FDD9BBF" w14:textId="77777777" w:rsidR="00A74088" w:rsidRPr="002A7673" w:rsidRDefault="00A74088" w:rsidP="00A74088">
      <w:pPr>
        <w:pStyle w:val="Prrafodelista"/>
        <w:spacing w:line="360" w:lineRule="auto"/>
        <w:rPr>
          <w:rFonts w:ascii="Times New Roman" w:hAnsi="Times New Roman" w:cs="Times New Roman"/>
          <w:b/>
          <w:sz w:val="28"/>
          <w:szCs w:val="28"/>
        </w:rPr>
      </w:pPr>
    </w:p>
    <w:p w14:paraId="73ACDE8D" w14:textId="77777777" w:rsidR="00A74088" w:rsidRPr="002A7673" w:rsidRDefault="00A74088" w:rsidP="00A74088">
      <w:pPr>
        <w:pStyle w:val="Prrafodelista"/>
        <w:spacing w:line="360" w:lineRule="auto"/>
        <w:rPr>
          <w:rFonts w:ascii="Times New Roman" w:hAnsi="Times New Roman" w:cs="Times New Roman"/>
          <w:b/>
          <w:sz w:val="28"/>
          <w:szCs w:val="28"/>
        </w:rPr>
      </w:pPr>
      <w:r w:rsidRPr="002A7673">
        <w:rPr>
          <w:rFonts w:ascii="Times New Roman" w:hAnsi="Times New Roman" w:cs="Times New Roman"/>
          <w:b/>
          <w:sz w:val="28"/>
          <w:szCs w:val="28"/>
        </w:rPr>
        <w:t>Subpartida 10406 Servicios Generales</w:t>
      </w:r>
    </w:p>
    <w:p w14:paraId="49E2C447" w14:textId="77777777" w:rsidR="00A74088" w:rsidRPr="002A7673" w:rsidRDefault="00A74088" w:rsidP="00FF3FAC">
      <w:pPr>
        <w:pStyle w:val="Prrafodelista"/>
        <w:numPr>
          <w:ilvl w:val="0"/>
          <w:numId w:val="72"/>
        </w:numPr>
        <w:contextualSpacing/>
        <w:jc w:val="both"/>
        <w:rPr>
          <w:rFonts w:ascii="Times New Roman" w:hAnsi="Times New Roman" w:cs="Times New Roman"/>
          <w:sz w:val="28"/>
          <w:szCs w:val="28"/>
        </w:rPr>
      </w:pPr>
      <w:r w:rsidRPr="002A7673">
        <w:rPr>
          <w:rFonts w:ascii="Times New Roman" w:hAnsi="Times New Roman" w:cs="Times New Roman"/>
          <w:sz w:val="28"/>
          <w:szCs w:val="28"/>
        </w:rPr>
        <w:lastRenderedPageBreak/>
        <w:t>El incremento del 18,9% presentado, que corresponde a ¢137.087.836, se debe principalmente al aumento de ¢103.252.412 en el costo de los contratos de servicio de vigilancia, que en total pasan de ¢495.235.241 en 2021 a ¢598.487.653, mientras que una situación similar sucede con los contratos del servicio de limpieza, para los cuales se registra un crecimiento de ¢27.777.076.</w:t>
      </w:r>
    </w:p>
    <w:p w14:paraId="1B90B7C7" w14:textId="77777777" w:rsidR="00A74088" w:rsidRPr="002A7673" w:rsidRDefault="00A74088" w:rsidP="00A74088">
      <w:pPr>
        <w:pStyle w:val="Prrafodelista"/>
        <w:spacing w:line="360" w:lineRule="auto"/>
        <w:ind w:left="916"/>
        <w:jc w:val="both"/>
        <w:rPr>
          <w:rFonts w:ascii="Times New Roman" w:hAnsi="Times New Roman" w:cs="Times New Roman"/>
          <w:sz w:val="28"/>
          <w:szCs w:val="28"/>
        </w:rPr>
      </w:pPr>
    </w:p>
    <w:p w14:paraId="19E71AEC" w14:textId="77777777" w:rsidR="00A74088" w:rsidRPr="002A7673" w:rsidRDefault="00A74088" w:rsidP="00A74088">
      <w:pPr>
        <w:pStyle w:val="Prrafodelista"/>
        <w:spacing w:line="360" w:lineRule="auto"/>
        <w:rPr>
          <w:rFonts w:ascii="Times New Roman" w:hAnsi="Times New Roman" w:cs="Times New Roman"/>
          <w:b/>
          <w:sz w:val="28"/>
          <w:szCs w:val="28"/>
        </w:rPr>
      </w:pPr>
      <w:r w:rsidRPr="002A7673">
        <w:rPr>
          <w:rFonts w:ascii="Times New Roman" w:hAnsi="Times New Roman" w:cs="Times New Roman"/>
          <w:b/>
          <w:sz w:val="28"/>
          <w:szCs w:val="28"/>
        </w:rPr>
        <w:t>Subpartida 10899 Mantenimiento y Reparación de Otros Equipos</w:t>
      </w:r>
    </w:p>
    <w:p w14:paraId="52008A1A" w14:textId="77777777" w:rsidR="00A74088" w:rsidRPr="002A7673" w:rsidRDefault="00A74088" w:rsidP="00FF3FAC">
      <w:pPr>
        <w:pStyle w:val="Prrafodelista"/>
        <w:numPr>
          <w:ilvl w:val="0"/>
          <w:numId w:val="72"/>
        </w:numPr>
        <w:contextualSpacing/>
        <w:jc w:val="both"/>
        <w:rPr>
          <w:rFonts w:ascii="Times New Roman" w:hAnsi="Times New Roman" w:cs="Times New Roman"/>
          <w:b/>
          <w:sz w:val="28"/>
          <w:szCs w:val="28"/>
        </w:rPr>
      </w:pPr>
      <w:r w:rsidRPr="002A7673">
        <w:rPr>
          <w:rFonts w:ascii="Times New Roman" w:hAnsi="Times New Roman" w:cs="Times New Roman"/>
          <w:sz w:val="28"/>
          <w:szCs w:val="28"/>
        </w:rPr>
        <w:t>El crecimiento del 14,8% registrado, que equivale a ¢70.701.664, se debe al costo de un contrato asociado al Departamento de Laboratorio de Ciencias Forenses, se trata del contrato N°88119 “</w:t>
      </w:r>
      <w:r w:rsidRPr="002A7673">
        <w:rPr>
          <w:rFonts w:ascii="Times New Roman" w:hAnsi="Times New Roman" w:cs="Times New Roman"/>
          <w:i/>
          <w:iCs/>
          <w:sz w:val="28"/>
          <w:szCs w:val="28"/>
        </w:rPr>
        <w:t>Contratación del Servicio de Mantenimiento Preventivo, Calibración y/o Verificación de Equipos de Varias Secciones del Departamento de Ciencias Forenses”</w:t>
      </w:r>
      <w:r w:rsidRPr="002A7673">
        <w:rPr>
          <w:rFonts w:ascii="Times New Roman" w:hAnsi="Times New Roman" w:cs="Times New Roman"/>
          <w:sz w:val="28"/>
          <w:szCs w:val="28"/>
        </w:rPr>
        <w:t>, que según la consulta de contratos generados del SIGAPJ, inició vigencia en los últimos días del 2019 y por tanto no se cargó de forma automática en el presupuesto 2021, sino que se había realizado una estimación de cuánto podía ser el costo, siendo que finalmente el monto real para el 2022 es superior al estimado para el 2021.</w:t>
      </w:r>
    </w:p>
    <w:p w14:paraId="79BEF463" w14:textId="77777777" w:rsidR="00A74088" w:rsidRPr="002A7673" w:rsidRDefault="00A74088" w:rsidP="00A74088">
      <w:pPr>
        <w:spacing w:line="360" w:lineRule="auto"/>
        <w:rPr>
          <w:rFonts w:ascii="Times New Roman" w:hAnsi="Times New Roman" w:cs="Times New Roman"/>
          <w:b/>
          <w:sz w:val="28"/>
          <w:szCs w:val="28"/>
        </w:rPr>
      </w:pPr>
    </w:p>
    <w:p w14:paraId="2DB27E37" w14:textId="77777777" w:rsidR="00A74088" w:rsidRPr="002A7673" w:rsidRDefault="00A74088" w:rsidP="00A74088">
      <w:pPr>
        <w:pStyle w:val="Prrafodelista"/>
        <w:spacing w:line="360" w:lineRule="auto"/>
        <w:rPr>
          <w:rFonts w:ascii="Times New Roman" w:hAnsi="Times New Roman" w:cs="Times New Roman"/>
          <w:b/>
          <w:sz w:val="28"/>
          <w:szCs w:val="28"/>
        </w:rPr>
      </w:pPr>
      <w:r w:rsidRPr="002A7673">
        <w:rPr>
          <w:rFonts w:ascii="Times New Roman" w:hAnsi="Times New Roman" w:cs="Times New Roman"/>
          <w:b/>
          <w:sz w:val="28"/>
          <w:szCs w:val="28"/>
        </w:rPr>
        <w:t>Subpartida 20101 Combustibles y Lubricantes</w:t>
      </w:r>
    </w:p>
    <w:p w14:paraId="33A0CE63" w14:textId="77777777" w:rsidR="00A74088" w:rsidRPr="002A7673" w:rsidRDefault="00A74088" w:rsidP="00FF3FAC">
      <w:pPr>
        <w:pStyle w:val="Prrafodelista"/>
        <w:numPr>
          <w:ilvl w:val="0"/>
          <w:numId w:val="72"/>
        </w:numPr>
        <w:contextualSpacing/>
        <w:jc w:val="both"/>
        <w:rPr>
          <w:rFonts w:ascii="Times New Roman" w:hAnsi="Times New Roman" w:cs="Times New Roman"/>
          <w:bCs/>
          <w:sz w:val="28"/>
          <w:szCs w:val="28"/>
        </w:rPr>
      </w:pPr>
      <w:r w:rsidRPr="002A7673">
        <w:rPr>
          <w:rFonts w:ascii="Times New Roman" w:hAnsi="Times New Roman" w:cs="Times New Roman"/>
          <w:bCs/>
          <w:sz w:val="28"/>
          <w:szCs w:val="28"/>
        </w:rPr>
        <w:t xml:space="preserve">El decrecimiento de más de ¢100 millones mostrado en esta subpartida, lo que equivale a un 11,4%, se focaliza en el monto general presupuestado para la compra de gasolina y </w:t>
      </w:r>
      <w:proofErr w:type="spellStart"/>
      <w:r w:rsidRPr="002A7673">
        <w:rPr>
          <w:rFonts w:ascii="Times New Roman" w:hAnsi="Times New Roman" w:cs="Times New Roman"/>
          <w:bCs/>
          <w:sz w:val="28"/>
          <w:szCs w:val="28"/>
        </w:rPr>
        <w:t>diesel</w:t>
      </w:r>
      <w:proofErr w:type="spellEnd"/>
      <w:r w:rsidRPr="002A7673">
        <w:rPr>
          <w:rFonts w:ascii="Times New Roman" w:hAnsi="Times New Roman" w:cs="Times New Roman"/>
          <w:bCs/>
          <w:sz w:val="28"/>
          <w:szCs w:val="28"/>
        </w:rPr>
        <w:t>, que pasa de ¢820.753.920 en 2021 a ¢720.557.835 en 2022. Al respecto, de parte de la Administración se justificó que la estimación para 2022 fue realizada en base a un promedio real del presupuesto devengado durante los períodos 2018 y 2019.</w:t>
      </w:r>
    </w:p>
    <w:p w14:paraId="3B1A6D9A" w14:textId="77777777" w:rsidR="00A74088" w:rsidRPr="002A7673" w:rsidRDefault="00A74088" w:rsidP="00A74088">
      <w:pPr>
        <w:pStyle w:val="Prrafodelista"/>
        <w:spacing w:line="360" w:lineRule="auto"/>
        <w:rPr>
          <w:rFonts w:ascii="Times New Roman" w:hAnsi="Times New Roman" w:cs="Times New Roman"/>
          <w:b/>
          <w:sz w:val="28"/>
          <w:szCs w:val="28"/>
        </w:rPr>
      </w:pPr>
    </w:p>
    <w:p w14:paraId="7FEB8B47" w14:textId="77777777" w:rsidR="00A74088" w:rsidRPr="002A7673" w:rsidRDefault="00A74088" w:rsidP="00A74088">
      <w:pPr>
        <w:pStyle w:val="Prrafodelista"/>
        <w:spacing w:line="360" w:lineRule="auto"/>
        <w:rPr>
          <w:rFonts w:ascii="Times New Roman" w:hAnsi="Times New Roman" w:cs="Times New Roman"/>
          <w:b/>
          <w:sz w:val="28"/>
          <w:szCs w:val="28"/>
        </w:rPr>
      </w:pPr>
      <w:r w:rsidRPr="002A7673">
        <w:rPr>
          <w:rFonts w:ascii="Times New Roman" w:hAnsi="Times New Roman" w:cs="Times New Roman"/>
          <w:b/>
          <w:sz w:val="28"/>
          <w:szCs w:val="28"/>
        </w:rPr>
        <w:t>Subpartida 20102 Productos Farmacéuticos y Medicinales</w:t>
      </w:r>
    </w:p>
    <w:p w14:paraId="0A4B16EF" w14:textId="617EAFC8" w:rsidR="00A74088" w:rsidRPr="002A7673" w:rsidRDefault="00A74088" w:rsidP="00FF3FAC">
      <w:pPr>
        <w:pStyle w:val="Prrafodelista"/>
        <w:numPr>
          <w:ilvl w:val="0"/>
          <w:numId w:val="72"/>
        </w:numPr>
        <w:contextualSpacing/>
        <w:jc w:val="both"/>
        <w:rPr>
          <w:rFonts w:ascii="Times New Roman" w:hAnsi="Times New Roman" w:cs="Times New Roman"/>
          <w:sz w:val="28"/>
          <w:szCs w:val="28"/>
        </w:rPr>
      </w:pPr>
      <w:r w:rsidRPr="002A7673">
        <w:rPr>
          <w:rFonts w:ascii="Times New Roman" w:hAnsi="Times New Roman" w:cs="Times New Roman"/>
          <w:sz w:val="28"/>
          <w:szCs w:val="28"/>
        </w:rPr>
        <w:t xml:space="preserve">Del incremento del 48,3% presentado, correspondiente a ¢32.167.397, más de ¢19 millones se deben al aumento en el presupuesto destinado a la compra de solución alcohólica en galón, alcohol etílico 70 grados, alcohol en gel y solución alcohólica 60 ml, artículos relacionados directamente con la aplicación de los protocolos de limpieza y desinfección necesarios por la Pandemia del Covid19. Adicionalmente, se da un aumento de casi ¢8 millones en el presupuesto requerido para la compra de vacunas, las que se aplican tanto </w:t>
      </w:r>
      <w:r w:rsidRPr="002A7673">
        <w:rPr>
          <w:rFonts w:ascii="Times New Roman" w:hAnsi="Times New Roman" w:cs="Times New Roman"/>
          <w:sz w:val="28"/>
          <w:szCs w:val="28"/>
        </w:rPr>
        <w:lastRenderedPageBreak/>
        <w:t xml:space="preserve">al personal de investigación como al de cárceles, se trata de vacunas contra la gripe, neumonía, hepatitis, meningitis, </w:t>
      </w:r>
      <w:proofErr w:type="gramStart"/>
      <w:r w:rsidRPr="002A7673">
        <w:rPr>
          <w:rFonts w:ascii="Times New Roman" w:hAnsi="Times New Roman" w:cs="Times New Roman"/>
          <w:sz w:val="28"/>
          <w:szCs w:val="28"/>
        </w:rPr>
        <w:t>anti neumococo</w:t>
      </w:r>
      <w:proofErr w:type="gramEnd"/>
      <w:r w:rsidRPr="002A7673">
        <w:rPr>
          <w:rFonts w:ascii="Times New Roman" w:hAnsi="Times New Roman" w:cs="Times New Roman"/>
          <w:sz w:val="28"/>
          <w:szCs w:val="28"/>
        </w:rPr>
        <w:t xml:space="preserve"> y anti paperas, requeridas por oficinas como la Sección de Cárceles, Sección de Transportes, Sección de Inspecciones Oculares y Recolección de Indicios y Unidad de Transporte Forense entre otras. Estas vacunas se requieren para inmunizar al personal de estas oficinas, </w:t>
      </w:r>
      <w:proofErr w:type="gramStart"/>
      <w:r w:rsidRPr="002A7673">
        <w:rPr>
          <w:rFonts w:ascii="Times New Roman" w:hAnsi="Times New Roman" w:cs="Times New Roman"/>
          <w:sz w:val="28"/>
          <w:szCs w:val="28"/>
        </w:rPr>
        <w:t>que</w:t>
      </w:r>
      <w:proofErr w:type="gramEnd"/>
      <w:r w:rsidRPr="002A7673">
        <w:rPr>
          <w:rFonts w:ascii="Times New Roman" w:hAnsi="Times New Roman" w:cs="Times New Roman"/>
          <w:sz w:val="28"/>
          <w:szCs w:val="28"/>
        </w:rPr>
        <w:t xml:space="preserve"> por las labores propias de su cargo al mantener contacto diario y frecuente con personas enfermas, están expuestas a estas enfermedades.  </w:t>
      </w:r>
    </w:p>
    <w:p w14:paraId="542A8471" w14:textId="77777777" w:rsidR="00090FF8" w:rsidRPr="002A7673" w:rsidRDefault="00090FF8" w:rsidP="00090FF8">
      <w:pPr>
        <w:pStyle w:val="Prrafodelista"/>
        <w:ind w:left="916"/>
        <w:contextualSpacing/>
        <w:jc w:val="both"/>
        <w:rPr>
          <w:rFonts w:ascii="Times New Roman" w:hAnsi="Times New Roman" w:cs="Times New Roman"/>
          <w:sz w:val="28"/>
          <w:szCs w:val="28"/>
        </w:rPr>
      </w:pPr>
    </w:p>
    <w:p w14:paraId="7DBB9747" w14:textId="77777777" w:rsidR="00A74088" w:rsidRPr="002A7673" w:rsidRDefault="00A74088" w:rsidP="00A74088">
      <w:pPr>
        <w:pStyle w:val="Prrafodelista"/>
        <w:spacing w:line="360" w:lineRule="auto"/>
        <w:rPr>
          <w:rFonts w:ascii="Times New Roman" w:hAnsi="Times New Roman" w:cs="Times New Roman"/>
          <w:b/>
          <w:sz w:val="28"/>
          <w:szCs w:val="28"/>
        </w:rPr>
      </w:pPr>
      <w:r w:rsidRPr="002A7673">
        <w:rPr>
          <w:rFonts w:ascii="Times New Roman" w:hAnsi="Times New Roman" w:cs="Times New Roman"/>
          <w:b/>
          <w:sz w:val="28"/>
          <w:szCs w:val="28"/>
        </w:rPr>
        <w:t>Subpartida 20203 Alimentos y Bebidas</w:t>
      </w:r>
    </w:p>
    <w:p w14:paraId="20A7716F" w14:textId="7E27B565" w:rsidR="00A74088" w:rsidRPr="002A7673" w:rsidRDefault="00A74088" w:rsidP="00FF3FAC">
      <w:pPr>
        <w:pStyle w:val="Prrafodelista"/>
        <w:numPr>
          <w:ilvl w:val="0"/>
          <w:numId w:val="72"/>
        </w:numPr>
        <w:contextualSpacing/>
        <w:jc w:val="both"/>
        <w:rPr>
          <w:rFonts w:ascii="Times New Roman" w:hAnsi="Times New Roman" w:cs="Times New Roman"/>
          <w:b/>
          <w:sz w:val="28"/>
          <w:szCs w:val="28"/>
        </w:rPr>
      </w:pPr>
      <w:r w:rsidRPr="002A7673">
        <w:rPr>
          <w:rFonts w:ascii="Times New Roman" w:hAnsi="Times New Roman" w:cs="Times New Roman"/>
          <w:sz w:val="28"/>
          <w:szCs w:val="28"/>
        </w:rPr>
        <w:t>El crecimiento del 4,7% equivalente a ¢24.147.955, se debe exclusivamente al crecimiento normal que se presenta en el costo de los contratos de servicio de alimentación de detenidos, que se tienen para las diferentes Delegaciones, Subdelegaciones, Oficinas y Unidades Regionales a nivel nacional.</w:t>
      </w:r>
    </w:p>
    <w:p w14:paraId="5466D56F" w14:textId="77777777" w:rsidR="00090FF8" w:rsidRPr="002A7673" w:rsidRDefault="00090FF8" w:rsidP="00090FF8">
      <w:pPr>
        <w:pStyle w:val="Prrafodelista"/>
        <w:ind w:left="916"/>
        <w:contextualSpacing/>
        <w:jc w:val="both"/>
        <w:rPr>
          <w:rFonts w:ascii="Times New Roman" w:hAnsi="Times New Roman" w:cs="Times New Roman"/>
          <w:b/>
          <w:sz w:val="28"/>
          <w:szCs w:val="28"/>
        </w:rPr>
      </w:pPr>
    </w:p>
    <w:p w14:paraId="52B785DE" w14:textId="77777777" w:rsidR="00A74088" w:rsidRPr="002A7673" w:rsidRDefault="00A74088" w:rsidP="00A74088">
      <w:pPr>
        <w:spacing w:line="360" w:lineRule="auto"/>
        <w:ind w:left="556" w:firstLine="152"/>
        <w:jc w:val="both"/>
        <w:rPr>
          <w:rFonts w:ascii="Times New Roman" w:hAnsi="Times New Roman" w:cs="Times New Roman"/>
          <w:b/>
          <w:sz w:val="28"/>
          <w:szCs w:val="28"/>
        </w:rPr>
      </w:pPr>
      <w:r w:rsidRPr="002A7673">
        <w:rPr>
          <w:rFonts w:ascii="Times New Roman" w:hAnsi="Times New Roman" w:cs="Times New Roman"/>
          <w:b/>
          <w:sz w:val="28"/>
          <w:szCs w:val="28"/>
        </w:rPr>
        <w:t>Subpartida 20204 Alimentos para Animales</w:t>
      </w:r>
    </w:p>
    <w:p w14:paraId="6597679E" w14:textId="77777777" w:rsidR="00A74088" w:rsidRPr="002A7673" w:rsidRDefault="00A74088" w:rsidP="00FF3FAC">
      <w:pPr>
        <w:pStyle w:val="Prrafodelista"/>
        <w:numPr>
          <w:ilvl w:val="0"/>
          <w:numId w:val="72"/>
        </w:numPr>
        <w:contextualSpacing/>
        <w:jc w:val="both"/>
        <w:rPr>
          <w:rFonts w:ascii="Times New Roman" w:hAnsi="Times New Roman" w:cs="Times New Roman"/>
          <w:bCs/>
          <w:sz w:val="28"/>
          <w:szCs w:val="28"/>
        </w:rPr>
      </w:pPr>
      <w:r w:rsidRPr="002A7673">
        <w:rPr>
          <w:rFonts w:ascii="Times New Roman" w:hAnsi="Times New Roman" w:cs="Times New Roman"/>
          <w:bCs/>
          <w:sz w:val="28"/>
          <w:szCs w:val="28"/>
        </w:rPr>
        <w:t xml:space="preserve">El incremento del 39,5% correspondiente a ¢3.404.476, se debe al creciente cambio en las razas de los canes, ya que después de ser labradores y canes de tamaño mediano, que consumían dos a tres tazas diarias de alimento, ahora se tienen en su mayoría canes de raza Pastor Belga </w:t>
      </w:r>
      <w:proofErr w:type="spellStart"/>
      <w:r w:rsidRPr="002A7673">
        <w:rPr>
          <w:rFonts w:ascii="Times New Roman" w:hAnsi="Times New Roman" w:cs="Times New Roman"/>
          <w:bCs/>
          <w:sz w:val="28"/>
          <w:szCs w:val="28"/>
        </w:rPr>
        <w:t>Malinois</w:t>
      </w:r>
      <w:proofErr w:type="spellEnd"/>
      <w:r w:rsidRPr="002A7673">
        <w:rPr>
          <w:rFonts w:ascii="Times New Roman" w:hAnsi="Times New Roman" w:cs="Times New Roman"/>
          <w:bCs/>
          <w:sz w:val="28"/>
          <w:szCs w:val="28"/>
        </w:rPr>
        <w:t xml:space="preserve"> y similares, los cuales consumen el doble o triple de alimento, dado que son muy enérgicos y pierden peso rápidamente, lo cual obliga a suministrarles mayor cantidad de alimento, ya que baja su condición corporal y el veterinario indica en cada revisión que es importante que la mantengan alta, pues al ser canes de trabajo, en una revisión de 20 minutos gastan más energía y kilo calorías que un perro de hogar. </w:t>
      </w:r>
    </w:p>
    <w:p w14:paraId="7C6F0DA8" w14:textId="77777777" w:rsidR="00A74088" w:rsidRPr="002A7673" w:rsidRDefault="00A74088" w:rsidP="00B67880">
      <w:pPr>
        <w:spacing w:line="240" w:lineRule="auto"/>
        <w:ind w:left="556"/>
        <w:jc w:val="both"/>
        <w:rPr>
          <w:rFonts w:ascii="Times New Roman" w:hAnsi="Times New Roman" w:cs="Times New Roman"/>
          <w:b/>
          <w:sz w:val="28"/>
          <w:szCs w:val="28"/>
        </w:rPr>
      </w:pPr>
    </w:p>
    <w:p w14:paraId="4B6BF080" w14:textId="77777777" w:rsidR="00A74088" w:rsidRPr="002A7673" w:rsidRDefault="00A74088" w:rsidP="00A74088">
      <w:pPr>
        <w:spacing w:line="360" w:lineRule="auto"/>
        <w:ind w:left="556"/>
        <w:jc w:val="both"/>
        <w:rPr>
          <w:rFonts w:ascii="Times New Roman" w:hAnsi="Times New Roman" w:cs="Times New Roman"/>
          <w:b/>
          <w:sz w:val="28"/>
          <w:szCs w:val="28"/>
        </w:rPr>
      </w:pPr>
      <w:r w:rsidRPr="002A7673">
        <w:rPr>
          <w:rFonts w:ascii="Times New Roman" w:hAnsi="Times New Roman" w:cs="Times New Roman"/>
          <w:b/>
          <w:sz w:val="28"/>
          <w:szCs w:val="28"/>
        </w:rPr>
        <w:t>Subpartida 20402 Repuestos y Accesorios</w:t>
      </w:r>
    </w:p>
    <w:p w14:paraId="06F62BC1" w14:textId="77777777" w:rsidR="00A74088" w:rsidRPr="002A7673" w:rsidRDefault="00A74088" w:rsidP="00FF3FAC">
      <w:pPr>
        <w:pStyle w:val="Prrafodelista"/>
        <w:numPr>
          <w:ilvl w:val="0"/>
          <w:numId w:val="72"/>
        </w:numPr>
        <w:contextualSpacing/>
        <w:jc w:val="both"/>
        <w:rPr>
          <w:rFonts w:ascii="Times New Roman" w:hAnsi="Times New Roman" w:cs="Times New Roman"/>
          <w:sz w:val="28"/>
          <w:szCs w:val="28"/>
        </w:rPr>
      </w:pPr>
      <w:r w:rsidRPr="002A7673">
        <w:rPr>
          <w:rFonts w:ascii="Times New Roman" w:hAnsi="Times New Roman" w:cs="Times New Roman"/>
          <w:sz w:val="28"/>
          <w:szCs w:val="28"/>
        </w:rPr>
        <w:t>El aumento de ¢68.761.796 que representa un 16,2%, se debe a la inclusión para el 2022 de ¢30 millones para la compra de 430 llantas, ¢15 millones para 131 baterías para radios de comunicación, ¢15 millones para repuestos para radios de comunicación y ¢8,8 millones para repuestos para microscopio o estereoscopio, artículos que no se presupuestaron para el 2021 y que por lo tanto es indispensable formular para el 2022.</w:t>
      </w:r>
    </w:p>
    <w:p w14:paraId="2CF94901" w14:textId="77777777" w:rsidR="00A74088" w:rsidRPr="002A7673" w:rsidRDefault="00A74088" w:rsidP="00A74088">
      <w:pPr>
        <w:pStyle w:val="Prrafodelista"/>
        <w:spacing w:line="360" w:lineRule="auto"/>
        <w:ind w:left="916"/>
        <w:jc w:val="both"/>
        <w:rPr>
          <w:rFonts w:ascii="Times New Roman" w:hAnsi="Times New Roman" w:cs="Times New Roman"/>
          <w:sz w:val="28"/>
          <w:szCs w:val="28"/>
        </w:rPr>
      </w:pPr>
    </w:p>
    <w:p w14:paraId="7272868C" w14:textId="77777777" w:rsidR="00A74088" w:rsidRPr="002A7673" w:rsidRDefault="00A74088" w:rsidP="00A74088">
      <w:pPr>
        <w:spacing w:line="360" w:lineRule="auto"/>
        <w:ind w:left="556"/>
        <w:jc w:val="both"/>
        <w:rPr>
          <w:rFonts w:ascii="Times New Roman" w:hAnsi="Times New Roman" w:cs="Times New Roman"/>
          <w:b/>
          <w:sz w:val="28"/>
          <w:szCs w:val="28"/>
        </w:rPr>
      </w:pPr>
      <w:r w:rsidRPr="002A7673">
        <w:rPr>
          <w:rFonts w:ascii="Times New Roman" w:hAnsi="Times New Roman" w:cs="Times New Roman"/>
          <w:b/>
          <w:sz w:val="28"/>
          <w:szCs w:val="28"/>
        </w:rPr>
        <w:t>Subpartida 29901 útiles y Materiales de Oficina y Cómputo</w:t>
      </w:r>
    </w:p>
    <w:p w14:paraId="2EA0AB3C" w14:textId="77777777" w:rsidR="00A74088" w:rsidRPr="002A7673" w:rsidRDefault="00A74088" w:rsidP="00FF3FAC">
      <w:pPr>
        <w:pStyle w:val="Prrafodelista"/>
        <w:numPr>
          <w:ilvl w:val="0"/>
          <w:numId w:val="72"/>
        </w:numPr>
        <w:contextualSpacing/>
        <w:jc w:val="both"/>
        <w:rPr>
          <w:rFonts w:ascii="Times New Roman" w:hAnsi="Times New Roman" w:cs="Times New Roman"/>
          <w:sz w:val="28"/>
          <w:szCs w:val="28"/>
        </w:rPr>
      </w:pPr>
      <w:r w:rsidRPr="002A7673">
        <w:rPr>
          <w:rFonts w:ascii="Times New Roman" w:hAnsi="Times New Roman" w:cs="Times New Roman"/>
          <w:sz w:val="28"/>
          <w:szCs w:val="28"/>
        </w:rPr>
        <w:t>El incremento del 27,3% registrado, que corresponde a ¢15.356.688, se debe principalmente a un aumento de ¢11,5 millones en el presupuesto solicitado para la compra de discos compactos para quemar, los que son requeridos por las distintas oficinas para realizar los respaldos de los videos de los casos en investigación.</w:t>
      </w:r>
    </w:p>
    <w:p w14:paraId="64D5F8BB" w14:textId="77777777" w:rsidR="00A74088" w:rsidRPr="002A7673" w:rsidRDefault="00A74088" w:rsidP="00B67880">
      <w:pPr>
        <w:spacing w:line="240" w:lineRule="auto"/>
        <w:jc w:val="both"/>
        <w:rPr>
          <w:rFonts w:ascii="Times New Roman" w:hAnsi="Times New Roman" w:cs="Times New Roman"/>
          <w:sz w:val="28"/>
          <w:szCs w:val="28"/>
        </w:rPr>
      </w:pPr>
    </w:p>
    <w:p w14:paraId="7FB41943" w14:textId="77777777" w:rsidR="00A74088" w:rsidRPr="002A7673" w:rsidRDefault="00A74088" w:rsidP="00A74088">
      <w:pPr>
        <w:spacing w:line="360" w:lineRule="auto"/>
        <w:ind w:firstLine="556"/>
        <w:jc w:val="both"/>
        <w:rPr>
          <w:rFonts w:ascii="Times New Roman" w:hAnsi="Times New Roman" w:cs="Times New Roman"/>
          <w:b/>
          <w:bCs/>
          <w:sz w:val="28"/>
          <w:szCs w:val="28"/>
        </w:rPr>
      </w:pPr>
      <w:r w:rsidRPr="002A7673">
        <w:rPr>
          <w:rFonts w:ascii="Times New Roman" w:hAnsi="Times New Roman" w:cs="Times New Roman"/>
          <w:b/>
          <w:bCs/>
          <w:sz w:val="28"/>
          <w:szCs w:val="28"/>
        </w:rPr>
        <w:t>Subpartida 29904 Textiles y Vestuario</w:t>
      </w:r>
    </w:p>
    <w:p w14:paraId="3B3A1ECB" w14:textId="77777777" w:rsidR="00A74088" w:rsidRPr="002A7673" w:rsidRDefault="00A74088" w:rsidP="00FF3FAC">
      <w:pPr>
        <w:pStyle w:val="Prrafodelista"/>
        <w:numPr>
          <w:ilvl w:val="0"/>
          <w:numId w:val="72"/>
        </w:numPr>
        <w:contextualSpacing/>
        <w:jc w:val="both"/>
        <w:rPr>
          <w:rFonts w:ascii="Times New Roman" w:hAnsi="Times New Roman" w:cs="Times New Roman"/>
          <w:sz w:val="28"/>
          <w:szCs w:val="28"/>
        </w:rPr>
      </w:pPr>
      <w:r w:rsidRPr="002A7673">
        <w:rPr>
          <w:rFonts w:ascii="Times New Roman" w:hAnsi="Times New Roman" w:cs="Times New Roman"/>
          <w:sz w:val="28"/>
          <w:szCs w:val="28"/>
        </w:rPr>
        <w:t xml:space="preserve">Del aumento mostrado de ¢36.021.936 equivalente al 21%, ¢9,7 millones son para la compra de 260 chalecos de identificación para conductores de detenidos, presupuestados por las Secciones de Cárceles del I y II Circuitos de San José, mientras que se presenta un aumento de ¢13,6 millones en el presupuesto requerido por la Sección de Inspecciones Oculares y Recolección de Indicios para la compra de </w:t>
      </w:r>
      <w:proofErr w:type="gramStart"/>
      <w:r w:rsidRPr="002A7673">
        <w:rPr>
          <w:rFonts w:ascii="Times New Roman" w:hAnsi="Times New Roman" w:cs="Times New Roman"/>
          <w:sz w:val="28"/>
          <w:szCs w:val="28"/>
        </w:rPr>
        <w:t>pantalones tácticos y camisas tácticas</w:t>
      </w:r>
      <w:proofErr w:type="gramEnd"/>
      <w:r w:rsidRPr="002A7673">
        <w:rPr>
          <w:rFonts w:ascii="Times New Roman" w:hAnsi="Times New Roman" w:cs="Times New Roman"/>
          <w:sz w:val="28"/>
          <w:szCs w:val="28"/>
        </w:rPr>
        <w:t>. Por otra parte, se registra un crecimiento de ¢6,4 millones en el monto requerido para compra de uniformes tácticos para varias oficinas del Organismo.</w:t>
      </w:r>
    </w:p>
    <w:p w14:paraId="3FBC2A89" w14:textId="77777777" w:rsidR="00A74088" w:rsidRPr="002A7673" w:rsidRDefault="00A74088" w:rsidP="00B67880">
      <w:pPr>
        <w:spacing w:line="240" w:lineRule="auto"/>
        <w:jc w:val="both"/>
        <w:rPr>
          <w:rFonts w:ascii="Times New Roman" w:hAnsi="Times New Roman" w:cs="Times New Roman"/>
          <w:sz w:val="28"/>
          <w:szCs w:val="28"/>
        </w:rPr>
      </w:pPr>
    </w:p>
    <w:p w14:paraId="30B8ACFA" w14:textId="77777777" w:rsidR="00A74088" w:rsidRPr="002A7673" w:rsidRDefault="00A74088" w:rsidP="00A74088">
      <w:pPr>
        <w:spacing w:line="360" w:lineRule="auto"/>
        <w:ind w:firstLine="556"/>
        <w:jc w:val="both"/>
        <w:rPr>
          <w:rFonts w:ascii="Times New Roman" w:hAnsi="Times New Roman" w:cs="Times New Roman"/>
          <w:b/>
          <w:bCs/>
          <w:sz w:val="28"/>
          <w:szCs w:val="28"/>
        </w:rPr>
      </w:pPr>
      <w:r w:rsidRPr="002A7673">
        <w:rPr>
          <w:rFonts w:ascii="Times New Roman" w:hAnsi="Times New Roman" w:cs="Times New Roman"/>
          <w:b/>
          <w:bCs/>
          <w:sz w:val="28"/>
          <w:szCs w:val="28"/>
        </w:rPr>
        <w:t>Subpartida 29905 Útiles y Materiales de Limpieza</w:t>
      </w:r>
    </w:p>
    <w:p w14:paraId="37D0B92E" w14:textId="77777777" w:rsidR="00A74088" w:rsidRPr="002A7673" w:rsidRDefault="00A74088" w:rsidP="00FF3FAC">
      <w:pPr>
        <w:pStyle w:val="Prrafodelista"/>
        <w:numPr>
          <w:ilvl w:val="0"/>
          <w:numId w:val="72"/>
        </w:numPr>
        <w:contextualSpacing/>
        <w:jc w:val="both"/>
        <w:rPr>
          <w:rFonts w:ascii="Times New Roman" w:hAnsi="Times New Roman" w:cs="Times New Roman"/>
          <w:sz w:val="28"/>
          <w:szCs w:val="28"/>
        </w:rPr>
      </w:pPr>
      <w:r w:rsidRPr="002A7673">
        <w:rPr>
          <w:rFonts w:ascii="Times New Roman" w:hAnsi="Times New Roman" w:cs="Times New Roman"/>
          <w:sz w:val="28"/>
          <w:szCs w:val="28"/>
        </w:rPr>
        <w:t xml:space="preserve">Se presenta un incremento del 53,8% que equivale a ¢49.841.450, el cual se debe al aumento en el presupuesto requerido para la compra de artículos asociados a la implementación de los protocolos de limpieza necesarios a raíz de la Pandemia. En esta línea se presenta un crecimiento de ¢21,2 millones en la compra de desinfectante en </w:t>
      </w:r>
      <w:proofErr w:type="gramStart"/>
      <w:r w:rsidRPr="002A7673">
        <w:rPr>
          <w:rFonts w:ascii="Times New Roman" w:hAnsi="Times New Roman" w:cs="Times New Roman"/>
          <w:sz w:val="28"/>
          <w:szCs w:val="28"/>
        </w:rPr>
        <w:t>spray</w:t>
      </w:r>
      <w:proofErr w:type="gramEnd"/>
      <w:r w:rsidRPr="002A7673">
        <w:rPr>
          <w:rFonts w:ascii="Times New Roman" w:hAnsi="Times New Roman" w:cs="Times New Roman"/>
          <w:sz w:val="28"/>
          <w:szCs w:val="28"/>
        </w:rPr>
        <w:t>, de ¢5,3 millones en toallas desinfectantes, ¢4,7 millones en papel toalla para dispensador y ¢2,8 millones en jabón de manos líquido en spray para dispensador. Adicionalmente, se incluyen ¢7,9 millones para la compra de kits de limpieza para armas de fuego los que se requieren para mantener las armas limpias y lubricadas para un mejor funcionamiento y durabilidad.</w:t>
      </w:r>
    </w:p>
    <w:p w14:paraId="5D5CE2B1" w14:textId="77777777" w:rsidR="00A74088" w:rsidRPr="002A7673" w:rsidRDefault="00A74088" w:rsidP="00B67880">
      <w:pPr>
        <w:spacing w:line="240" w:lineRule="auto"/>
        <w:jc w:val="both"/>
        <w:rPr>
          <w:rFonts w:ascii="Times New Roman" w:hAnsi="Times New Roman" w:cs="Times New Roman"/>
          <w:sz w:val="28"/>
          <w:szCs w:val="28"/>
        </w:rPr>
      </w:pPr>
    </w:p>
    <w:p w14:paraId="4F7176FE" w14:textId="77777777" w:rsidR="00A74088" w:rsidRPr="002A7673" w:rsidRDefault="00A74088" w:rsidP="00A74088">
      <w:pPr>
        <w:spacing w:line="360" w:lineRule="auto"/>
        <w:ind w:firstLine="556"/>
        <w:jc w:val="both"/>
        <w:rPr>
          <w:rFonts w:ascii="Times New Roman" w:hAnsi="Times New Roman" w:cs="Times New Roman"/>
          <w:b/>
          <w:bCs/>
          <w:sz w:val="28"/>
          <w:szCs w:val="28"/>
        </w:rPr>
      </w:pPr>
      <w:r w:rsidRPr="002A7673">
        <w:rPr>
          <w:rFonts w:ascii="Times New Roman" w:hAnsi="Times New Roman" w:cs="Times New Roman"/>
          <w:b/>
          <w:bCs/>
          <w:sz w:val="28"/>
          <w:szCs w:val="28"/>
        </w:rPr>
        <w:t>Subpartida 29906 Útiles y Materiales de Resguardo y Seguridad</w:t>
      </w:r>
    </w:p>
    <w:p w14:paraId="4EEECE2E" w14:textId="77777777" w:rsidR="00A74088" w:rsidRPr="002A7673" w:rsidRDefault="00A74088" w:rsidP="00FF3FAC">
      <w:pPr>
        <w:pStyle w:val="Prrafodelista"/>
        <w:numPr>
          <w:ilvl w:val="0"/>
          <w:numId w:val="72"/>
        </w:numPr>
        <w:contextualSpacing/>
        <w:jc w:val="both"/>
        <w:rPr>
          <w:rFonts w:ascii="Times New Roman" w:hAnsi="Times New Roman" w:cs="Times New Roman"/>
          <w:sz w:val="28"/>
          <w:szCs w:val="28"/>
        </w:rPr>
      </w:pPr>
      <w:r w:rsidRPr="002A7673">
        <w:rPr>
          <w:rFonts w:ascii="Times New Roman" w:hAnsi="Times New Roman" w:cs="Times New Roman"/>
          <w:sz w:val="28"/>
          <w:szCs w:val="28"/>
        </w:rPr>
        <w:lastRenderedPageBreak/>
        <w:t>Los ¢119.112.615 de aumento que registra esta subpartida y que representan un 26%, se deben en parte al incremento en el presupuesto requerido para la compra de artículos asociados a la atención de la Pandemia, tales como cubrebocas desechables y con filtro, trajes descartables completos, mascarillas N95, y caretas protectoras. Adicionalmente, existe un aumento de ¢93,6 millones en el monto requerido para la compra de municiones.</w:t>
      </w:r>
    </w:p>
    <w:p w14:paraId="3A68A7BB" w14:textId="77777777" w:rsidR="00A74088" w:rsidRPr="002A7673" w:rsidRDefault="00A74088" w:rsidP="00B67880">
      <w:pPr>
        <w:spacing w:line="240" w:lineRule="auto"/>
        <w:jc w:val="both"/>
        <w:rPr>
          <w:rFonts w:ascii="Times New Roman" w:hAnsi="Times New Roman" w:cs="Times New Roman"/>
          <w:sz w:val="28"/>
          <w:szCs w:val="28"/>
        </w:rPr>
      </w:pPr>
    </w:p>
    <w:p w14:paraId="5BF795C9" w14:textId="77777777" w:rsidR="00A74088" w:rsidRPr="002A7673" w:rsidRDefault="00A74088" w:rsidP="00A74088">
      <w:pPr>
        <w:spacing w:line="360" w:lineRule="auto"/>
        <w:ind w:firstLine="556"/>
        <w:jc w:val="both"/>
        <w:rPr>
          <w:rFonts w:ascii="Times New Roman" w:hAnsi="Times New Roman" w:cs="Times New Roman"/>
          <w:b/>
          <w:bCs/>
          <w:sz w:val="28"/>
          <w:szCs w:val="28"/>
        </w:rPr>
      </w:pPr>
      <w:r w:rsidRPr="002A7673">
        <w:rPr>
          <w:rFonts w:ascii="Times New Roman" w:hAnsi="Times New Roman" w:cs="Times New Roman"/>
          <w:b/>
          <w:bCs/>
          <w:sz w:val="28"/>
          <w:szCs w:val="28"/>
        </w:rPr>
        <w:t>Subpartida 60701 Transferencias Corrientes al Sector Externo</w:t>
      </w:r>
    </w:p>
    <w:p w14:paraId="443A2C97" w14:textId="77777777" w:rsidR="00A74088" w:rsidRPr="002A7673" w:rsidRDefault="00A74088" w:rsidP="00FF3FAC">
      <w:pPr>
        <w:pStyle w:val="Prrafodelista"/>
        <w:numPr>
          <w:ilvl w:val="0"/>
          <w:numId w:val="72"/>
        </w:numPr>
        <w:contextualSpacing/>
        <w:jc w:val="both"/>
        <w:rPr>
          <w:rFonts w:ascii="Times New Roman" w:hAnsi="Times New Roman" w:cs="Times New Roman"/>
          <w:sz w:val="28"/>
          <w:szCs w:val="28"/>
        </w:rPr>
      </w:pPr>
      <w:r w:rsidRPr="002A7673">
        <w:rPr>
          <w:rFonts w:ascii="Times New Roman" w:hAnsi="Times New Roman" w:cs="Times New Roman"/>
          <w:sz w:val="28"/>
          <w:szCs w:val="28"/>
        </w:rPr>
        <w:t>Los recursos de esta subpartida son para el pago anual de la membresía por la pertenencia a Interpol Internacional y el incremento del 52,9% presentado que equivale a ¢18.669.350, se debe a un aumento que aplicaron tanto para 2021 como para 2021, el cual fue aprobado por la Asamblea General y comunicado por la Unidad Financiera de la Secretaría General de Interpol.</w:t>
      </w:r>
    </w:p>
    <w:p w14:paraId="06CD7E44" w14:textId="77777777" w:rsidR="00A74088" w:rsidRPr="002A7673" w:rsidRDefault="00A74088" w:rsidP="00A74088">
      <w:pPr>
        <w:spacing w:line="360" w:lineRule="auto"/>
        <w:jc w:val="both"/>
        <w:rPr>
          <w:rFonts w:ascii="Times New Roman" w:hAnsi="Times New Roman" w:cs="Times New Roman"/>
          <w:sz w:val="28"/>
          <w:szCs w:val="28"/>
        </w:rPr>
      </w:pPr>
    </w:p>
    <w:p w14:paraId="1471AF47" w14:textId="77777777" w:rsidR="00A74088" w:rsidRPr="002A7673" w:rsidRDefault="00A74088" w:rsidP="00FF3FAC">
      <w:pPr>
        <w:pStyle w:val="Prrafodelista"/>
        <w:numPr>
          <w:ilvl w:val="1"/>
          <w:numId w:val="58"/>
        </w:numPr>
        <w:spacing w:line="360" w:lineRule="auto"/>
        <w:ind w:left="1571"/>
        <w:contextualSpacing/>
        <w:rPr>
          <w:rFonts w:ascii="Times New Roman" w:hAnsi="Times New Roman" w:cs="Times New Roman"/>
          <w:b/>
          <w:i/>
          <w:sz w:val="28"/>
          <w:szCs w:val="28"/>
        </w:rPr>
      </w:pPr>
      <w:r w:rsidRPr="002A7673">
        <w:rPr>
          <w:rFonts w:ascii="Times New Roman" w:hAnsi="Times New Roman" w:cs="Times New Roman"/>
          <w:b/>
          <w:i/>
          <w:sz w:val="28"/>
          <w:szCs w:val="28"/>
        </w:rPr>
        <w:t>Aspectos Relevantes en Inversión</w:t>
      </w:r>
    </w:p>
    <w:p w14:paraId="685DEF96" w14:textId="77777777" w:rsidR="00A74088" w:rsidRPr="002A7673" w:rsidRDefault="00A74088" w:rsidP="00A74088">
      <w:pPr>
        <w:pStyle w:val="Prrafodelista"/>
        <w:spacing w:line="360" w:lineRule="auto"/>
        <w:rPr>
          <w:rFonts w:ascii="Times New Roman" w:hAnsi="Times New Roman" w:cs="Times New Roman"/>
          <w:b/>
          <w:i/>
          <w:sz w:val="28"/>
          <w:szCs w:val="28"/>
        </w:rPr>
      </w:pPr>
    </w:p>
    <w:p w14:paraId="76BD418E" w14:textId="77777777" w:rsidR="00A74088" w:rsidRPr="002A7673" w:rsidRDefault="00A74088" w:rsidP="00A74088">
      <w:pPr>
        <w:pStyle w:val="Prrafodelista"/>
        <w:spacing w:line="360" w:lineRule="auto"/>
        <w:ind w:left="916"/>
        <w:jc w:val="both"/>
        <w:rPr>
          <w:rFonts w:ascii="Times New Roman" w:hAnsi="Times New Roman" w:cs="Times New Roman"/>
          <w:b/>
          <w:sz w:val="28"/>
          <w:szCs w:val="28"/>
        </w:rPr>
      </w:pPr>
      <w:r w:rsidRPr="002A7673">
        <w:rPr>
          <w:rFonts w:ascii="Times New Roman" w:hAnsi="Times New Roman" w:cs="Times New Roman"/>
          <w:b/>
          <w:sz w:val="28"/>
          <w:szCs w:val="28"/>
        </w:rPr>
        <w:t>Subpartida 50103 Equipo de Comunicación</w:t>
      </w:r>
    </w:p>
    <w:p w14:paraId="5588CC49" w14:textId="77777777" w:rsidR="00A74088"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En esta subpartida al igual que en años anteriores la mayoría de los recursos son formulados por la Sección de Comunicaciones. En esta ocasión entre las líneas más representativas se incluye la compra de 35 radios portátiles con pantalla y teclado (¢81,4 millones), 28 cargadores múltiples para baterías de radio (¢10,3 millones), 20 radios móviles de 2 piezas para vehículo (¢51,8 millones) y 25 radios de comunicación portátil troncalizados (¢50,4 millones).</w:t>
      </w:r>
    </w:p>
    <w:p w14:paraId="7C11F557" w14:textId="77777777" w:rsidR="00A74088" w:rsidRPr="002A7673" w:rsidRDefault="00A74088" w:rsidP="00A74088">
      <w:pPr>
        <w:pStyle w:val="Prrafodelista"/>
        <w:spacing w:line="360" w:lineRule="auto"/>
        <w:ind w:left="916"/>
        <w:jc w:val="both"/>
        <w:rPr>
          <w:rFonts w:ascii="Times New Roman" w:hAnsi="Times New Roman" w:cs="Times New Roman"/>
          <w:b/>
          <w:bCs/>
          <w:sz w:val="28"/>
          <w:szCs w:val="28"/>
        </w:rPr>
      </w:pPr>
    </w:p>
    <w:p w14:paraId="57FE0F3A" w14:textId="77777777" w:rsidR="00A74088" w:rsidRPr="002A7673" w:rsidRDefault="00A74088" w:rsidP="00A74088">
      <w:pPr>
        <w:pStyle w:val="Prrafodelista"/>
        <w:spacing w:line="360" w:lineRule="auto"/>
        <w:ind w:left="916"/>
        <w:jc w:val="both"/>
        <w:rPr>
          <w:rFonts w:ascii="Times New Roman" w:hAnsi="Times New Roman" w:cs="Times New Roman"/>
          <w:b/>
          <w:bCs/>
          <w:sz w:val="28"/>
          <w:szCs w:val="28"/>
        </w:rPr>
      </w:pPr>
      <w:r w:rsidRPr="002A7673">
        <w:rPr>
          <w:rFonts w:ascii="Times New Roman" w:hAnsi="Times New Roman" w:cs="Times New Roman"/>
          <w:b/>
          <w:bCs/>
          <w:sz w:val="28"/>
          <w:szCs w:val="28"/>
        </w:rPr>
        <w:t>Subpartida 50104 Equipo y Mobiliario de Oficina</w:t>
      </w:r>
    </w:p>
    <w:p w14:paraId="489B1164" w14:textId="77777777" w:rsidR="00A74088"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Dentro de los recursos presupuestados, seguidamente se citan algunos ejemplos: ¢26,2 millones para sustitución de aires acondicionados de distintas capacidades, ¢18,2 millones para sustitución de sillas giratorias secretariales en diferentes oficinas, ¢7,5 millones para compra de 36 estantes para la Sección de Patología Forense, ¢8,1 millones para sustitución de estaciones de servicio, ¢13,9 millones para compra de </w:t>
      </w:r>
      <w:r w:rsidRPr="002A7673">
        <w:rPr>
          <w:rFonts w:ascii="Times New Roman" w:hAnsi="Times New Roman" w:cs="Times New Roman"/>
          <w:sz w:val="28"/>
          <w:szCs w:val="28"/>
        </w:rPr>
        <w:lastRenderedPageBreak/>
        <w:t xml:space="preserve">archivadores especiales móviles de metal para la Sección de Biología Forense, entre algunos de los más relevantes. </w:t>
      </w:r>
    </w:p>
    <w:p w14:paraId="7FF703B0" w14:textId="77777777" w:rsidR="00A74088" w:rsidRPr="002A7673" w:rsidRDefault="00A74088" w:rsidP="00A74088">
      <w:pPr>
        <w:pStyle w:val="Prrafodelista"/>
        <w:spacing w:line="360" w:lineRule="auto"/>
        <w:ind w:left="916"/>
        <w:jc w:val="both"/>
        <w:rPr>
          <w:rFonts w:ascii="Times New Roman" w:hAnsi="Times New Roman" w:cs="Times New Roman"/>
          <w:sz w:val="28"/>
          <w:szCs w:val="28"/>
        </w:rPr>
      </w:pPr>
    </w:p>
    <w:p w14:paraId="42557963" w14:textId="77777777" w:rsidR="00A74088" w:rsidRPr="002A7673" w:rsidRDefault="00A74088" w:rsidP="00A74088">
      <w:pPr>
        <w:pStyle w:val="Prrafodelista"/>
        <w:spacing w:line="360" w:lineRule="auto"/>
        <w:ind w:left="916"/>
        <w:jc w:val="both"/>
        <w:rPr>
          <w:rFonts w:ascii="Times New Roman" w:hAnsi="Times New Roman" w:cs="Times New Roman"/>
          <w:b/>
          <w:sz w:val="28"/>
          <w:szCs w:val="28"/>
        </w:rPr>
      </w:pPr>
      <w:r w:rsidRPr="002A7673">
        <w:rPr>
          <w:rFonts w:ascii="Times New Roman" w:hAnsi="Times New Roman" w:cs="Times New Roman"/>
          <w:b/>
          <w:sz w:val="28"/>
          <w:szCs w:val="28"/>
        </w:rPr>
        <w:t>Subpartida 50106 Equipo Sanitario, de Laboratorio e Investigación</w:t>
      </w:r>
    </w:p>
    <w:p w14:paraId="641EADF1" w14:textId="77777777" w:rsidR="00A74088"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Se incluyen ¢19,1 millones para mesas para laboratorio de Toxicología, ¢11,1 millones para sierras eléctricas para autopsias de Patología Forense, ¢12,3 millones de una estación de trabajo corte macro de Patología Forense, ¢20,2 millones para dos estaciones de trabajo para reporte radiológico del Departamento de Medicina Legal, ¢13,4 millones para camillas para transportar cadáveres, ¢28,5 millones para cinco kit forense de extracción de teléfonos celulares de campo de la Sección Especializada contra el Cibercrimen, ¢26,5 millones para dos cámaras de bioseguridad de Toxicología, ¢56,3 millones de un cromatógrafo líquido con detector de arreglo de diodos de Química Analítica, ¢22,8 millones para nueve refrigeradores para almacenamiento de muestras biológicas de las Secciones de Bioquímica y Biología Forense, ¢18,6 millones para un generador de gases de Química Analítica y ¢24,2 millones de once lámparas de cirugía para Patología Forense, entre los más relevantes. </w:t>
      </w:r>
    </w:p>
    <w:p w14:paraId="3C6F4947" w14:textId="77777777" w:rsidR="00760992" w:rsidRPr="002A7673" w:rsidRDefault="00760992" w:rsidP="00A74088">
      <w:pPr>
        <w:pStyle w:val="Prrafodelista"/>
        <w:spacing w:line="360" w:lineRule="auto"/>
        <w:ind w:left="916"/>
        <w:jc w:val="both"/>
        <w:rPr>
          <w:rFonts w:ascii="Times New Roman" w:hAnsi="Times New Roman" w:cs="Times New Roman"/>
          <w:b/>
          <w:sz w:val="28"/>
          <w:szCs w:val="28"/>
        </w:rPr>
      </w:pPr>
    </w:p>
    <w:p w14:paraId="4BAF9C5C" w14:textId="54B84657" w:rsidR="00A74088" w:rsidRPr="002A7673" w:rsidRDefault="00A74088" w:rsidP="00A74088">
      <w:pPr>
        <w:pStyle w:val="Prrafodelista"/>
        <w:spacing w:line="360" w:lineRule="auto"/>
        <w:ind w:left="916"/>
        <w:jc w:val="both"/>
        <w:rPr>
          <w:rFonts w:ascii="Times New Roman" w:hAnsi="Times New Roman" w:cs="Times New Roman"/>
          <w:b/>
          <w:sz w:val="28"/>
          <w:szCs w:val="28"/>
        </w:rPr>
      </w:pPr>
      <w:r w:rsidRPr="002A7673">
        <w:rPr>
          <w:rFonts w:ascii="Times New Roman" w:hAnsi="Times New Roman" w:cs="Times New Roman"/>
          <w:b/>
          <w:sz w:val="28"/>
          <w:szCs w:val="28"/>
        </w:rPr>
        <w:t>Subpartida 50199 Maquinaria y Equipo Diverso</w:t>
      </w:r>
    </w:p>
    <w:p w14:paraId="6181B24D" w14:textId="790BFE5E" w:rsidR="00A74088"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Se solicitan ¢11,1 millones para trece navegadores GPS, ¢16,8 millones para quince cámaras fotográficas digitales, ¢36,2 millones para ocho vehículos no tripulados (drones), ¢18,4 millones para ocho cámaras frías, ¢11,3 millones para dos estaciones topográficas, ¢4,0 millones para tres extractores de malos olores, ¢5,7 millones para cuatro cámaras de visión nocturna a colores, ¢8,5 millones para diez cámaras fotográficas semiprofesionales nivel1 kit completo, ¢4,2 millones para tres armarios de seguridad con estación para descargar armas, ¢5,3 millones para once rastreadores vehiculares, ¢6,1 millones para cuatro cámaras de color con lente, ¢7,7 millones para doce cámaras espía, entre las líneas más significativas. </w:t>
      </w:r>
    </w:p>
    <w:p w14:paraId="47A21335" w14:textId="77777777" w:rsidR="00A74088" w:rsidRPr="002A7673" w:rsidRDefault="00A74088" w:rsidP="00A74088">
      <w:pPr>
        <w:pStyle w:val="Prrafodelista"/>
        <w:spacing w:line="360" w:lineRule="auto"/>
        <w:ind w:left="916"/>
        <w:jc w:val="both"/>
        <w:rPr>
          <w:rFonts w:ascii="Times New Roman" w:hAnsi="Times New Roman" w:cs="Times New Roman"/>
          <w:sz w:val="28"/>
          <w:szCs w:val="28"/>
        </w:rPr>
      </w:pPr>
    </w:p>
    <w:p w14:paraId="1A41BD51" w14:textId="2F770A0C" w:rsidR="00A74088" w:rsidRPr="002A7673" w:rsidRDefault="00A74088" w:rsidP="00FF3FAC">
      <w:pPr>
        <w:numPr>
          <w:ilvl w:val="0"/>
          <w:numId w:val="66"/>
        </w:numPr>
        <w:spacing w:after="0" w:line="36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t>Análisis del Presupuesto Asociado a la Ejecución de Proyectos Estratégicos</w:t>
      </w:r>
    </w:p>
    <w:p w14:paraId="67088F42" w14:textId="77777777" w:rsidR="00A74088"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Como parte de la implementación del Sistema de Proyección Plurianual, a partir del mes de octubre del año 2020 se les solicitó a las oficinas realizar la inclusión de recursos en el citado sistema. De esta forma, en el caso específico del Organismo de </w:t>
      </w:r>
      <w:r w:rsidRPr="002A7673">
        <w:rPr>
          <w:rFonts w:ascii="Times New Roman" w:hAnsi="Times New Roman" w:cs="Times New Roman"/>
          <w:sz w:val="28"/>
          <w:szCs w:val="28"/>
        </w:rPr>
        <w:lastRenderedPageBreak/>
        <w:t xml:space="preserve">Investigación Judicial, a </w:t>
      </w:r>
      <w:proofErr w:type="gramStart"/>
      <w:r w:rsidRPr="002A7673">
        <w:rPr>
          <w:rFonts w:ascii="Times New Roman" w:hAnsi="Times New Roman" w:cs="Times New Roman"/>
          <w:sz w:val="28"/>
          <w:szCs w:val="28"/>
        </w:rPr>
        <w:t>continuación</w:t>
      </w:r>
      <w:proofErr w:type="gramEnd"/>
      <w:r w:rsidRPr="002A7673">
        <w:rPr>
          <w:rFonts w:ascii="Times New Roman" w:hAnsi="Times New Roman" w:cs="Times New Roman"/>
          <w:sz w:val="28"/>
          <w:szCs w:val="28"/>
        </w:rPr>
        <w:t xml:space="preserve"> se tiene el detalle por estado de los proyectos estratégicos a cargo de este Programa Presupuestario:</w:t>
      </w:r>
    </w:p>
    <w:p w14:paraId="4E6CD814" w14:textId="77777777" w:rsidR="00A74088" w:rsidRPr="002A7673" w:rsidRDefault="00A74088" w:rsidP="00A74088">
      <w:pPr>
        <w:spacing w:line="360" w:lineRule="auto"/>
        <w:jc w:val="center"/>
        <w:rPr>
          <w:rFonts w:ascii="Times New Roman" w:hAnsi="Times New Roman" w:cs="Times New Roman"/>
          <w:b/>
          <w:bCs/>
        </w:rPr>
      </w:pPr>
    </w:p>
    <w:p w14:paraId="40AA4FD5" w14:textId="77777777" w:rsidR="00A74088" w:rsidRPr="002A7673" w:rsidRDefault="00A74088" w:rsidP="00A74088">
      <w:pPr>
        <w:spacing w:line="360" w:lineRule="auto"/>
        <w:jc w:val="center"/>
        <w:rPr>
          <w:rFonts w:ascii="Times New Roman" w:hAnsi="Times New Roman" w:cs="Times New Roman"/>
          <w:b/>
          <w:bCs/>
        </w:rPr>
      </w:pPr>
      <w:r w:rsidRPr="002A7673">
        <w:rPr>
          <w:rFonts w:ascii="Times New Roman" w:hAnsi="Times New Roman" w:cs="Times New Roman"/>
          <w:b/>
          <w:bCs/>
        </w:rPr>
        <w:t>Detalle de los Proyectos Estratégicos por Estado</w:t>
      </w:r>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80"/>
        <w:gridCol w:w="1902"/>
      </w:tblGrid>
      <w:tr w:rsidR="00A74088" w:rsidRPr="002A7673" w14:paraId="0E0D95AF" w14:textId="77777777" w:rsidTr="0048334E">
        <w:trPr>
          <w:trHeight w:val="300"/>
          <w:jc w:val="center"/>
        </w:trPr>
        <w:tc>
          <w:tcPr>
            <w:tcW w:w="3480" w:type="dxa"/>
            <w:shd w:val="clear" w:color="D9E1F2" w:fill="D9E1F2"/>
            <w:noWrap/>
            <w:vAlign w:val="center"/>
            <w:hideMark/>
          </w:tcPr>
          <w:p w14:paraId="60C56CAD" w14:textId="77777777" w:rsidR="00A74088" w:rsidRPr="002A7673" w:rsidRDefault="00A74088" w:rsidP="0048334E">
            <w:pPr>
              <w:jc w:val="center"/>
              <w:rPr>
                <w:rFonts w:ascii="Times New Roman" w:hAnsi="Times New Roman" w:cs="Times New Roman"/>
                <w:b/>
                <w:bCs/>
                <w:color w:val="000000"/>
                <w:lang w:eastAsia="es-CR"/>
              </w:rPr>
            </w:pPr>
            <w:r w:rsidRPr="002A7673">
              <w:rPr>
                <w:rFonts w:ascii="Times New Roman" w:hAnsi="Times New Roman" w:cs="Times New Roman"/>
                <w:b/>
                <w:bCs/>
                <w:color w:val="000000"/>
              </w:rPr>
              <w:t>Estado</w:t>
            </w:r>
          </w:p>
        </w:tc>
        <w:tc>
          <w:tcPr>
            <w:tcW w:w="1902" w:type="dxa"/>
            <w:shd w:val="clear" w:color="D9E1F2" w:fill="D9E1F2"/>
            <w:noWrap/>
            <w:vAlign w:val="center"/>
            <w:hideMark/>
          </w:tcPr>
          <w:p w14:paraId="10E721EF"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Cantidad de Proyectos</w:t>
            </w:r>
          </w:p>
        </w:tc>
      </w:tr>
      <w:tr w:rsidR="00A74088" w:rsidRPr="002A7673" w14:paraId="59012141" w14:textId="77777777" w:rsidTr="0048334E">
        <w:trPr>
          <w:trHeight w:val="300"/>
          <w:jc w:val="center"/>
        </w:trPr>
        <w:tc>
          <w:tcPr>
            <w:tcW w:w="3480" w:type="dxa"/>
            <w:shd w:val="clear" w:color="auto" w:fill="auto"/>
            <w:noWrap/>
            <w:vAlign w:val="bottom"/>
            <w:hideMark/>
          </w:tcPr>
          <w:p w14:paraId="3A341578" w14:textId="77777777" w:rsidR="00A74088" w:rsidRPr="002A7673" w:rsidRDefault="00A74088" w:rsidP="0048334E">
            <w:pPr>
              <w:rPr>
                <w:rFonts w:ascii="Times New Roman" w:hAnsi="Times New Roman" w:cs="Times New Roman"/>
                <w:color w:val="000000"/>
              </w:rPr>
            </w:pPr>
            <w:r w:rsidRPr="002A7673">
              <w:rPr>
                <w:rFonts w:ascii="Times New Roman" w:hAnsi="Times New Roman" w:cs="Times New Roman"/>
                <w:color w:val="000000"/>
              </w:rPr>
              <w:t>Aprobado - No iniciado</w:t>
            </w:r>
          </w:p>
        </w:tc>
        <w:tc>
          <w:tcPr>
            <w:tcW w:w="1902" w:type="dxa"/>
            <w:shd w:val="clear" w:color="auto" w:fill="auto"/>
            <w:noWrap/>
            <w:vAlign w:val="center"/>
            <w:hideMark/>
          </w:tcPr>
          <w:p w14:paraId="7B286D97"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1</w:t>
            </w:r>
          </w:p>
        </w:tc>
      </w:tr>
      <w:tr w:rsidR="00A74088" w:rsidRPr="002A7673" w14:paraId="534062C7" w14:textId="77777777" w:rsidTr="0048334E">
        <w:trPr>
          <w:trHeight w:val="300"/>
          <w:jc w:val="center"/>
        </w:trPr>
        <w:tc>
          <w:tcPr>
            <w:tcW w:w="3480" w:type="dxa"/>
            <w:shd w:val="clear" w:color="auto" w:fill="auto"/>
            <w:noWrap/>
            <w:vAlign w:val="bottom"/>
            <w:hideMark/>
          </w:tcPr>
          <w:p w14:paraId="1B65ADEE" w14:textId="77777777" w:rsidR="00A74088" w:rsidRPr="002A7673" w:rsidRDefault="00A74088" w:rsidP="0048334E">
            <w:pPr>
              <w:rPr>
                <w:rFonts w:ascii="Times New Roman" w:hAnsi="Times New Roman" w:cs="Times New Roman"/>
                <w:color w:val="000000"/>
              </w:rPr>
            </w:pPr>
            <w:r w:rsidRPr="002A7673">
              <w:rPr>
                <w:rFonts w:ascii="Times New Roman" w:hAnsi="Times New Roman" w:cs="Times New Roman"/>
                <w:color w:val="000000"/>
              </w:rPr>
              <w:t>En progreso</w:t>
            </w:r>
          </w:p>
        </w:tc>
        <w:tc>
          <w:tcPr>
            <w:tcW w:w="1902" w:type="dxa"/>
            <w:shd w:val="clear" w:color="auto" w:fill="auto"/>
            <w:noWrap/>
            <w:vAlign w:val="center"/>
            <w:hideMark/>
          </w:tcPr>
          <w:p w14:paraId="26CE4BD8"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18</w:t>
            </w:r>
          </w:p>
        </w:tc>
      </w:tr>
      <w:tr w:rsidR="00A74088" w:rsidRPr="002A7673" w14:paraId="56147096" w14:textId="77777777" w:rsidTr="0048334E">
        <w:trPr>
          <w:trHeight w:val="300"/>
          <w:jc w:val="center"/>
        </w:trPr>
        <w:tc>
          <w:tcPr>
            <w:tcW w:w="3480" w:type="dxa"/>
            <w:shd w:val="clear" w:color="auto" w:fill="auto"/>
            <w:noWrap/>
            <w:vAlign w:val="bottom"/>
            <w:hideMark/>
          </w:tcPr>
          <w:p w14:paraId="681A46CE" w14:textId="77777777" w:rsidR="00A74088" w:rsidRPr="002A7673" w:rsidRDefault="00A74088" w:rsidP="0048334E">
            <w:pPr>
              <w:rPr>
                <w:rFonts w:ascii="Times New Roman" w:hAnsi="Times New Roman" w:cs="Times New Roman"/>
                <w:color w:val="000000"/>
              </w:rPr>
            </w:pPr>
            <w:r w:rsidRPr="002A7673">
              <w:rPr>
                <w:rFonts w:ascii="Times New Roman" w:hAnsi="Times New Roman" w:cs="Times New Roman"/>
                <w:color w:val="000000"/>
              </w:rPr>
              <w:t>No aprobado</w:t>
            </w:r>
          </w:p>
        </w:tc>
        <w:tc>
          <w:tcPr>
            <w:tcW w:w="1902" w:type="dxa"/>
            <w:shd w:val="clear" w:color="auto" w:fill="auto"/>
            <w:noWrap/>
            <w:vAlign w:val="center"/>
            <w:hideMark/>
          </w:tcPr>
          <w:p w14:paraId="531B36DC"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4</w:t>
            </w:r>
          </w:p>
        </w:tc>
      </w:tr>
      <w:tr w:rsidR="00A74088" w:rsidRPr="002A7673" w14:paraId="61E434A3" w14:textId="77777777" w:rsidTr="0048334E">
        <w:trPr>
          <w:trHeight w:val="300"/>
          <w:jc w:val="center"/>
        </w:trPr>
        <w:tc>
          <w:tcPr>
            <w:tcW w:w="3480" w:type="dxa"/>
            <w:shd w:val="clear" w:color="auto" w:fill="auto"/>
            <w:noWrap/>
            <w:vAlign w:val="bottom"/>
            <w:hideMark/>
          </w:tcPr>
          <w:p w14:paraId="692FFC16" w14:textId="77777777" w:rsidR="00A74088" w:rsidRPr="002A7673" w:rsidRDefault="00A74088" w:rsidP="0048334E">
            <w:pPr>
              <w:rPr>
                <w:rFonts w:ascii="Times New Roman" w:hAnsi="Times New Roman" w:cs="Times New Roman"/>
                <w:color w:val="000000"/>
              </w:rPr>
            </w:pPr>
            <w:r w:rsidRPr="002A7673">
              <w:rPr>
                <w:rFonts w:ascii="Times New Roman" w:hAnsi="Times New Roman" w:cs="Times New Roman"/>
                <w:color w:val="000000"/>
              </w:rPr>
              <w:t>Pendiente Evaluación de Beneficios</w:t>
            </w:r>
          </w:p>
        </w:tc>
        <w:tc>
          <w:tcPr>
            <w:tcW w:w="1902" w:type="dxa"/>
            <w:shd w:val="clear" w:color="auto" w:fill="auto"/>
            <w:noWrap/>
            <w:vAlign w:val="center"/>
            <w:hideMark/>
          </w:tcPr>
          <w:p w14:paraId="70E6D0C6"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1</w:t>
            </w:r>
          </w:p>
        </w:tc>
      </w:tr>
      <w:tr w:rsidR="00A74088" w:rsidRPr="002A7673" w14:paraId="5B1A0DE0" w14:textId="77777777" w:rsidTr="0048334E">
        <w:trPr>
          <w:trHeight w:val="300"/>
          <w:jc w:val="center"/>
        </w:trPr>
        <w:tc>
          <w:tcPr>
            <w:tcW w:w="3480" w:type="dxa"/>
            <w:shd w:val="clear" w:color="D9E1F2" w:fill="D9E1F2"/>
            <w:noWrap/>
            <w:vAlign w:val="bottom"/>
            <w:hideMark/>
          </w:tcPr>
          <w:p w14:paraId="0AC44309" w14:textId="77777777" w:rsidR="00A74088" w:rsidRPr="002A7673" w:rsidRDefault="00A74088" w:rsidP="0048334E">
            <w:pPr>
              <w:rPr>
                <w:rFonts w:ascii="Times New Roman" w:hAnsi="Times New Roman" w:cs="Times New Roman"/>
                <w:b/>
                <w:bCs/>
                <w:color w:val="000000"/>
              </w:rPr>
            </w:pPr>
            <w:proofErr w:type="gramStart"/>
            <w:r w:rsidRPr="002A7673">
              <w:rPr>
                <w:rFonts w:ascii="Times New Roman" w:hAnsi="Times New Roman" w:cs="Times New Roman"/>
                <w:b/>
                <w:bCs/>
                <w:color w:val="000000"/>
              </w:rPr>
              <w:t>Total</w:t>
            </w:r>
            <w:proofErr w:type="gramEnd"/>
            <w:r w:rsidRPr="002A7673">
              <w:rPr>
                <w:rFonts w:ascii="Times New Roman" w:hAnsi="Times New Roman" w:cs="Times New Roman"/>
                <w:b/>
                <w:bCs/>
                <w:color w:val="000000"/>
              </w:rPr>
              <w:t xml:space="preserve"> general</w:t>
            </w:r>
          </w:p>
        </w:tc>
        <w:tc>
          <w:tcPr>
            <w:tcW w:w="1902" w:type="dxa"/>
            <w:shd w:val="clear" w:color="D9E1F2" w:fill="D9E1F2"/>
            <w:noWrap/>
            <w:vAlign w:val="center"/>
            <w:hideMark/>
          </w:tcPr>
          <w:p w14:paraId="264C6060"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24</w:t>
            </w:r>
          </w:p>
        </w:tc>
      </w:tr>
    </w:tbl>
    <w:p w14:paraId="119343C3" w14:textId="77777777" w:rsidR="00A74088" w:rsidRPr="002A7673" w:rsidRDefault="00A74088" w:rsidP="00A74088">
      <w:pPr>
        <w:spacing w:line="360" w:lineRule="auto"/>
        <w:ind w:left="1416"/>
        <w:jc w:val="both"/>
        <w:rPr>
          <w:rFonts w:ascii="Times New Roman" w:hAnsi="Times New Roman" w:cs="Times New Roman"/>
        </w:rPr>
      </w:pPr>
      <w:r w:rsidRPr="002A7673">
        <w:rPr>
          <w:rFonts w:ascii="Times New Roman" w:hAnsi="Times New Roman" w:cs="Times New Roman"/>
        </w:rPr>
        <w:t xml:space="preserve">          </w:t>
      </w:r>
      <w:r w:rsidRPr="002A7673">
        <w:rPr>
          <w:rFonts w:ascii="Times New Roman" w:hAnsi="Times New Roman" w:cs="Times New Roman"/>
          <w:b/>
          <w:bCs/>
        </w:rPr>
        <w:t>Fuente:</w:t>
      </w:r>
      <w:r w:rsidRPr="002A7673">
        <w:rPr>
          <w:rFonts w:ascii="Times New Roman" w:hAnsi="Times New Roman" w:cs="Times New Roman"/>
        </w:rPr>
        <w:t xml:space="preserve"> Reporte generado del MS Project Online al 23-02-2021</w:t>
      </w:r>
    </w:p>
    <w:p w14:paraId="599B4D34" w14:textId="77777777" w:rsidR="00A74088" w:rsidRPr="002A7673" w:rsidRDefault="00A74088" w:rsidP="00A74088">
      <w:pPr>
        <w:spacing w:line="360" w:lineRule="auto"/>
        <w:jc w:val="both"/>
        <w:rPr>
          <w:rFonts w:ascii="Times New Roman" w:hAnsi="Times New Roman" w:cs="Times New Roman"/>
          <w:color w:val="538135" w:themeColor="accent6" w:themeShade="BF"/>
        </w:rPr>
      </w:pPr>
    </w:p>
    <w:p w14:paraId="35EDBB07" w14:textId="77777777" w:rsidR="00A74088"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Del detalle de proyectos actualmente incorporados en el portafolio, se tiene que sólo 11 proyectos tienen previsto estar en ejecución durante el año 2022, de acuerdo con la programación y cronogramas que actualmente se encuentran cargados en la plataforma de MS Project Online. A continuación, se muestra la cantidad de proyectos agrupados por año de acuerdo con el período previsto de finalización de cada uno:</w:t>
      </w:r>
    </w:p>
    <w:p w14:paraId="7C2CCE09" w14:textId="77777777" w:rsidR="00A74088" w:rsidRPr="002A7673" w:rsidRDefault="00A74088" w:rsidP="00A74088">
      <w:pPr>
        <w:spacing w:line="360" w:lineRule="auto"/>
        <w:ind w:left="708"/>
        <w:jc w:val="both"/>
        <w:rPr>
          <w:rFonts w:ascii="Times New Roman" w:hAnsi="Times New Roman" w:cs="Times New Roman"/>
          <w:sz w:val="28"/>
          <w:szCs w:val="28"/>
        </w:rPr>
      </w:pPr>
    </w:p>
    <w:p w14:paraId="5DE92EF2" w14:textId="77777777" w:rsidR="00A74088" w:rsidRPr="002A7673" w:rsidRDefault="00A74088" w:rsidP="00A74088">
      <w:pPr>
        <w:spacing w:line="360" w:lineRule="auto"/>
        <w:jc w:val="center"/>
        <w:rPr>
          <w:rFonts w:ascii="Times New Roman" w:hAnsi="Times New Roman" w:cs="Times New Roman"/>
          <w:b/>
          <w:bCs/>
          <w:sz w:val="26"/>
          <w:szCs w:val="26"/>
        </w:rPr>
      </w:pPr>
      <w:r w:rsidRPr="002A7673">
        <w:rPr>
          <w:rFonts w:ascii="Times New Roman" w:hAnsi="Times New Roman" w:cs="Times New Roman"/>
          <w:b/>
          <w:bCs/>
          <w:sz w:val="26"/>
          <w:szCs w:val="26"/>
        </w:rPr>
        <w:t>Años de Proyección de Finalización de los Proyectos Estratégicos</w:t>
      </w:r>
    </w:p>
    <w:tbl>
      <w:tblPr>
        <w:tblW w:w="8356" w:type="dxa"/>
        <w:jc w:val="center"/>
        <w:tblCellMar>
          <w:left w:w="70" w:type="dxa"/>
          <w:right w:w="70" w:type="dxa"/>
        </w:tblCellMar>
        <w:tblLook w:val="04A0" w:firstRow="1" w:lastRow="0" w:firstColumn="1" w:lastColumn="0" w:noHBand="0" w:noVBand="1"/>
      </w:tblPr>
      <w:tblGrid>
        <w:gridCol w:w="2329"/>
        <w:gridCol w:w="1000"/>
        <w:gridCol w:w="920"/>
        <w:gridCol w:w="760"/>
        <w:gridCol w:w="680"/>
        <w:gridCol w:w="760"/>
        <w:gridCol w:w="587"/>
        <w:gridCol w:w="1320"/>
      </w:tblGrid>
      <w:tr w:rsidR="00A74088" w:rsidRPr="002A7673" w14:paraId="7307DBF9" w14:textId="77777777" w:rsidTr="0048334E">
        <w:trPr>
          <w:trHeight w:val="300"/>
          <w:jc w:val="center"/>
        </w:trPr>
        <w:tc>
          <w:tcPr>
            <w:tcW w:w="2329" w:type="dxa"/>
            <w:vMerge w:val="restart"/>
            <w:tcBorders>
              <w:top w:val="nil"/>
              <w:left w:val="nil"/>
              <w:right w:val="nil"/>
            </w:tcBorders>
            <w:shd w:val="clear" w:color="D9E1F2" w:fill="D9E1F2"/>
            <w:noWrap/>
            <w:vAlign w:val="center"/>
          </w:tcPr>
          <w:p w14:paraId="55BAE788" w14:textId="77777777" w:rsidR="00A74088" w:rsidRPr="002A7673" w:rsidRDefault="00A74088" w:rsidP="0048334E">
            <w:pPr>
              <w:rPr>
                <w:rFonts w:ascii="Times New Roman" w:hAnsi="Times New Roman" w:cs="Times New Roman"/>
                <w:b/>
                <w:bCs/>
                <w:color w:val="000000"/>
              </w:rPr>
            </w:pPr>
            <w:r w:rsidRPr="002A7673">
              <w:rPr>
                <w:rFonts w:ascii="Times New Roman" w:hAnsi="Times New Roman" w:cs="Times New Roman"/>
                <w:b/>
                <w:bCs/>
                <w:color w:val="000000"/>
              </w:rPr>
              <w:t>Categoría del proyecto</w:t>
            </w:r>
          </w:p>
        </w:tc>
        <w:tc>
          <w:tcPr>
            <w:tcW w:w="4707" w:type="dxa"/>
            <w:gridSpan w:val="6"/>
            <w:tcBorders>
              <w:top w:val="nil"/>
              <w:left w:val="nil"/>
              <w:bottom w:val="single" w:sz="4" w:space="0" w:color="8EA9DB"/>
              <w:right w:val="nil"/>
            </w:tcBorders>
            <w:shd w:val="clear" w:color="D9E1F2" w:fill="D9E1F2"/>
            <w:noWrap/>
            <w:vAlign w:val="center"/>
          </w:tcPr>
          <w:p w14:paraId="7E5142A4"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Cantidad de proyectos que finalizan en el año</w:t>
            </w:r>
          </w:p>
        </w:tc>
        <w:tc>
          <w:tcPr>
            <w:tcW w:w="1320" w:type="dxa"/>
            <w:tcBorders>
              <w:top w:val="nil"/>
              <w:left w:val="nil"/>
              <w:bottom w:val="single" w:sz="4" w:space="0" w:color="8EA9DB"/>
              <w:right w:val="nil"/>
            </w:tcBorders>
            <w:shd w:val="clear" w:color="D9E1F2" w:fill="D9E1F2"/>
            <w:noWrap/>
            <w:vAlign w:val="bottom"/>
          </w:tcPr>
          <w:p w14:paraId="0E767F8C" w14:textId="77777777" w:rsidR="00A74088" w:rsidRPr="002A7673" w:rsidRDefault="00A74088" w:rsidP="0048334E">
            <w:pPr>
              <w:rPr>
                <w:rFonts w:ascii="Times New Roman" w:hAnsi="Times New Roman" w:cs="Times New Roman"/>
                <w:b/>
                <w:bCs/>
                <w:color w:val="000000"/>
              </w:rPr>
            </w:pPr>
          </w:p>
        </w:tc>
      </w:tr>
      <w:tr w:rsidR="00A74088" w:rsidRPr="002A7673" w14:paraId="17248CFE" w14:textId="77777777" w:rsidTr="0048334E">
        <w:trPr>
          <w:trHeight w:val="300"/>
          <w:jc w:val="center"/>
        </w:trPr>
        <w:tc>
          <w:tcPr>
            <w:tcW w:w="2329" w:type="dxa"/>
            <w:vMerge/>
            <w:tcBorders>
              <w:left w:val="nil"/>
              <w:bottom w:val="single" w:sz="4" w:space="0" w:color="8EA9DB"/>
              <w:right w:val="nil"/>
            </w:tcBorders>
            <w:shd w:val="clear" w:color="D9E1F2" w:fill="D9E1F2"/>
            <w:noWrap/>
            <w:vAlign w:val="bottom"/>
            <w:hideMark/>
          </w:tcPr>
          <w:p w14:paraId="0F8ECF8E" w14:textId="77777777" w:rsidR="00A74088" w:rsidRPr="002A7673" w:rsidRDefault="00A74088" w:rsidP="0048334E">
            <w:pPr>
              <w:rPr>
                <w:rFonts w:ascii="Times New Roman" w:hAnsi="Times New Roman" w:cs="Times New Roman"/>
                <w:b/>
                <w:bCs/>
                <w:color w:val="000000"/>
                <w:lang w:eastAsia="es-CR"/>
              </w:rPr>
            </w:pPr>
          </w:p>
        </w:tc>
        <w:tc>
          <w:tcPr>
            <w:tcW w:w="1000" w:type="dxa"/>
            <w:tcBorders>
              <w:top w:val="nil"/>
              <w:left w:val="nil"/>
              <w:bottom w:val="single" w:sz="4" w:space="0" w:color="8EA9DB"/>
              <w:right w:val="nil"/>
            </w:tcBorders>
            <w:shd w:val="clear" w:color="D9E1F2" w:fill="D9E1F2"/>
            <w:noWrap/>
            <w:vAlign w:val="center"/>
            <w:hideMark/>
          </w:tcPr>
          <w:p w14:paraId="74BD23DE"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2019</w:t>
            </w:r>
          </w:p>
        </w:tc>
        <w:tc>
          <w:tcPr>
            <w:tcW w:w="920" w:type="dxa"/>
            <w:tcBorders>
              <w:top w:val="nil"/>
              <w:left w:val="nil"/>
              <w:bottom w:val="single" w:sz="4" w:space="0" w:color="8EA9DB"/>
              <w:right w:val="nil"/>
            </w:tcBorders>
            <w:shd w:val="clear" w:color="D9E1F2" w:fill="D9E1F2"/>
            <w:noWrap/>
            <w:vAlign w:val="center"/>
            <w:hideMark/>
          </w:tcPr>
          <w:p w14:paraId="1715FF13"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2021</w:t>
            </w:r>
          </w:p>
        </w:tc>
        <w:tc>
          <w:tcPr>
            <w:tcW w:w="760" w:type="dxa"/>
            <w:tcBorders>
              <w:top w:val="nil"/>
              <w:left w:val="nil"/>
              <w:bottom w:val="single" w:sz="4" w:space="0" w:color="8EA9DB"/>
              <w:right w:val="nil"/>
            </w:tcBorders>
            <w:shd w:val="clear" w:color="D9E1F2" w:fill="D9E1F2"/>
            <w:noWrap/>
            <w:vAlign w:val="center"/>
            <w:hideMark/>
          </w:tcPr>
          <w:p w14:paraId="41E74675"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2022</w:t>
            </w:r>
          </w:p>
        </w:tc>
        <w:tc>
          <w:tcPr>
            <w:tcW w:w="680" w:type="dxa"/>
            <w:tcBorders>
              <w:top w:val="nil"/>
              <w:left w:val="nil"/>
              <w:bottom w:val="single" w:sz="4" w:space="0" w:color="8EA9DB"/>
              <w:right w:val="nil"/>
            </w:tcBorders>
            <w:shd w:val="clear" w:color="D9E1F2" w:fill="D9E1F2"/>
            <w:noWrap/>
            <w:vAlign w:val="center"/>
            <w:hideMark/>
          </w:tcPr>
          <w:p w14:paraId="6086C613"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2023</w:t>
            </w:r>
          </w:p>
        </w:tc>
        <w:tc>
          <w:tcPr>
            <w:tcW w:w="760" w:type="dxa"/>
            <w:tcBorders>
              <w:top w:val="nil"/>
              <w:left w:val="nil"/>
              <w:bottom w:val="single" w:sz="4" w:space="0" w:color="8EA9DB"/>
              <w:right w:val="nil"/>
            </w:tcBorders>
            <w:shd w:val="clear" w:color="D9E1F2" w:fill="D9E1F2"/>
            <w:noWrap/>
            <w:vAlign w:val="center"/>
            <w:hideMark/>
          </w:tcPr>
          <w:p w14:paraId="2D69C35C"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2024</w:t>
            </w:r>
          </w:p>
        </w:tc>
        <w:tc>
          <w:tcPr>
            <w:tcW w:w="587" w:type="dxa"/>
            <w:tcBorders>
              <w:top w:val="nil"/>
              <w:left w:val="nil"/>
              <w:bottom w:val="single" w:sz="4" w:space="0" w:color="8EA9DB"/>
              <w:right w:val="nil"/>
            </w:tcBorders>
            <w:shd w:val="clear" w:color="D9E1F2" w:fill="D9E1F2"/>
            <w:noWrap/>
            <w:vAlign w:val="center"/>
            <w:hideMark/>
          </w:tcPr>
          <w:p w14:paraId="4D786EF2"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2026</w:t>
            </w:r>
          </w:p>
        </w:tc>
        <w:tc>
          <w:tcPr>
            <w:tcW w:w="1320" w:type="dxa"/>
            <w:tcBorders>
              <w:top w:val="nil"/>
              <w:left w:val="nil"/>
              <w:bottom w:val="single" w:sz="4" w:space="0" w:color="8EA9DB"/>
              <w:right w:val="nil"/>
            </w:tcBorders>
            <w:shd w:val="clear" w:color="D9E1F2" w:fill="D9E1F2"/>
            <w:noWrap/>
            <w:vAlign w:val="center"/>
            <w:hideMark/>
          </w:tcPr>
          <w:p w14:paraId="2045218B"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Total</w:t>
            </w:r>
          </w:p>
        </w:tc>
      </w:tr>
      <w:tr w:rsidR="00A74088" w:rsidRPr="002A7673" w14:paraId="080CF9F6" w14:textId="77777777" w:rsidTr="0048334E">
        <w:trPr>
          <w:trHeight w:val="300"/>
          <w:jc w:val="center"/>
        </w:trPr>
        <w:tc>
          <w:tcPr>
            <w:tcW w:w="2329" w:type="dxa"/>
            <w:tcBorders>
              <w:top w:val="nil"/>
              <w:left w:val="nil"/>
              <w:bottom w:val="nil"/>
              <w:right w:val="nil"/>
            </w:tcBorders>
            <w:shd w:val="clear" w:color="auto" w:fill="auto"/>
            <w:noWrap/>
            <w:vAlign w:val="bottom"/>
            <w:hideMark/>
          </w:tcPr>
          <w:p w14:paraId="7041A84A" w14:textId="77777777" w:rsidR="00A74088" w:rsidRPr="002A7673" w:rsidRDefault="00A74088" w:rsidP="0048334E">
            <w:pPr>
              <w:rPr>
                <w:rFonts w:ascii="Times New Roman" w:hAnsi="Times New Roman" w:cs="Times New Roman"/>
                <w:color w:val="000000"/>
              </w:rPr>
            </w:pPr>
            <w:r w:rsidRPr="002A7673">
              <w:rPr>
                <w:rFonts w:ascii="Times New Roman" w:hAnsi="Times New Roman" w:cs="Times New Roman"/>
                <w:color w:val="000000"/>
              </w:rPr>
              <w:t>Estratégico</w:t>
            </w:r>
          </w:p>
        </w:tc>
        <w:tc>
          <w:tcPr>
            <w:tcW w:w="1000" w:type="dxa"/>
            <w:tcBorders>
              <w:top w:val="nil"/>
              <w:left w:val="nil"/>
              <w:bottom w:val="nil"/>
              <w:right w:val="nil"/>
            </w:tcBorders>
            <w:shd w:val="clear" w:color="auto" w:fill="auto"/>
            <w:noWrap/>
            <w:vAlign w:val="center"/>
            <w:hideMark/>
          </w:tcPr>
          <w:p w14:paraId="21E20BAE"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5</w:t>
            </w:r>
          </w:p>
        </w:tc>
        <w:tc>
          <w:tcPr>
            <w:tcW w:w="920" w:type="dxa"/>
            <w:tcBorders>
              <w:top w:val="nil"/>
              <w:left w:val="nil"/>
              <w:bottom w:val="nil"/>
              <w:right w:val="nil"/>
            </w:tcBorders>
            <w:shd w:val="clear" w:color="auto" w:fill="auto"/>
            <w:noWrap/>
            <w:vAlign w:val="center"/>
            <w:hideMark/>
          </w:tcPr>
          <w:p w14:paraId="77E6E228"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8</w:t>
            </w:r>
          </w:p>
        </w:tc>
        <w:tc>
          <w:tcPr>
            <w:tcW w:w="760" w:type="dxa"/>
            <w:tcBorders>
              <w:top w:val="nil"/>
              <w:left w:val="nil"/>
              <w:bottom w:val="nil"/>
              <w:right w:val="nil"/>
            </w:tcBorders>
            <w:shd w:val="clear" w:color="auto" w:fill="auto"/>
            <w:noWrap/>
            <w:vAlign w:val="center"/>
            <w:hideMark/>
          </w:tcPr>
          <w:p w14:paraId="6F7F1177"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5</w:t>
            </w:r>
          </w:p>
        </w:tc>
        <w:tc>
          <w:tcPr>
            <w:tcW w:w="680" w:type="dxa"/>
            <w:tcBorders>
              <w:top w:val="nil"/>
              <w:left w:val="nil"/>
              <w:bottom w:val="nil"/>
              <w:right w:val="nil"/>
            </w:tcBorders>
            <w:shd w:val="clear" w:color="auto" w:fill="auto"/>
            <w:noWrap/>
            <w:vAlign w:val="center"/>
            <w:hideMark/>
          </w:tcPr>
          <w:p w14:paraId="78CDE2A9"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1</w:t>
            </w:r>
          </w:p>
        </w:tc>
        <w:tc>
          <w:tcPr>
            <w:tcW w:w="760" w:type="dxa"/>
            <w:tcBorders>
              <w:top w:val="nil"/>
              <w:left w:val="nil"/>
              <w:bottom w:val="nil"/>
              <w:right w:val="nil"/>
            </w:tcBorders>
            <w:shd w:val="clear" w:color="auto" w:fill="auto"/>
            <w:noWrap/>
            <w:vAlign w:val="center"/>
            <w:hideMark/>
          </w:tcPr>
          <w:p w14:paraId="0D7D64E9"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4</w:t>
            </w:r>
          </w:p>
        </w:tc>
        <w:tc>
          <w:tcPr>
            <w:tcW w:w="587" w:type="dxa"/>
            <w:tcBorders>
              <w:top w:val="nil"/>
              <w:left w:val="nil"/>
              <w:bottom w:val="nil"/>
              <w:right w:val="nil"/>
            </w:tcBorders>
            <w:shd w:val="clear" w:color="auto" w:fill="auto"/>
            <w:noWrap/>
            <w:vAlign w:val="center"/>
            <w:hideMark/>
          </w:tcPr>
          <w:p w14:paraId="1E94E755"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1</w:t>
            </w:r>
          </w:p>
        </w:tc>
        <w:tc>
          <w:tcPr>
            <w:tcW w:w="1320" w:type="dxa"/>
            <w:tcBorders>
              <w:top w:val="nil"/>
              <w:left w:val="nil"/>
              <w:bottom w:val="nil"/>
              <w:right w:val="nil"/>
            </w:tcBorders>
            <w:shd w:val="clear" w:color="auto" w:fill="auto"/>
            <w:noWrap/>
            <w:vAlign w:val="center"/>
            <w:hideMark/>
          </w:tcPr>
          <w:p w14:paraId="517B738E" w14:textId="77777777" w:rsidR="00A74088" w:rsidRPr="002A7673" w:rsidRDefault="00A74088" w:rsidP="0048334E">
            <w:pPr>
              <w:jc w:val="center"/>
              <w:rPr>
                <w:rFonts w:ascii="Times New Roman" w:hAnsi="Times New Roman" w:cs="Times New Roman"/>
                <w:color w:val="000000"/>
              </w:rPr>
            </w:pPr>
            <w:r w:rsidRPr="002A7673">
              <w:rPr>
                <w:rFonts w:ascii="Times New Roman" w:hAnsi="Times New Roman" w:cs="Times New Roman"/>
                <w:color w:val="000000"/>
              </w:rPr>
              <w:t>24</w:t>
            </w:r>
          </w:p>
        </w:tc>
      </w:tr>
      <w:tr w:rsidR="00A74088" w:rsidRPr="002A7673" w14:paraId="1F258181" w14:textId="77777777" w:rsidTr="0048334E">
        <w:trPr>
          <w:trHeight w:val="300"/>
          <w:jc w:val="center"/>
        </w:trPr>
        <w:tc>
          <w:tcPr>
            <w:tcW w:w="2329" w:type="dxa"/>
            <w:tcBorders>
              <w:top w:val="single" w:sz="4" w:space="0" w:color="8EA9DB"/>
              <w:left w:val="nil"/>
              <w:bottom w:val="nil"/>
              <w:right w:val="nil"/>
            </w:tcBorders>
            <w:shd w:val="clear" w:color="D9E1F2" w:fill="D9E1F2"/>
            <w:noWrap/>
            <w:vAlign w:val="bottom"/>
            <w:hideMark/>
          </w:tcPr>
          <w:p w14:paraId="74DE1101" w14:textId="77777777" w:rsidR="00A74088" w:rsidRPr="002A7673" w:rsidRDefault="00A74088" w:rsidP="0048334E">
            <w:pPr>
              <w:rPr>
                <w:rFonts w:ascii="Times New Roman" w:hAnsi="Times New Roman" w:cs="Times New Roman"/>
                <w:b/>
                <w:bCs/>
                <w:color w:val="000000"/>
              </w:rPr>
            </w:pPr>
            <w:proofErr w:type="gramStart"/>
            <w:r w:rsidRPr="002A7673">
              <w:rPr>
                <w:rFonts w:ascii="Times New Roman" w:hAnsi="Times New Roman" w:cs="Times New Roman"/>
                <w:b/>
                <w:bCs/>
                <w:color w:val="000000"/>
              </w:rPr>
              <w:t>Total</w:t>
            </w:r>
            <w:proofErr w:type="gramEnd"/>
            <w:r w:rsidRPr="002A7673">
              <w:rPr>
                <w:rFonts w:ascii="Times New Roman" w:hAnsi="Times New Roman" w:cs="Times New Roman"/>
                <w:b/>
                <w:bCs/>
                <w:color w:val="000000"/>
              </w:rPr>
              <w:t xml:space="preserve"> general</w:t>
            </w:r>
          </w:p>
        </w:tc>
        <w:tc>
          <w:tcPr>
            <w:tcW w:w="1000" w:type="dxa"/>
            <w:tcBorders>
              <w:top w:val="single" w:sz="4" w:space="0" w:color="8EA9DB"/>
              <w:left w:val="nil"/>
              <w:bottom w:val="nil"/>
              <w:right w:val="nil"/>
            </w:tcBorders>
            <w:shd w:val="clear" w:color="D9E1F2" w:fill="D9E1F2"/>
            <w:noWrap/>
            <w:vAlign w:val="bottom"/>
            <w:hideMark/>
          </w:tcPr>
          <w:p w14:paraId="063F4DE0"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5</w:t>
            </w:r>
          </w:p>
        </w:tc>
        <w:tc>
          <w:tcPr>
            <w:tcW w:w="920" w:type="dxa"/>
            <w:tcBorders>
              <w:top w:val="single" w:sz="4" w:space="0" w:color="8EA9DB"/>
              <w:left w:val="nil"/>
              <w:bottom w:val="nil"/>
              <w:right w:val="nil"/>
            </w:tcBorders>
            <w:shd w:val="clear" w:color="D9E1F2" w:fill="D9E1F2"/>
            <w:noWrap/>
            <w:vAlign w:val="bottom"/>
            <w:hideMark/>
          </w:tcPr>
          <w:p w14:paraId="459B3D40"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8</w:t>
            </w:r>
          </w:p>
        </w:tc>
        <w:tc>
          <w:tcPr>
            <w:tcW w:w="760" w:type="dxa"/>
            <w:tcBorders>
              <w:top w:val="single" w:sz="4" w:space="0" w:color="8EA9DB"/>
              <w:left w:val="nil"/>
              <w:bottom w:val="nil"/>
              <w:right w:val="nil"/>
            </w:tcBorders>
            <w:shd w:val="clear" w:color="D9E1F2" w:fill="D9E1F2"/>
            <w:noWrap/>
            <w:vAlign w:val="bottom"/>
            <w:hideMark/>
          </w:tcPr>
          <w:p w14:paraId="6F89A6E6"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5</w:t>
            </w:r>
          </w:p>
        </w:tc>
        <w:tc>
          <w:tcPr>
            <w:tcW w:w="680" w:type="dxa"/>
            <w:tcBorders>
              <w:top w:val="single" w:sz="4" w:space="0" w:color="8EA9DB"/>
              <w:left w:val="nil"/>
              <w:bottom w:val="nil"/>
              <w:right w:val="nil"/>
            </w:tcBorders>
            <w:shd w:val="clear" w:color="D9E1F2" w:fill="D9E1F2"/>
            <w:noWrap/>
            <w:vAlign w:val="bottom"/>
            <w:hideMark/>
          </w:tcPr>
          <w:p w14:paraId="0ED4BFEA"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1</w:t>
            </w:r>
          </w:p>
        </w:tc>
        <w:tc>
          <w:tcPr>
            <w:tcW w:w="760" w:type="dxa"/>
            <w:tcBorders>
              <w:top w:val="single" w:sz="4" w:space="0" w:color="8EA9DB"/>
              <w:left w:val="nil"/>
              <w:bottom w:val="nil"/>
              <w:right w:val="nil"/>
            </w:tcBorders>
            <w:shd w:val="clear" w:color="D9E1F2" w:fill="D9E1F2"/>
            <w:noWrap/>
            <w:vAlign w:val="bottom"/>
            <w:hideMark/>
          </w:tcPr>
          <w:p w14:paraId="12D33F50"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4</w:t>
            </w:r>
          </w:p>
        </w:tc>
        <w:tc>
          <w:tcPr>
            <w:tcW w:w="587" w:type="dxa"/>
            <w:tcBorders>
              <w:top w:val="single" w:sz="4" w:space="0" w:color="8EA9DB"/>
              <w:left w:val="nil"/>
              <w:bottom w:val="nil"/>
              <w:right w:val="nil"/>
            </w:tcBorders>
            <w:shd w:val="clear" w:color="D9E1F2" w:fill="D9E1F2"/>
            <w:noWrap/>
            <w:vAlign w:val="bottom"/>
            <w:hideMark/>
          </w:tcPr>
          <w:p w14:paraId="4D30A898"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1</w:t>
            </w:r>
          </w:p>
        </w:tc>
        <w:tc>
          <w:tcPr>
            <w:tcW w:w="1320" w:type="dxa"/>
            <w:tcBorders>
              <w:top w:val="single" w:sz="4" w:space="0" w:color="8EA9DB"/>
              <w:left w:val="nil"/>
              <w:bottom w:val="nil"/>
              <w:right w:val="nil"/>
            </w:tcBorders>
            <w:shd w:val="clear" w:color="D9E1F2" w:fill="D9E1F2"/>
            <w:noWrap/>
            <w:vAlign w:val="center"/>
            <w:hideMark/>
          </w:tcPr>
          <w:p w14:paraId="5EC0A276"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24</w:t>
            </w:r>
          </w:p>
        </w:tc>
      </w:tr>
    </w:tbl>
    <w:p w14:paraId="7CE5F645" w14:textId="77777777" w:rsidR="00A74088" w:rsidRPr="002A7673" w:rsidRDefault="00A74088" w:rsidP="00A74088">
      <w:pPr>
        <w:spacing w:line="360" w:lineRule="auto"/>
        <w:jc w:val="both"/>
        <w:rPr>
          <w:rFonts w:ascii="Times New Roman" w:hAnsi="Times New Roman" w:cs="Times New Roman"/>
        </w:rPr>
      </w:pPr>
      <w:r w:rsidRPr="002A7673">
        <w:rPr>
          <w:rFonts w:ascii="Times New Roman" w:hAnsi="Times New Roman" w:cs="Times New Roman"/>
        </w:rPr>
        <w:t xml:space="preserve">         </w:t>
      </w:r>
      <w:r w:rsidRPr="002A7673">
        <w:rPr>
          <w:rFonts w:ascii="Times New Roman" w:hAnsi="Times New Roman" w:cs="Times New Roman"/>
          <w:b/>
          <w:bCs/>
        </w:rPr>
        <w:t>Fuente:</w:t>
      </w:r>
      <w:r w:rsidRPr="002A7673">
        <w:rPr>
          <w:rFonts w:ascii="Times New Roman" w:hAnsi="Times New Roman" w:cs="Times New Roman"/>
        </w:rPr>
        <w:t xml:space="preserve"> Elaboración propia a partir del reporte generado del MS Project Online al 23-02-2021.</w:t>
      </w:r>
    </w:p>
    <w:p w14:paraId="1D25AF0D" w14:textId="77777777" w:rsidR="00A74088" w:rsidRPr="002A7673" w:rsidRDefault="00A74088" w:rsidP="00A74088">
      <w:pPr>
        <w:spacing w:line="360" w:lineRule="auto"/>
        <w:jc w:val="both"/>
        <w:rPr>
          <w:rFonts w:ascii="Times New Roman" w:hAnsi="Times New Roman" w:cs="Times New Roman"/>
          <w:sz w:val="28"/>
          <w:szCs w:val="28"/>
        </w:rPr>
      </w:pPr>
    </w:p>
    <w:p w14:paraId="5352E995" w14:textId="09795BD8" w:rsidR="00EF4C62"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Como se muestra, con posterioridad al 2022, contemplando los proyectos que finalizan ese año, se tendrían un total de 11 proyectos activos.</w:t>
      </w:r>
    </w:p>
    <w:p w14:paraId="35063B67" w14:textId="69B4ACB7" w:rsidR="00A74088" w:rsidRPr="002A7673" w:rsidRDefault="00EF4C62" w:rsidP="00EF4C62">
      <w:pPr>
        <w:spacing w:line="240" w:lineRule="auto"/>
        <w:ind w:left="708" w:firstLine="708"/>
        <w:jc w:val="both"/>
        <w:rPr>
          <w:rFonts w:ascii="Times New Roman" w:hAnsi="Times New Roman" w:cs="Times New Roman"/>
          <w:b/>
          <w:bCs/>
          <w:sz w:val="36"/>
          <w:szCs w:val="36"/>
        </w:rPr>
      </w:pPr>
      <w:r w:rsidRPr="002A7673">
        <w:rPr>
          <w:rFonts w:ascii="Times New Roman" w:hAnsi="Times New Roman" w:cs="Times New Roman"/>
          <w:b/>
          <w:bCs/>
          <w:sz w:val="28"/>
          <w:szCs w:val="28"/>
        </w:rPr>
        <w:t>3.1</w:t>
      </w:r>
      <w:r w:rsidR="00A74088" w:rsidRPr="002A7673">
        <w:rPr>
          <w:rFonts w:ascii="Times New Roman" w:hAnsi="Times New Roman" w:cs="Times New Roman"/>
          <w:b/>
          <w:bCs/>
          <w:sz w:val="28"/>
          <w:szCs w:val="28"/>
        </w:rPr>
        <w:t>Proyectos que Formularon Recursos en el SPP:</w:t>
      </w:r>
    </w:p>
    <w:p w14:paraId="4B21C0A6" w14:textId="491006BB" w:rsidR="00A74088"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Dentro de las proyecciones de recursos incluidas en el Sistema de Proyección Plurianual, se tiene que sólo 5 proyectos tienen contemplados recursos presupuestarios para el año 2022, según lo que se muestra a continuación: </w:t>
      </w:r>
    </w:p>
    <w:p w14:paraId="1B21CF82" w14:textId="77777777" w:rsidR="00760992" w:rsidRPr="002A7673" w:rsidRDefault="00760992" w:rsidP="00A74088">
      <w:pPr>
        <w:spacing w:line="360" w:lineRule="auto"/>
        <w:jc w:val="center"/>
        <w:rPr>
          <w:rFonts w:ascii="Times New Roman" w:hAnsi="Times New Roman" w:cs="Times New Roman"/>
          <w:b/>
          <w:bCs/>
        </w:rPr>
      </w:pPr>
    </w:p>
    <w:p w14:paraId="0D927B9A" w14:textId="72BFF467" w:rsidR="00A74088" w:rsidRPr="002A7673" w:rsidRDefault="00A74088" w:rsidP="00A74088">
      <w:pPr>
        <w:spacing w:line="360" w:lineRule="auto"/>
        <w:jc w:val="center"/>
        <w:rPr>
          <w:rFonts w:ascii="Times New Roman" w:hAnsi="Times New Roman" w:cs="Times New Roman"/>
          <w:b/>
          <w:bCs/>
          <w:sz w:val="26"/>
          <w:szCs w:val="26"/>
        </w:rPr>
      </w:pPr>
      <w:r w:rsidRPr="002A7673">
        <w:rPr>
          <w:rFonts w:ascii="Times New Roman" w:hAnsi="Times New Roman" w:cs="Times New Roman"/>
          <w:b/>
          <w:bCs/>
          <w:sz w:val="26"/>
          <w:szCs w:val="26"/>
        </w:rPr>
        <w:t>Detalle de los Recursos Presupuestarios Anuales para la Ejecución de los Proyectos Estratégicos del O.I.J</w:t>
      </w:r>
    </w:p>
    <w:tbl>
      <w:tblPr>
        <w:tblW w:w="10435" w:type="dxa"/>
        <w:jc w:val="center"/>
        <w:tblCellMar>
          <w:left w:w="70" w:type="dxa"/>
          <w:right w:w="70" w:type="dxa"/>
        </w:tblCellMar>
        <w:tblLook w:val="04A0" w:firstRow="1" w:lastRow="0" w:firstColumn="1" w:lastColumn="0" w:noHBand="0" w:noVBand="1"/>
      </w:tblPr>
      <w:tblGrid>
        <w:gridCol w:w="842"/>
        <w:gridCol w:w="1675"/>
        <w:gridCol w:w="860"/>
        <w:gridCol w:w="940"/>
        <w:gridCol w:w="660"/>
        <w:gridCol w:w="860"/>
        <w:gridCol w:w="1060"/>
        <w:gridCol w:w="940"/>
        <w:gridCol w:w="780"/>
        <w:gridCol w:w="758"/>
        <w:gridCol w:w="1060"/>
      </w:tblGrid>
      <w:tr w:rsidR="00A74088" w:rsidRPr="002A7673" w14:paraId="57BE726D" w14:textId="77777777" w:rsidTr="0048334E">
        <w:trPr>
          <w:trHeight w:val="285"/>
          <w:jc w:val="center"/>
        </w:trPr>
        <w:tc>
          <w:tcPr>
            <w:tcW w:w="842"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479C83E8" w14:textId="77777777" w:rsidR="00A74088" w:rsidRPr="002A7673" w:rsidRDefault="00A74088" w:rsidP="0048334E">
            <w:pPr>
              <w:jc w:val="center"/>
              <w:rPr>
                <w:rFonts w:ascii="Times New Roman" w:hAnsi="Times New Roman" w:cs="Times New Roman"/>
                <w:color w:val="FFFFFF" w:themeColor="background1"/>
                <w:sz w:val="18"/>
                <w:szCs w:val="18"/>
                <w:lang w:eastAsia="es-CR"/>
              </w:rPr>
            </w:pPr>
            <w:r w:rsidRPr="002A7673">
              <w:rPr>
                <w:rFonts w:ascii="Times New Roman" w:hAnsi="Times New Roman" w:cs="Times New Roman"/>
                <w:color w:val="FFFFFF" w:themeColor="background1"/>
                <w:sz w:val="18"/>
                <w:szCs w:val="18"/>
              </w:rPr>
              <w:t>Cod Proyecto</w:t>
            </w:r>
          </w:p>
        </w:tc>
        <w:tc>
          <w:tcPr>
            <w:tcW w:w="1675" w:type="dxa"/>
            <w:tcBorders>
              <w:top w:val="single" w:sz="4" w:space="0" w:color="auto"/>
              <w:left w:val="nil"/>
              <w:bottom w:val="single" w:sz="4" w:space="0" w:color="auto"/>
              <w:right w:val="single" w:sz="4" w:space="0" w:color="auto"/>
            </w:tcBorders>
            <w:shd w:val="clear" w:color="auto" w:fill="1F3864" w:themeFill="accent5" w:themeFillShade="80"/>
            <w:vAlign w:val="center"/>
            <w:hideMark/>
          </w:tcPr>
          <w:p w14:paraId="5A7D47A0" w14:textId="77777777" w:rsidR="00A74088" w:rsidRPr="002A7673" w:rsidRDefault="00A74088" w:rsidP="0048334E">
            <w:pPr>
              <w:jc w:val="center"/>
              <w:rPr>
                <w:rFonts w:ascii="Times New Roman" w:hAnsi="Times New Roman" w:cs="Times New Roman"/>
                <w:b/>
                <w:bCs/>
                <w:color w:val="FFFFFF" w:themeColor="background1"/>
                <w:sz w:val="18"/>
                <w:szCs w:val="18"/>
              </w:rPr>
            </w:pPr>
            <w:r w:rsidRPr="002A7673">
              <w:rPr>
                <w:rFonts w:ascii="Times New Roman" w:hAnsi="Times New Roman" w:cs="Times New Roman"/>
                <w:b/>
                <w:bCs/>
                <w:color w:val="FFFFFF" w:themeColor="background1"/>
                <w:sz w:val="18"/>
                <w:szCs w:val="18"/>
              </w:rPr>
              <w:t>Nombre del Proyecto</w:t>
            </w:r>
          </w:p>
        </w:tc>
        <w:tc>
          <w:tcPr>
            <w:tcW w:w="860" w:type="dxa"/>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1331B7FE" w14:textId="77777777" w:rsidR="00A74088" w:rsidRPr="002A7673" w:rsidRDefault="00A74088" w:rsidP="0048334E">
            <w:pPr>
              <w:jc w:val="center"/>
              <w:rPr>
                <w:rFonts w:ascii="Times New Roman" w:hAnsi="Times New Roman" w:cs="Times New Roman"/>
                <w:b/>
                <w:bCs/>
                <w:color w:val="FFFFFF" w:themeColor="background1"/>
                <w:sz w:val="18"/>
                <w:szCs w:val="18"/>
              </w:rPr>
            </w:pPr>
            <w:r w:rsidRPr="002A7673">
              <w:rPr>
                <w:rFonts w:ascii="Times New Roman" w:hAnsi="Times New Roman" w:cs="Times New Roman"/>
                <w:b/>
                <w:bCs/>
                <w:color w:val="FFFFFF" w:themeColor="background1"/>
                <w:sz w:val="18"/>
                <w:szCs w:val="18"/>
              </w:rPr>
              <w:t>2017</w:t>
            </w:r>
          </w:p>
        </w:tc>
        <w:tc>
          <w:tcPr>
            <w:tcW w:w="940" w:type="dxa"/>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756C5034" w14:textId="77777777" w:rsidR="00A74088" w:rsidRPr="002A7673" w:rsidRDefault="00A74088" w:rsidP="0048334E">
            <w:pPr>
              <w:jc w:val="center"/>
              <w:rPr>
                <w:rFonts w:ascii="Times New Roman" w:hAnsi="Times New Roman" w:cs="Times New Roman"/>
                <w:b/>
                <w:bCs/>
                <w:color w:val="FFFFFF" w:themeColor="background1"/>
                <w:sz w:val="18"/>
                <w:szCs w:val="18"/>
              </w:rPr>
            </w:pPr>
            <w:r w:rsidRPr="002A7673">
              <w:rPr>
                <w:rFonts w:ascii="Times New Roman" w:hAnsi="Times New Roman" w:cs="Times New Roman"/>
                <w:b/>
                <w:bCs/>
                <w:color w:val="FFFFFF" w:themeColor="background1"/>
                <w:sz w:val="18"/>
                <w:szCs w:val="18"/>
              </w:rPr>
              <w:t>2018</w:t>
            </w:r>
          </w:p>
        </w:tc>
        <w:tc>
          <w:tcPr>
            <w:tcW w:w="660" w:type="dxa"/>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574DDF4A" w14:textId="77777777" w:rsidR="00A74088" w:rsidRPr="002A7673" w:rsidRDefault="00A74088" w:rsidP="0048334E">
            <w:pPr>
              <w:jc w:val="center"/>
              <w:rPr>
                <w:rFonts w:ascii="Times New Roman" w:hAnsi="Times New Roman" w:cs="Times New Roman"/>
                <w:b/>
                <w:bCs/>
                <w:color w:val="FFFFFF" w:themeColor="background1"/>
                <w:sz w:val="18"/>
                <w:szCs w:val="18"/>
              </w:rPr>
            </w:pPr>
            <w:r w:rsidRPr="002A7673">
              <w:rPr>
                <w:rFonts w:ascii="Times New Roman" w:hAnsi="Times New Roman" w:cs="Times New Roman"/>
                <w:b/>
                <w:bCs/>
                <w:color w:val="FFFFFF" w:themeColor="background1"/>
                <w:sz w:val="18"/>
                <w:szCs w:val="18"/>
              </w:rPr>
              <w:t>2019</w:t>
            </w:r>
          </w:p>
        </w:tc>
        <w:tc>
          <w:tcPr>
            <w:tcW w:w="860" w:type="dxa"/>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617BF239" w14:textId="77777777" w:rsidR="00A74088" w:rsidRPr="002A7673" w:rsidRDefault="00A74088" w:rsidP="0048334E">
            <w:pPr>
              <w:jc w:val="center"/>
              <w:rPr>
                <w:rFonts w:ascii="Times New Roman" w:hAnsi="Times New Roman" w:cs="Times New Roman"/>
                <w:b/>
                <w:bCs/>
                <w:color w:val="FFFFFF" w:themeColor="background1"/>
                <w:sz w:val="18"/>
                <w:szCs w:val="18"/>
              </w:rPr>
            </w:pPr>
            <w:r w:rsidRPr="002A7673">
              <w:rPr>
                <w:rFonts w:ascii="Times New Roman" w:hAnsi="Times New Roman" w:cs="Times New Roman"/>
                <w:b/>
                <w:bCs/>
                <w:color w:val="FFFFFF" w:themeColor="background1"/>
                <w:sz w:val="18"/>
                <w:szCs w:val="18"/>
              </w:rPr>
              <w:t>2020</w:t>
            </w:r>
          </w:p>
        </w:tc>
        <w:tc>
          <w:tcPr>
            <w:tcW w:w="1060" w:type="dxa"/>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6B085477" w14:textId="77777777" w:rsidR="00A74088" w:rsidRPr="002A7673" w:rsidRDefault="00A74088" w:rsidP="0048334E">
            <w:pPr>
              <w:jc w:val="center"/>
              <w:rPr>
                <w:rFonts w:ascii="Times New Roman" w:hAnsi="Times New Roman" w:cs="Times New Roman"/>
                <w:b/>
                <w:bCs/>
                <w:color w:val="FFFFFF" w:themeColor="background1"/>
                <w:sz w:val="18"/>
                <w:szCs w:val="18"/>
              </w:rPr>
            </w:pPr>
            <w:r w:rsidRPr="002A7673">
              <w:rPr>
                <w:rFonts w:ascii="Times New Roman" w:hAnsi="Times New Roman" w:cs="Times New Roman"/>
                <w:b/>
                <w:bCs/>
                <w:color w:val="FFFFFF" w:themeColor="background1"/>
                <w:sz w:val="18"/>
                <w:szCs w:val="18"/>
              </w:rPr>
              <w:t>2021</w:t>
            </w:r>
          </w:p>
        </w:tc>
        <w:tc>
          <w:tcPr>
            <w:tcW w:w="940" w:type="dxa"/>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399D3851" w14:textId="77777777" w:rsidR="00A74088" w:rsidRPr="002A7673" w:rsidRDefault="00A74088" w:rsidP="0048334E">
            <w:pPr>
              <w:jc w:val="center"/>
              <w:rPr>
                <w:rFonts w:ascii="Times New Roman" w:hAnsi="Times New Roman" w:cs="Times New Roman"/>
                <w:b/>
                <w:bCs/>
                <w:color w:val="FFFFFF" w:themeColor="background1"/>
                <w:sz w:val="18"/>
                <w:szCs w:val="18"/>
              </w:rPr>
            </w:pPr>
            <w:r w:rsidRPr="002A7673">
              <w:rPr>
                <w:rFonts w:ascii="Times New Roman" w:hAnsi="Times New Roman" w:cs="Times New Roman"/>
                <w:b/>
                <w:bCs/>
                <w:color w:val="FFFFFF" w:themeColor="background1"/>
                <w:sz w:val="18"/>
                <w:szCs w:val="18"/>
              </w:rPr>
              <w:t>2022</w:t>
            </w:r>
          </w:p>
        </w:tc>
        <w:tc>
          <w:tcPr>
            <w:tcW w:w="780" w:type="dxa"/>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5F86423B" w14:textId="77777777" w:rsidR="00A74088" w:rsidRPr="002A7673" w:rsidRDefault="00A74088" w:rsidP="0048334E">
            <w:pPr>
              <w:jc w:val="center"/>
              <w:rPr>
                <w:rFonts w:ascii="Times New Roman" w:hAnsi="Times New Roman" w:cs="Times New Roman"/>
                <w:b/>
                <w:bCs/>
                <w:color w:val="FFFFFF" w:themeColor="background1"/>
                <w:sz w:val="18"/>
                <w:szCs w:val="18"/>
              </w:rPr>
            </w:pPr>
            <w:r w:rsidRPr="002A7673">
              <w:rPr>
                <w:rFonts w:ascii="Times New Roman" w:hAnsi="Times New Roman" w:cs="Times New Roman"/>
                <w:b/>
                <w:bCs/>
                <w:color w:val="FFFFFF" w:themeColor="background1"/>
                <w:sz w:val="18"/>
                <w:szCs w:val="18"/>
              </w:rPr>
              <w:t>2023</w:t>
            </w:r>
          </w:p>
        </w:tc>
        <w:tc>
          <w:tcPr>
            <w:tcW w:w="758" w:type="dxa"/>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3CA7C439" w14:textId="77777777" w:rsidR="00A74088" w:rsidRPr="002A7673" w:rsidRDefault="00A74088" w:rsidP="0048334E">
            <w:pPr>
              <w:jc w:val="center"/>
              <w:rPr>
                <w:rFonts w:ascii="Times New Roman" w:hAnsi="Times New Roman" w:cs="Times New Roman"/>
                <w:b/>
                <w:bCs/>
                <w:color w:val="FFFFFF" w:themeColor="background1"/>
                <w:sz w:val="18"/>
                <w:szCs w:val="18"/>
              </w:rPr>
            </w:pPr>
            <w:r w:rsidRPr="002A7673">
              <w:rPr>
                <w:rFonts w:ascii="Times New Roman" w:hAnsi="Times New Roman" w:cs="Times New Roman"/>
                <w:b/>
                <w:bCs/>
                <w:color w:val="FFFFFF" w:themeColor="background1"/>
                <w:sz w:val="18"/>
                <w:szCs w:val="18"/>
              </w:rPr>
              <w:t>2024</w:t>
            </w:r>
          </w:p>
        </w:tc>
        <w:tc>
          <w:tcPr>
            <w:tcW w:w="1060" w:type="dxa"/>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0B1FA30A" w14:textId="77777777" w:rsidR="00A74088" w:rsidRPr="002A7673" w:rsidRDefault="00A74088" w:rsidP="0048334E">
            <w:pPr>
              <w:jc w:val="center"/>
              <w:rPr>
                <w:rFonts w:ascii="Times New Roman" w:hAnsi="Times New Roman" w:cs="Times New Roman"/>
                <w:b/>
                <w:bCs/>
                <w:color w:val="FFFFFF" w:themeColor="background1"/>
                <w:sz w:val="18"/>
                <w:szCs w:val="18"/>
              </w:rPr>
            </w:pPr>
            <w:proofErr w:type="gramStart"/>
            <w:r w:rsidRPr="002A7673">
              <w:rPr>
                <w:rFonts w:ascii="Times New Roman" w:hAnsi="Times New Roman" w:cs="Times New Roman"/>
                <w:b/>
                <w:bCs/>
                <w:color w:val="FFFFFF" w:themeColor="background1"/>
                <w:sz w:val="18"/>
                <w:szCs w:val="18"/>
              </w:rPr>
              <w:t>Total</w:t>
            </w:r>
            <w:proofErr w:type="gramEnd"/>
            <w:r w:rsidRPr="002A7673">
              <w:rPr>
                <w:rFonts w:ascii="Times New Roman" w:hAnsi="Times New Roman" w:cs="Times New Roman"/>
                <w:b/>
                <w:bCs/>
                <w:color w:val="FFFFFF" w:themeColor="background1"/>
                <w:sz w:val="18"/>
                <w:szCs w:val="18"/>
              </w:rPr>
              <w:t xml:space="preserve"> general</w:t>
            </w:r>
          </w:p>
        </w:tc>
      </w:tr>
      <w:tr w:rsidR="00A74088" w:rsidRPr="002A7673" w14:paraId="6CB9DD93" w14:textId="77777777" w:rsidTr="0048334E">
        <w:trPr>
          <w:trHeight w:val="510"/>
          <w:jc w:val="center"/>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4038977D" w14:textId="77777777" w:rsidR="00A74088" w:rsidRPr="002A7673" w:rsidRDefault="00A74088" w:rsidP="0048334E">
            <w:pPr>
              <w:rPr>
                <w:rFonts w:ascii="Times New Roman" w:hAnsi="Times New Roman" w:cs="Times New Roman"/>
                <w:b/>
                <w:bCs/>
                <w:sz w:val="16"/>
                <w:szCs w:val="16"/>
              </w:rPr>
            </w:pPr>
            <w:r w:rsidRPr="002A7673">
              <w:rPr>
                <w:rFonts w:ascii="Times New Roman" w:hAnsi="Times New Roman" w:cs="Times New Roman"/>
                <w:b/>
                <w:bCs/>
                <w:sz w:val="16"/>
                <w:szCs w:val="16"/>
              </w:rPr>
              <w:t>1167-OIJ-P02</w:t>
            </w:r>
          </w:p>
        </w:tc>
        <w:tc>
          <w:tcPr>
            <w:tcW w:w="1675" w:type="dxa"/>
            <w:tcBorders>
              <w:top w:val="nil"/>
              <w:left w:val="nil"/>
              <w:bottom w:val="single" w:sz="4" w:space="0" w:color="auto"/>
              <w:right w:val="single" w:sz="4" w:space="0" w:color="auto"/>
            </w:tcBorders>
            <w:shd w:val="clear" w:color="auto" w:fill="auto"/>
            <w:vAlign w:val="center"/>
            <w:hideMark/>
          </w:tcPr>
          <w:p w14:paraId="561872B9"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Reacondicionamiento de la Morgue Judicial</w:t>
            </w:r>
          </w:p>
        </w:tc>
        <w:tc>
          <w:tcPr>
            <w:tcW w:w="860" w:type="dxa"/>
            <w:tcBorders>
              <w:top w:val="nil"/>
              <w:left w:val="nil"/>
              <w:bottom w:val="single" w:sz="4" w:space="0" w:color="auto"/>
              <w:right w:val="single" w:sz="4" w:space="0" w:color="auto"/>
            </w:tcBorders>
            <w:shd w:val="clear" w:color="auto" w:fill="auto"/>
            <w:noWrap/>
            <w:vAlign w:val="center"/>
            <w:hideMark/>
          </w:tcPr>
          <w:p w14:paraId="02F5F4A8"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13,725,452</w:t>
            </w:r>
          </w:p>
        </w:tc>
        <w:tc>
          <w:tcPr>
            <w:tcW w:w="940" w:type="dxa"/>
            <w:tcBorders>
              <w:top w:val="nil"/>
              <w:left w:val="nil"/>
              <w:bottom w:val="single" w:sz="4" w:space="0" w:color="auto"/>
              <w:right w:val="single" w:sz="4" w:space="0" w:color="auto"/>
            </w:tcBorders>
            <w:shd w:val="clear" w:color="auto" w:fill="auto"/>
            <w:noWrap/>
            <w:vAlign w:val="center"/>
            <w:hideMark/>
          </w:tcPr>
          <w:p w14:paraId="30B79584"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214,346,952</w:t>
            </w:r>
          </w:p>
        </w:tc>
        <w:tc>
          <w:tcPr>
            <w:tcW w:w="660" w:type="dxa"/>
            <w:tcBorders>
              <w:top w:val="nil"/>
              <w:left w:val="nil"/>
              <w:bottom w:val="single" w:sz="4" w:space="0" w:color="auto"/>
              <w:right w:val="single" w:sz="4" w:space="0" w:color="auto"/>
            </w:tcBorders>
            <w:shd w:val="clear" w:color="auto" w:fill="auto"/>
            <w:noWrap/>
            <w:vAlign w:val="center"/>
            <w:hideMark/>
          </w:tcPr>
          <w:p w14:paraId="0DEFC38C"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860" w:type="dxa"/>
            <w:tcBorders>
              <w:top w:val="nil"/>
              <w:left w:val="nil"/>
              <w:bottom w:val="single" w:sz="4" w:space="0" w:color="auto"/>
              <w:right w:val="single" w:sz="4" w:space="0" w:color="auto"/>
            </w:tcBorders>
            <w:shd w:val="clear" w:color="auto" w:fill="auto"/>
            <w:noWrap/>
            <w:vAlign w:val="center"/>
            <w:hideMark/>
          </w:tcPr>
          <w:p w14:paraId="422D8D21"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76,250,253</w:t>
            </w:r>
          </w:p>
        </w:tc>
        <w:tc>
          <w:tcPr>
            <w:tcW w:w="1060" w:type="dxa"/>
            <w:tcBorders>
              <w:top w:val="nil"/>
              <w:left w:val="nil"/>
              <w:bottom w:val="single" w:sz="4" w:space="0" w:color="auto"/>
              <w:right w:val="single" w:sz="4" w:space="0" w:color="auto"/>
            </w:tcBorders>
            <w:shd w:val="clear" w:color="auto" w:fill="auto"/>
            <w:noWrap/>
            <w:vAlign w:val="center"/>
            <w:hideMark/>
          </w:tcPr>
          <w:p w14:paraId="688BF876"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2,054,849,067</w:t>
            </w:r>
          </w:p>
        </w:tc>
        <w:tc>
          <w:tcPr>
            <w:tcW w:w="940" w:type="dxa"/>
            <w:tcBorders>
              <w:top w:val="nil"/>
              <w:left w:val="nil"/>
              <w:bottom w:val="single" w:sz="4" w:space="0" w:color="auto"/>
              <w:right w:val="single" w:sz="4" w:space="0" w:color="auto"/>
            </w:tcBorders>
            <w:shd w:val="clear" w:color="auto" w:fill="EDEDED" w:themeFill="accent3" w:themeFillTint="33"/>
            <w:noWrap/>
            <w:vAlign w:val="center"/>
            <w:hideMark/>
          </w:tcPr>
          <w:p w14:paraId="5CC7C006" w14:textId="77777777" w:rsidR="00A74088" w:rsidRPr="002A7673" w:rsidRDefault="00A74088" w:rsidP="0048334E">
            <w:pPr>
              <w:jc w:val="right"/>
              <w:rPr>
                <w:rFonts w:ascii="Times New Roman" w:hAnsi="Times New Roman" w:cs="Times New Roman"/>
                <w:b/>
                <w:bCs/>
                <w:color w:val="1F3864" w:themeColor="accent5" w:themeShade="80"/>
                <w:sz w:val="16"/>
                <w:szCs w:val="16"/>
              </w:rPr>
            </w:pPr>
            <w:r w:rsidRPr="002A7673">
              <w:rPr>
                <w:rFonts w:ascii="Times New Roman" w:hAnsi="Times New Roman" w:cs="Times New Roman"/>
                <w:b/>
                <w:bCs/>
                <w:color w:val="1F3864" w:themeColor="accent5" w:themeShade="80"/>
                <w:sz w:val="16"/>
                <w:szCs w:val="16"/>
              </w:rPr>
              <w:t>500,127,575</w:t>
            </w:r>
          </w:p>
        </w:tc>
        <w:tc>
          <w:tcPr>
            <w:tcW w:w="780" w:type="dxa"/>
            <w:tcBorders>
              <w:top w:val="nil"/>
              <w:left w:val="nil"/>
              <w:bottom w:val="single" w:sz="4" w:space="0" w:color="auto"/>
              <w:right w:val="single" w:sz="4" w:space="0" w:color="auto"/>
            </w:tcBorders>
            <w:shd w:val="clear" w:color="auto" w:fill="auto"/>
            <w:noWrap/>
            <w:vAlign w:val="center"/>
            <w:hideMark/>
          </w:tcPr>
          <w:p w14:paraId="761E9B5D"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0F3B424A"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1060" w:type="dxa"/>
            <w:tcBorders>
              <w:top w:val="nil"/>
              <w:left w:val="nil"/>
              <w:bottom w:val="single" w:sz="4" w:space="0" w:color="auto"/>
              <w:right w:val="single" w:sz="4" w:space="0" w:color="auto"/>
            </w:tcBorders>
            <w:shd w:val="clear" w:color="000000" w:fill="F2F2F2"/>
            <w:noWrap/>
            <w:vAlign w:val="center"/>
            <w:hideMark/>
          </w:tcPr>
          <w:p w14:paraId="6F6ABBF7"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2,859,299,299</w:t>
            </w:r>
          </w:p>
        </w:tc>
      </w:tr>
      <w:tr w:rsidR="00A74088" w:rsidRPr="002A7673" w14:paraId="57E27391" w14:textId="77777777" w:rsidTr="0048334E">
        <w:trPr>
          <w:trHeight w:val="510"/>
          <w:jc w:val="center"/>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31765181" w14:textId="77777777" w:rsidR="00A74088" w:rsidRPr="002A7673" w:rsidRDefault="00A74088" w:rsidP="0048334E">
            <w:pPr>
              <w:rPr>
                <w:rFonts w:ascii="Times New Roman" w:hAnsi="Times New Roman" w:cs="Times New Roman"/>
                <w:b/>
                <w:bCs/>
                <w:sz w:val="16"/>
                <w:szCs w:val="16"/>
              </w:rPr>
            </w:pPr>
            <w:r w:rsidRPr="002A7673">
              <w:rPr>
                <w:rFonts w:ascii="Times New Roman" w:hAnsi="Times New Roman" w:cs="Times New Roman"/>
                <w:b/>
                <w:bCs/>
                <w:sz w:val="16"/>
                <w:szCs w:val="16"/>
              </w:rPr>
              <w:t>1167-OIJ-P05</w:t>
            </w:r>
          </w:p>
        </w:tc>
        <w:tc>
          <w:tcPr>
            <w:tcW w:w="1675" w:type="dxa"/>
            <w:tcBorders>
              <w:top w:val="nil"/>
              <w:left w:val="nil"/>
              <w:bottom w:val="single" w:sz="4" w:space="0" w:color="auto"/>
              <w:right w:val="single" w:sz="4" w:space="0" w:color="auto"/>
            </w:tcBorders>
            <w:shd w:val="clear" w:color="auto" w:fill="auto"/>
            <w:vAlign w:val="center"/>
            <w:hideMark/>
          </w:tcPr>
          <w:p w14:paraId="23219A81"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Correlación de la carga de trabajo y recurso humano</w:t>
            </w:r>
          </w:p>
        </w:tc>
        <w:tc>
          <w:tcPr>
            <w:tcW w:w="860" w:type="dxa"/>
            <w:tcBorders>
              <w:top w:val="nil"/>
              <w:left w:val="nil"/>
              <w:bottom w:val="single" w:sz="4" w:space="0" w:color="auto"/>
              <w:right w:val="single" w:sz="4" w:space="0" w:color="auto"/>
            </w:tcBorders>
            <w:shd w:val="clear" w:color="auto" w:fill="auto"/>
            <w:noWrap/>
            <w:vAlign w:val="center"/>
            <w:hideMark/>
          </w:tcPr>
          <w:p w14:paraId="5B311C21"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940" w:type="dxa"/>
            <w:tcBorders>
              <w:top w:val="nil"/>
              <w:left w:val="nil"/>
              <w:bottom w:val="single" w:sz="4" w:space="0" w:color="auto"/>
              <w:right w:val="single" w:sz="4" w:space="0" w:color="auto"/>
            </w:tcBorders>
            <w:shd w:val="clear" w:color="auto" w:fill="auto"/>
            <w:noWrap/>
            <w:vAlign w:val="center"/>
            <w:hideMark/>
          </w:tcPr>
          <w:p w14:paraId="061112F5"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660" w:type="dxa"/>
            <w:tcBorders>
              <w:top w:val="nil"/>
              <w:left w:val="nil"/>
              <w:bottom w:val="single" w:sz="4" w:space="0" w:color="auto"/>
              <w:right w:val="single" w:sz="4" w:space="0" w:color="auto"/>
            </w:tcBorders>
            <w:shd w:val="clear" w:color="auto" w:fill="auto"/>
            <w:noWrap/>
            <w:vAlign w:val="center"/>
            <w:hideMark/>
          </w:tcPr>
          <w:p w14:paraId="5810E2DF"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860" w:type="dxa"/>
            <w:tcBorders>
              <w:top w:val="nil"/>
              <w:left w:val="nil"/>
              <w:bottom w:val="single" w:sz="4" w:space="0" w:color="auto"/>
              <w:right w:val="single" w:sz="4" w:space="0" w:color="auto"/>
            </w:tcBorders>
            <w:shd w:val="clear" w:color="auto" w:fill="auto"/>
            <w:noWrap/>
            <w:vAlign w:val="center"/>
            <w:hideMark/>
          </w:tcPr>
          <w:p w14:paraId="1ADC62C0"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241,500</w:t>
            </w:r>
          </w:p>
        </w:tc>
        <w:tc>
          <w:tcPr>
            <w:tcW w:w="1060" w:type="dxa"/>
            <w:tcBorders>
              <w:top w:val="nil"/>
              <w:left w:val="nil"/>
              <w:bottom w:val="single" w:sz="4" w:space="0" w:color="auto"/>
              <w:right w:val="single" w:sz="4" w:space="0" w:color="auto"/>
            </w:tcBorders>
            <w:shd w:val="clear" w:color="auto" w:fill="auto"/>
            <w:noWrap/>
            <w:vAlign w:val="center"/>
            <w:hideMark/>
          </w:tcPr>
          <w:p w14:paraId="13C51C25"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241,500</w:t>
            </w:r>
          </w:p>
        </w:tc>
        <w:tc>
          <w:tcPr>
            <w:tcW w:w="940" w:type="dxa"/>
            <w:tcBorders>
              <w:top w:val="nil"/>
              <w:left w:val="nil"/>
              <w:bottom w:val="single" w:sz="4" w:space="0" w:color="auto"/>
              <w:right w:val="single" w:sz="4" w:space="0" w:color="auto"/>
            </w:tcBorders>
            <w:shd w:val="clear" w:color="auto" w:fill="EDEDED" w:themeFill="accent3" w:themeFillTint="33"/>
            <w:noWrap/>
            <w:vAlign w:val="center"/>
            <w:hideMark/>
          </w:tcPr>
          <w:p w14:paraId="0BD57A5B" w14:textId="77777777" w:rsidR="00A74088" w:rsidRPr="002A7673" w:rsidRDefault="00A74088" w:rsidP="0048334E">
            <w:pPr>
              <w:jc w:val="right"/>
              <w:rPr>
                <w:rFonts w:ascii="Times New Roman" w:hAnsi="Times New Roman" w:cs="Times New Roman"/>
                <w:b/>
                <w:bCs/>
                <w:color w:val="1F3864" w:themeColor="accent5" w:themeShade="80"/>
                <w:sz w:val="16"/>
                <w:szCs w:val="16"/>
              </w:rPr>
            </w:pPr>
            <w:r w:rsidRPr="002A7673">
              <w:rPr>
                <w:rFonts w:ascii="Times New Roman" w:hAnsi="Times New Roman" w:cs="Times New Roman"/>
                <w:b/>
                <w:bCs/>
                <w:color w:val="1F3864" w:themeColor="accent5" w:themeShade="80"/>
                <w:sz w:val="16"/>
                <w:szCs w:val="16"/>
              </w:rPr>
              <w:t>241,500</w:t>
            </w:r>
          </w:p>
        </w:tc>
        <w:tc>
          <w:tcPr>
            <w:tcW w:w="780" w:type="dxa"/>
            <w:tcBorders>
              <w:top w:val="nil"/>
              <w:left w:val="nil"/>
              <w:bottom w:val="single" w:sz="4" w:space="0" w:color="auto"/>
              <w:right w:val="single" w:sz="4" w:space="0" w:color="auto"/>
            </w:tcBorders>
            <w:shd w:val="clear" w:color="auto" w:fill="auto"/>
            <w:noWrap/>
            <w:vAlign w:val="center"/>
            <w:hideMark/>
          </w:tcPr>
          <w:p w14:paraId="17C3B068"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241,500</w:t>
            </w:r>
          </w:p>
        </w:tc>
        <w:tc>
          <w:tcPr>
            <w:tcW w:w="758" w:type="dxa"/>
            <w:tcBorders>
              <w:top w:val="nil"/>
              <w:left w:val="nil"/>
              <w:bottom w:val="single" w:sz="4" w:space="0" w:color="auto"/>
              <w:right w:val="single" w:sz="4" w:space="0" w:color="auto"/>
            </w:tcBorders>
            <w:shd w:val="clear" w:color="auto" w:fill="auto"/>
            <w:noWrap/>
            <w:vAlign w:val="center"/>
            <w:hideMark/>
          </w:tcPr>
          <w:p w14:paraId="495333DD"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241,500</w:t>
            </w:r>
          </w:p>
        </w:tc>
        <w:tc>
          <w:tcPr>
            <w:tcW w:w="1060" w:type="dxa"/>
            <w:tcBorders>
              <w:top w:val="nil"/>
              <w:left w:val="nil"/>
              <w:bottom w:val="single" w:sz="4" w:space="0" w:color="auto"/>
              <w:right w:val="single" w:sz="4" w:space="0" w:color="auto"/>
            </w:tcBorders>
            <w:shd w:val="clear" w:color="000000" w:fill="F2F2F2"/>
            <w:noWrap/>
            <w:vAlign w:val="center"/>
            <w:hideMark/>
          </w:tcPr>
          <w:p w14:paraId="17F973F6"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1,207,500</w:t>
            </w:r>
          </w:p>
        </w:tc>
      </w:tr>
      <w:tr w:rsidR="00A74088" w:rsidRPr="002A7673" w14:paraId="7621E5A0" w14:textId="77777777" w:rsidTr="0048334E">
        <w:trPr>
          <w:trHeight w:val="510"/>
          <w:jc w:val="center"/>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25785B4B" w14:textId="77777777" w:rsidR="00A74088" w:rsidRPr="002A7673" w:rsidRDefault="00A74088" w:rsidP="0048334E">
            <w:pPr>
              <w:rPr>
                <w:rFonts w:ascii="Times New Roman" w:hAnsi="Times New Roman" w:cs="Times New Roman"/>
                <w:b/>
                <w:bCs/>
                <w:sz w:val="16"/>
                <w:szCs w:val="16"/>
              </w:rPr>
            </w:pPr>
            <w:r w:rsidRPr="002A7673">
              <w:rPr>
                <w:rFonts w:ascii="Times New Roman" w:hAnsi="Times New Roman" w:cs="Times New Roman"/>
                <w:b/>
                <w:bCs/>
                <w:sz w:val="16"/>
                <w:szCs w:val="16"/>
              </w:rPr>
              <w:t>1167-OIJ-P06</w:t>
            </w:r>
          </w:p>
        </w:tc>
        <w:tc>
          <w:tcPr>
            <w:tcW w:w="1675" w:type="dxa"/>
            <w:tcBorders>
              <w:top w:val="nil"/>
              <w:left w:val="nil"/>
              <w:bottom w:val="single" w:sz="4" w:space="0" w:color="auto"/>
              <w:right w:val="single" w:sz="4" w:space="0" w:color="auto"/>
            </w:tcBorders>
            <w:shd w:val="clear" w:color="auto" w:fill="auto"/>
            <w:vAlign w:val="center"/>
            <w:hideMark/>
          </w:tcPr>
          <w:p w14:paraId="15530904"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Consolidación de equipo multidisciplinario en criminalística</w:t>
            </w:r>
          </w:p>
        </w:tc>
        <w:tc>
          <w:tcPr>
            <w:tcW w:w="860" w:type="dxa"/>
            <w:tcBorders>
              <w:top w:val="nil"/>
              <w:left w:val="nil"/>
              <w:bottom w:val="single" w:sz="4" w:space="0" w:color="auto"/>
              <w:right w:val="single" w:sz="4" w:space="0" w:color="auto"/>
            </w:tcBorders>
            <w:shd w:val="clear" w:color="auto" w:fill="auto"/>
            <w:noWrap/>
            <w:vAlign w:val="center"/>
            <w:hideMark/>
          </w:tcPr>
          <w:p w14:paraId="2D8D9DD8"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940" w:type="dxa"/>
            <w:tcBorders>
              <w:top w:val="nil"/>
              <w:left w:val="nil"/>
              <w:bottom w:val="single" w:sz="4" w:space="0" w:color="auto"/>
              <w:right w:val="single" w:sz="4" w:space="0" w:color="auto"/>
            </w:tcBorders>
            <w:shd w:val="clear" w:color="auto" w:fill="auto"/>
            <w:noWrap/>
            <w:vAlign w:val="center"/>
            <w:hideMark/>
          </w:tcPr>
          <w:p w14:paraId="2CED3492"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660" w:type="dxa"/>
            <w:tcBorders>
              <w:top w:val="nil"/>
              <w:left w:val="nil"/>
              <w:bottom w:val="single" w:sz="4" w:space="0" w:color="auto"/>
              <w:right w:val="single" w:sz="4" w:space="0" w:color="auto"/>
            </w:tcBorders>
            <w:shd w:val="clear" w:color="auto" w:fill="auto"/>
            <w:noWrap/>
            <w:vAlign w:val="center"/>
            <w:hideMark/>
          </w:tcPr>
          <w:p w14:paraId="23069B5C"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700,000</w:t>
            </w:r>
          </w:p>
        </w:tc>
        <w:tc>
          <w:tcPr>
            <w:tcW w:w="860" w:type="dxa"/>
            <w:tcBorders>
              <w:top w:val="nil"/>
              <w:left w:val="nil"/>
              <w:bottom w:val="single" w:sz="4" w:space="0" w:color="auto"/>
              <w:right w:val="single" w:sz="4" w:space="0" w:color="auto"/>
            </w:tcBorders>
            <w:shd w:val="clear" w:color="auto" w:fill="auto"/>
            <w:noWrap/>
            <w:vAlign w:val="center"/>
            <w:hideMark/>
          </w:tcPr>
          <w:p w14:paraId="4F82D57D"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700,000</w:t>
            </w:r>
          </w:p>
        </w:tc>
        <w:tc>
          <w:tcPr>
            <w:tcW w:w="1060" w:type="dxa"/>
            <w:tcBorders>
              <w:top w:val="nil"/>
              <w:left w:val="nil"/>
              <w:bottom w:val="single" w:sz="4" w:space="0" w:color="auto"/>
              <w:right w:val="single" w:sz="4" w:space="0" w:color="auto"/>
            </w:tcBorders>
            <w:shd w:val="clear" w:color="auto" w:fill="auto"/>
            <w:noWrap/>
            <w:vAlign w:val="center"/>
            <w:hideMark/>
          </w:tcPr>
          <w:p w14:paraId="6944F7AC"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700,000</w:t>
            </w:r>
          </w:p>
        </w:tc>
        <w:tc>
          <w:tcPr>
            <w:tcW w:w="940" w:type="dxa"/>
            <w:tcBorders>
              <w:top w:val="nil"/>
              <w:left w:val="nil"/>
              <w:bottom w:val="single" w:sz="4" w:space="0" w:color="auto"/>
              <w:right w:val="single" w:sz="4" w:space="0" w:color="auto"/>
            </w:tcBorders>
            <w:shd w:val="clear" w:color="auto" w:fill="EDEDED" w:themeFill="accent3" w:themeFillTint="33"/>
            <w:noWrap/>
            <w:vAlign w:val="center"/>
            <w:hideMark/>
          </w:tcPr>
          <w:p w14:paraId="15DE6478" w14:textId="77777777" w:rsidR="00A74088" w:rsidRPr="002A7673" w:rsidRDefault="00A74088" w:rsidP="0048334E">
            <w:pPr>
              <w:jc w:val="right"/>
              <w:rPr>
                <w:rFonts w:ascii="Times New Roman" w:hAnsi="Times New Roman" w:cs="Times New Roman"/>
                <w:b/>
                <w:bCs/>
                <w:color w:val="1F3864" w:themeColor="accent5" w:themeShade="80"/>
                <w:sz w:val="16"/>
                <w:szCs w:val="16"/>
              </w:rPr>
            </w:pPr>
            <w:r w:rsidRPr="002A7673">
              <w:rPr>
                <w:rFonts w:ascii="Times New Roman" w:hAnsi="Times New Roman" w:cs="Times New Roman"/>
                <w:b/>
                <w:bCs/>
                <w:color w:val="1F3864" w:themeColor="accent5" w:themeShade="80"/>
                <w:sz w:val="16"/>
                <w:szCs w:val="16"/>
              </w:rPr>
              <w:t>700,000</w:t>
            </w:r>
          </w:p>
        </w:tc>
        <w:tc>
          <w:tcPr>
            <w:tcW w:w="780" w:type="dxa"/>
            <w:tcBorders>
              <w:top w:val="nil"/>
              <w:left w:val="nil"/>
              <w:bottom w:val="single" w:sz="4" w:space="0" w:color="auto"/>
              <w:right w:val="single" w:sz="4" w:space="0" w:color="auto"/>
            </w:tcBorders>
            <w:shd w:val="clear" w:color="auto" w:fill="auto"/>
            <w:noWrap/>
            <w:vAlign w:val="center"/>
            <w:hideMark/>
          </w:tcPr>
          <w:p w14:paraId="0FC1010D"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7A51FEB3"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1060" w:type="dxa"/>
            <w:tcBorders>
              <w:top w:val="nil"/>
              <w:left w:val="nil"/>
              <w:bottom w:val="single" w:sz="4" w:space="0" w:color="auto"/>
              <w:right w:val="single" w:sz="4" w:space="0" w:color="auto"/>
            </w:tcBorders>
            <w:shd w:val="clear" w:color="000000" w:fill="F2F2F2"/>
            <w:noWrap/>
            <w:vAlign w:val="center"/>
            <w:hideMark/>
          </w:tcPr>
          <w:p w14:paraId="36A514F6"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2,800,000</w:t>
            </w:r>
          </w:p>
        </w:tc>
      </w:tr>
      <w:tr w:rsidR="00A74088" w:rsidRPr="002A7673" w14:paraId="65055510" w14:textId="77777777" w:rsidTr="0048334E">
        <w:trPr>
          <w:trHeight w:val="660"/>
          <w:jc w:val="center"/>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0D73172D" w14:textId="77777777" w:rsidR="00A74088" w:rsidRPr="002A7673" w:rsidRDefault="00A74088" w:rsidP="0048334E">
            <w:pPr>
              <w:rPr>
                <w:rFonts w:ascii="Times New Roman" w:hAnsi="Times New Roman" w:cs="Times New Roman"/>
                <w:b/>
                <w:bCs/>
                <w:sz w:val="16"/>
                <w:szCs w:val="16"/>
              </w:rPr>
            </w:pPr>
            <w:r w:rsidRPr="002A7673">
              <w:rPr>
                <w:rFonts w:ascii="Times New Roman" w:hAnsi="Times New Roman" w:cs="Times New Roman"/>
                <w:b/>
                <w:bCs/>
                <w:sz w:val="16"/>
                <w:szCs w:val="16"/>
              </w:rPr>
              <w:t>1167-OIJ-P17</w:t>
            </w:r>
          </w:p>
        </w:tc>
        <w:tc>
          <w:tcPr>
            <w:tcW w:w="1675" w:type="dxa"/>
            <w:tcBorders>
              <w:top w:val="nil"/>
              <w:left w:val="nil"/>
              <w:bottom w:val="single" w:sz="4" w:space="0" w:color="auto"/>
              <w:right w:val="single" w:sz="4" w:space="0" w:color="auto"/>
            </w:tcBorders>
            <w:shd w:val="clear" w:color="auto" w:fill="auto"/>
            <w:vAlign w:val="center"/>
            <w:hideMark/>
          </w:tcPr>
          <w:p w14:paraId="134CCA21"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Acreditación ISO 17020 e ISO 17025 SIORI</w:t>
            </w:r>
          </w:p>
        </w:tc>
        <w:tc>
          <w:tcPr>
            <w:tcW w:w="860" w:type="dxa"/>
            <w:tcBorders>
              <w:top w:val="nil"/>
              <w:left w:val="nil"/>
              <w:bottom w:val="single" w:sz="4" w:space="0" w:color="auto"/>
              <w:right w:val="single" w:sz="4" w:space="0" w:color="auto"/>
            </w:tcBorders>
            <w:shd w:val="clear" w:color="auto" w:fill="auto"/>
            <w:noWrap/>
            <w:vAlign w:val="center"/>
            <w:hideMark/>
          </w:tcPr>
          <w:p w14:paraId="03F310FC"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940" w:type="dxa"/>
            <w:tcBorders>
              <w:top w:val="nil"/>
              <w:left w:val="nil"/>
              <w:bottom w:val="single" w:sz="4" w:space="0" w:color="auto"/>
              <w:right w:val="single" w:sz="4" w:space="0" w:color="auto"/>
            </w:tcBorders>
            <w:shd w:val="clear" w:color="auto" w:fill="auto"/>
            <w:noWrap/>
            <w:vAlign w:val="center"/>
            <w:hideMark/>
          </w:tcPr>
          <w:p w14:paraId="1EDF417B"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660" w:type="dxa"/>
            <w:tcBorders>
              <w:top w:val="nil"/>
              <w:left w:val="nil"/>
              <w:bottom w:val="single" w:sz="4" w:space="0" w:color="auto"/>
              <w:right w:val="single" w:sz="4" w:space="0" w:color="auto"/>
            </w:tcBorders>
            <w:shd w:val="clear" w:color="auto" w:fill="auto"/>
            <w:noWrap/>
            <w:vAlign w:val="center"/>
            <w:hideMark/>
          </w:tcPr>
          <w:p w14:paraId="75DFCC6B"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860" w:type="dxa"/>
            <w:tcBorders>
              <w:top w:val="nil"/>
              <w:left w:val="nil"/>
              <w:bottom w:val="single" w:sz="4" w:space="0" w:color="auto"/>
              <w:right w:val="single" w:sz="4" w:space="0" w:color="auto"/>
            </w:tcBorders>
            <w:shd w:val="clear" w:color="auto" w:fill="auto"/>
            <w:noWrap/>
            <w:vAlign w:val="center"/>
            <w:hideMark/>
          </w:tcPr>
          <w:p w14:paraId="25B222AD"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3,519,960</w:t>
            </w:r>
          </w:p>
        </w:tc>
        <w:tc>
          <w:tcPr>
            <w:tcW w:w="1060" w:type="dxa"/>
            <w:tcBorders>
              <w:top w:val="nil"/>
              <w:left w:val="nil"/>
              <w:bottom w:val="single" w:sz="4" w:space="0" w:color="auto"/>
              <w:right w:val="single" w:sz="4" w:space="0" w:color="auto"/>
            </w:tcBorders>
            <w:shd w:val="clear" w:color="auto" w:fill="auto"/>
            <w:noWrap/>
            <w:vAlign w:val="center"/>
            <w:hideMark/>
          </w:tcPr>
          <w:p w14:paraId="3DE91FCA"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2,993,300</w:t>
            </w:r>
          </w:p>
        </w:tc>
        <w:tc>
          <w:tcPr>
            <w:tcW w:w="940" w:type="dxa"/>
            <w:tcBorders>
              <w:top w:val="nil"/>
              <w:left w:val="nil"/>
              <w:bottom w:val="single" w:sz="4" w:space="0" w:color="auto"/>
              <w:right w:val="single" w:sz="4" w:space="0" w:color="auto"/>
            </w:tcBorders>
            <w:shd w:val="clear" w:color="auto" w:fill="EDEDED" w:themeFill="accent3" w:themeFillTint="33"/>
            <w:noWrap/>
            <w:vAlign w:val="center"/>
            <w:hideMark/>
          </w:tcPr>
          <w:p w14:paraId="3375532A" w14:textId="77777777" w:rsidR="00A74088" w:rsidRPr="002A7673" w:rsidRDefault="00A74088" w:rsidP="0048334E">
            <w:pPr>
              <w:jc w:val="right"/>
              <w:rPr>
                <w:rFonts w:ascii="Times New Roman" w:hAnsi="Times New Roman" w:cs="Times New Roman"/>
                <w:b/>
                <w:bCs/>
                <w:color w:val="1F3864" w:themeColor="accent5" w:themeShade="80"/>
                <w:sz w:val="16"/>
                <w:szCs w:val="16"/>
              </w:rPr>
            </w:pPr>
            <w:r w:rsidRPr="002A7673">
              <w:rPr>
                <w:rFonts w:ascii="Times New Roman" w:hAnsi="Times New Roman" w:cs="Times New Roman"/>
                <w:b/>
                <w:bCs/>
                <w:color w:val="1F3864" w:themeColor="accent5" w:themeShade="80"/>
                <w:sz w:val="16"/>
                <w:szCs w:val="16"/>
              </w:rPr>
              <w:t>9,092,960</w:t>
            </w:r>
          </w:p>
        </w:tc>
        <w:tc>
          <w:tcPr>
            <w:tcW w:w="780" w:type="dxa"/>
            <w:tcBorders>
              <w:top w:val="nil"/>
              <w:left w:val="nil"/>
              <w:bottom w:val="single" w:sz="4" w:space="0" w:color="auto"/>
              <w:right w:val="single" w:sz="4" w:space="0" w:color="auto"/>
            </w:tcBorders>
            <w:shd w:val="clear" w:color="auto" w:fill="auto"/>
            <w:noWrap/>
            <w:vAlign w:val="center"/>
            <w:hideMark/>
          </w:tcPr>
          <w:p w14:paraId="37043060" w14:textId="77777777" w:rsidR="00A74088" w:rsidRPr="002A7673" w:rsidRDefault="00A74088" w:rsidP="0048334E">
            <w:pPr>
              <w:jc w:val="right"/>
              <w:rPr>
                <w:rFonts w:ascii="Times New Roman" w:hAnsi="Times New Roman" w:cs="Times New Roman"/>
                <w:sz w:val="16"/>
                <w:szCs w:val="16"/>
              </w:rPr>
            </w:pPr>
            <w:r w:rsidRPr="002A7673">
              <w:rPr>
                <w:rFonts w:ascii="Times New Roman" w:hAnsi="Times New Roman" w:cs="Times New Roman"/>
                <w:sz w:val="16"/>
                <w:szCs w:val="16"/>
              </w:rPr>
              <w:t>5,573,270</w:t>
            </w:r>
          </w:p>
        </w:tc>
        <w:tc>
          <w:tcPr>
            <w:tcW w:w="758" w:type="dxa"/>
            <w:tcBorders>
              <w:top w:val="nil"/>
              <w:left w:val="nil"/>
              <w:bottom w:val="single" w:sz="4" w:space="0" w:color="auto"/>
              <w:right w:val="single" w:sz="4" w:space="0" w:color="auto"/>
            </w:tcBorders>
            <w:shd w:val="clear" w:color="auto" w:fill="auto"/>
            <w:noWrap/>
            <w:vAlign w:val="center"/>
            <w:hideMark/>
          </w:tcPr>
          <w:p w14:paraId="36C09C9B"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1060" w:type="dxa"/>
            <w:tcBorders>
              <w:top w:val="nil"/>
              <w:left w:val="nil"/>
              <w:bottom w:val="single" w:sz="4" w:space="0" w:color="auto"/>
              <w:right w:val="single" w:sz="4" w:space="0" w:color="auto"/>
            </w:tcBorders>
            <w:shd w:val="clear" w:color="000000" w:fill="F2F2F2"/>
            <w:noWrap/>
            <w:vAlign w:val="center"/>
            <w:hideMark/>
          </w:tcPr>
          <w:p w14:paraId="1644B5F6"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21,179,490</w:t>
            </w:r>
          </w:p>
        </w:tc>
      </w:tr>
      <w:tr w:rsidR="00A74088" w:rsidRPr="002A7673" w14:paraId="248833A6" w14:textId="77777777" w:rsidTr="0048334E">
        <w:trPr>
          <w:trHeight w:val="480"/>
          <w:jc w:val="center"/>
        </w:trPr>
        <w:tc>
          <w:tcPr>
            <w:tcW w:w="842" w:type="dxa"/>
            <w:tcBorders>
              <w:top w:val="nil"/>
              <w:left w:val="single" w:sz="4" w:space="0" w:color="auto"/>
              <w:bottom w:val="single" w:sz="4" w:space="0" w:color="auto"/>
              <w:right w:val="single" w:sz="4" w:space="0" w:color="auto"/>
            </w:tcBorders>
            <w:shd w:val="clear" w:color="auto" w:fill="auto"/>
            <w:vAlign w:val="center"/>
            <w:hideMark/>
          </w:tcPr>
          <w:p w14:paraId="189D3795" w14:textId="77777777" w:rsidR="00A74088" w:rsidRPr="002A7673" w:rsidRDefault="00A74088" w:rsidP="0048334E">
            <w:pPr>
              <w:rPr>
                <w:rFonts w:ascii="Times New Roman" w:hAnsi="Times New Roman" w:cs="Times New Roman"/>
                <w:b/>
                <w:bCs/>
                <w:sz w:val="16"/>
                <w:szCs w:val="16"/>
              </w:rPr>
            </w:pPr>
            <w:r w:rsidRPr="002A7673">
              <w:rPr>
                <w:rFonts w:ascii="Times New Roman" w:hAnsi="Times New Roman" w:cs="Times New Roman"/>
                <w:b/>
                <w:bCs/>
                <w:sz w:val="16"/>
                <w:szCs w:val="16"/>
              </w:rPr>
              <w:t>1167-OIJ-P18</w:t>
            </w:r>
          </w:p>
        </w:tc>
        <w:tc>
          <w:tcPr>
            <w:tcW w:w="1675" w:type="dxa"/>
            <w:tcBorders>
              <w:top w:val="nil"/>
              <w:left w:val="nil"/>
              <w:bottom w:val="single" w:sz="4" w:space="0" w:color="auto"/>
              <w:right w:val="single" w:sz="4" w:space="0" w:color="auto"/>
            </w:tcBorders>
            <w:shd w:val="clear" w:color="auto" w:fill="auto"/>
            <w:vAlign w:val="center"/>
            <w:hideMark/>
          </w:tcPr>
          <w:p w14:paraId="626A10C4"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Acreditación ISO 27001 UTI y PIP</w:t>
            </w:r>
          </w:p>
        </w:tc>
        <w:tc>
          <w:tcPr>
            <w:tcW w:w="860" w:type="dxa"/>
            <w:tcBorders>
              <w:top w:val="nil"/>
              <w:left w:val="nil"/>
              <w:bottom w:val="single" w:sz="4" w:space="0" w:color="auto"/>
              <w:right w:val="single" w:sz="4" w:space="0" w:color="auto"/>
            </w:tcBorders>
            <w:shd w:val="clear" w:color="auto" w:fill="auto"/>
            <w:noWrap/>
            <w:vAlign w:val="center"/>
            <w:hideMark/>
          </w:tcPr>
          <w:p w14:paraId="1A120D8A"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940" w:type="dxa"/>
            <w:tcBorders>
              <w:top w:val="nil"/>
              <w:left w:val="nil"/>
              <w:bottom w:val="single" w:sz="4" w:space="0" w:color="auto"/>
              <w:right w:val="single" w:sz="4" w:space="0" w:color="auto"/>
            </w:tcBorders>
            <w:shd w:val="clear" w:color="auto" w:fill="auto"/>
            <w:noWrap/>
            <w:vAlign w:val="center"/>
            <w:hideMark/>
          </w:tcPr>
          <w:p w14:paraId="419E34E9"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660" w:type="dxa"/>
            <w:tcBorders>
              <w:top w:val="nil"/>
              <w:left w:val="nil"/>
              <w:bottom w:val="single" w:sz="4" w:space="0" w:color="auto"/>
              <w:right w:val="single" w:sz="4" w:space="0" w:color="auto"/>
            </w:tcBorders>
            <w:shd w:val="clear" w:color="auto" w:fill="auto"/>
            <w:noWrap/>
            <w:vAlign w:val="center"/>
            <w:hideMark/>
          </w:tcPr>
          <w:p w14:paraId="6D6096F3"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860" w:type="dxa"/>
            <w:tcBorders>
              <w:top w:val="nil"/>
              <w:left w:val="nil"/>
              <w:bottom w:val="single" w:sz="4" w:space="0" w:color="auto"/>
              <w:right w:val="single" w:sz="4" w:space="0" w:color="auto"/>
            </w:tcBorders>
            <w:shd w:val="clear" w:color="auto" w:fill="auto"/>
            <w:noWrap/>
            <w:vAlign w:val="center"/>
            <w:hideMark/>
          </w:tcPr>
          <w:p w14:paraId="2D8BCCFB"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1060" w:type="dxa"/>
            <w:tcBorders>
              <w:top w:val="nil"/>
              <w:left w:val="nil"/>
              <w:bottom w:val="single" w:sz="4" w:space="0" w:color="auto"/>
              <w:right w:val="single" w:sz="4" w:space="0" w:color="auto"/>
            </w:tcBorders>
            <w:shd w:val="clear" w:color="auto" w:fill="auto"/>
            <w:noWrap/>
            <w:vAlign w:val="center"/>
            <w:hideMark/>
          </w:tcPr>
          <w:p w14:paraId="674397D1"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940" w:type="dxa"/>
            <w:tcBorders>
              <w:top w:val="nil"/>
              <w:left w:val="nil"/>
              <w:bottom w:val="single" w:sz="4" w:space="0" w:color="auto"/>
              <w:right w:val="single" w:sz="4" w:space="0" w:color="auto"/>
            </w:tcBorders>
            <w:shd w:val="clear" w:color="auto" w:fill="EDEDED" w:themeFill="accent3" w:themeFillTint="33"/>
            <w:noWrap/>
            <w:vAlign w:val="center"/>
            <w:hideMark/>
          </w:tcPr>
          <w:p w14:paraId="27241694" w14:textId="77777777" w:rsidR="00A74088" w:rsidRPr="002A7673" w:rsidRDefault="00A74088" w:rsidP="0048334E">
            <w:pPr>
              <w:jc w:val="right"/>
              <w:rPr>
                <w:rFonts w:ascii="Times New Roman" w:hAnsi="Times New Roman" w:cs="Times New Roman"/>
                <w:b/>
                <w:bCs/>
                <w:color w:val="1F3864" w:themeColor="accent5" w:themeShade="80"/>
                <w:sz w:val="16"/>
                <w:szCs w:val="16"/>
              </w:rPr>
            </w:pPr>
            <w:r w:rsidRPr="002A7673">
              <w:rPr>
                <w:rFonts w:ascii="Times New Roman" w:hAnsi="Times New Roman" w:cs="Times New Roman"/>
                <w:b/>
                <w:bCs/>
                <w:color w:val="1F3864" w:themeColor="accent5" w:themeShade="80"/>
                <w:sz w:val="16"/>
                <w:szCs w:val="16"/>
              </w:rPr>
              <w:t>11,470,000</w:t>
            </w:r>
          </w:p>
        </w:tc>
        <w:tc>
          <w:tcPr>
            <w:tcW w:w="780" w:type="dxa"/>
            <w:tcBorders>
              <w:top w:val="nil"/>
              <w:left w:val="nil"/>
              <w:bottom w:val="single" w:sz="4" w:space="0" w:color="auto"/>
              <w:right w:val="single" w:sz="4" w:space="0" w:color="auto"/>
            </w:tcBorders>
            <w:shd w:val="clear" w:color="auto" w:fill="auto"/>
            <w:noWrap/>
            <w:vAlign w:val="center"/>
            <w:hideMark/>
          </w:tcPr>
          <w:p w14:paraId="2E82E397"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758" w:type="dxa"/>
            <w:tcBorders>
              <w:top w:val="nil"/>
              <w:left w:val="nil"/>
              <w:bottom w:val="single" w:sz="4" w:space="0" w:color="auto"/>
              <w:right w:val="single" w:sz="4" w:space="0" w:color="auto"/>
            </w:tcBorders>
            <w:shd w:val="clear" w:color="auto" w:fill="auto"/>
            <w:noWrap/>
            <w:vAlign w:val="center"/>
            <w:hideMark/>
          </w:tcPr>
          <w:p w14:paraId="6E61D7B1" w14:textId="77777777" w:rsidR="00A74088" w:rsidRPr="002A7673" w:rsidRDefault="00A74088" w:rsidP="0048334E">
            <w:pPr>
              <w:rPr>
                <w:rFonts w:ascii="Times New Roman" w:hAnsi="Times New Roman" w:cs="Times New Roman"/>
                <w:sz w:val="16"/>
                <w:szCs w:val="16"/>
              </w:rPr>
            </w:pPr>
            <w:r w:rsidRPr="002A7673">
              <w:rPr>
                <w:rFonts w:ascii="Times New Roman" w:hAnsi="Times New Roman" w:cs="Times New Roman"/>
                <w:sz w:val="16"/>
                <w:szCs w:val="16"/>
              </w:rPr>
              <w:t> </w:t>
            </w:r>
          </w:p>
        </w:tc>
        <w:tc>
          <w:tcPr>
            <w:tcW w:w="1060" w:type="dxa"/>
            <w:tcBorders>
              <w:top w:val="nil"/>
              <w:left w:val="nil"/>
              <w:bottom w:val="single" w:sz="4" w:space="0" w:color="auto"/>
              <w:right w:val="single" w:sz="4" w:space="0" w:color="auto"/>
            </w:tcBorders>
            <w:shd w:val="clear" w:color="000000" w:fill="F2F2F2"/>
            <w:noWrap/>
            <w:vAlign w:val="center"/>
            <w:hideMark/>
          </w:tcPr>
          <w:p w14:paraId="3A9C9836"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11,470,000</w:t>
            </w:r>
          </w:p>
        </w:tc>
      </w:tr>
      <w:tr w:rsidR="00A74088" w:rsidRPr="002A7673" w14:paraId="26B46369" w14:textId="77777777" w:rsidTr="0048334E">
        <w:trPr>
          <w:trHeight w:val="300"/>
          <w:jc w:val="center"/>
        </w:trPr>
        <w:tc>
          <w:tcPr>
            <w:tcW w:w="2517" w:type="dxa"/>
            <w:gridSpan w:val="2"/>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18322D97" w14:textId="77777777" w:rsidR="00A74088" w:rsidRPr="002A7673" w:rsidRDefault="00A74088" w:rsidP="0048334E">
            <w:pPr>
              <w:jc w:val="center"/>
              <w:rPr>
                <w:rFonts w:ascii="Times New Roman" w:hAnsi="Times New Roman" w:cs="Times New Roman"/>
                <w:b/>
                <w:bCs/>
                <w:sz w:val="16"/>
                <w:szCs w:val="16"/>
              </w:rPr>
            </w:pPr>
            <w:proofErr w:type="gramStart"/>
            <w:r w:rsidRPr="002A7673">
              <w:rPr>
                <w:rFonts w:ascii="Times New Roman" w:hAnsi="Times New Roman" w:cs="Times New Roman"/>
                <w:b/>
                <w:bCs/>
                <w:sz w:val="16"/>
                <w:szCs w:val="16"/>
              </w:rPr>
              <w:t>Total</w:t>
            </w:r>
            <w:proofErr w:type="gramEnd"/>
            <w:r w:rsidRPr="002A7673">
              <w:rPr>
                <w:rFonts w:ascii="Times New Roman" w:hAnsi="Times New Roman" w:cs="Times New Roman"/>
                <w:b/>
                <w:bCs/>
                <w:sz w:val="16"/>
                <w:szCs w:val="16"/>
              </w:rPr>
              <w:t xml:space="preserve"> proyecto por período</w:t>
            </w:r>
          </w:p>
        </w:tc>
        <w:tc>
          <w:tcPr>
            <w:tcW w:w="860" w:type="dxa"/>
            <w:tcBorders>
              <w:top w:val="nil"/>
              <w:left w:val="nil"/>
              <w:bottom w:val="single" w:sz="4" w:space="0" w:color="auto"/>
              <w:right w:val="single" w:sz="4" w:space="0" w:color="auto"/>
            </w:tcBorders>
            <w:shd w:val="clear" w:color="auto" w:fill="D5DCE4" w:themeFill="text2" w:themeFillTint="33"/>
            <w:noWrap/>
            <w:vAlign w:val="center"/>
            <w:hideMark/>
          </w:tcPr>
          <w:p w14:paraId="580BBBDE"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13,725,452</w:t>
            </w:r>
          </w:p>
        </w:tc>
        <w:tc>
          <w:tcPr>
            <w:tcW w:w="940" w:type="dxa"/>
            <w:tcBorders>
              <w:top w:val="nil"/>
              <w:left w:val="nil"/>
              <w:bottom w:val="single" w:sz="4" w:space="0" w:color="auto"/>
              <w:right w:val="single" w:sz="4" w:space="0" w:color="auto"/>
            </w:tcBorders>
            <w:shd w:val="clear" w:color="auto" w:fill="D5DCE4" w:themeFill="text2" w:themeFillTint="33"/>
            <w:noWrap/>
            <w:vAlign w:val="center"/>
            <w:hideMark/>
          </w:tcPr>
          <w:p w14:paraId="55330E76"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214,346,952</w:t>
            </w:r>
          </w:p>
        </w:tc>
        <w:tc>
          <w:tcPr>
            <w:tcW w:w="660" w:type="dxa"/>
            <w:tcBorders>
              <w:top w:val="nil"/>
              <w:left w:val="nil"/>
              <w:bottom w:val="single" w:sz="4" w:space="0" w:color="auto"/>
              <w:right w:val="single" w:sz="4" w:space="0" w:color="auto"/>
            </w:tcBorders>
            <w:shd w:val="clear" w:color="auto" w:fill="D5DCE4" w:themeFill="text2" w:themeFillTint="33"/>
            <w:noWrap/>
            <w:vAlign w:val="center"/>
            <w:hideMark/>
          </w:tcPr>
          <w:p w14:paraId="22BEA467"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700,000</w:t>
            </w:r>
          </w:p>
        </w:tc>
        <w:tc>
          <w:tcPr>
            <w:tcW w:w="860" w:type="dxa"/>
            <w:tcBorders>
              <w:top w:val="nil"/>
              <w:left w:val="nil"/>
              <w:bottom w:val="single" w:sz="4" w:space="0" w:color="auto"/>
              <w:right w:val="single" w:sz="4" w:space="0" w:color="auto"/>
            </w:tcBorders>
            <w:shd w:val="clear" w:color="auto" w:fill="D5DCE4" w:themeFill="text2" w:themeFillTint="33"/>
            <w:noWrap/>
            <w:vAlign w:val="center"/>
            <w:hideMark/>
          </w:tcPr>
          <w:p w14:paraId="06B5CD9A"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80,711,713</w:t>
            </w:r>
          </w:p>
        </w:tc>
        <w:tc>
          <w:tcPr>
            <w:tcW w:w="1060" w:type="dxa"/>
            <w:tcBorders>
              <w:top w:val="nil"/>
              <w:left w:val="nil"/>
              <w:bottom w:val="single" w:sz="4" w:space="0" w:color="auto"/>
              <w:right w:val="single" w:sz="4" w:space="0" w:color="auto"/>
            </w:tcBorders>
            <w:shd w:val="clear" w:color="auto" w:fill="D5DCE4" w:themeFill="text2" w:themeFillTint="33"/>
            <w:noWrap/>
            <w:vAlign w:val="center"/>
            <w:hideMark/>
          </w:tcPr>
          <w:p w14:paraId="079D39AE"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2,058,783,867</w:t>
            </w:r>
          </w:p>
        </w:tc>
        <w:tc>
          <w:tcPr>
            <w:tcW w:w="940" w:type="dxa"/>
            <w:tcBorders>
              <w:top w:val="nil"/>
              <w:left w:val="nil"/>
              <w:bottom w:val="single" w:sz="4" w:space="0" w:color="auto"/>
              <w:right w:val="single" w:sz="4" w:space="0" w:color="auto"/>
            </w:tcBorders>
            <w:shd w:val="clear" w:color="auto" w:fill="D5DCE4" w:themeFill="text2" w:themeFillTint="33"/>
            <w:noWrap/>
            <w:vAlign w:val="center"/>
            <w:hideMark/>
          </w:tcPr>
          <w:p w14:paraId="35BA8C8C" w14:textId="77777777" w:rsidR="00A74088" w:rsidRPr="002A7673" w:rsidRDefault="00A74088" w:rsidP="0048334E">
            <w:pPr>
              <w:jc w:val="right"/>
              <w:rPr>
                <w:rFonts w:ascii="Times New Roman" w:hAnsi="Times New Roman" w:cs="Times New Roman"/>
                <w:b/>
                <w:bCs/>
                <w:color w:val="1F3864" w:themeColor="accent5" w:themeShade="80"/>
                <w:sz w:val="16"/>
                <w:szCs w:val="16"/>
              </w:rPr>
            </w:pPr>
            <w:r w:rsidRPr="002A7673">
              <w:rPr>
                <w:rFonts w:ascii="Times New Roman" w:hAnsi="Times New Roman" w:cs="Times New Roman"/>
                <w:b/>
                <w:bCs/>
                <w:color w:val="1F3864" w:themeColor="accent5" w:themeShade="80"/>
                <w:sz w:val="16"/>
                <w:szCs w:val="16"/>
              </w:rPr>
              <w:t>521,632,035</w:t>
            </w:r>
          </w:p>
        </w:tc>
        <w:tc>
          <w:tcPr>
            <w:tcW w:w="780" w:type="dxa"/>
            <w:tcBorders>
              <w:top w:val="nil"/>
              <w:left w:val="nil"/>
              <w:bottom w:val="single" w:sz="4" w:space="0" w:color="auto"/>
              <w:right w:val="single" w:sz="4" w:space="0" w:color="auto"/>
            </w:tcBorders>
            <w:shd w:val="clear" w:color="auto" w:fill="D5DCE4" w:themeFill="text2" w:themeFillTint="33"/>
            <w:noWrap/>
            <w:vAlign w:val="center"/>
            <w:hideMark/>
          </w:tcPr>
          <w:p w14:paraId="50AEA383"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5,814,770</w:t>
            </w:r>
          </w:p>
        </w:tc>
        <w:tc>
          <w:tcPr>
            <w:tcW w:w="758" w:type="dxa"/>
            <w:tcBorders>
              <w:top w:val="nil"/>
              <w:left w:val="nil"/>
              <w:bottom w:val="single" w:sz="4" w:space="0" w:color="auto"/>
              <w:right w:val="single" w:sz="4" w:space="0" w:color="auto"/>
            </w:tcBorders>
            <w:shd w:val="clear" w:color="auto" w:fill="D5DCE4" w:themeFill="text2" w:themeFillTint="33"/>
            <w:noWrap/>
            <w:vAlign w:val="center"/>
            <w:hideMark/>
          </w:tcPr>
          <w:p w14:paraId="56C3AB76"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241,500</w:t>
            </w:r>
          </w:p>
        </w:tc>
        <w:tc>
          <w:tcPr>
            <w:tcW w:w="1060" w:type="dxa"/>
            <w:tcBorders>
              <w:top w:val="nil"/>
              <w:left w:val="nil"/>
              <w:bottom w:val="single" w:sz="4" w:space="0" w:color="auto"/>
              <w:right w:val="single" w:sz="4" w:space="0" w:color="auto"/>
            </w:tcBorders>
            <w:shd w:val="clear" w:color="auto" w:fill="D5DCE4" w:themeFill="text2" w:themeFillTint="33"/>
            <w:noWrap/>
            <w:vAlign w:val="center"/>
            <w:hideMark/>
          </w:tcPr>
          <w:p w14:paraId="2B95A3A9" w14:textId="77777777" w:rsidR="00A74088" w:rsidRPr="002A7673" w:rsidRDefault="00A74088" w:rsidP="0048334E">
            <w:pPr>
              <w:jc w:val="right"/>
              <w:rPr>
                <w:rFonts w:ascii="Times New Roman" w:hAnsi="Times New Roman" w:cs="Times New Roman"/>
                <w:b/>
                <w:bCs/>
                <w:sz w:val="16"/>
                <w:szCs w:val="16"/>
              </w:rPr>
            </w:pPr>
            <w:r w:rsidRPr="002A7673">
              <w:rPr>
                <w:rFonts w:ascii="Times New Roman" w:hAnsi="Times New Roman" w:cs="Times New Roman"/>
                <w:b/>
                <w:bCs/>
                <w:sz w:val="16"/>
                <w:szCs w:val="16"/>
              </w:rPr>
              <w:t>2,895,956,289</w:t>
            </w:r>
          </w:p>
        </w:tc>
      </w:tr>
    </w:tbl>
    <w:p w14:paraId="715684E3" w14:textId="77777777" w:rsidR="00A74088" w:rsidRPr="002A7673" w:rsidRDefault="00A74088" w:rsidP="00A74088">
      <w:pPr>
        <w:spacing w:line="360" w:lineRule="auto"/>
        <w:jc w:val="both"/>
        <w:rPr>
          <w:rFonts w:ascii="Times New Roman" w:hAnsi="Times New Roman" w:cs="Times New Roman"/>
        </w:rPr>
      </w:pPr>
      <w:r w:rsidRPr="002A7673">
        <w:rPr>
          <w:rFonts w:ascii="Times New Roman" w:hAnsi="Times New Roman" w:cs="Times New Roman"/>
          <w:b/>
          <w:bCs/>
        </w:rPr>
        <w:t>Fuente:</w:t>
      </w:r>
      <w:r w:rsidRPr="002A7673">
        <w:rPr>
          <w:rFonts w:ascii="Times New Roman" w:hAnsi="Times New Roman" w:cs="Times New Roman"/>
        </w:rPr>
        <w:t xml:space="preserve"> Elaboración propia a partir del reporte generado del Sistema de Proyección Plurianual.</w:t>
      </w:r>
    </w:p>
    <w:p w14:paraId="1F34FF30" w14:textId="77777777" w:rsidR="00A74088" w:rsidRPr="002A7673" w:rsidRDefault="00A74088" w:rsidP="00A74088">
      <w:pPr>
        <w:spacing w:line="360" w:lineRule="auto"/>
        <w:jc w:val="both"/>
        <w:rPr>
          <w:rFonts w:ascii="Times New Roman" w:hAnsi="Times New Roman" w:cs="Times New Roman"/>
          <w:color w:val="00B050"/>
        </w:rPr>
      </w:pPr>
    </w:p>
    <w:p w14:paraId="4F2E9EB1" w14:textId="77777777" w:rsidR="00A74088"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Adicionalmente, hay un proyecto que no incluyó recursos en el Sistema de Presupuestación Plurianual, pero que sí los requiere, se trata del Proyecto 1167-OIJ-P22 “Sistema de Análisis de Crímenes Violentos” para el que se están solicitando un total de ¢10.619.261, los que se incluyen en el apartado de requerimientos adicionales.</w:t>
      </w:r>
    </w:p>
    <w:p w14:paraId="4A8AC65D" w14:textId="77777777" w:rsidR="00A74088" w:rsidRPr="002A7673" w:rsidRDefault="00A74088" w:rsidP="00A74088">
      <w:pPr>
        <w:spacing w:line="360" w:lineRule="auto"/>
        <w:jc w:val="both"/>
        <w:rPr>
          <w:rFonts w:ascii="Times New Roman" w:hAnsi="Times New Roman" w:cs="Times New Roman"/>
          <w:color w:val="00B050"/>
        </w:rPr>
      </w:pPr>
    </w:p>
    <w:p w14:paraId="48E8C45D" w14:textId="4834C0DD" w:rsidR="00A74088" w:rsidRPr="002A7673" w:rsidRDefault="009C2E1A" w:rsidP="009C2E1A">
      <w:pPr>
        <w:rPr>
          <w:rFonts w:ascii="Times New Roman" w:hAnsi="Times New Roman" w:cs="Times New Roman"/>
          <w:b/>
          <w:bCs/>
          <w:sz w:val="26"/>
          <w:szCs w:val="26"/>
        </w:rPr>
      </w:pPr>
      <w:r w:rsidRPr="002A7673">
        <w:rPr>
          <w:rFonts w:ascii="Times New Roman" w:hAnsi="Times New Roman" w:cs="Times New Roman"/>
          <w:b/>
          <w:bCs/>
          <w:sz w:val="26"/>
          <w:szCs w:val="26"/>
        </w:rPr>
        <w:lastRenderedPageBreak/>
        <w:t xml:space="preserve">1.1 </w:t>
      </w:r>
      <w:r w:rsidR="00A74088" w:rsidRPr="002A7673">
        <w:rPr>
          <w:rFonts w:ascii="Times New Roman" w:hAnsi="Times New Roman" w:cs="Times New Roman"/>
          <w:b/>
          <w:bCs/>
          <w:sz w:val="26"/>
          <w:szCs w:val="26"/>
        </w:rPr>
        <w:t>Detalle de los Proyectos que NO Formularon Recursos en el SPP:</w:t>
      </w:r>
    </w:p>
    <w:p w14:paraId="1BBB1433" w14:textId="4431C213" w:rsidR="00A74088" w:rsidRPr="002A7673" w:rsidRDefault="00A74088" w:rsidP="006B2D3F">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De acuerdo con lo señalado en el punto anterior, se tiene que un total de 5 proyectos no realizaron la inclusión de recursos en el sistema, a pesar de tener previsto estar en ejecución durante el 2022. Por tal motivo, a continuación, se incluyen las respectivas justificaciones brindadas por las oficinas por las cuales no fue necesaria la inclusión de recursos: </w:t>
      </w:r>
    </w:p>
    <w:p w14:paraId="43EF2DA4" w14:textId="77777777" w:rsidR="00760992" w:rsidRPr="002A7673" w:rsidRDefault="00760992" w:rsidP="006B2D3F">
      <w:pPr>
        <w:spacing w:line="360" w:lineRule="auto"/>
        <w:ind w:firstLine="709"/>
        <w:jc w:val="both"/>
        <w:rPr>
          <w:rFonts w:ascii="Times New Roman" w:hAnsi="Times New Roman" w:cs="Times New Roman"/>
          <w:sz w:val="28"/>
          <w:szCs w:val="28"/>
        </w:rPr>
      </w:pPr>
    </w:p>
    <w:p w14:paraId="73029D0D" w14:textId="77777777" w:rsidR="00A74088" w:rsidRPr="002A7673" w:rsidRDefault="00A74088" w:rsidP="00A74088">
      <w:pPr>
        <w:spacing w:line="360" w:lineRule="auto"/>
        <w:jc w:val="center"/>
        <w:rPr>
          <w:rFonts w:ascii="Times New Roman" w:hAnsi="Times New Roman" w:cs="Times New Roman"/>
          <w:b/>
          <w:bCs/>
          <w:sz w:val="26"/>
          <w:szCs w:val="26"/>
        </w:rPr>
      </w:pPr>
      <w:r w:rsidRPr="002A7673">
        <w:rPr>
          <w:rFonts w:ascii="Times New Roman" w:hAnsi="Times New Roman" w:cs="Times New Roman"/>
          <w:b/>
          <w:bCs/>
          <w:sz w:val="26"/>
          <w:szCs w:val="26"/>
        </w:rPr>
        <w:t>Justificación de los Proyectos que no Contemplaron Recursos para el 2022</w:t>
      </w:r>
    </w:p>
    <w:tbl>
      <w:tblPr>
        <w:tblW w:w="8977" w:type="dxa"/>
        <w:jc w:val="right"/>
        <w:tblCellMar>
          <w:left w:w="70" w:type="dxa"/>
          <w:right w:w="70" w:type="dxa"/>
        </w:tblCellMar>
        <w:tblLook w:val="04A0" w:firstRow="1" w:lastRow="0" w:firstColumn="1" w:lastColumn="0" w:noHBand="0" w:noVBand="1"/>
      </w:tblPr>
      <w:tblGrid>
        <w:gridCol w:w="1135"/>
        <w:gridCol w:w="2693"/>
        <w:gridCol w:w="1134"/>
        <w:gridCol w:w="4015"/>
      </w:tblGrid>
      <w:tr w:rsidR="00A74088" w:rsidRPr="002A7673" w14:paraId="009CD23D" w14:textId="77777777" w:rsidTr="0048334E">
        <w:trPr>
          <w:trHeight w:val="488"/>
          <w:jc w:val="right"/>
        </w:trPr>
        <w:tc>
          <w:tcPr>
            <w:tcW w:w="1135"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464FE239" w14:textId="77777777" w:rsidR="00A74088" w:rsidRPr="002A7673" w:rsidRDefault="00A74088" w:rsidP="0048334E">
            <w:pPr>
              <w:jc w:val="center"/>
              <w:rPr>
                <w:rFonts w:ascii="Times New Roman" w:hAnsi="Times New Roman" w:cs="Times New Roman"/>
                <w:color w:val="FFFFFF" w:themeColor="background1"/>
                <w:sz w:val="20"/>
                <w:szCs w:val="20"/>
                <w:lang w:eastAsia="es-CR"/>
              </w:rPr>
            </w:pPr>
            <w:r w:rsidRPr="002A7673">
              <w:rPr>
                <w:rFonts w:ascii="Times New Roman" w:hAnsi="Times New Roman" w:cs="Times New Roman"/>
                <w:color w:val="FFFFFF" w:themeColor="background1"/>
                <w:sz w:val="20"/>
                <w:szCs w:val="20"/>
              </w:rPr>
              <w:t>Cod Proyecto</w:t>
            </w:r>
          </w:p>
        </w:tc>
        <w:tc>
          <w:tcPr>
            <w:tcW w:w="2693" w:type="dxa"/>
            <w:tcBorders>
              <w:top w:val="single" w:sz="4" w:space="0" w:color="auto"/>
              <w:left w:val="nil"/>
              <w:bottom w:val="single" w:sz="4" w:space="0" w:color="auto"/>
              <w:right w:val="single" w:sz="4" w:space="0" w:color="auto"/>
            </w:tcBorders>
            <w:shd w:val="clear" w:color="auto" w:fill="1F3864" w:themeFill="accent5" w:themeFillShade="80"/>
            <w:vAlign w:val="center"/>
            <w:hideMark/>
          </w:tcPr>
          <w:p w14:paraId="01A69122" w14:textId="77777777" w:rsidR="00A74088" w:rsidRPr="002A7673" w:rsidRDefault="00A74088" w:rsidP="0048334E">
            <w:pPr>
              <w:jc w:val="center"/>
              <w:rPr>
                <w:rFonts w:ascii="Times New Roman" w:hAnsi="Times New Roman" w:cs="Times New Roman"/>
                <w:b/>
                <w:bCs/>
                <w:color w:val="FFFFFF" w:themeColor="background1"/>
                <w:sz w:val="20"/>
                <w:szCs w:val="20"/>
              </w:rPr>
            </w:pPr>
            <w:r w:rsidRPr="002A7673">
              <w:rPr>
                <w:rFonts w:ascii="Times New Roman" w:hAnsi="Times New Roman" w:cs="Times New Roman"/>
                <w:b/>
                <w:bCs/>
                <w:color w:val="FFFFFF" w:themeColor="background1"/>
                <w:sz w:val="20"/>
                <w:szCs w:val="20"/>
              </w:rPr>
              <w:t>Nombre del Proyecto</w:t>
            </w:r>
          </w:p>
        </w:tc>
        <w:tc>
          <w:tcPr>
            <w:tcW w:w="1134" w:type="dxa"/>
            <w:tcBorders>
              <w:top w:val="single" w:sz="4" w:space="0" w:color="auto"/>
              <w:left w:val="nil"/>
              <w:bottom w:val="single" w:sz="4" w:space="0" w:color="auto"/>
              <w:right w:val="single" w:sz="4" w:space="0" w:color="auto"/>
            </w:tcBorders>
            <w:shd w:val="clear" w:color="auto" w:fill="1F3864" w:themeFill="accent5" w:themeFillShade="80"/>
            <w:vAlign w:val="center"/>
            <w:hideMark/>
          </w:tcPr>
          <w:p w14:paraId="6E1A7275" w14:textId="77777777" w:rsidR="00A74088" w:rsidRPr="002A7673" w:rsidRDefault="00A74088" w:rsidP="0048334E">
            <w:pPr>
              <w:jc w:val="center"/>
              <w:rPr>
                <w:rFonts w:ascii="Times New Roman" w:hAnsi="Times New Roman" w:cs="Times New Roman"/>
                <w:b/>
                <w:bCs/>
                <w:color w:val="FFFFFF" w:themeColor="background1"/>
                <w:sz w:val="20"/>
                <w:szCs w:val="20"/>
              </w:rPr>
            </w:pPr>
            <w:r w:rsidRPr="002A7673">
              <w:rPr>
                <w:rFonts w:ascii="Times New Roman" w:hAnsi="Times New Roman" w:cs="Times New Roman"/>
                <w:b/>
                <w:bCs/>
                <w:color w:val="FFFFFF" w:themeColor="background1"/>
                <w:sz w:val="20"/>
                <w:szCs w:val="20"/>
              </w:rPr>
              <w:t>Año de fin</w:t>
            </w:r>
          </w:p>
        </w:tc>
        <w:tc>
          <w:tcPr>
            <w:tcW w:w="4015" w:type="dxa"/>
            <w:tcBorders>
              <w:top w:val="single" w:sz="4" w:space="0" w:color="auto"/>
              <w:left w:val="nil"/>
              <w:bottom w:val="single" w:sz="4" w:space="0" w:color="auto"/>
              <w:right w:val="single" w:sz="4" w:space="0" w:color="auto"/>
            </w:tcBorders>
            <w:shd w:val="clear" w:color="auto" w:fill="1F3864" w:themeFill="accent5" w:themeFillShade="80"/>
            <w:vAlign w:val="center"/>
            <w:hideMark/>
          </w:tcPr>
          <w:p w14:paraId="07A5D9AF" w14:textId="77777777" w:rsidR="00A74088" w:rsidRPr="002A7673" w:rsidRDefault="00A74088" w:rsidP="0048334E">
            <w:pPr>
              <w:jc w:val="center"/>
              <w:rPr>
                <w:rFonts w:ascii="Times New Roman" w:hAnsi="Times New Roman" w:cs="Times New Roman"/>
                <w:b/>
                <w:bCs/>
                <w:color w:val="FFFFFF" w:themeColor="background1"/>
                <w:sz w:val="20"/>
                <w:szCs w:val="20"/>
              </w:rPr>
            </w:pPr>
            <w:r w:rsidRPr="002A7673">
              <w:rPr>
                <w:rFonts w:ascii="Times New Roman" w:hAnsi="Times New Roman" w:cs="Times New Roman"/>
                <w:b/>
                <w:bCs/>
                <w:color w:val="FFFFFF" w:themeColor="background1"/>
                <w:sz w:val="20"/>
                <w:szCs w:val="20"/>
              </w:rPr>
              <w:t>Justificación de la no inclusión de recursos en el sistema</w:t>
            </w:r>
          </w:p>
        </w:tc>
      </w:tr>
      <w:tr w:rsidR="00A74088" w:rsidRPr="002A7673" w14:paraId="7454190B" w14:textId="77777777" w:rsidTr="0048334E">
        <w:trPr>
          <w:trHeight w:val="300"/>
          <w:jc w:val="right"/>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1B3A2276"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1167-OIJ-P03</w:t>
            </w:r>
          </w:p>
        </w:tc>
        <w:tc>
          <w:tcPr>
            <w:tcW w:w="2693" w:type="dxa"/>
            <w:tcBorders>
              <w:top w:val="nil"/>
              <w:left w:val="nil"/>
              <w:bottom w:val="single" w:sz="4" w:space="0" w:color="auto"/>
              <w:right w:val="single" w:sz="4" w:space="0" w:color="auto"/>
            </w:tcBorders>
            <w:shd w:val="clear" w:color="auto" w:fill="auto"/>
            <w:noWrap/>
            <w:vAlign w:val="center"/>
            <w:hideMark/>
          </w:tcPr>
          <w:p w14:paraId="2048DA78"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color w:val="000000"/>
                <w:sz w:val="20"/>
                <w:szCs w:val="20"/>
              </w:rPr>
              <w:t>Modernización del Depósito de Objetos Decomisados</w:t>
            </w:r>
          </w:p>
        </w:tc>
        <w:tc>
          <w:tcPr>
            <w:tcW w:w="1134" w:type="dxa"/>
            <w:tcBorders>
              <w:top w:val="nil"/>
              <w:left w:val="nil"/>
              <w:bottom w:val="single" w:sz="4" w:space="0" w:color="auto"/>
              <w:right w:val="single" w:sz="4" w:space="0" w:color="auto"/>
            </w:tcBorders>
            <w:shd w:val="clear" w:color="auto" w:fill="auto"/>
            <w:noWrap/>
            <w:vAlign w:val="center"/>
            <w:hideMark/>
          </w:tcPr>
          <w:p w14:paraId="25F1E52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2022</w:t>
            </w:r>
          </w:p>
        </w:tc>
        <w:tc>
          <w:tcPr>
            <w:tcW w:w="4015" w:type="dxa"/>
            <w:tcBorders>
              <w:top w:val="nil"/>
              <w:left w:val="nil"/>
              <w:bottom w:val="single" w:sz="4" w:space="0" w:color="auto"/>
              <w:right w:val="single" w:sz="4" w:space="0" w:color="auto"/>
            </w:tcBorders>
            <w:shd w:val="clear" w:color="auto" w:fill="auto"/>
            <w:noWrap/>
            <w:vAlign w:val="center"/>
          </w:tcPr>
          <w:p w14:paraId="4BF0EA2A"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color w:val="000000"/>
                <w:sz w:val="20"/>
                <w:szCs w:val="20"/>
              </w:rPr>
              <w:t xml:space="preserve">Los recursos que requiere el </w:t>
            </w:r>
            <w:r w:rsidRPr="002A7673">
              <w:rPr>
                <w:rFonts w:ascii="Times New Roman" w:hAnsi="Times New Roman" w:cs="Times New Roman"/>
                <w:sz w:val="20"/>
                <w:szCs w:val="20"/>
              </w:rPr>
              <w:t>p</w:t>
            </w:r>
            <w:r w:rsidRPr="002A7673">
              <w:rPr>
                <w:rFonts w:ascii="Times New Roman" w:hAnsi="Times New Roman" w:cs="Times New Roman"/>
                <w:color w:val="000000"/>
                <w:sz w:val="20"/>
                <w:szCs w:val="20"/>
              </w:rPr>
              <w:t>royecto provienen de una donación por parte de la Embajada de los Estados Unidos</w:t>
            </w:r>
            <w:r w:rsidRPr="002A7673">
              <w:rPr>
                <w:rFonts w:ascii="Times New Roman" w:hAnsi="Times New Roman" w:cs="Times New Roman"/>
                <w:sz w:val="20"/>
                <w:szCs w:val="20"/>
              </w:rPr>
              <w:t xml:space="preserve"> (estantería, cámaras de seguridad, restructuración de la infraestructura de ingreso al Depósito). Otros recursos los aporta la jefatura del Depósito de Objetos Decomisados, mediante los procedimientos estipulados a nivel institucional.</w:t>
            </w:r>
          </w:p>
        </w:tc>
      </w:tr>
      <w:tr w:rsidR="00A74088" w:rsidRPr="002A7673" w14:paraId="3DC21682" w14:textId="77777777" w:rsidTr="0048334E">
        <w:trPr>
          <w:trHeight w:val="300"/>
          <w:jc w:val="right"/>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5951C3F7"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1167-OIJ-P12</w:t>
            </w:r>
          </w:p>
        </w:tc>
        <w:tc>
          <w:tcPr>
            <w:tcW w:w="2693" w:type="dxa"/>
            <w:tcBorders>
              <w:top w:val="nil"/>
              <w:left w:val="nil"/>
              <w:bottom w:val="single" w:sz="4" w:space="0" w:color="auto"/>
              <w:right w:val="single" w:sz="4" w:space="0" w:color="auto"/>
            </w:tcBorders>
            <w:shd w:val="clear" w:color="auto" w:fill="auto"/>
            <w:noWrap/>
            <w:vAlign w:val="center"/>
            <w:hideMark/>
          </w:tcPr>
          <w:p w14:paraId="30D7B612"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color w:val="000000"/>
                <w:sz w:val="20"/>
                <w:szCs w:val="20"/>
              </w:rPr>
              <w:t>Aplicación Móvil del OIJ</w:t>
            </w:r>
          </w:p>
        </w:tc>
        <w:tc>
          <w:tcPr>
            <w:tcW w:w="1134" w:type="dxa"/>
            <w:tcBorders>
              <w:top w:val="nil"/>
              <w:left w:val="nil"/>
              <w:bottom w:val="single" w:sz="4" w:space="0" w:color="auto"/>
              <w:right w:val="single" w:sz="4" w:space="0" w:color="auto"/>
            </w:tcBorders>
            <w:shd w:val="clear" w:color="auto" w:fill="auto"/>
            <w:noWrap/>
            <w:vAlign w:val="center"/>
            <w:hideMark/>
          </w:tcPr>
          <w:p w14:paraId="5E70941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2022</w:t>
            </w:r>
          </w:p>
        </w:tc>
        <w:tc>
          <w:tcPr>
            <w:tcW w:w="4015" w:type="dxa"/>
            <w:tcBorders>
              <w:top w:val="nil"/>
              <w:left w:val="nil"/>
              <w:bottom w:val="single" w:sz="4" w:space="0" w:color="auto"/>
              <w:right w:val="single" w:sz="4" w:space="0" w:color="auto"/>
            </w:tcBorders>
            <w:shd w:val="clear" w:color="auto" w:fill="auto"/>
            <w:noWrap/>
            <w:vAlign w:val="center"/>
            <w:hideMark/>
          </w:tcPr>
          <w:p w14:paraId="1FEF6352"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color w:val="000000"/>
                <w:sz w:val="20"/>
                <w:szCs w:val="20"/>
              </w:rPr>
              <w:t xml:space="preserve">Solamente requiere recurso humano por cuanto corresponde a desarrollo de software. </w:t>
            </w:r>
            <w:r w:rsidRPr="002A7673">
              <w:rPr>
                <w:rFonts w:ascii="Times New Roman" w:hAnsi="Times New Roman" w:cs="Times New Roman"/>
                <w:sz w:val="20"/>
                <w:szCs w:val="20"/>
              </w:rPr>
              <w:t>Otros recursos los aporta la oficina líder.</w:t>
            </w:r>
          </w:p>
        </w:tc>
      </w:tr>
      <w:tr w:rsidR="00A74088" w:rsidRPr="002A7673" w14:paraId="02155827" w14:textId="77777777" w:rsidTr="0048334E">
        <w:trPr>
          <w:trHeight w:val="300"/>
          <w:jc w:val="right"/>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59E64B46"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1167-OIJ-P15</w:t>
            </w:r>
          </w:p>
        </w:tc>
        <w:tc>
          <w:tcPr>
            <w:tcW w:w="2693" w:type="dxa"/>
            <w:tcBorders>
              <w:top w:val="nil"/>
              <w:left w:val="nil"/>
              <w:bottom w:val="single" w:sz="4" w:space="0" w:color="auto"/>
              <w:right w:val="single" w:sz="4" w:space="0" w:color="auto"/>
            </w:tcBorders>
            <w:shd w:val="clear" w:color="auto" w:fill="auto"/>
            <w:noWrap/>
            <w:vAlign w:val="center"/>
            <w:hideMark/>
          </w:tcPr>
          <w:p w14:paraId="72E2924B"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color w:val="000000"/>
                <w:sz w:val="20"/>
                <w:szCs w:val="20"/>
              </w:rPr>
              <w:t>Adquisición e instalación del Incinerador</w:t>
            </w:r>
          </w:p>
        </w:tc>
        <w:tc>
          <w:tcPr>
            <w:tcW w:w="1134" w:type="dxa"/>
            <w:tcBorders>
              <w:top w:val="nil"/>
              <w:left w:val="nil"/>
              <w:bottom w:val="single" w:sz="4" w:space="0" w:color="auto"/>
              <w:right w:val="single" w:sz="4" w:space="0" w:color="auto"/>
            </w:tcBorders>
            <w:shd w:val="clear" w:color="auto" w:fill="auto"/>
            <w:noWrap/>
            <w:vAlign w:val="center"/>
            <w:hideMark/>
          </w:tcPr>
          <w:p w14:paraId="79134D9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2022</w:t>
            </w:r>
          </w:p>
        </w:tc>
        <w:tc>
          <w:tcPr>
            <w:tcW w:w="4015" w:type="dxa"/>
            <w:tcBorders>
              <w:top w:val="nil"/>
              <w:left w:val="nil"/>
              <w:bottom w:val="single" w:sz="4" w:space="0" w:color="auto"/>
              <w:right w:val="single" w:sz="4" w:space="0" w:color="auto"/>
            </w:tcBorders>
            <w:shd w:val="clear" w:color="auto" w:fill="auto"/>
            <w:noWrap/>
            <w:vAlign w:val="center"/>
            <w:hideMark/>
          </w:tcPr>
          <w:p w14:paraId="74948DEB"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color w:val="000000"/>
                <w:sz w:val="20"/>
                <w:szCs w:val="20"/>
              </w:rPr>
              <w:t>Los recursos que requiere el Proyecto provienen de una donación por parte de la Embajada de los Estados Unidos y del Instituto Costarricense sobre Drogas.  Otros elementos deberán ser contemplados por la institución, sin embargo, depende del alcance de la donación.</w:t>
            </w:r>
          </w:p>
        </w:tc>
      </w:tr>
      <w:tr w:rsidR="00A74088" w:rsidRPr="002A7673" w14:paraId="65D9E035" w14:textId="77777777" w:rsidTr="0048334E">
        <w:trPr>
          <w:trHeight w:val="300"/>
          <w:jc w:val="right"/>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07E37350"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1167-OIJ-P04</w:t>
            </w:r>
          </w:p>
        </w:tc>
        <w:tc>
          <w:tcPr>
            <w:tcW w:w="2693" w:type="dxa"/>
            <w:tcBorders>
              <w:top w:val="nil"/>
              <w:left w:val="nil"/>
              <w:bottom w:val="single" w:sz="4" w:space="0" w:color="auto"/>
              <w:right w:val="single" w:sz="4" w:space="0" w:color="auto"/>
            </w:tcBorders>
            <w:shd w:val="clear" w:color="auto" w:fill="auto"/>
            <w:noWrap/>
            <w:vAlign w:val="center"/>
            <w:hideMark/>
          </w:tcPr>
          <w:p w14:paraId="3BCB7ECF"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color w:val="000000"/>
                <w:sz w:val="20"/>
                <w:szCs w:val="20"/>
              </w:rPr>
              <w:t>Modelo integral de traslado y custodia de personas detenidas</w:t>
            </w:r>
          </w:p>
        </w:tc>
        <w:tc>
          <w:tcPr>
            <w:tcW w:w="1134" w:type="dxa"/>
            <w:tcBorders>
              <w:top w:val="nil"/>
              <w:left w:val="nil"/>
              <w:bottom w:val="single" w:sz="4" w:space="0" w:color="auto"/>
              <w:right w:val="single" w:sz="4" w:space="0" w:color="auto"/>
            </w:tcBorders>
            <w:shd w:val="clear" w:color="auto" w:fill="auto"/>
            <w:noWrap/>
            <w:vAlign w:val="center"/>
            <w:hideMark/>
          </w:tcPr>
          <w:p w14:paraId="08CCA54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2024</w:t>
            </w:r>
          </w:p>
        </w:tc>
        <w:tc>
          <w:tcPr>
            <w:tcW w:w="4015" w:type="dxa"/>
            <w:tcBorders>
              <w:top w:val="nil"/>
              <w:left w:val="nil"/>
              <w:bottom w:val="single" w:sz="4" w:space="0" w:color="auto"/>
              <w:right w:val="single" w:sz="4" w:space="0" w:color="auto"/>
            </w:tcBorders>
            <w:shd w:val="clear" w:color="auto" w:fill="auto"/>
            <w:noWrap/>
            <w:vAlign w:val="center"/>
            <w:hideMark/>
          </w:tcPr>
          <w:p w14:paraId="2DEC85E8"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color w:val="000000"/>
                <w:sz w:val="20"/>
                <w:szCs w:val="20"/>
              </w:rPr>
              <w:t xml:space="preserve">Solamente requiere recurso humano por cuanto corresponde a desarrollo de software. </w:t>
            </w:r>
            <w:r w:rsidRPr="002A7673">
              <w:rPr>
                <w:rFonts w:ascii="Times New Roman" w:hAnsi="Times New Roman" w:cs="Times New Roman"/>
                <w:sz w:val="20"/>
                <w:szCs w:val="20"/>
              </w:rPr>
              <w:t>Otros recursos los aporta la oficina líder.</w:t>
            </w:r>
          </w:p>
        </w:tc>
      </w:tr>
      <w:tr w:rsidR="00A74088" w:rsidRPr="002A7673" w14:paraId="2EDCC9FA" w14:textId="77777777" w:rsidTr="0048334E">
        <w:trPr>
          <w:trHeight w:val="300"/>
          <w:jc w:val="right"/>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727B43AB"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1167-OIJ-P11</w:t>
            </w:r>
          </w:p>
        </w:tc>
        <w:tc>
          <w:tcPr>
            <w:tcW w:w="2693" w:type="dxa"/>
            <w:tcBorders>
              <w:top w:val="nil"/>
              <w:left w:val="nil"/>
              <w:bottom w:val="single" w:sz="4" w:space="0" w:color="auto"/>
              <w:right w:val="single" w:sz="4" w:space="0" w:color="auto"/>
            </w:tcBorders>
            <w:shd w:val="clear" w:color="auto" w:fill="auto"/>
            <w:noWrap/>
            <w:vAlign w:val="center"/>
            <w:hideMark/>
          </w:tcPr>
          <w:p w14:paraId="7DDFDEF8"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color w:val="000000"/>
                <w:sz w:val="20"/>
                <w:szCs w:val="20"/>
              </w:rPr>
              <w:t>Logística y Ejecución de Cooperación Internacional</w:t>
            </w:r>
          </w:p>
        </w:tc>
        <w:tc>
          <w:tcPr>
            <w:tcW w:w="1134" w:type="dxa"/>
            <w:tcBorders>
              <w:top w:val="nil"/>
              <w:left w:val="nil"/>
              <w:bottom w:val="single" w:sz="4" w:space="0" w:color="auto"/>
              <w:right w:val="single" w:sz="4" w:space="0" w:color="auto"/>
            </w:tcBorders>
            <w:shd w:val="clear" w:color="auto" w:fill="auto"/>
            <w:noWrap/>
            <w:vAlign w:val="center"/>
            <w:hideMark/>
          </w:tcPr>
          <w:p w14:paraId="1079C70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2024</w:t>
            </w:r>
          </w:p>
        </w:tc>
        <w:tc>
          <w:tcPr>
            <w:tcW w:w="4015" w:type="dxa"/>
            <w:tcBorders>
              <w:top w:val="nil"/>
              <w:left w:val="nil"/>
              <w:bottom w:val="single" w:sz="4" w:space="0" w:color="auto"/>
              <w:right w:val="single" w:sz="4" w:space="0" w:color="auto"/>
            </w:tcBorders>
            <w:shd w:val="clear" w:color="auto" w:fill="auto"/>
            <w:noWrap/>
            <w:vAlign w:val="center"/>
            <w:hideMark/>
          </w:tcPr>
          <w:p w14:paraId="2AD45565" w14:textId="77777777" w:rsidR="00A74088" w:rsidRPr="002A7673" w:rsidRDefault="00A74088" w:rsidP="0048334E">
            <w:pPr>
              <w:jc w:val="both"/>
              <w:rPr>
                <w:rFonts w:ascii="Times New Roman" w:hAnsi="Times New Roman" w:cs="Times New Roman"/>
                <w:color w:val="000000"/>
                <w:sz w:val="20"/>
                <w:szCs w:val="20"/>
              </w:rPr>
            </w:pPr>
            <w:r w:rsidRPr="002A7673">
              <w:rPr>
                <w:rFonts w:ascii="Times New Roman" w:hAnsi="Times New Roman" w:cs="Times New Roman"/>
                <w:sz w:val="20"/>
                <w:szCs w:val="20"/>
              </w:rPr>
              <w:t>Estos gastos son asumidos por la Dirección General.</w:t>
            </w:r>
            <w:r w:rsidRPr="002A7673">
              <w:rPr>
                <w:rFonts w:ascii="Times New Roman" w:hAnsi="Times New Roman" w:cs="Times New Roman"/>
                <w:color w:val="000000"/>
                <w:sz w:val="20"/>
                <w:szCs w:val="20"/>
              </w:rPr>
              <w:t> </w:t>
            </w:r>
          </w:p>
        </w:tc>
      </w:tr>
    </w:tbl>
    <w:p w14:paraId="3379EF31" w14:textId="77777777" w:rsidR="00A74088" w:rsidRPr="002A7673" w:rsidRDefault="00A74088" w:rsidP="00A74088">
      <w:pPr>
        <w:spacing w:line="360" w:lineRule="auto"/>
        <w:jc w:val="both"/>
        <w:rPr>
          <w:rFonts w:ascii="Times New Roman" w:hAnsi="Times New Roman" w:cs="Times New Roman"/>
          <w:b/>
          <w:bCs/>
          <w:sz w:val="28"/>
          <w:szCs w:val="28"/>
        </w:rPr>
      </w:pPr>
    </w:p>
    <w:p w14:paraId="67DA0A55" w14:textId="6C8D9C92" w:rsidR="00A74088" w:rsidRPr="002A7673" w:rsidRDefault="00A14D32" w:rsidP="00A14D32">
      <w:pPr>
        <w:rPr>
          <w:rFonts w:ascii="Times New Roman" w:hAnsi="Times New Roman" w:cs="Times New Roman"/>
          <w:b/>
          <w:bCs/>
          <w:sz w:val="28"/>
          <w:szCs w:val="28"/>
        </w:rPr>
      </w:pPr>
      <w:r w:rsidRPr="002A7673">
        <w:rPr>
          <w:rFonts w:ascii="Times New Roman" w:hAnsi="Times New Roman" w:cs="Times New Roman"/>
          <w:b/>
          <w:bCs/>
          <w:sz w:val="28"/>
          <w:szCs w:val="28"/>
        </w:rPr>
        <w:t>1</w:t>
      </w:r>
      <w:r w:rsidR="00EF4C62" w:rsidRPr="002A7673">
        <w:rPr>
          <w:rFonts w:ascii="Times New Roman" w:hAnsi="Times New Roman" w:cs="Times New Roman"/>
          <w:b/>
          <w:bCs/>
          <w:sz w:val="28"/>
          <w:szCs w:val="28"/>
        </w:rPr>
        <w:t>.</w:t>
      </w:r>
      <w:r w:rsidRPr="002A7673">
        <w:rPr>
          <w:rFonts w:ascii="Times New Roman" w:hAnsi="Times New Roman" w:cs="Times New Roman"/>
          <w:b/>
          <w:bCs/>
          <w:sz w:val="28"/>
          <w:szCs w:val="28"/>
        </w:rPr>
        <w:t>1</w:t>
      </w:r>
      <w:r w:rsidR="00EF4C62" w:rsidRPr="002A7673">
        <w:rPr>
          <w:rFonts w:ascii="Times New Roman" w:hAnsi="Times New Roman" w:cs="Times New Roman"/>
          <w:b/>
          <w:bCs/>
          <w:sz w:val="28"/>
          <w:szCs w:val="28"/>
        </w:rPr>
        <w:t xml:space="preserve"> </w:t>
      </w:r>
      <w:r w:rsidR="00A74088" w:rsidRPr="002A7673">
        <w:rPr>
          <w:rFonts w:ascii="Times New Roman" w:hAnsi="Times New Roman" w:cs="Times New Roman"/>
          <w:b/>
          <w:bCs/>
          <w:sz w:val="28"/>
          <w:szCs w:val="28"/>
        </w:rPr>
        <w:t xml:space="preserve">Análisis de los Recursos Formulados para el 2022 Relacionados con la Ejecución de los Proyectos Estratégicos: </w:t>
      </w:r>
    </w:p>
    <w:p w14:paraId="32CB4F6C" w14:textId="77777777" w:rsidR="00A74088" w:rsidRPr="002A7673" w:rsidRDefault="00A74088" w:rsidP="00FB4BF4">
      <w:pPr>
        <w:spacing w:line="24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lastRenderedPageBreak/>
        <w:t>En cuanto al análisis de los recursos formulados asociados a proyectos, a continuación, se incluye el detalle por subpartida de los montos proyectados para el 2022.</w:t>
      </w:r>
    </w:p>
    <w:p w14:paraId="3CB2B555" w14:textId="77777777" w:rsidR="00A74088" w:rsidRPr="002A7673" w:rsidRDefault="00A74088" w:rsidP="00A74088">
      <w:pPr>
        <w:spacing w:line="360" w:lineRule="auto"/>
        <w:ind w:left="708"/>
        <w:jc w:val="both"/>
        <w:rPr>
          <w:rFonts w:ascii="Times New Roman" w:hAnsi="Times New Roman" w:cs="Times New Roman"/>
          <w:sz w:val="28"/>
          <w:szCs w:val="28"/>
        </w:rPr>
      </w:pPr>
    </w:p>
    <w:tbl>
      <w:tblPr>
        <w:tblW w:w="11249" w:type="dxa"/>
        <w:jc w:val="center"/>
        <w:tblCellMar>
          <w:left w:w="70" w:type="dxa"/>
          <w:right w:w="70" w:type="dxa"/>
        </w:tblCellMar>
        <w:tblLook w:val="04A0" w:firstRow="1" w:lastRow="0" w:firstColumn="1" w:lastColumn="0" w:noHBand="0" w:noVBand="1"/>
      </w:tblPr>
      <w:tblGrid>
        <w:gridCol w:w="992"/>
        <w:gridCol w:w="1930"/>
        <w:gridCol w:w="777"/>
        <w:gridCol w:w="2693"/>
        <w:gridCol w:w="1417"/>
        <w:gridCol w:w="3440"/>
      </w:tblGrid>
      <w:tr w:rsidR="00A74088" w:rsidRPr="002A7673" w14:paraId="66AA4833" w14:textId="77777777" w:rsidTr="0048334E">
        <w:trPr>
          <w:trHeight w:val="645"/>
          <w:jc w:val="center"/>
        </w:trPr>
        <w:tc>
          <w:tcPr>
            <w:tcW w:w="992" w:type="dxa"/>
            <w:tcBorders>
              <w:top w:val="single" w:sz="4" w:space="0" w:color="auto"/>
              <w:left w:val="single" w:sz="4" w:space="0" w:color="auto"/>
              <w:bottom w:val="nil"/>
              <w:right w:val="single" w:sz="4" w:space="0" w:color="auto"/>
            </w:tcBorders>
            <w:shd w:val="clear" w:color="000000" w:fill="1F4E78"/>
            <w:vAlign w:val="center"/>
            <w:hideMark/>
          </w:tcPr>
          <w:p w14:paraId="2EE34237" w14:textId="77777777" w:rsidR="00A74088" w:rsidRPr="002A7673" w:rsidRDefault="00A74088" w:rsidP="0048334E">
            <w:pPr>
              <w:jc w:val="center"/>
              <w:rPr>
                <w:rFonts w:ascii="Times New Roman" w:hAnsi="Times New Roman" w:cs="Times New Roman"/>
                <w:b/>
                <w:bCs/>
                <w:color w:val="FFFFFF"/>
                <w:sz w:val="18"/>
                <w:szCs w:val="18"/>
                <w:lang w:eastAsia="es-CR"/>
              </w:rPr>
            </w:pPr>
            <w:r w:rsidRPr="002A7673">
              <w:rPr>
                <w:rFonts w:ascii="Times New Roman" w:hAnsi="Times New Roman" w:cs="Times New Roman"/>
                <w:b/>
                <w:bCs/>
                <w:color w:val="FFFFFF"/>
                <w:sz w:val="18"/>
                <w:szCs w:val="18"/>
              </w:rPr>
              <w:t>Cod Proyecto</w:t>
            </w:r>
          </w:p>
        </w:tc>
        <w:tc>
          <w:tcPr>
            <w:tcW w:w="1930" w:type="dxa"/>
            <w:tcBorders>
              <w:top w:val="single" w:sz="4" w:space="0" w:color="auto"/>
              <w:left w:val="nil"/>
              <w:bottom w:val="nil"/>
              <w:right w:val="single" w:sz="4" w:space="0" w:color="auto"/>
            </w:tcBorders>
            <w:shd w:val="clear" w:color="D9E1F2" w:fill="1F4E78"/>
            <w:vAlign w:val="center"/>
            <w:hideMark/>
          </w:tcPr>
          <w:p w14:paraId="5F7004A1" w14:textId="77777777" w:rsidR="00A74088" w:rsidRPr="002A7673" w:rsidRDefault="00A74088" w:rsidP="0048334E">
            <w:pPr>
              <w:jc w:val="center"/>
              <w:rPr>
                <w:rFonts w:ascii="Times New Roman" w:hAnsi="Times New Roman" w:cs="Times New Roman"/>
                <w:b/>
                <w:bCs/>
                <w:color w:val="FFFFFF"/>
                <w:sz w:val="18"/>
                <w:szCs w:val="18"/>
              </w:rPr>
            </w:pPr>
            <w:r w:rsidRPr="002A7673">
              <w:rPr>
                <w:rFonts w:ascii="Times New Roman" w:hAnsi="Times New Roman" w:cs="Times New Roman"/>
                <w:b/>
                <w:bCs/>
                <w:color w:val="FFFFFF"/>
                <w:sz w:val="18"/>
                <w:szCs w:val="18"/>
              </w:rPr>
              <w:t>Nombre del Proyecto</w:t>
            </w:r>
          </w:p>
        </w:tc>
        <w:tc>
          <w:tcPr>
            <w:tcW w:w="3470" w:type="dxa"/>
            <w:gridSpan w:val="2"/>
            <w:tcBorders>
              <w:top w:val="nil"/>
              <w:left w:val="nil"/>
              <w:bottom w:val="nil"/>
              <w:right w:val="nil"/>
            </w:tcBorders>
            <w:shd w:val="clear" w:color="000000" w:fill="1F4E78"/>
            <w:vAlign w:val="center"/>
            <w:hideMark/>
          </w:tcPr>
          <w:p w14:paraId="676E8DB8" w14:textId="77777777" w:rsidR="00A74088" w:rsidRPr="002A7673" w:rsidRDefault="00A74088" w:rsidP="0048334E">
            <w:pPr>
              <w:jc w:val="center"/>
              <w:rPr>
                <w:rFonts w:ascii="Times New Roman" w:hAnsi="Times New Roman" w:cs="Times New Roman"/>
                <w:b/>
                <w:bCs/>
                <w:color w:val="FFFFFF"/>
                <w:sz w:val="18"/>
                <w:szCs w:val="18"/>
              </w:rPr>
            </w:pPr>
            <w:r w:rsidRPr="002A7673">
              <w:rPr>
                <w:rFonts w:ascii="Times New Roman" w:hAnsi="Times New Roman" w:cs="Times New Roman"/>
                <w:b/>
                <w:bCs/>
                <w:color w:val="FFFFFF"/>
                <w:sz w:val="18"/>
                <w:szCs w:val="18"/>
              </w:rPr>
              <w:t>Subpartida</w:t>
            </w:r>
          </w:p>
        </w:tc>
        <w:tc>
          <w:tcPr>
            <w:tcW w:w="1417" w:type="dxa"/>
            <w:tcBorders>
              <w:top w:val="nil"/>
              <w:left w:val="nil"/>
              <w:bottom w:val="nil"/>
              <w:right w:val="nil"/>
            </w:tcBorders>
            <w:shd w:val="clear" w:color="000000" w:fill="1F4E78"/>
            <w:vAlign w:val="center"/>
            <w:hideMark/>
          </w:tcPr>
          <w:p w14:paraId="173FC801" w14:textId="77777777" w:rsidR="00A74088" w:rsidRPr="002A7673" w:rsidRDefault="00A74088" w:rsidP="0048334E">
            <w:pPr>
              <w:jc w:val="center"/>
              <w:rPr>
                <w:rFonts w:ascii="Times New Roman" w:hAnsi="Times New Roman" w:cs="Times New Roman"/>
                <w:b/>
                <w:bCs/>
                <w:color w:val="FFFFFF"/>
                <w:sz w:val="18"/>
                <w:szCs w:val="18"/>
              </w:rPr>
            </w:pPr>
            <w:r w:rsidRPr="002A7673">
              <w:rPr>
                <w:rFonts w:ascii="Times New Roman" w:hAnsi="Times New Roman" w:cs="Times New Roman"/>
                <w:b/>
                <w:bCs/>
                <w:color w:val="FFFFFF"/>
                <w:sz w:val="18"/>
                <w:szCs w:val="18"/>
              </w:rPr>
              <w:t>Recursos proyectados</w:t>
            </w:r>
          </w:p>
        </w:tc>
        <w:tc>
          <w:tcPr>
            <w:tcW w:w="3440" w:type="dxa"/>
            <w:tcBorders>
              <w:top w:val="nil"/>
              <w:left w:val="nil"/>
              <w:bottom w:val="nil"/>
              <w:right w:val="nil"/>
            </w:tcBorders>
            <w:shd w:val="clear" w:color="000000" w:fill="1F4E78"/>
            <w:vAlign w:val="center"/>
            <w:hideMark/>
          </w:tcPr>
          <w:p w14:paraId="04E88105" w14:textId="77777777" w:rsidR="00A74088" w:rsidRPr="002A7673" w:rsidRDefault="00A74088" w:rsidP="0048334E">
            <w:pPr>
              <w:jc w:val="center"/>
              <w:rPr>
                <w:rFonts w:ascii="Times New Roman" w:hAnsi="Times New Roman" w:cs="Times New Roman"/>
                <w:b/>
                <w:bCs/>
                <w:color w:val="FFFFFF"/>
                <w:sz w:val="18"/>
                <w:szCs w:val="18"/>
              </w:rPr>
            </w:pPr>
            <w:r w:rsidRPr="002A7673">
              <w:rPr>
                <w:rFonts w:ascii="Times New Roman" w:hAnsi="Times New Roman" w:cs="Times New Roman"/>
                <w:b/>
                <w:bCs/>
                <w:color w:val="FFFFFF"/>
                <w:sz w:val="18"/>
                <w:szCs w:val="18"/>
              </w:rPr>
              <w:t>Justificación de los recursos</w:t>
            </w:r>
          </w:p>
        </w:tc>
      </w:tr>
      <w:tr w:rsidR="00A74088" w:rsidRPr="002A7673" w14:paraId="5292F4DD" w14:textId="77777777" w:rsidTr="0048334E">
        <w:trPr>
          <w:trHeight w:val="270"/>
          <w:jc w:val="center"/>
        </w:trPr>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A0ACE3" w14:textId="77777777" w:rsidR="00A74088" w:rsidRPr="002A7673" w:rsidRDefault="00A74088" w:rsidP="0048334E">
            <w:pPr>
              <w:rPr>
                <w:rFonts w:ascii="Times New Roman" w:hAnsi="Times New Roman" w:cs="Times New Roman"/>
                <w:b/>
                <w:bCs/>
                <w:sz w:val="18"/>
                <w:szCs w:val="18"/>
              </w:rPr>
            </w:pPr>
            <w:r w:rsidRPr="002A7673">
              <w:rPr>
                <w:rFonts w:ascii="Times New Roman" w:hAnsi="Times New Roman" w:cs="Times New Roman"/>
                <w:b/>
                <w:bCs/>
                <w:sz w:val="18"/>
                <w:szCs w:val="18"/>
              </w:rPr>
              <w:t>1167-OIJ-P02</w:t>
            </w:r>
          </w:p>
        </w:tc>
        <w:tc>
          <w:tcPr>
            <w:tcW w:w="19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154A93" w14:textId="77777777" w:rsidR="00A74088" w:rsidRPr="002A7673" w:rsidRDefault="00A74088" w:rsidP="0048334E">
            <w:pPr>
              <w:jc w:val="center"/>
              <w:rPr>
                <w:rFonts w:ascii="Times New Roman" w:hAnsi="Times New Roman" w:cs="Times New Roman"/>
                <w:b/>
                <w:bCs/>
                <w:sz w:val="18"/>
                <w:szCs w:val="18"/>
              </w:rPr>
            </w:pPr>
            <w:r w:rsidRPr="002A7673">
              <w:rPr>
                <w:rFonts w:ascii="Times New Roman" w:hAnsi="Times New Roman" w:cs="Times New Roman"/>
                <w:b/>
                <w:bCs/>
                <w:sz w:val="18"/>
                <w:szCs w:val="18"/>
              </w:rPr>
              <w:t>Reacondicionamiento de la Morgue Judicial</w:t>
            </w:r>
          </w:p>
        </w:tc>
        <w:tc>
          <w:tcPr>
            <w:tcW w:w="777" w:type="dxa"/>
            <w:tcBorders>
              <w:top w:val="single" w:sz="4" w:space="0" w:color="auto"/>
              <w:left w:val="nil"/>
              <w:bottom w:val="single" w:sz="4" w:space="0" w:color="auto"/>
              <w:right w:val="single" w:sz="4" w:space="0" w:color="auto"/>
            </w:tcBorders>
            <w:shd w:val="clear" w:color="auto" w:fill="auto"/>
            <w:noWrap/>
            <w:vAlign w:val="center"/>
            <w:hideMark/>
          </w:tcPr>
          <w:p w14:paraId="33DA8F2B"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50104</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2B32D13"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Equipo y mobiliario de oficina</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0ED5248C" w14:textId="77777777" w:rsidR="00A74088" w:rsidRPr="002A7673" w:rsidRDefault="00A74088" w:rsidP="0048334E">
            <w:pPr>
              <w:jc w:val="right"/>
              <w:rPr>
                <w:rFonts w:ascii="Times New Roman" w:hAnsi="Times New Roman" w:cs="Times New Roman"/>
                <w:sz w:val="18"/>
                <w:szCs w:val="18"/>
              </w:rPr>
            </w:pPr>
            <w:r w:rsidRPr="002A7673">
              <w:rPr>
                <w:rFonts w:ascii="Times New Roman" w:hAnsi="Times New Roman" w:cs="Times New Roman"/>
                <w:sz w:val="18"/>
                <w:szCs w:val="18"/>
              </w:rPr>
              <w:t>17,241,879</w:t>
            </w:r>
          </w:p>
        </w:tc>
        <w:tc>
          <w:tcPr>
            <w:tcW w:w="3440" w:type="dxa"/>
            <w:tcBorders>
              <w:top w:val="single" w:sz="4" w:space="0" w:color="auto"/>
              <w:left w:val="nil"/>
              <w:bottom w:val="single" w:sz="4" w:space="0" w:color="auto"/>
              <w:right w:val="single" w:sz="4" w:space="0" w:color="auto"/>
            </w:tcBorders>
            <w:shd w:val="clear" w:color="auto" w:fill="auto"/>
            <w:noWrap/>
            <w:vAlign w:val="center"/>
            <w:hideMark/>
          </w:tcPr>
          <w:p w14:paraId="21E7BEE4" w14:textId="77777777" w:rsidR="00A74088" w:rsidRPr="002A7673" w:rsidRDefault="00A74088" w:rsidP="0048334E">
            <w:pPr>
              <w:jc w:val="both"/>
              <w:rPr>
                <w:rFonts w:ascii="Times New Roman" w:hAnsi="Times New Roman" w:cs="Times New Roman"/>
                <w:color w:val="000000"/>
                <w:sz w:val="18"/>
                <w:szCs w:val="18"/>
              </w:rPr>
            </w:pPr>
            <w:r w:rsidRPr="002A7673">
              <w:rPr>
                <w:rFonts w:ascii="Times New Roman" w:hAnsi="Times New Roman" w:cs="Times New Roman"/>
                <w:color w:val="000000"/>
                <w:sz w:val="18"/>
                <w:szCs w:val="18"/>
              </w:rPr>
              <w:t>Para equipamiento de la Sala de Autopsias se requiere de mesas de acero inoxidable, armarios de metal y estantes.</w:t>
            </w:r>
          </w:p>
        </w:tc>
      </w:tr>
      <w:tr w:rsidR="00A74088" w:rsidRPr="002A7673" w14:paraId="733AF08C" w14:textId="77777777" w:rsidTr="0048334E">
        <w:trPr>
          <w:trHeight w:val="270"/>
          <w:jc w:val="center"/>
        </w:trPr>
        <w:tc>
          <w:tcPr>
            <w:tcW w:w="992" w:type="dxa"/>
            <w:vMerge/>
            <w:tcBorders>
              <w:top w:val="single" w:sz="4" w:space="0" w:color="auto"/>
              <w:left w:val="single" w:sz="4" w:space="0" w:color="auto"/>
              <w:bottom w:val="single" w:sz="4" w:space="0" w:color="auto"/>
              <w:right w:val="single" w:sz="4" w:space="0" w:color="auto"/>
            </w:tcBorders>
            <w:vAlign w:val="center"/>
            <w:hideMark/>
          </w:tcPr>
          <w:p w14:paraId="6AC8996D" w14:textId="77777777" w:rsidR="00A74088" w:rsidRPr="002A7673" w:rsidRDefault="00A74088" w:rsidP="0048334E">
            <w:pPr>
              <w:rPr>
                <w:rFonts w:ascii="Times New Roman" w:hAnsi="Times New Roman" w:cs="Times New Roman"/>
                <w:b/>
                <w:bCs/>
                <w:sz w:val="18"/>
                <w:szCs w:val="18"/>
              </w:rPr>
            </w:pPr>
          </w:p>
        </w:tc>
        <w:tc>
          <w:tcPr>
            <w:tcW w:w="1930" w:type="dxa"/>
            <w:vMerge/>
            <w:tcBorders>
              <w:top w:val="single" w:sz="4" w:space="0" w:color="auto"/>
              <w:left w:val="single" w:sz="4" w:space="0" w:color="auto"/>
              <w:bottom w:val="single" w:sz="4" w:space="0" w:color="auto"/>
              <w:right w:val="single" w:sz="4" w:space="0" w:color="auto"/>
            </w:tcBorders>
            <w:vAlign w:val="center"/>
            <w:hideMark/>
          </w:tcPr>
          <w:p w14:paraId="2CB2CDF4" w14:textId="77777777" w:rsidR="00A74088" w:rsidRPr="002A7673" w:rsidRDefault="00A74088" w:rsidP="0048334E">
            <w:pPr>
              <w:rPr>
                <w:rFonts w:ascii="Times New Roman" w:hAnsi="Times New Roman" w:cs="Times New Roman"/>
                <w:b/>
                <w:bCs/>
                <w:sz w:val="18"/>
                <w:szCs w:val="18"/>
              </w:rPr>
            </w:pPr>
          </w:p>
        </w:tc>
        <w:tc>
          <w:tcPr>
            <w:tcW w:w="777" w:type="dxa"/>
            <w:tcBorders>
              <w:top w:val="nil"/>
              <w:left w:val="nil"/>
              <w:bottom w:val="single" w:sz="4" w:space="0" w:color="auto"/>
              <w:right w:val="single" w:sz="4" w:space="0" w:color="auto"/>
            </w:tcBorders>
            <w:shd w:val="clear" w:color="auto" w:fill="auto"/>
            <w:noWrap/>
            <w:vAlign w:val="center"/>
            <w:hideMark/>
          </w:tcPr>
          <w:p w14:paraId="6293DE15"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50106</w:t>
            </w:r>
          </w:p>
        </w:tc>
        <w:tc>
          <w:tcPr>
            <w:tcW w:w="2693" w:type="dxa"/>
            <w:tcBorders>
              <w:top w:val="nil"/>
              <w:left w:val="nil"/>
              <w:bottom w:val="single" w:sz="4" w:space="0" w:color="auto"/>
              <w:right w:val="single" w:sz="4" w:space="0" w:color="auto"/>
            </w:tcBorders>
            <w:shd w:val="clear" w:color="auto" w:fill="auto"/>
            <w:noWrap/>
            <w:vAlign w:val="center"/>
            <w:hideMark/>
          </w:tcPr>
          <w:p w14:paraId="5DBBC0AA"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Equipo sanitario, de laboratorio e investigación</w:t>
            </w:r>
          </w:p>
        </w:tc>
        <w:tc>
          <w:tcPr>
            <w:tcW w:w="1417" w:type="dxa"/>
            <w:tcBorders>
              <w:top w:val="nil"/>
              <w:left w:val="nil"/>
              <w:bottom w:val="single" w:sz="4" w:space="0" w:color="auto"/>
              <w:right w:val="single" w:sz="4" w:space="0" w:color="auto"/>
            </w:tcBorders>
            <w:shd w:val="clear" w:color="auto" w:fill="auto"/>
            <w:noWrap/>
            <w:vAlign w:val="center"/>
            <w:hideMark/>
          </w:tcPr>
          <w:p w14:paraId="06DB2F53" w14:textId="77777777" w:rsidR="00A74088" w:rsidRPr="002A7673" w:rsidRDefault="00A74088" w:rsidP="0048334E">
            <w:pPr>
              <w:jc w:val="right"/>
              <w:rPr>
                <w:rFonts w:ascii="Times New Roman" w:hAnsi="Times New Roman" w:cs="Times New Roman"/>
                <w:sz w:val="18"/>
                <w:szCs w:val="18"/>
              </w:rPr>
            </w:pPr>
            <w:r w:rsidRPr="002A7673">
              <w:rPr>
                <w:rFonts w:ascii="Times New Roman" w:hAnsi="Times New Roman" w:cs="Times New Roman"/>
                <w:sz w:val="18"/>
                <w:szCs w:val="18"/>
              </w:rPr>
              <w:t>58,942,872</w:t>
            </w:r>
          </w:p>
        </w:tc>
        <w:tc>
          <w:tcPr>
            <w:tcW w:w="3440" w:type="dxa"/>
            <w:tcBorders>
              <w:top w:val="nil"/>
              <w:left w:val="nil"/>
              <w:bottom w:val="single" w:sz="4" w:space="0" w:color="auto"/>
              <w:right w:val="single" w:sz="4" w:space="0" w:color="auto"/>
            </w:tcBorders>
            <w:shd w:val="clear" w:color="auto" w:fill="auto"/>
            <w:noWrap/>
            <w:vAlign w:val="center"/>
            <w:hideMark/>
          </w:tcPr>
          <w:p w14:paraId="21B33668" w14:textId="77777777" w:rsidR="00A74088" w:rsidRPr="002A7673" w:rsidRDefault="00A74088" w:rsidP="0048334E">
            <w:pPr>
              <w:jc w:val="both"/>
              <w:rPr>
                <w:rFonts w:ascii="Times New Roman" w:hAnsi="Times New Roman" w:cs="Times New Roman"/>
                <w:color w:val="000000"/>
                <w:sz w:val="18"/>
                <w:szCs w:val="18"/>
              </w:rPr>
            </w:pPr>
            <w:r w:rsidRPr="002A7673">
              <w:rPr>
                <w:rFonts w:ascii="Times New Roman" w:hAnsi="Times New Roman" w:cs="Times New Roman"/>
                <w:color w:val="000000"/>
                <w:sz w:val="18"/>
                <w:szCs w:val="18"/>
              </w:rPr>
              <w:t> Para equipamiento de la Sala de Autopsias se requiere de estaciones de trabajo corte macro, camillas para transportar cadáveres y lámparas de cirugía, en este último caso se trata de equipo que debe ser instalado finalizando el proyecto constructivo debido a lo delicado de sus componentes.</w:t>
            </w:r>
          </w:p>
        </w:tc>
      </w:tr>
      <w:tr w:rsidR="00A74088" w:rsidRPr="002A7673" w14:paraId="1A86CC1A" w14:textId="77777777" w:rsidTr="0048334E">
        <w:trPr>
          <w:trHeight w:val="270"/>
          <w:jc w:val="center"/>
        </w:trPr>
        <w:tc>
          <w:tcPr>
            <w:tcW w:w="992" w:type="dxa"/>
            <w:vMerge/>
            <w:tcBorders>
              <w:top w:val="single" w:sz="4" w:space="0" w:color="auto"/>
              <w:left w:val="single" w:sz="4" w:space="0" w:color="auto"/>
              <w:bottom w:val="single" w:sz="4" w:space="0" w:color="auto"/>
              <w:right w:val="single" w:sz="4" w:space="0" w:color="auto"/>
            </w:tcBorders>
            <w:vAlign w:val="center"/>
            <w:hideMark/>
          </w:tcPr>
          <w:p w14:paraId="372B109D" w14:textId="77777777" w:rsidR="00A74088" w:rsidRPr="002A7673" w:rsidRDefault="00A74088" w:rsidP="0048334E">
            <w:pPr>
              <w:rPr>
                <w:rFonts w:ascii="Times New Roman" w:hAnsi="Times New Roman" w:cs="Times New Roman"/>
                <w:b/>
                <w:bCs/>
                <w:sz w:val="18"/>
                <w:szCs w:val="18"/>
              </w:rPr>
            </w:pPr>
          </w:p>
        </w:tc>
        <w:tc>
          <w:tcPr>
            <w:tcW w:w="1930" w:type="dxa"/>
            <w:vMerge/>
            <w:tcBorders>
              <w:top w:val="single" w:sz="4" w:space="0" w:color="auto"/>
              <w:left w:val="single" w:sz="4" w:space="0" w:color="auto"/>
              <w:bottom w:val="single" w:sz="4" w:space="0" w:color="auto"/>
              <w:right w:val="single" w:sz="4" w:space="0" w:color="auto"/>
            </w:tcBorders>
            <w:vAlign w:val="center"/>
            <w:hideMark/>
          </w:tcPr>
          <w:p w14:paraId="0A29244A" w14:textId="77777777" w:rsidR="00A74088" w:rsidRPr="002A7673" w:rsidRDefault="00A74088" w:rsidP="0048334E">
            <w:pPr>
              <w:rPr>
                <w:rFonts w:ascii="Times New Roman" w:hAnsi="Times New Roman" w:cs="Times New Roman"/>
                <w:b/>
                <w:bCs/>
                <w:sz w:val="18"/>
                <w:szCs w:val="18"/>
              </w:rPr>
            </w:pPr>
          </w:p>
        </w:tc>
        <w:tc>
          <w:tcPr>
            <w:tcW w:w="777" w:type="dxa"/>
            <w:tcBorders>
              <w:top w:val="nil"/>
              <w:left w:val="nil"/>
              <w:bottom w:val="single" w:sz="4" w:space="0" w:color="auto"/>
              <w:right w:val="single" w:sz="4" w:space="0" w:color="auto"/>
            </w:tcBorders>
            <w:shd w:val="clear" w:color="auto" w:fill="auto"/>
            <w:noWrap/>
            <w:vAlign w:val="center"/>
            <w:hideMark/>
          </w:tcPr>
          <w:p w14:paraId="6761E8C6"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50201</w:t>
            </w:r>
          </w:p>
        </w:tc>
        <w:tc>
          <w:tcPr>
            <w:tcW w:w="2693" w:type="dxa"/>
            <w:tcBorders>
              <w:top w:val="nil"/>
              <w:left w:val="nil"/>
              <w:bottom w:val="single" w:sz="4" w:space="0" w:color="auto"/>
              <w:right w:val="single" w:sz="4" w:space="0" w:color="auto"/>
            </w:tcBorders>
            <w:shd w:val="clear" w:color="auto" w:fill="auto"/>
            <w:noWrap/>
            <w:vAlign w:val="center"/>
            <w:hideMark/>
          </w:tcPr>
          <w:p w14:paraId="322BCF1E"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Edificios</w:t>
            </w:r>
          </w:p>
        </w:tc>
        <w:tc>
          <w:tcPr>
            <w:tcW w:w="1417" w:type="dxa"/>
            <w:tcBorders>
              <w:top w:val="nil"/>
              <w:left w:val="nil"/>
              <w:bottom w:val="single" w:sz="4" w:space="0" w:color="auto"/>
              <w:right w:val="single" w:sz="4" w:space="0" w:color="auto"/>
            </w:tcBorders>
            <w:shd w:val="clear" w:color="auto" w:fill="auto"/>
            <w:noWrap/>
            <w:vAlign w:val="center"/>
            <w:hideMark/>
          </w:tcPr>
          <w:p w14:paraId="55B58DE9" w14:textId="77777777" w:rsidR="00A74088" w:rsidRPr="002A7673" w:rsidRDefault="00A74088" w:rsidP="0048334E">
            <w:pPr>
              <w:jc w:val="right"/>
              <w:rPr>
                <w:rFonts w:ascii="Times New Roman" w:hAnsi="Times New Roman" w:cs="Times New Roman"/>
                <w:sz w:val="18"/>
                <w:szCs w:val="18"/>
              </w:rPr>
            </w:pPr>
            <w:r w:rsidRPr="002A7673">
              <w:rPr>
                <w:rFonts w:ascii="Times New Roman" w:hAnsi="Times New Roman" w:cs="Times New Roman"/>
                <w:sz w:val="18"/>
                <w:szCs w:val="18"/>
              </w:rPr>
              <w:t>423.942.824</w:t>
            </w:r>
          </w:p>
        </w:tc>
        <w:tc>
          <w:tcPr>
            <w:tcW w:w="3440" w:type="dxa"/>
            <w:tcBorders>
              <w:top w:val="nil"/>
              <w:left w:val="nil"/>
              <w:bottom w:val="single" w:sz="4" w:space="0" w:color="auto"/>
              <w:right w:val="single" w:sz="4" w:space="0" w:color="auto"/>
            </w:tcBorders>
            <w:shd w:val="clear" w:color="auto" w:fill="auto"/>
            <w:noWrap/>
            <w:vAlign w:val="center"/>
            <w:hideMark/>
          </w:tcPr>
          <w:p w14:paraId="3111FF95" w14:textId="77777777" w:rsidR="00A74088" w:rsidRPr="002A7673" w:rsidRDefault="00A74088" w:rsidP="0048334E">
            <w:pPr>
              <w:jc w:val="both"/>
              <w:rPr>
                <w:rFonts w:ascii="Times New Roman" w:hAnsi="Times New Roman" w:cs="Times New Roman"/>
                <w:color w:val="000000"/>
                <w:sz w:val="18"/>
                <w:szCs w:val="18"/>
              </w:rPr>
            </w:pPr>
            <w:r w:rsidRPr="002A7673">
              <w:rPr>
                <w:rFonts w:ascii="Times New Roman" w:hAnsi="Times New Roman" w:cs="Times New Roman"/>
                <w:color w:val="000000"/>
                <w:sz w:val="18"/>
                <w:szCs w:val="18"/>
              </w:rPr>
              <w:t>Ultima etapa de la remodelación según procedimiento 2020LN-000015-PROV. Para el 2022 se hace una estimación de gasto de 2 meses con promedio mensual de $383.627.</w:t>
            </w:r>
          </w:p>
        </w:tc>
      </w:tr>
      <w:tr w:rsidR="00A74088" w:rsidRPr="002A7673" w14:paraId="2BA09051" w14:textId="77777777" w:rsidTr="0048334E">
        <w:trPr>
          <w:trHeight w:val="285"/>
          <w:jc w:val="center"/>
        </w:trPr>
        <w:tc>
          <w:tcPr>
            <w:tcW w:w="992" w:type="dxa"/>
            <w:vMerge/>
            <w:tcBorders>
              <w:top w:val="single" w:sz="4" w:space="0" w:color="auto"/>
              <w:left w:val="single" w:sz="4" w:space="0" w:color="auto"/>
              <w:bottom w:val="single" w:sz="4" w:space="0" w:color="auto"/>
              <w:right w:val="single" w:sz="4" w:space="0" w:color="auto"/>
            </w:tcBorders>
            <w:vAlign w:val="center"/>
            <w:hideMark/>
          </w:tcPr>
          <w:p w14:paraId="4050B42C" w14:textId="77777777" w:rsidR="00A74088" w:rsidRPr="002A7673" w:rsidRDefault="00A74088" w:rsidP="0048334E">
            <w:pPr>
              <w:rPr>
                <w:rFonts w:ascii="Times New Roman" w:hAnsi="Times New Roman" w:cs="Times New Roman"/>
                <w:b/>
                <w:bCs/>
                <w:sz w:val="18"/>
                <w:szCs w:val="18"/>
              </w:rPr>
            </w:pPr>
          </w:p>
        </w:tc>
        <w:tc>
          <w:tcPr>
            <w:tcW w:w="1930" w:type="dxa"/>
            <w:vMerge/>
            <w:tcBorders>
              <w:top w:val="single" w:sz="4" w:space="0" w:color="auto"/>
              <w:left w:val="single" w:sz="4" w:space="0" w:color="auto"/>
              <w:bottom w:val="single" w:sz="4" w:space="0" w:color="auto"/>
              <w:right w:val="single" w:sz="4" w:space="0" w:color="auto"/>
            </w:tcBorders>
            <w:vAlign w:val="center"/>
            <w:hideMark/>
          </w:tcPr>
          <w:p w14:paraId="731CD4B2" w14:textId="77777777" w:rsidR="00A74088" w:rsidRPr="002A7673" w:rsidRDefault="00A74088" w:rsidP="0048334E">
            <w:pPr>
              <w:rPr>
                <w:rFonts w:ascii="Times New Roman" w:hAnsi="Times New Roman" w:cs="Times New Roman"/>
                <w:b/>
                <w:bCs/>
                <w:sz w:val="18"/>
                <w:szCs w:val="18"/>
              </w:rPr>
            </w:pPr>
          </w:p>
        </w:tc>
        <w:tc>
          <w:tcPr>
            <w:tcW w:w="3470"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3418B344" w14:textId="77777777" w:rsidR="00A74088" w:rsidRPr="002A7673" w:rsidRDefault="00A74088" w:rsidP="0048334E">
            <w:pPr>
              <w:jc w:val="right"/>
              <w:rPr>
                <w:rFonts w:ascii="Times New Roman" w:hAnsi="Times New Roman" w:cs="Times New Roman"/>
                <w:b/>
                <w:bCs/>
                <w:color w:val="1F4E78"/>
                <w:sz w:val="18"/>
                <w:szCs w:val="18"/>
              </w:rPr>
            </w:pPr>
            <w:proofErr w:type="gramStart"/>
            <w:r w:rsidRPr="002A7673">
              <w:rPr>
                <w:rFonts w:ascii="Times New Roman" w:hAnsi="Times New Roman" w:cs="Times New Roman"/>
                <w:b/>
                <w:bCs/>
                <w:color w:val="1F4E78"/>
                <w:sz w:val="18"/>
                <w:szCs w:val="18"/>
              </w:rPr>
              <w:t>Total</w:t>
            </w:r>
            <w:proofErr w:type="gramEnd"/>
            <w:r w:rsidRPr="002A7673">
              <w:rPr>
                <w:rFonts w:ascii="Times New Roman" w:hAnsi="Times New Roman" w:cs="Times New Roman"/>
                <w:b/>
                <w:bCs/>
                <w:color w:val="1F4E78"/>
                <w:sz w:val="18"/>
                <w:szCs w:val="18"/>
              </w:rPr>
              <w:t xml:space="preserve"> del proyecto</w:t>
            </w:r>
          </w:p>
        </w:tc>
        <w:tc>
          <w:tcPr>
            <w:tcW w:w="1417" w:type="dxa"/>
            <w:tcBorders>
              <w:top w:val="nil"/>
              <w:left w:val="nil"/>
              <w:bottom w:val="single" w:sz="4" w:space="0" w:color="auto"/>
              <w:right w:val="single" w:sz="4" w:space="0" w:color="auto"/>
            </w:tcBorders>
            <w:shd w:val="clear" w:color="000000" w:fill="F2F2F2"/>
            <w:noWrap/>
            <w:vAlign w:val="center"/>
            <w:hideMark/>
          </w:tcPr>
          <w:p w14:paraId="32A20242" w14:textId="77777777" w:rsidR="00A74088" w:rsidRPr="002A7673" w:rsidRDefault="00A74088" w:rsidP="0048334E">
            <w:pPr>
              <w:jc w:val="right"/>
              <w:rPr>
                <w:rFonts w:ascii="Times New Roman" w:hAnsi="Times New Roman" w:cs="Times New Roman"/>
                <w:b/>
                <w:bCs/>
                <w:color w:val="1F4E78"/>
                <w:sz w:val="18"/>
                <w:szCs w:val="18"/>
              </w:rPr>
            </w:pPr>
            <w:r w:rsidRPr="002A7673">
              <w:rPr>
                <w:rFonts w:ascii="Times New Roman" w:hAnsi="Times New Roman" w:cs="Times New Roman"/>
                <w:b/>
                <w:bCs/>
                <w:color w:val="1F4E78"/>
                <w:sz w:val="18"/>
                <w:szCs w:val="18"/>
              </w:rPr>
              <w:t>500.127.575</w:t>
            </w:r>
          </w:p>
        </w:tc>
        <w:tc>
          <w:tcPr>
            <w:tcW w:w="3440" w:type="dxa"/>
            <w:tcBorders>
              <w:top w:val="nil"/>
              <w:left w:val="nil"/>
              <w:bottom w:val="single" w:sz="4" w:space="0" w:color="auto"/>
              <w:right w:val="single" w:sz="4" w:space="0" w:color="auto"/>
            </w:tcBorders>
            <w:shd w:val="clear" w:color="auto" w:fill="auto"/>
            <w:noWrap/>
            <w:vAlign w:val="center"/>
            <w:hideMark/>
          </w:tcPr>
          <w:p w14:paraId="0C3D6D8E" w14:textId="77777777" w:rsidR="00A74088" w:rsidRPr="002A7673" w:rsidRDefault="00A74088" w:rsidP="0048334E">
            <w:pPr>
              <w:rPr>
                <w:rFonts w:ascii="Times New Roman" w:hAnsi="Times New Roman" w:cs="Times New Roman"/>
                <w:color w:val="000000"/>
                <w:sz w:val="18"/>
                <w:szCs w:val="18"/>
              </w:rPr>
            </w:pPr>
            <w:r w:rsidRPr="002A7673">
              <w:rPr>
                <w:rFonts w:ascii="Times New Roman" w:hAnsi="Times New Roman" w:cs="Times New Roman"/>
                <w:color w:val="000000"/>
                <w:sz w:val="18"/>
                <w:szCs w:val="18"/>
              </w:rPr>
              <w:t> </w:t>
            </w:r>
          </w:p>
        </w:tc>
      </w:tr>
      <w:tr w:rsidR="00A74088" w:rsidRPr="002A7673" w14:paraId="6ABD7C90" w14:textId="77777777" w:rsidTr="0048334E">
        <w:trPr>
          <w:trHeight w:val="285"/>
          <w:jc w:val="center"/>
        </w:trPr>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CD41F3" w14:textId="77777777" w:rsidR="00A74088" w:rsidRPr="002A7673" w:rsidRDefault="00A74088" w:rsidP="0048334E">
            <w:pPr>
              <w:jc w:val="center"/>
              <w:rPr>
                <w:rFonts w:ascii="Times New Roman" w:hAnsi="Times New Roman" w:cs="Times New Roman"/>
                <w:b/>
                <w:bCs/>
                <w:sz w:val="18"/>
                <w:szCs w:val="18"/>
              </w:rPr>
            </w:pPr>
            <w:r w:rsidRPr="002A7673">
              <w:rPr>
                <w:rFonts w:ascii="Times New Roman" w:hAnsi="Times New Roman" w:cs="Times New Roman"/>
                <w:b/>
                <w:bCs/>
                <w:sz w:val="18"/>
                <w:szCs w:val="18"/>
              </w:rPr>
              <w:t>1167-OIJ-P05</w:t>
            </w:r>
          </w:p>
        </w:tc>
        <w:tc>
          <w:tcPr>
            <w:tcW w:w="1930" w:type="dxa"/>
            <w:vMerge w:val="restart"/>
            <w:tcBorders>
              <w:top w:val="nil"/>
              <w:left w:val="single" w:sz="4" w:space="0" w:color="auto"/>
              <w:bottom w:val="single" w:sz="4" w:space="0" w:color="auto"/>
              <w:right w:val="single" w:sz="4" w:space="0" w:color="auto"/>
            </w:tcBorders>
            <w:shd w:val="clear" w:color="auto" w:fill="auto"/>
            <w:vAlign w:val="center"/>
            <w:hideMark/>
          </w:tcPr>
          <w:p w14:paraId="6267EEE7" w14:textId="77777777" w:rsidR="00A74088" w:rsidRPr="002A7673" w:rsidRDefault="00A74088" w:rsidP="0048334E">
            <w:pPr>
              <w:jc w:val="both"/>
              <w:rPr>
                <w:rFonts w:ascii="Times New Roman" w:hAnsi="Times New Roman" w:cs="Times New Roman"/>
                <w:b/>
                <w:bCs/>
                <w:sz w:val="18"/>
                <w:szCs w:val="18"/>
              </w:rPr>
            </w:pPr>
            <w:r w:rsidRPr="002A7673">
              <w:rPr>
                <w:rFonts w:ascii="Times New Roman" w:hAnsi="Times New Roman" w:cs="Times New Roman"/>
                <w:b/>
                <w:bCs/>
                <w:sz w:val="18"/>
                <w:szCs w:val="18"/>
              </w:rPr>
              <w:t>Correlación de la carga de trabajo y recurso humano</w:t>
            </w:r>
          </w:p>
        </w:tc>
        <w:tc>
          <w:tcPr>
            <w:tcW w:w="777" w:type="dxa"/>
            <w:tcBorders>
              <w:top w:val="nil"/>
              <w:left w:val="nil"/>
              <w:bottom w:val="single" w:sz="4" w:space="0" w:color="auto"/>
              <w:right w:val="single" w:sz="4" w:space="0" w:color="auto"/>
            </w:tcBorders>
            <w:shd w:val="clear" w:color="auto" w:fill="auto"/>
            <w:noWrap/>
            <w:vAlign w:val="center"/>
            <w:hideMark/>
          </w:tcPr>
          <w:p w14:paraId="4844F5C6"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10701</w:t>
            </w:r>
          </w:p>
        </w:tc>
        <w:tc>
          <w:tcPr>
            <w:tcW w:w="2693" w:type="dxa"/>
            <w:tcBorders>
              <w:top w:val="nil"/>
              <w:left w:val="nil"/>
              <w:bottom w:val="single" w:sz="4" w:space="0" w:color="auto"/>
              <w:right w:val="single" w:sz="4" w:space="0" w:color="auto"/>
            </w:tcBorders>
            <w:shd w:val="clear" w:color="auto" w:fill="auto"/>
            <w:noWrap/>
            <w:vAlign w:val="center"/>
            <w:hideMark/>
          </w:tcPr>
          <w:p w14:paraId="18958F50"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Actividades de capacitación</w:t>
            </w:r>
          </w:p>
        </w:tc>
        <w:tc>
          <w:tcPr>
            <w:tcW w:w="1417" w:type="dxa"/>
            <w:tcBorders>
              <w:top w:val="nil"/>
              <w:left w:val="nil"/>
              <w:bottom w:val="single" w:sz="4" w:space="0" w:color="auto"/>
              <w:right w:val="single" w:sz="4" w:space="0" w:color="auto"/>
            </w:tcBorders>
            <w:shd w:val="clear" w:color="auto" w:fill="auto"/>
            <w:noWrap/>
            <w:vAlign w:val="center"/>
            <w:hideMark/>
          </w:tcPr>
          <w:p w14:paraId="3CA7B67F" w14:textId="77777777" w:rsidR="00A74088" w:rsidRPr="002A7673" w:rsidRDefault="00A74088" w:rsidP="0048334E">
            <w:pPr>
              <w:jc w:val="right"/>
              <w:rPr>
                <w:rFonts w:ascii="Times New Roman" w:hAnsi="Times New Roman" w:cs="Times New Roman"/>
                <w:sz w:val="18"/>
                <w:szCs w:val="18"/>
              </w:rPr>
            </w:pPr>
            <w:r w:rsidRPr="002A7673">
              <w:rPr>
                <w:rFonts w:ascii="Times New Roman" w:hAnsi="Times New Roman" w:cs="Times New Roman"/>
                <w:sz w:val="18"/>
                <w:szCs w:val="18"/>
              </w:rPr>
              <w:t>241,500</w:t>
            </w:r>
          </w:p>
        </w:tc>
        <w:tc>
          <w:tcPr>
            <w:tcW w:w="3440" w:type="dxa"/>
            <w:tcBorders>
              <w:top w:val="nil"/>
              <w:left w:val="nil"/>
              <w:bottom w:val="single" w:sz="4" w:space="0" w:color="auto"/>
              <w:right w:val="single" w:sz="4" w:space="0" w:color="auto"/>
            </w:tcBorders>
            <w:shd w:val="clear" w:color="auto" w:fill="auto"/>
            <w:noWrap/>
            <w:vAlign w:val="center"/>
            <w:hideMark/>
          </w:tcPr>
          <w:p w14:paraId="0910F617" w14:textId="77777777" w:rsidR="00A74088" w:rsidRPr="002A7673" w:rsidRDefault="00A74088" w:rsidP="0048334E">
            <w:pPr>
              <w:jc w:val="both"/>
              <w:rPr>
                <w:rFonts w:ascii="Times New Roman" w:hAnsi="Times New Roman" w:cs="Times New Roman"/>
                <w:color w:val="000000"/>
                <w:sz w:val="18"/>
                <w:szCs w:val="18"/>
              </w:rPr>
            </w:pPr>
            <w:r w:rsidRPr="002A7673">
              <w:rPr>
                <w:rFonts w:ascii="Times New Roman" w:hAnsi="Times New Roman" w:cs="Times New Roman"/>
                <w:color w:val="000000"/>
                <w:sz w:val="18"/>
                <w:szCs w:val="18"/>
              </w:rPr>
              <w:t>Esas son capacitaciones para las diferentes sedes policiales del OIJ en el uso de herramientas que se requieren para obtener datos. Consiste en explicar el estudio, la correcta forma de registrar en los sistemas, así como las reuniones previas. </w:t>
            </w:r>
          </w:p>
        </w:tc>
      </w:tr>
      <w:tr w:rsidR="00A74088" w:rsidRPr="002A7673" w14:paraId="68AF257F" w14:textId="77777777" w:rsidTr="0048334E">
        <w:trPr>
          <w:trHeight w:val="285"/>
          <w:jc w:val="center"/>
        </w:trPr>
        <w:tc>
          <w:tcPr>
            <w:tcW w:w="992" w:type="dxa"/>
            <w:vMerge/>
            <w:tcBorders>
              <w:top w:val="nil"/>
              <w:left w:val="single" w:sz="4" w:space="0" w:color="auto"/>
              <w:bottom w:val="single" w:sz="4" w:space="0" w:color="auto"/>
              <w:right w:val="single" w:sz="4" w:space="0" w:color="auto"/>
            </w:tcBorders>
            <w:vAlign w:val="center"/>
            <w:hideMark/>
          </w:tcPr>
          <w:p w14:paraId="02608099" w14:textId="77777777" w:rsidR="00A74088" w:rsidRPr="002A7673" w:rsidRDefault="00A74088" w:rsidP="0048334E">
            <w:pPr>
              <w:rPr>
                <w:rFonts w:ascii="Times New Roman" w:hAnsi="Times New Roman" w:cs="Times New Roman"/>
                <w:b/>
                <w:bCs/>
                <w:sz w:val="18"/>
                <w:szCs w:val="18"/>
              </w:rPr>
            </w:pPr>
          </w:p>
        </w:tc>
        <w:tc>
          <w:tcPr>
            <w:tcW w:w="1930" w:type="dxa"/>
            <w:vMerge/>
            <w:tcBorders>
              <w:top w:val="nil"/>
              <w:left w:val="single" w:sz="4" w:space="0" w:color="auto"/>
              <w:bottom w:val="single" w:sz="4" w:space="0" w:color="auto"/>
              <w:right w:val="single" w:sz="4" w:space="0" w:color="auto"/>
            </w:tcBorders>
            <w:vAlign w:val="center"/>
            <w:hideMark/>
          </w:tcPr>
          <w:p w14:paraId="4B3230B8" w14:textId="77777777" w:rsidR="00A74088" w:rsidRPr="002A7673" w:rsidRDefault="00A74088" w:rsidP="0048334E">
            <w:pPr>
              <w:rPr>
                <w:rFonts w:ascii="Times New Roman" w:hAnsi="Times New Roman" w:cs="Times New Roman"/>
                <w:b/>
                <w:bCs/>
                <w:sz w:val="18"/>
                <w:szCs w:val="18"/>
              </w:rPr>
            </w:pPr>
          </w:p>
        </w:tc>
        <w:tc>
          <w:tcPr>
            <w:tcW w:w="3470"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5F83D318" w14:textId="77777777" w:rsidR="00A74088" w:rsidRPr="002A7673" w:rsidRDefault="00A74088" w:rsidP="0048334E">
            <w:pPr>
              <w:jc w:val="right"/>
              <w:rPr>
                <w:rFonts w:ascii="Times New Roman" w:hAnsi="Times New Roman" w:cs="Times New Roman"/>
                <w:b/>
                <w:bCs/>
                <w:color w:val="1F4E78"/>
                <w:sz w:val="18"/>
                <w:szCs w:val="18"/>
              </w:rPr>
            </w:pPr>
            <w:proofErr w:type="gramStart"/>
            <w:r w:rsidRPr="002A7673">
              <w:rPr>
                <w:rFonts w:ascii="Times New Roman" w:hAnsi="Times New Roman" w:cs="Times New Roman"/>
                <w:b/>
                <w:bCs/>
                <w:color w:val="1F4E78"/>
                <w:sz w:val="18"/>
                <w:szCs w:val="18"/>
              </w:rPr>
              <w:t>Total</w:t>
            </w:r>
            <w:proofErr w:type="gramEnd"/>
            <w:r w:rsidRPr="002A7673">
              <w:rPr>
                <w:rFonts w:ascii="Times New Roman" w:hAnsi="Times New Roman" w:cs="Times New Roman"/>
                <w:b/>
                <w:bCs/>
                <w:color w:val="1F4E78"/>
                <w:sz w:val="18"/>
                <w:szCs w:val="18"/>
              </w:rPr>
              <w:t xml:space="preserve"> del proyecto</w:t>
            </w:r>
          </w:p>
        </w:tc>
        <w:tc>
          <w:tcPr>
            <w:tcW w:w="1417" w:type="dxa"/>
            <w:tcBorders>
              <w:top w:val="nil"/>
              <w:left w:val="nil"/>
              <w:bottom w:val="single" w:sz="4" w:space="0" w:color="auto"/>
              <w:right w:val="single" w:sz="4" w:space="0" w:color="auto"/>
            </w:tcBorders>
            <w:shd w:val="clear" w:color="000000" w:fill="F2F2F2"/>
            <w:noWrap/>
            <w:vAlign w:val="center"/>
            <w:hideMark/>
          </w:tcPr>
          <w:p w14:paraId="5F461ECD" w14:textId="77777777" w:rsidR="00A74088" w:rsidRPr="002A7673" w:rsidRDefault="00A74088" w:rsidP="0048334E">
            <w:pPr>
              <w:jc w:val="right"/>
              <w:rPr>
                <w:rFonts w:ascii="Times New Roman" w:hAnsi="Times New Roman" w:cs="Times New Roman"/>
                <w:b/>
                <w:bCs/>
                <w:color w:val="1F4E78"/>
                <w:sz w:val="18"/>
                <w:szCs w:val="18"/>
              </w:rPr>
            </w:pPr>
            <w:r w:rsidRPr="002A7673">
              <w:rPr>
                <w:rFonts w:ascii="Times New Roman" w:hAnsi="Times New Roman" w:cs="Times New Roman"/>
                <w:b/>
                <w:bCs/>
                <w:color w:val="1F4E78"/>
                <w:sz w:val="18"/>
                <w:szCs w:val="18"/>
              </w:rPr>
              <w:t>241,500</w:t>
            </w:r>
          </w:p>
        </w:tc>
        <w:tc>
          <w:tcPr>
            <w:tcW w:w="3440" w:type="dxa"/>
            <w:tcBorders>
              <w:top w:val="nil"/>
              <w:left w:val="nil"/>
              <w:bottom w:val="single" w:sz="4" w:space="0" w:color="auto"/>
              <w:right w:val="single" w:sz="4" w:space="0" w:color="auto"/>
            </w:tcBorders>
            <w:shd w:val="clear" w:color="auto" w:fill="auto"/>
            <w:noWrap/>
            <w:vAlign w:val="center"/>
            <w:hideMark/>
          </w:tcPr>
          <w:p w14:paraId="20188B92" w14:textId="77777777" w:rsidR="00A74088" w:rsidRPr="002A7673" w:rsidRDefault="00A74088" w:rsidP="0048334E">
            <w:pPr>
              <w:rPr>
                <w:rFonts w:ascii="Times New Roman" w:hAnsi="Times New Roman" w:cs="Times New Roman"/>
                <w:color w:val="000000"/>
                <w:sz w:val="18"/>
                <w:szCs w:val="18"/>
              </w:rPr>
            </w:pPr>
            <w:r w:rsidRPr="002A7673">
              <w:rPr>
                <w:rFonts w:ascii="Times New Roman" w:hAnsi="Times New Roman" w:cs="Times New Roman"/>
                <w:color w:val="000000"/>
                <w:sz w:val="18"/>
                <w:szCs w:val="18"/>
              </w:rPr>
              <w:t> </w:t>
            </w:r>
          </w:p>
        </w:tc>
      </w:tr>
      <w:tr w:rsidR="00A74088" w:rsidRPr="002A7673" w14:paraId="3C04A0C8" w14:textId="77777777" w:rsidTr="0048334E">
        <w:trPr>
          <w:trHeight w:val="373"/>
          <w:jc w:val="center"/>
        </w:trPr>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3E6197" w14:textId="77777777" w:rsidR="00A74088" w:rsidRPr="002A7673" w:rsidRDefault="00A74088" w:rsidP="0048334E">
            <w:pPr>
              <w:jc w:val="center"/>
              <w:rPr>
                <w:rFonts w:ascii="Times New Roman" w:hAnsi="Times New Roman" w:cs="Times New Roman"/>
                <w:b/>
                <w:bCs/>
                <w:sz w:val="18"/>
                <w:szCs w:val="18"/>
              </w:rPr>
            </w:pPr>
            <w:r w:rsidRPr="002A7673">
              <w:rPr>
                <w:rFonts w:ascii="Times New Roman" w:hAnsi="Times New Roman" w:cs="Times New Roman"/>
                <w:b/>
                <w:bCs/>
                <w:sz w:val="18"/>
                <w:szCs w:val="18"/>
              </w:rPr>
              <w:t>1167-OIJ-P06</w:t>
            </w:r>
          </w:p>
        </w:tc>
        <w:tc>
          <w:tcPr>
            <w:tcW w:w="1930" w:type="dxa"/>
            <w:vMerge w:val="restart"/>
            <w:tcBorders>
              <w:top w:val="nil"/>
              <w:left w:val="single" w:sz="4" w:space="0" w:color="auto"/>
              <w:bottom w:val="single" w:sz="4" w:space="0" w:color="auto"/>
              <w:right w:val="single" w:sz="4" w:space="0" w:color="auto"/>
            </w:tcBorders>
            <w:shd w:val="clear" w:color="auto" w:fill="auto"/>
            <w:vAlign w:val="bottom"/>
            <w:hideMark/>
          </w:tcPr>
          <w:p w14:paraId="4E329946" w14:textId="77777777" w:rsidR="00A74088" w:rsidRPr="002A7673" w:rsidRDefault="00A74088" w:rsidP="0048334E">
            <w:pPr>
              <w:jc w:val="center"/>
              <w:rPr>
                <w:rFonts w:ascii="Times New Roman" w:hAnsi="Times New Roman" w:cs="Times New Roman"/>
                <w:b/>
                <w:bCs/>
                <w:sz w:val="18"/>
                <w:szCs w:val="18"/>
              </w:rPr>
            </w:pPr>
            <w:r w:rsidRPr="002A7673">
              <w:rPr>
                <w:rFonts w:ascii="Times New Roman" w:hAnsi="Times New Roman" w:cs="Times New Roman"/>
                <w:b/>
                <w:bCs/>
                <w:sz w:val="18"/>
                <w:szCs w:val="18"/>
              </w:rPr>
              <w:t>Consolidación equipo multidisciplinario en criminalística</w:t>
            </w:r>
          </w:p>
        </w:tc>
        <w:tc>
          <w:tcPr>
            <w:tcW w:w="777" w:type="dxa"/>
            <w:tcBorders>
              <w:top w:val="nil"/>
              <w:left w:val="nil"/>
              <w:bottom w:val="single" w:sz="4" w:space="0" w:color="auto"/>
              <w:right w:val="single" w:sz="4" w:space="0" w:color="auto"/>
            </w:tcBorders>
            <w:shd w:val="clear" w:color="auto" w:fill="auto"/>
            <w:noWrap/>
            <w:vAlign w:val="center"/>
            <w:hideMark/>
          </w:tcPr>
          <w:p w14:paraId="062EEDD9"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10502</w:t>
            </w:r>
          </w:p>
        </w:tc>
        <w:tc>
          <w:tcPr>
            <w:tcW w:w="2693" w:type="dxa"/>
            <w:tcBorders>
              <w:top w:val="nil"/>
              <w:left w:val="nil"/>
              <w:bottom w:val="single" w:sz="4" w:space="0" w:color="auto"/>
              <w:right w:val="single" w:sz="4" w:space="0" w:color="auto"/>
            </w:tcBorders>
            <w:shd w:val="clear" w:color="auto" w:fill="auto"/>
            <w:noWrap/>
            <w:vAlign w:val="center"/>
            <w:hideMark/>
          </w:tcPr>
          <w:p w14:paraId="51674206"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Viáticos dentro del país</w:t>
            </w:r>
          </w:p>
        </w:tc>
        <w:tc>
          <w:tcPr>
            <w:tcW w:w="1417" w:type="dxa"/>
            <w:tcBorders>
              <w:top w:val="nil"/>
              <w:left w:val="nil"/>
              <w:bottom w:val="single" w:sz="4" w:space="0" w:color="auto"/>
              <w:right w:val="single" w:sz="4" w:space="0" w:color="auto"/>
            </w:tcBorders>
            <w:shd w:val="clear" w:color="auto" w:fill="auto"/>
            <w:noWrap/>
            <w:vAlign w:val="center"/>
            <w:hideMark/>
          </w:tcPr>
          <w:p w14:paraId="015CAFC2" w14:textId="77777777" w:rsidR="00A74088" w:rsidRPr="002A7673" w:rsidRDefault="00A74088" w:rsidP="0048334E">
            <w:pPr>
              <w:jc w:val="right"/>
              <w:rPr>
                <w:rFonts w:ascii="Times New Roman" w:hAnsi="Times New Roman" w:cs="Times New Roman"/>
                <w:sz w:val="18"/>
                <w:szCs w:val="18"/>
              </w:rPr>
            </w:pPr>
            <w:r w:rsidRPr="002A7673">
              <w:rPr>
                <w:rFonts w:ascii="Times New Roman" w:hAnsi="Times New Roman" w:cs="Times New Roman"/>
                <w:sz w:val="18"/>
                <w:szCs w:val="18"/>
              </w:rPr>
              <w:t>700,000</w:t>
            </w:r>
          </w:p>
        </w:tc>
        <w:tc>
          <w:tcPr>
            <w:tcW w:w="3440" w:type="dxa"/>
            <w:tcBorders>
              <w:top w:val="nil"/>
              <w:left w:val="nil"/>
              <w:bottom w:val="single" w:sz="4" w:space="0" w:color="auto"/>
              <w:right w:val="single" w:sz="4" w:space="0" w:color="auto"/>
            </w:tcBorders>
            <w:shd w:val="clear" w:color="auto" w:fill="auto"/>
            <w:noWrap/>
            <w:vAlign w:val="center"/>
            <w:hideMark/>
          </w:tcPr>
          <w:p w14:paraId="5BCF5534" w14:textId="77777777" w:rsidR="00A74088" w:rsidRPr="002A7673" w:rsidRDefault="00A74088" w:rsidP="0048334E">
            <w:pPr>
              <w:jc w:val="both"/>
              <w:rPr>
                <w:rFonts w:ascii="Times New Roman" w:hAnsi="Times New Roman" w:cs="Times New Roman"/>
                <w:color w:val="000000"/>
                <w:sz w:val="18"/>
                <w:szCs w:val="18"/>
              </w:rPr>
            </w:pPr>
            <w:r w:rsidRPr="002A7673">
              <w:rPr>
                <w:rFonts w:ascii="Times New Roman" w:hAnsi="Times New Roman" w:cs="Times New Roman"/>
                <w:color w:val="000000"/>
                <w:sz w:val="18"/>
                <w:szCs w:val="18"/>
              </w:rPr>
              <w:t>Se estima un aproximado correspondiente a los viáticos de dos guías y dos técnicos especializados.</w:t>
            </w:r>
          </w:p>
        </w:tc>
      </w:tr>
      <w:tr w:rsidR="00A74088" w:rsidRPr="002A7673" w14:paraId="0873FBF5" w14:textId="77777777" w:rsidTr="0048334E">
        <w:trPr>
          <w:trHeight w:val="285"/>
          <w:jc w:val="center"/>
        </w:trPr>
        <w:tc>
          <w:tcPr>
            <w:tcW w:w="992" w:type="dxa"/>
            <w:vMerge/>
            <w:tcBorders>
              <w:top w:val="nil"/>
              <w:left w:val="single" w:sz="4" w:space="0" w:color="auto"/>
              <w:bottom w:val="single" w:sz="4" w:space="0" w:color="auto"/>
              <w:right w:val="single" w:sz="4" w:space="0" w:color="auto"/>
            </w:tcBorders>
            <w:vAlign w:val="center"/>
            <w:hideMark/>
          </w:tcPr>
          <w:p w14:paraId="1898E563" w14:textId="77777777" w:rsidR="00A74088" w:rsidRPr="002A7673" w:rsidRDefault="00A74088" w:rsidP="0048334E">
            <w:pPr>
              <w:rPr>
                <w:rFonts w:ascii="Times New Roman" w:hAnsi="Times New Roman" w:cs="Times New Roman"/>
                <w:b/>
                <w:bCs/>
                <w:sz w:val="18"/>
                <w:szCs w:val="18"/>
              </w:rPr>
            </w:pPr>
          </w:p>
        </w:tc>
        <w:tc>
          <w:tcPr>
            <w:tcW w:w="1930" w:type="dxa"/>
            <w:vMerge/>
            <w:tcBorders>
              <w:top w:val="nil"/>
              <w:left w:val="single" w:sz="4" w:space="0" w:color="auto"/>
              <w:bottom w:val="single" w:sz="4" w:space="0" w:color="auto"/>
              <w:right w:val="single" w:sz="4" w:space="0" w:color="auto"/>
            </w:tcBorders>
            <w:vAlign w:val="center"/>
            <w:hideMark/>
          </w:tcPr>
          <w:p w14:paraId="3CA4BA71" w14:textId="77777777" w:rsidR="00A74088" w:rsidRPr="002A7673" w:rsidRDefault="00A74088" w:rsidP="0048334E">
            <w:pPr>
              <w:rPr>
                <w:rFonts w:ascii="Times New Roman" w:hAnsi="Times New Roman" w:cs="Times New Roman"/>
                <w:b/>
                <w:bCs/>
                <w:sz w:val="18"/>
                <w:szCs w:val="18"/>
              </w:rPr>
            </w:pPr>
          </w:p>
        </w:tc>
        <w:tc>
          <w:tcPr>
            <w:tcW w:w="3470"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169152BA" w14:textId="77777777" w:rsidR="00A74088" w:rsidRPr="002A7673" w:rsidRDefault="00A74088" w:rsidP="0048334E">
            <w:pPr>
              <w:jc w:val="right"/>
              <w:rPr>
                <w:rFonts w:ascii="Times New Roman" w:hAnsi="Times New Roman" w:cs="Times New Roman"/>
                <w:b/>
                <w:bCs/>
                <w:color w:val="1F4E78"/>
                <w:sz w:val="18"/>
                <w:szCs w:val="18"/>
              </w:rPr>
            </w:pPr>
            <w:proofErr w:type="gramStart"/>
            <w:r w:rsidRPr="002A7673">
              <w:rPr>
                <w:rFonts w:ascii="Times New Roman" w:hAnsi="Times New Roman" w:cs="Times New Roman"/>
                <w:b/>
                <w:bCs/>
                <w:color w:val="1F4E78"/>
                <w:sz w:val="18"/>
                <w:szCs w:val="18"/>
              </w:rPr>
              <w:t>Total</w:t>
            </w:r>
            <w:proofErr w:type="gramEnd"/>
            <w:r w:rsidRPr="002A7673">
              <w:rPr>
                <w:rFonts w:ascii="Times New Roman" w:hAnsi="Times New Roman" w:cs="Times New Roman"/>
                <w:b/>
                <w:bCs/>
                <w:color w:val="1F4E78"/>
                <w:sz w:val="18"/>
                <w:szCs w:val="18"/>
              </w:rPr>
              <w:t xml:space="preserve"> del proyecto</w:t>
            </w:r>
          </w:p>
        </w:tc>
        <w:tc>
          <w:tcPr>
            <w:tcW w:w="1417" w:type="dxa"/>
            <w:tcBorders>
              <w:top w:val="nil"/>
              <w:left w:val="nil"/>
              <w:bottom w:val="single" w:sz="4" w:space="0" w:color="auto"/>
              <w:right w:val="single" w:sz="4" w:space="0" w:color="auto"/>
            </w:tcBorders>
            <w:shd w:val="clear" w:color="auto" w:fill="F2F2F2" w:themeFill="background1" w:themeFillShade="F2"/>
            <w:noWrap/>
            <w:vAlign w:val="center"/>
            <w:hideMark/>
          </w:tcPr>
          <w:p w14:paraId="601F5C98" w14:textId="77777777" w:rsidR="00A74088" w:rsidRPr="002A7673" w:rsidRDefault="00A74088" w:rsidP="0048334E">
            <w:pPr>
              <w:jc w:val="right"/>
              <w:rPr>
                <w:rFonts w:ascii="Times New Roman" w:hAnsi="Times New Roman" w:cs="Times New Roman"/>
                <w:b/>
                <w:bCs/>
                <w:sz w:val="18"/>
                <w:szCs w:val="18"/>
              </w:rPr>
            </w:pPr>
            <w:r w:rsidRPr="002A7673">
              <w:rPr>
                <w:rFonts w:ascii="Times New Roman" w:hAnsi="Times New Roman" w:cs="Times New Roman"/>
                <w:b/>
                <w:bCs/>
                <w:sz w:val="18"/>
                <w:szCs w:val="18"/>
              </w:rPr>
              <w:t>700,000</w:t>
            </w:r>
          </w:p>
        </w:tc>
        <w:tc>
          <w:tcPr>
            <w:tcW w:w="3440" w:type="dxa"/>
            <w:tcBorders>
              <w:top w:val="nil"/>
              <w:left w:val="nil"/>
              <w:bottom w:val="single" w:sz="4" w:space="0" w:color="auto"/>
              <w:right w:val="single" w:sz="4" w:space="0" w:color="auto"/>
            </w:tcBorders>
            <w:shd w:val="clear" w:color="auto" w:fill="auto"/>
            <w:noWrap/>
            <w:vAlign w:val="center"/>
            <w:hideMark/>
          </w:tcPr>
          <w:p w14:paraId="2E3027CF" w14:textId="77777777" w:rsidR="00A74088" w:rsidRPr="002A7673" w:rsidRDefault="00A74088" w:rsidP="0048334E">
            <w:pPr>
              <w:rPr>
                <w:rFonts w:ascii="Times New Roman" w:hAnsi="Times New Roman" w:cs="Times New Roman"/>
                <w:color w:val="000000"/>
                <w:sz w:val="18"/>
                <w:szCs w:val="18"/>
              </w:rPr>
            </w:pPr>
            <w:r w:rsidRPr="002A7673">
              <w:rPr>
                <w:rFonts w:ascii="Times New Roman" w:hAnsi="Times New Roman" w:cs="Times New Roman"/>
                <w:color w:val="000000"/>
                <w:sz w:val="18"/>
                <w:szCs w:val="18"/>
              </w:rPr>
              <w:t> </w:t>
            </w:r>
          </w:p>
        </w:tc>
      </w:tr>
      <w:tr w:rsidR="00A74088" w:rsidRPr="002A7673" w14:paraId="48518293" w14:textId="77777777" w:rsidTr="0048334E">
        <w:trPr>
          <w:trHeight w:val="285"/>
          <w:jc w:val="center"/>
        </w:trPr>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958B9E" w14:textId="77777777" w:rsidR="00A74088" w:rsidRPr="002A7673" w:rsidRDefault="00A74088" w:rsidP="0048334E">
            <w:pPr>
              <w:jc w:val="center"/>
              <w:rPr>
                <w:rFonts w:ascii="Times New Roman" w:hAnsi="Times New Roman" w:cs="Times New Roman"/>
                <w:b/>
                <w:bCs/>
                <w:sz w:val="18"/>
                <w:szCs w:val="18"/>
              </w:rPr>
            </w:pPr>
            <w:r w:rsidRPr="002A7673">
              <w:rPr>
                <w:rFonts w:ascii="Times New Roman" w:hAnsi="Times New Roman" w:cs="Times New Roman"/>
                <w:b/>
                <w:bCs/>
                <w:sz w:val="18"/>
                <w:szCs w:val="18"/>
              </w:rPr>
              <w:t>1167-OIJ-P17</w:t>
            </w:r>
          </w:p>
        </w:tc>
        <w:tc>
          <w:tcPr>
            <w:tcW w:w="1930" w:type="dxa"/>
            <w:vMerge w:val="restart"/>
            <w:tcBorders>
              <w:top w:val="nil"/>
              <w:left w:val="single" w:sz="4" w:space="0" w:color="auto"/>
              <w:bottom w:val="single" w:sz="4" w:space="0" w:color="auto"/>
              <w:right w:val="single" w:sz="4" w:space="0" w:color="auto"/>
            </w:tcBorders>
            <w:shd w:val="clear" w:color="auto" w:fill="auto"/>
            <w:vAlign w:val="center"/>
            <w:hideMark/>
          </w:tcPr>
          <w:p w14:paraId="581A0D48" w14:textId="77777777" w:rsidR="00A74088" w:rsidRPr="002A7673" w:rsidRDefault="00A74088" w:rsidP="0048334E">
            <w:pPr>
              <w:jc w:val="center"/>
              <w:rPr>
                <w:rFonts w:ascii="Times New Roman" w:hAnsi="Times New Roman" w:cs="Times New Roman"/>
                <w:b/>
                <w:bCs/>
                <w:sz w:val="18"/>
                <w:szCs w:val="18"/>
              </w:rPr>
            </w:pPr>
            <w:r w:rsidRPr="002A7673">
              <w:rPr>
                <w:rFonts w:ascii="Times New Roman" w:hAnsi="Times New Roman" w:cs="Times New Roman"/>
                <w:b/>
                <w:bCs/>
                <w:sz w:val="18"/>
                <w:szCs w:val="18"/>
              </w:rPr>
              <w:t>Acreditación ISO 17020 e ISO 17025 SIORI</w:t>
            </w:r>
          </w:p>
        </w:tc>
        <w:tc>
          <w:tcPr>
            <w:tcW w:w="777" w:type="dxa"/>
            <w:tcBorders>
              <w:top w:val="nil"/>
              <w:left w:val="nil"/>
              <w:bottom w:val="single" w:sz="4" w:space="0" w:color="auto"/>
              <w:right w:val="single" w:sz="4" w:space="0" w:color="auto"/>
            </w:tcBorders>
            <w:shd w:val="clear" w:color="auto" w:fill="auto"/>
            <w:noWrap/>
            <w:vAlign w:val="center"/>
            <w:hideMark/>
          </w:tcPr>
          <w:p w14:paraId="7A7C57AC"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10401</w:t>
            </w:r>
          </w:p>
        </w:tc>
        <w:tc>
          <w:tcPr>
            <w:tcW w:w="2693" w:type="dxa"/>
            <w:tcBorders>
              <w:top w:val="nil"/>
              <w:left w:val="nil"/>
              <w:bottom w:val="single" w:sz="4" w:space="0" w:color="auto"/>
              <w:right w:val="single" w:sz="4" w:space="0" w:color="auto"/>
            </w:tcBorders>
            <w:shd w:val="clear" w:color="auto" w:fill="auto"/>
            <w:noWrap/>
            <w:vAlign w:val="center"/>
            <w:hideMark/>
          </w:tcPr>
          <w:p w14:paraId="0F3C5D7E" w14:textId="77777777" w:rsidR="00A74088" w:rsidRPr="002A7673" w:rsidRDefault="00A74088" w:rsidP="0048334E">
            <w:pPr>
              <w:rPr>
                <w:rFonts w:ascii="Times New Roman" w:hAnsi="Times New Roman" w:cs="Times New Roman"/>
                <w:sz w:val="18"/>
                <w:szCs w:val="18"/>
              </w:rPr>
            </w:pPr>
            <w:r w:rsidRPr="002A7673">
              <w:rPr>
                <w:rFonts w:ascii="Times New Roman" w:hAnsi="Times New Roman" w:cs="Times New Roman"/>
                <w:sz w:val="18"/>
                <w:szCs w:val="18"/>
              </w:rPr>
              <w:t>Servicios en ciencias de la salud</w:t>
            </w:r>
          </w:p>
        </w:tc>
        <w:tc>
          <w:tcPr>
            <w:tcW w:w="1417" w:type="dxa"/>
            <w:tcBorders>
              <w:top w:val="nil"/>
              <w:left w:val="nil"/>
              <w:bottom w:val="single" w:sz="4" w:space="0" w:color="auto"/>
              <w:right w:val="single" w:sz="4" w:space="0" w:color="auto"/>
            </w:tcBorders>
            <w:shd w:val="clear" w:color="auto" w:fill="auto"/>
            <w:noWrap/>
            <w:vAlign w:val="center"/>
            <w:hideMark/>
          </w:tcPr>
          <w:p w14:paraId="19DB75EE" w14:textId="77777777" w:rsidR="00A74088" w:rsidRPr="002A7673" w:rsidRDefault="00A74088" w:rsidP="0048334E">
            <w:pPr>
              <w:jc w:val="right"/>
              <w:rPr>
                <w:rFonts w:ascii="Times New Roman" w:hAnsi="Times New Roman" w:cs="Times New Roman"/>
                <w:sz w:val="18"/>
                <w:szCs w:val="18"/>
              </w:rPr>
            </w:pPr>
            <w:r w:rsidRPr="002A7673">
              <w:rPr>
                <w:rFonts w:ascii="Times New Roman" w:hAnsi="Times New Roman" w:cs="Times New Roman"/>
                <w:sz w:val="18"/>
                <w:szCs w:val="18"/>
              </w:rPr>
              <w:t>5,573,270</w:t>
            </w:r>
          </w:p>
        </w:tc>
        <w:tc>
          <w:tcPr>
            <w:tcW w:w="3440" w:type="dxa"/>
            <w:tcBorders>
              <w:top w:val="nil"/>
              <w:left w:val="nil"/>
              <w:bottom w:val="single" w:sz="4" w:space="0" w:color="auto"/>
              <w:right w:val="single" w:sz="4" w:space="0" w:color="auto"/>
            </w:tcBorders>
            <w:shd w:val="clear" w:color="auto" w:fill="auto"/>
            <w:noWrap/>
            <w:vAlign w:val="center"/>
            <w:hideMark/>
          </w:tcPr>
          <w:p w14:paraId="1347E60F" w14:textId="77777777" w:rsidR="00A74088" w:rsidRPr="002A7673" w:rsidRDefault="00A74088" w:rsidP="0048334E">
            <w:pPr>
              <w:jc w:val="both"/>
              <w:rPr>
                <w:rFonts w:ascii="Times New Roman" w:hAnsi="Times New Roman" w:cs="Times New Roman"/>
                <w:color w:val="000000"/>
                <w:sz w:val="18"/>
                <w:szCs w:val="18"/>
              </w:rPr>
            </w:pPr>
            <w:r w:rsidRPr="002A7673">
              <w:rPr>
                <w:rFonts w:ascii="Times New Roman" w:hAnsi="Times New Roman" w:cs="Times New Roman"/>
                <w:color w:val="000000"/>
                <w:sz w:val="18"/>
                <w:szCs w:val="18"/>
              </w:rPr>
              <w:t xml:space="preserve">Las pruebas de </w:t>
            </w:r>
            <w:proofErr w:type="spellStart"/>
            <w:r w:rsidRPr="002A7673">
              <w:rPr>
                <w:rFonts w:ascii="Times New Roman" w:hAnsi="Times New Roman" w:cs="Times New Roman"/>
                <w:color w:val="000000"/>
                <w:sz w:val="18"/>
                <w:szCs w:val="18"/>
              </w:rPr>
              <w:t>proeficiencia</w:t>
            </w:r>
            <w:proofErr w:type="spellEnd"/>
            <w:r w:rsidRPr="002A7673">
              <w:rPr>
                <w:rFonts w:ascii="Times New Roman" w:hAnsi="Times New Roman" w:cs="Times New Roman"/>
                <w:color w:val="000000"/>
                <w:sz w:val="18"/>
                <w:szCs w:val="18"/>
              </w:rPr>
              <w:t xml:space="preserve"> se deben aplicar a todo el personal policial al menos una vez al año, esto como parte de los requisitos de comprobación del conocimiento. Parte de los requisitos ANAB para la acreditación.</w:t>
            </w:r>
          </w:p>
        </w:tc>
      </w:tr>
      <w:tr w:rsidR="00A74088" w:rsidRPr="002A7673" w14:paraId="54E29786" w14:textId="77777777" w:rsidTr="0048334E">
        <w:trPr>
          <w:trHeight w:val="270"/>
          <w:jc w:val="center"/>
        </w:trPr>
        <w:tc>
          <w:tcPr>
            <w:tcW w:w="992" w:type="dxa"/>
            <w:vMerge/>
            <w:tcBorders>
              <w:top w:val="nil"/>
              <w:left w:val="single" w:sz="4" w:space="0" w:color="auto"/>
              <w:bottom w:val="single" w:sz="4" w:space="0" w:color="auto"/>
              <w:right w:val="single" w:sz="4" w:space="0" w:color="auto"/>
            </w:tcBorders>
            <w:vAlign w:val="center"/>
            <w:hideMark/>
          </w:tcPr>
          <w:p w14:paraId="7A0B12EC" w14:textId="77777777" w:rsidR="00A74088" w:rsidRPr="002A7673" w:rsidRDefault="00A74088" w:rsidP="0048334E">
            <w:pPr>
              <w:rPr>
                <w:rFonts w:ascii="Times New Roman" w:hAnsi="Times New Roman" w:cs="Times New Roman"/>
                <w:b/>
                <w:bCs/>
                <w:sz w:val="18"/>
                <w:szCs w:val="18"/>
              </w:rPr>
            </w:pPr>
          </w:p>
        </w:tc>
        <w:tc>
          <w:tcPr>
            <w:tcW w:w="1930" w:type="dxa"/>
            <w:vMerge/>
            <w:tcBorders>
              <w:top w:val="nil"/>
              <w:left w:val="single" w:sz="4" w:space="0" w:color="auto"/>
              <w:bottom w:val="single" w:sz="4" w:space="0" w:color="auto"/>
              <w:right w:val="single" w:sz="4" w:space="0" w:color="auto"/>
            </w:tcBorders>
            <w:vAlign w:val="center"/>
            <w:hideMark/>
          </w:tcPr>
          <w:p w14:paraId="15E1D98E" w14:textId="77777777" w:rsidR="00A74088" w:rsidRPr="002A7673" w:rsidRDefault="00A74088" w:rsidP="0048334E">
            <w:pPr>
              <w:rPr>
                <w:rFonts w:ascii="Times New Roman" w:hAnsi="Times New Roman" w:cs="Times New Roman"/>
                <w:b/>
                <w:bCs/>
                <w:sz w:val="18"/>
                <w:szCs w:val="18"/>
              </w:rPr>
            </w:pPr>
          </w:p>
        </w:tc>
        <w:tc>
          <w:tcPr>
            <w:tcW w:w="777" w:type="dxa"/>
            <w:tcBorders>
              <w:top w:val="nil"/>
              <w:left w:val="nil"/>
              <w:bottom w:val="single" w:sz="4" w:space="0" w:color="auto"/>
              <w:right w:val="single" w:sz="4" w:space="0" w:color="auto"/>
            </w:tcBorders>
            <w:shd w:val="clear" w:color="auto" w:fill="auto"/>
            <w:noWrap/>
            <w:vAlign w:val="center"/>
            <w:hideMark/>
          </w:tcPr>
          <w:p w14:paraId="1463CCC5" w14:textId="77777777" w:rsidR="00A74088" w:rsidRPr="002A7673" w:rsidRDefault="00A74088" w:rsidP="0048334E">
            <w:pPr>
              <w:rPr>
                <w:rFonts w:ascii="Times New Roman" w:hAnsi="Times New Roman" w:cs="Times New Roman"/>
                <w:sz w:val="18"/>
                <w:szCs w:val="18"/>
                <w:highlight w:val="yellow"/>
              </w:rPr>
            </w:pPr>
            <w:r w:rsidRPr="002A7673">
              <w:rPr>
                <w:rFonts w:ascii="Times New Roman" w:hAnsi="Times New Roman" w:cs="Times New Roman"/>
                <w:sz w:val="18"/>
                <w:szCs w:val="18"/>
              </w:rPr>
              <w:t>10499</w:t>
            </w:r>
          </w:p>
        </w:tc>
        <w:tc>
          <w:tcPr>
            <w:tcW w:w="2693" w:type="dxa"/>
            <w:tcBorders>
              <w:top w:val="nil"/>
              <w:left w:val="nil"/>
              <w:bottom w:val="single" w:sz="4" w:space="0" w:color="auto"/>
              <w:right w:val="single" w:sz="4" w:space="0" w:color="auto"/>
            </w:tcBorders>
            <w:shd w:val="clear" w:color="auto" w:fill="auto"/>
            <w:noWrap/>
            <w:vAlign w:val="center"/>
            <w:hideMark/>
          </w:tcPr>
          <w:p w14:paraId="53B34D2C" w14:textId="77777777" w:rsidR="00A74088" w:rsidRPr="002A7673" w:rsidRDefault="00A74088" w:rsidP="0048334E">
            <w:pPr>
              <w:jc w:val="both"/>
              <w:rPr>
                <w:rFonts w:ascii="Times New Roman" w:hAnsi="Times New Roman" w:cs="Times New Roman"/>
                <w:sz w:val="18"/>
                <w:szCs w:val="18"/>
                <w:highlight w:val="yellow"/>
              </w:rPr>
            </w:pPr>
            <w:r w:rsidRPr="002A7673">
              <w:rPr>
                <w:rFonts w:ascii="Times New Roman" w:hAnsi="Times New Roman" w:cs="Times New Roman"/>
                <w:sz w:val="18"/>
                <w:szCs w:val="18"/>
              </w:rPr>
              <w:t>Otros Servicios de Gestión y Apoyo</w:t>
            </w:r>
          </w:p>
        </w:tc>
        <w:tc>
          <w:tcPr>
            <w:tcW w:w="1417" w:type="dxa"/>
            <w:tcBorders>
              <w:top w:val="nil"/>
              <w:left w:val="nil"/>
              <w:bottom w:val="single" w:sz="4" w:space="0" w:color="auto"/>
              <w:right w:val="single" w:sz="4" w:space="0" w:color="auto"/>
            </w:tcBorders>
            <w:shd w:val="clear" w:color="auto" w:fill="auto"/>
            <w:noWrap/>
            <w:vAlign w:val="center"/>
            <w:hideMark/>
          </w:tcPr>
          <w:p w14:paraId="20A48640" w14:textId="77777777" w:rsidR="00A74088" w:rsidRPr="002A7673" w:rsidRDefault="00A74088" w:rsidP="0048334E">
            <w:pPr>
              <w:jc w:val="right"/>
              <w:rPr>
                <w:rFonts w:ascii="Times New Roman" w:hAnsi="Times New Roman" w:cs="Times New Roman"/>
                <w:sz w:val="18"/>
                <w:szCs w:val="18"/>
                <w:highlight w:val="yellow"/>
              </w:rPr>
            </w:pPr>
            <w:r w:rsidRPr="002A7673">
              <w:rPr>
                <w:rFonts w:ascii="Times New Roman" w:hAnsi="Times New Roman" w:cs="Times New Roman"/>
                <w:sz w:val="18"/>
                <w:szCs w:val="18"/>
              </w:rPr>
              <w:t>3,519,690</w:t>
            </w:r>
          </w:p>
        </w:tc>
        <w:tc>
          <w:tcPr>
            <w:tcW w:w="3440" w:type="dxa"/>
            <w:tcBorders>
              <w:top w:val="nil"/>
              <w:left w:val="nil"/>
              <w:bottom w:val="single" w:sz="4" w:space="0" w:color="auto"/>
              <w:right w:val="single" w:sz="4" w:space="0" w:color="auto"/>
            </w:tcBorders>
            <w:shd w:val="clear" w:color="auto" w:fill="auto"/>
            <w:noWrap/>
            <w:vAlign w:val="center"/>
            <w:hideMark/>
          </w:tcPr>
          <w:p w14:paraId="62BF02FD" w14:textId="77777777" w:rsidR="00A74088" w:rsidRPr="002A7673" w:rsidRDefault="00A74088" w:rsidP="0048334E">
            <w:pPr>
              <w:jc w:val="both"/>
              <w:rPr>
                <w:rFonts w:ascii="Times New Roman" w:hAnsi="Times New Roman" w:cs="Times New Roman"/>
                <w:color w:val="000000"/>
                <w:sz w:val="18"/>
                <w:szCs w:val="18"/>
              </w:rPr>
            </w:pPr>
            <w:r w:rsidRPr="002A7673">
              <w:rPr>
                <w:rFonts w:ascii="Times New Roman" w:hAnsi="Times New Roman" w:cs="Times New Roman"/>
                <w:color w:val="000000"/>
                <w:sz w:val="18"/>
                <w:szCs w:val="18"/>
              </w:rPr>
              <w:t>El personal debe estar certificado para efectuar las actividades que fiscaliza la norma ISO 17020.</w:t>
            </w:r>
          </w:p>
        </w:tc>
      </w:tr>
      <w:tr w:rsidR="00A74088" w:rsidRPr="002A7673" w14:paraId="34BF8521" w14:textId="77777777" w:rsidTr="0048334E">
        <w:trPr>
          <w:trHeight w:val="285"/>
          <w:jc w:val="center"/>
        </w:trPr>
        <w:tc>
          <w:tcPr>
            <w:tcW w:w="992" w:type="dxa"/>
            <w:vMerge/>
            <w:tcBorders>
              <w:top w:val="nil"/>
              <w:left w:val="single" w:sz="4" w:space="0" w:color="auto"/>
              <w:bottom w:val="single" w:sz="4" w:space="0" w:color="auto"/>
              <w:right w:val="single" w:sz="4" w:space="0" w:color="auto"/>
            </w:tcBorders>
            <w:vAlign w:val="center"/>
            <w:hideMark/>
          </w:tcPr>
          <w:p w14:paraId="13DBD3F0" w14:textId="77777777" w:rsidR="00A74088" w:rsidRPr="002A7673" w:rsidRDefault="00A74088" w:rsidP="0048334E">
            <w:pPr>
              <w:rPr>
                <w:rFonts w:ascii="Times New Roman" w:hAnsi="Times New Roman" w:cs="Times New Roman"/>
                <w:b/>
                <w:bCs/>
                <w:sz w:val="18"/>
                <w:szCs w:val="18"/>
              </w:rPr>
            </w:pPr>
          </w:p>
        </w:tc>
        <w:tc>
          <w:tcPr>
            <w:tcW w:w="1930" w:type="dxa"/>
            <w:vMerge/>
            <w:tcBorders>
              <w:top w:val="nil"/>
              <w:left w:val="single" w:sz="4" w:space="0" w:color="auto"/>
              <w:bottom w:val="single" w:sz="4" w:space="0" w:color="auto"/>
              <w:right w:val="single" w:sz="4" w:space="0" w:color="auto"/>
            </w:tcBorders>
            <w:vAlign w:val="center"/>
            <w:hideMark/>
          </w:tcPr>
          <w:p w14:paraId="735E5302" w14:textId="77777777" w:rsidR="00A74088" w:rsidRPr="002A7673" w:rsidRDefault="00A74088" w:rsidP="0048334E">
            <w:pPr>
              <w:rPr>
                <w:rFonts w:ascii="Times New Roman" w:hAnsi="Times New Roman" w:cs="Times New Roman"/>
                <w:b/>
                <w:bCs/>
                <w:sz w:val="18"/>
                <w:szCs w:val="18"/>
              </w:rPr>
            </w:pPr>
          </w:p>
        </w:tc>
        <w:tc>
          <w:tcPr>
            <w:tcW w:w="3470"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04A3761B" w14:textId="77777777" w:rsidR="00A74088" w:rsidRPr="002A7673" w:rsidRDefault="00A74088" w:rsidP="0048334E">
            <w:pPr>
              <w:jc w:val="right"/>
              <w:rPr>
                <w:rFonts w:ascii="Times New Roman" w:hAnsi="Times New Roman" w:cs="Times New Roman"/>
                <w:b/>
                <w:bCs/>
                <w:color w:val="1F4E78"/>
                <w:sz w:val="18"/>
                <w:szCs w:val="18"/>
              </w:rPr>
            </w:pPr>
            <w:proofErr w:type="gramStart"/>
            <w:r w:rsidRPr="002A7673">
              <w:rPr>
                <w:rFonts w:ascii="Times New Roman" w:hAnsi="Times New Roman" w:cs="Times New Roman"/>
                <w:b/>
                <w:bCs/>
                <w:color w:val="1F4E78"/>
                <w:sz w:val="18"/>
                <w:szCs w:val="18"/>
              </w:rPr>
              <w:t>Total</w:t>
            </w:r>
            <w:proofErr w:type="gramEnd"/>
            <w:r w:rsidRPr="002A7673">
              <w:rPr>
                <w:rFonts w:ascii="Times New Roman" w:hAnsi="Times New Roman" w:cs="Times New Roman"/>
                <w:b/>
                <w:bCs/>
                <w:color w:val="1F4E78"/>
                <w:sz w:val="18"/>
                <w:szCs w:val="18"/>
              </w:rPr>
              <w:t xml:space="preserve"> del proyecto</w:t>
            </w:r>
          </w:p>
        </w:tc>
        <w:tc>
          <w:tcPr>
            <w:tcW w:w="1417" w:type="dxa"/>
            <w:tcBorders>
              <w:top w:val="nil"/>
              <w:left w:val="nil"/>
              <w:bottom w:val="single" w:sz="4" w:space="0" w:color="auto"/>
              <w:right w:val="single" w:sz="4" w:space="0" w:color="auto"/>
            </w:tcBorders>
            <w:shd w:val="clear" w:color="auto" w:fill="F2F2F2" w:themeFill="background1" w:themeFillShade="F2"/>
            <w:noWrap/>
            <w:vAlign w:val="center"/>
            <w:hideMark/>
          </w:tcPr>
          <w:p w14:paraId="0DF69F63" w14:textId="77777777" w:rsidR="00A74088" w:rsidRPr="002A7673" w:rsidRDefault="00A74088" w:rsidP="0048334E">
            <w:pPr>
              <w:jc w:val="right"/>
              <w:rPr>
                <w:rFonts w:ascii="Times New Roman" w:hAnsi="Times New Roman" w:cs="Times New Roman"/>
                <w:b/>
                <w:bCs/>
                <w:sz w:val="18"/>
                <w:szCs w:val="18"/>
              </w:rPr>
            </w:pPr>
            <w:r w:rsidRPr="002A7673">
              <w:rPr>
                <w:rFonts w:ascii="Times New Roman" w:hAnsi="Times New Roman" w:cs="Times New Roman"/>
                <w:b/>
                <w:bCs/>
                <w:sz w:val="18"/>
                <w:szCs w:val="18"/>
              </w:rPr>
              <w:t>9,092,960</w:t>
            </w:r>
          </w:p>
        </w:tc>
        <w:tc>
          <w:tcPr>
            <w:tcW w:w="3440" w:type="dxa"/>
            <w:tcBorders>
              <w:top w:val="nil"/>
              <w:left w:val="nil"/>
              <w:bottom w:val="single" w:sz="4" w:space="0" w:color="auto"/>
              <w:right w:val="single" w:sz="4" w:space="0" w:color="auto"/>
            </w:tcBorders>
            <w:shd w:val="clear" w:color="auto" w:fill="auto"/>
            <w:noWrap/>
            <w:vAlign w:val="center"/>
            <w:hideMark/>
          </w:tcPr>
          <w:p w14:paraId="494D4792" w14:textId="77777777" w:rsidR="00A74088" w:rsidRPr="002A7673" w:rsidRDefault="00A74088" w:rsidP="0048334E">
            <w:pPr>
              <w:rPr>
                <w:rFonts w:ascii="Times New Roman" w:hAnsi="Times New Roman" w:cs="Times New Roman"/>
                <w:color w:val="000000"/>
                <w:sz w:val="18"/>
                <w:szCs w:val="18"/>
              </w:rPr>
            </w:pPr>
            <w:r w:rsidRPr="002A7673">
              <w:rPr>
                <w:rFonts w:ascii="Times New Roman" w:hAnsi="Times New Roman" w:cs="Times New Roman"/>
                <w:color w:val="000000"/>
                <w:sz w:val="18"/>
                <w:szCs w:val="18"/>
              </w:rPr>
              <w:t> </w:t>
            </w:r>
          </w:p>
        </w:tc>
      </w:tr>
      <w:tr w:rsidR="00A74088" w:rsidRPr="002A7673" w14:paraId="52D9D6A2" w14:textId="77777777" w:rsidTr="0048334E">
        <w:trPr>
          <w:trHeight w:val="285"/>
          <w:jc w:val="center"/>
        </w:trPr>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631BB4" w14:textId="77777777" w:rsidR="00A74088" w:rsidRPr="002A7673" w:rsidRDefault="00A74088" w:rsidP="0048334E">
            <w:pPr>
              <w:jc w:val="center"/>
              <w:rPr>
                <w:rFonts w:ascii="Times New Roman" w:hAnsi="Times New Roman" w:cs="Times New Roman"/>
                <w:b/>
                <w:bCs/>
                <w:sz w:val="18"/>
                <w:szCs w:val="18"/>
              </w:rPr>
            </w:pPr>
            <w:r w:rsidRPr="002A7673">
              <w:rPr>
                <w:rFonts w:ascii="Times New Roman" w:hAnsi="Times New Roman" w:cs="Times New Roman"/>
                <w:b/>
                <w:bCs/>
                <w:sz w:val="18"/>
                <w:szCs w:val="18"/>
              </w:rPr>
              <w:t>1167-OIJ-P18</w:t>
            </w:r>
          </w:p>
        </w:tc>
        <w:tc>
          <w:tcPr>
            <w:tcW w:w="1930" w:type="dxa"/>
            <w:vMerge w:val="restart"/>
            <w:tcBorders>
              <w:top w:val="nil"/>
              <w:left w:val="single" w:sz="4" w:space="0" w:color="auto"/>
              <w:bottom w:val="single" w:sz="4" w:space="0" w:color="auto"/>
              <w:right w:val="single" w:sz="4" w:space="0" w:color="auto"/>
            </w:tcBorders>
            <w:shd w:val="clear" w:color="auto" w:fill="auto"/>
            <w:vAlign w:val="center"/>
            <w:hideMark/>
          </w:tcPr>
          <w:p w14:paraId="1F2AA4A1" w14:textId="77777777" w:rsidR="00A74088" w:rsidRPr="002A7673" w:rsidRDefault="00A74088" w:rsidP="0048334E">
            <w:pPr>
              <w:jc w:val="center"/>
              <w:rPr>
                <w:rFonts w:ascii="Times New Roman" w:hAnsi="Times New Roman" w:cs="Times New Roman"/>
                <w:b/>
                <w:bCs/>
                <w:sz w:val="18"/>
                <w:szCs w:val="18"/>
              </w:rPr>
            </w:pPr>
            <w:r w:rsidRPr="002A7673">
              <w:rPr>
                <w:rFonts w:ascii="Times New Roman" w:hAnsi="Times New Roman" w:cs="Times New Roman"/>
                <w:b/>
                <w:bCs/>
                <w:sz w:val="18"/>
                <w:szCs w:val="18"/>
              </w:rPr>
              <w:t>Acreditación ISO 27001 UTI y PIP</w:t>
            </w:r>
          </w:p>
        </w:tc>
        <w:tc>
          <w:tcPr>
            <w:tcW w:w="777" w:type="dxa"/>
            <w:tcBorders>
              <w:top w:val="nil"/>
              <w:left w:val="nil"/>
              <w:bottom w:val="single" w:sz="4" w:space="0" w:color="auto"/>
              <w:right w:val="single" w:sz="4" w:space="0" w:color="auto"/>
            </w:tcBorders>
            <w:shd w:val="clear" w:color="auto" w:fill="auto"/>
            <w:noWrap/>
            <w:vAlign w:val="center"/>
            <w:hideMark/>
          </w:tcPr>
          <w:p w14:paraId="41FA7EF8" w14:textId="77777777" w:rsidR="00A74088" w:rsidRPr="002A7673" w:rsidRDefault="00A74088" w:rsidP="0048334E">
            <w:pPr>
              <w:rPr>
                <w:rFonts w:ascii="Times New Roman" w:hAnsi="Times New Roman" w:cs="Times New Roman"/>
                <w:sz w:val="18"/>
                <w:szCs w:val="18"/>
                <w:highlight w:val="yellow"/>
              </w:rPr>
            </w:pPr>
            <w:r w:rsidRPr="002A7673">
              <w:rPr>
                <w:rFonts w:ascii="Times New Roman" w:hAnsi="Times New Roman" w:cs="Times New Roman"/>
                <w:sz w:val="18"/>
                <w:szCs w:val="18"/>
              </w:rPr>
              <w:t>10405</w:t>
            </w:r>
          </w:p>
        </w:tc>
        <w:tc>
          <w:tcPr>
            <w:tcW w:w="2693" w:type="dxa"/>
            <w:tcBorders>
              <w:top w:val="nil"/>
              <w:left w:val="nil"/>
              <w:bottom w:val="single" w:sz="4" w:space="0" w:color="auto"/>
              <w:right w:val="single" w:sz="4" w:space="0" w:color="auto"/>
            </w:tcBorders>
            <w:shd w:val="clear" w:color="auto" w:fill="auto"/>
            <w:noWrap/>
            <w:vAlign w:val="center"/>
            <w:hideMark/>
          </w:tcPr>
          <w:p w14:paraId="41E5B8B3" w14:textId="77777777" w:rsidR="00A74088" w:rsidRPr="002A7673" w:rsidRDefault="00A74088" w:rsidP="0048334E">
            <w:pPr>
              <w:jc w:val="both"/>
              <w:rPr>
                <w:rFonts w:ascii="Times New Roman" w:hAnsi="Times New Roman" w:cs="Times New Roman"/>
                <w:sz w:val="18"/>
                <w:szCs w:val="18"/>
                <w:highlight w:val="yellow"/>
              </w:rPr>
            </w:pPr>
            <w:r w:rsidRPr="002A7673">
              <w:rPr>
                <w:rFonts w:ascii="Times New Roman" w:hAnsi="Times New Roman" w:cs="Times New Roman"/>
                <w:sz w:val="18"/>
                <w:szCs w:val="18"/>
              </w:rPr>
              <w:t>Servicios de Desarrollo de Sistemas Informáticos</w:t>
            </w:r>
          </w:p>
        </w:tc>
        <w:tc>
          <w:tcPr>
            <w:tcW w:w="1417" w:type="dxa"/>
            <w:tcBorders>
              <w:top w:val="nil"/>
              <w:left w:val="nil"/>
              <w:bottom w:val="single" w:sz="4" w:space="0" w:color="auto"/>
              <w:right w:val="single" w:sz="4" w:space="0" w:color="auto"/>
            </w:tcBorders>
            <w:shd w:val="clear" w:color="auto" w:fill="auto"/>
            <w:noWrap/>
            <w:vAlign w:val="center"/>
            <w:hideMark/>
          </w:tcPr>
          <w:p w14:paraId="24EB853E" w14:textId="77777777" w:rsidR="00A74088" w:rsidRPr="002A7673" w:rsidRDefault="00A74088" w:rsidP="0048334E">
            <w:pPr>
              <w:jc w:val="right"/>
              <w:rPr>
                <w:rFonts w:ascii="Times New Roman" w:hAnsi="Times New Roman" w:cs="Times New Roman"/>
                <w:sz w:val="18"/>
                <w:szCs w:val="18"/>
              </w:rPr>
            </w:pPr>
            <w:r w:rsidRPr="002A7673">
              <w:rPr>
                <w:rFonts w:ascii="Times New Roman" w:hAnsi="Times New Roman" w:cs="Times New Roman"/>
                <w:sz w:val="18"/>
                <w:szCs w:val="18"/>
              </w:rPr>
              <w:t>11,470,000</w:t>
            </w:r>
          </w:p>
        </w:tc>
        <w:tc>
          <w:tcPr>
            <w:tcW w:w="3440" w:type="dxa"/>
            <w:tcBorders>
              <w:top w:val="nil"/>
              <w:left w:val="nil"/>
              <w:bottom w:val="single" w:sz="4" w:space="0" w:color="auto"/>
              <w:right w:val="single" w:sz="4" w:space="0" w:color="auto"/>
            </w:tcBorders>
            <w:shd w:val="clear" w:color="auto" w:fill="auto"/>
            <w:noWrap/>
            <w:vAlign w:val="center"/>
            <w:hideMark/>
          </w:tcPr>
          <w:p w14:paraId="7A6369AC" w14:textId="77777777" w:rsidR="00A74088" w:rsidRPr="002A7673" w:rsidRDefault="00A74088" w:rsidP="0048334E">
            <w:pPr>
              <w:jc w:val="both"/>
              <w:rPr>
                <w:rFonts w:ascii="Times New Roman" w:hAnsi="Times New Roman" w:cs="Times New Roman"/>
                <w:color w:val="000000"/>
                <w:sz w:val="18"/>
                <w:szCs w:val="18"/>
              </w:rPr>
            </w:pPr>
            <w:r w:rsidRPr="002A7673">
              <w:rPr>
                <w:rFonts w:ascii="Times New Roman" w:hAnsi="Times New Roman" w:cs="Times New Roman"/>
                <w:color w:val="000000"/>
                <w:sz w:val="18"/>
                <w:szCs w:val="18"/>
              </w:rPr>
              <w:t>Para el año 2022, en las fases de implementación de la norma ISO 27001 en las oficinas Unidad Tecnológica Informática y Plataforma de Información Policial, se hace necesario contratar una empresa consultora que brinde acompañamiento en las tareas relacionadas con la sensibilización del personal en materia de ciberseguridad, normativa, controles y demás.  Los cuales son temas relevantes para asegurar el correcto compromiso del personal, para poder dar cumplimiento a dicha norma, donde lo más importante es salvaguardar la información sensible que administra el OIJ. </w:t>
            </w:r>
          </w:p>
        </w:tc>
      </w:tr>
      <w:tr w:rsidR="00A74088" w:rsidRPr="002A7673" w14:paraId="7F84FF02" w14:textId="77777777" w:rsidTr="0048334E">
        <w:trPr>
          <w:trHeight w:val="285"/>
          <w:jc w:val="center"/>
        </w:trPr>
        <w:tc>
          <w:tcPr>
            <w:tcW w:w="992" w:type="dxa"/>
            <w:vMerge/>
            <w:tcBorders>
              <w:top w:val="nil"/>
              <w:left w:val="single" w:sz="4" w:space="0" w:color="auto"/>
              <w:bottom w:val="single" w:sz="4" w:space="0" w:color="auto"/>
              <w:right w:val="single" w:sz="4" w:space="0" w:color="auto"/>
            </w:tcBorders>
            <w:vAlign w:val="center"/>
            <w:hideMark/>
          </w:tcPr>
          <w:p w14:paraId="0A0BD51A" w14:textId="77777777" w:rsidR="00A74088" w:rsidRPr="002A7673" w:rsidRDefault="00A74088" w:rsidP="0048334E">
            <w:pPr>
              <w:rPr>
                <w:rFonts w:ascii="Times New Roman" w:hAnsi="Times New Roman" w:cs="Times New Roman"/>
                <w:b/>
                <w:bCs/>
                <w:sz w:val="18"/>
                <w:szCs w:val="18"/>
              </w:rPr>
            </w:pPr>
          </w:p>
        </w:tc>
        <w:tc>
          <w:tcPr>
            <w:tcW w:w="1930" w:type="dxa"/>
            <w:vMerge/>
            <w:tcBorders>
              <w:top w:val="nil"/>
              <w:left w:val="single" w:sz="4" w:space="0" w:color="auto"/>
              <w:bottom w:val="single" w:sz="4" w:space="0" w:color="auto"/>
              <w:right w:val="single" w:sz="4" w:space="0" w:color="auto"/>
            </w:tcBorders>
            <w:vAlign w:val="center"/>
            <w:hideMark/>
          </w:tcPr>
          <w:p w14:paraId="02FB0E88" w14:textId="77777777" w:rsidR="00A74088" w:rsidRPr="002A7673" w:rsidRDefault="00A74088" w:rsidP="0048334E">
            <w:pPr>
              <w:rPr>
                <w:rFonts w:ascii="Times New Roman" w:hAnsi="Times New Roman" w:cs="Times New Roman"/>
                <w:b/>
                <w:bCs/>
                <w:sz w:val="18"/>
                <w:szCs w:val="18"/>
              </w:rPr>
            </w:pPr>
          </w:p>
        </w:tc>
        <w:tc>
          <w:tcPr>
            <w:tcW w:w="3470"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746920D7" w14:textId="77777777" w:rsidR="00A74088" w:rsidRPr="002A7673" w:rsidRDefault="00A74088" w:rsidP="0048334E">
            <w:pPr>
              <w:jc w:val="right"/>
              <w:rPr>
                <w:rFonts w:ascii="Times New Roman" w:hAnsi="Times New Roman" w:cs="Times New Roman"/>
                <w:b/>
                <w:bCs/>
                <w:color w:val="1F4E78"/>
                <w:sz w:val="18"/>
                <w:szCs w:val="18"/>
              </w:rPr>
            </w:pPr>
            <w:proofErr w:type="gramStart"/>
            <w:r w:rsidRPr="002A7673">
              <w:rPr>
                <w:rFonts w:ascii="Times New Roman" w:hAnsi="Times New Roman" w:cs="Times New Roman"/>
                <w:b/>
                <w:bCs/>
                <w:color w:val="1F4E78"/>
                <w:sz w:val="18"/>
                <w:szCs w:val="18"/>
              </w:rPr>
              <w:t>Total</w:t>
            </w:r>
            <w:proofErr w:type="gramEnd"/>
            <w:r w:rsidRPr="002A7673">
              <w:rPr>
                <w:rFonts w:ascii="Times New Roman" w:hAnsi="Times New Roman" w:cs="Times New Roman"/>
                <w:b/>
                <w:bCs/>
                <w:color w:val="1F4E78"/>
                <w:sz w:val="18"/>
                <w:szCs w:val="18"/>
              </w:rPr>
              <w:t xml:space="preserve"> del proyecto</w:t>
            </w:r>
          </w:p>
        </w:tc>
        <w:tc>
          <w:tcPr>
            <w:tcW w:w="1417" w:type="dxa"/>
            <w:tcBorders>
              <w:top w:val="nil"/>
              <w:left w:val="nil"/>
              <w:bottom w:val="single" w:sz="4" w:space="0" w:color="auto"/>
              <w:right w:val="single" w:sz="4" w:space="0" w:color="auto"/>
            </w:tcBorders>
            <w:shd w:val="clear" w:color="auto" w:fill="F2F2F2" w:themeFill="background1" w:themeFillShade="F2"/>
            <w:noWrap/>
            <w:vAlign w:val="center"/>
            <w:hideMark/>
          </w:tcPr>
          <w:p w14:paraId="001DC31C" w14:textId="77777777" w:rsidR="00A74088" w:rsidRPr="002A7673" w:rsidRDefault="00A74088" w:rsidP="0048334E">
            <w:pPr>
              <w:jc w:val="right"/>
              <w:rPr>
                <w:rFonts w:ascii="Times New Roman" w:hAnsi="Times New Roman" w:cs="Times New Roman"/>
                <w:b/>
                <w:bCs/>
                <w:sz w:val="18"/>
                <w:szCs w:val="18"/>
              </w:rPr>
            </w:pPr>
            <w:r w:rsidRPr="002A7673">
              <w:rPr>
                <w:rFonts w:ascii="Times New Roman" w:hAnsi="Times New Roman" w:cs="Times New Roman"/>
                <w:b/>
                <w:bCs/>
                <w:sz w:val="18"/>
                <w:szCs w:val="18"/>
              </w:rPr>
              <w:t>11,470,000</w:t>
            </w:r>
          </w:p>
        </w:tc>
        <w:tc>
          <w:tcPr>
            <w:tcW w:w="3440" w:type="dxa"/>
            <w:tcBorders>
              <w:top w:val="nil"/>
              <w:left w:val="nil"/>
              <w:bottom w:val="single" w:sz="4" w:space="0" w:color="auto"/>
              <w:right w:val="single" w:sz="4" w:space="0" w:color="auto"/>
            </w:tcBorders>
            <w:shd w:val="clear" w:color="auto" w:fill="auto"/>
            <w:noWrap/>
            <w:vAlign w:val="center"/>
            <w:hideMark/>
          </w:tcPr>
          <w:p w14:paraId="10D2BC0D" w14:textId="77777777" w:rsidR="00A74088" w:rsidRPr="002A7673" w:rsidRDefault="00A74088" w:rsidP="0048334E">
            <w:pPr>
              <w:rPr>
                <w:rFonts w:ascii="Times New Roman" w:hAnsi="Times New Roman" w:cs="Times New Roman"/>
                <w:color w:val="000000"/>
                <w:sz w:val="18"/>
                <w:szCs w:val="18"/>
              </w:rPr>
            </w:pPr>
            <w:r w:rsidRPr="002A7673">
              <w:rPr>
                <w:rFonts w:ascii="Times New Roman" w:hAnsi="Times New Roman" w:cs="Times New Roman"/>
                <w:color w:val="000000"/>
                <w:sz w:val="18"/>
                <w:szCs w:val="18"/>
              </w:rPr>
              <w:t> </w:t>
            </w:r>
          </w:p>
        </w:tc>
      </w:tr>
      <w:tr w:rsidR="00A74088" w:rsidRPr="002A7673" w14:paraId="103463CC" w14:textId="77777777" w:rsidTr="0048334E">
        <w:trPr>
          <w:trHeight w:val="285"/>
          <w:jc w:val="center"/>
        </w:trPr>
        <w:tc>
          <w:tcPr>
            <w:tcW w:w="992" w:type="dxa"/>
            <w:tcBorders>
              <w:top w:val="nil"/>
              <w:left w:val="nil"/>
              <w:bottom w:val="nil"/>
              <w:right w:val="nil"/>
            </w:tcBorders>
            <w:shd w:val="clear" w:color="auto" w:fill="auto"/>
            <w:noWrap/>
            <w:vAlign w:val="center"/>
            <w:hideMark/>
          </w:tcPr>
          <w:p w14:paraId="2C37F874" w14:textId="77777777" w:rsidR="00A74088" w:rsidRPr="002A7673" w:rsidRDefault="00A74088" w:rsidP="0048334E">
            <w:pPr>
              <w:rPr>
                <w:rFonts w:ascii="Times New Roman" w:hAnsi="Times New Roman" w:cs="Times New Roman"/>
                <w:color w:val="000000"/>
                <w:sz w:val="18"/>
                <w:szCs w:val="18"/>
              </w:rPr>
            </w:pPr>
          </w:p>
        </w:tc>
        <w:tc>
          <w:tcPr>
            <w:tcW w:w="1930" w:type="dxa"/>
            <w:tcBorders>
              <w:top w:val="nil"/>
              <w:left w:val="nil"/>
              <w:bottom w:val="nil"/>
              <w:right w:val="single" w:sz="4" w:space="0" w:color="auto"/>
            </w:tcBorders>
            <w:shd w:val="clear" w:color="auto" w:fill="auto"/>
            <w:noWrap/>
            <w:vAlign w:val="center"/>
            <w:hideMark/>
          </w:tcPr>
          <w:p w14:paraId="7A434870" w14:textId="77777777" w:rsidR="00A74088" w:rsidRPr="002A7673" w:rsidRDefault="00A74088" w:rsidP="0048334E">
            <w:pPr>
              <w:rPr>
                <w:rFonts w:ascii="Times New Roman" w:hAnsi="Times New Roman" w:cs="Times New Roman"/>
                <w:sz w:val="20"/>
                <w:szCs w:val="20"/>
              </w:rPr>
            </w:pPr>
          </w:p>
        </w:tc>
        <w:tc>
          <w:tcPr>
            <w:tcW w:w="3470" w:type="dxa"/>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noWrap/>
            <w:vAlign w:val="center"/>
            <w:hideMark/>
          </w:tcPr>
          <w:p w14:paraId="023EE9C7" w14:textId="77777777" w:rsidR="00A74088" w:rsidRPr="002A7673" w:rsidRDefault="00A74088" w:rsidP="0048334E">
            <w:pPr>
              <w:jc w:val="right"/>
              <w:rPr>
                <w:rFonts w:ascii="Times New Roman" w:hAnsi="Times New Roman" w:cs="Times New Roman"/>
                <w:b/>
                <w:bCs/>
                <w:color w:val="FFFFFF" w:themeColor="background1"/>
                <w:sz w:val="20"/>
                <w:szCs w:val="20"/>
              </w:rPr>
            </w:pPr>
            <w:proofErr w:type="gramStart"/>
            <w:r w:rsidRPr="002A7673">
              <w:rPr>
                <w:rFonts w:ascii="Times New Roman" w:hAnsi="Times New Roman" w:cs="Times New Roman"/>
                <w:b/>
                <w:bCs/>
                <w:color w:val="FFFFFF" w:themeColor="background1"/>
                <w:sz w:val="20"/>
                <w:szCs w:val="20"/>
              </w:rPr>
              <w:t>Total</w:t>
            </w:r>
            <w:proofErr w:type="gramEnd"/>
            <w:r w:rsidRPr="002A7673">
              <w:rPr>
                <w:rFonts w:ascii="Times New Roman" w:hAnsi="Times New Roman" w:cs="Times New Roman"/>
                <w:b/>
                <w:bCs/>
                <w:color w:val="FFFFFF" w:themeColor="background1"/>
                <w:sz w:val="20"/>
                <w:szCs w:val="20"/>
              </w:rPr>
              <w:t xml:space="preserve"> general</w:t>
            </w:r>
          </w:p>
        </w:tc>
        <w:tc>
          <w:tcPr>
            <w:tcW w:w="1417" w:type="dxa"/>
            <w:tcBorders>
              <w:top w:val="single" w:sz="4" w:space="0" w:color="auto"/>
              <w:left w:val="single" w:sz="4" w:space="0" w:color="auto"/>
              <w:bottom w:val="single" w:sz="4" w:space="0" w:color="auto"/>
              <w:right w:val="single" w:sz="4" w:space="0" w:color="auto"/>
            </w:tcBorders>
            <w:shd w:val="clear" w:color="auto" w:fill="1F3864" w:themeFill="accent5" w:themeFillShade="80"/>
            <w:noWrap/>
            <w:vAlign w:val="center"/>
            <w:hideMark/>
          </w:tcPr>
          <w:p w14:paraId="429B18C9" w14:textId="77777777" w:rsidR="00A74088" w:rsidRPr="002A7673" w:rsidRDefault="00A74088" w:rsidP="0048334E">
            <w:pPr>
              <w:jc w:val="right"/>
              <w:rPr>
                <w:rFonts w:ascii="Times New Roman" w:hAnsi="Times New Roman" w:cs="Times New Roman"/>
                <w:b/>
                <w:bCs/>
                <w:color w:val="FFFFFF" w:themeColor="background1"/>
                <w:sz w:val="20"/>
                <w:szCs w:val="20"/>
              </w:rPr>
            </w:pPr>
            <w:r w:rsidRPr="002A7673">
              <w:rPr>
                <w:rFonts w:ascii="Times New Roman" w:hAnsi="Times New Roman" w:cs="Times New Roman"/>
                <w:b/>
                <w:bCs/>
                <w:color w:val="FFFFFF" w:themeColor="background1"/>
                <w:sz w:val="20"/>
                <w:szCs w:val="20"/>
              </w:rPr>
              <w:t>521.632.035</w:t>
            </w:r>
          </w:p>
        </w:tc>
        <w:tc>
          <w:tcPr>
            <w:tcW w:w="3440" w:type="dxa"/>
            <w:tcBorders>
              <w:top w:val="nil"/>
              <w:left w:val="single" w:sz="4" w:space="0" w:color="auto"/>
              <w:bottom w:val="nil"/>
              <w:right w:val="nil"/>
            </w:tcBorders>
            <w:shd w:val="clear" w:color="auto" w:fill="auto"/>
            <w:noWrap/>
            <w:vAlign w:val="center"/>
            <w:hideMark/>
          </w:tcPr>
          <w:p w14:paraId="5312B847" w14:textId="77777777" w:rsidR="00A74088" w:rsidRPr="002A7673" w:rsidRDefault="00A74088" w:rsidP="0048334E">
            <w:pPr>
              <w:jc w:val="right"/>
              <w:rPr>
                <w:rFonts w:ascii="Times New Roman" w:hAnsi="Times New Roman" w:cs="Times New Roman"/>
                <w:b/>
                <w:bCs/>
                <w:sz w:val="18"/>
                <w:szCs w:val="18"/>
              </w:rPr>
            </w:pPr>
          </w:p>
        </w:tc>
      </w:tr>
    </w:tbl>
    <w:p w14:paraId="44E54115" w14:textId="77777777" w:rsidR="00A74088" w:rsidRPr="002A7673" w:rsidRDefault="00A74088" w:rsidP="00A74088">
      <w:pPr>
        <w:pStyle w:val="Prrafodelista"/>
        <w:spacing w:line="360" w:lineRule="auto"/>
        <w:ind w:left="916"/>
        <w:jc w:val="both"/>
        <w:rPr>
          <w:rFonts w:ascii="Times New Roman" w:hAnsi="Times New Roman" w:cs="Times New Roman"/>
          <w:sz w:val="28"/>
          <w:szCs w:val="28"/>
        </w:rPr>
      </w:pPr>
    </w:p>
    <w:p w14:paraId="29FE9068" w14:textId="77777777" w:rsidR="00A74088" w:rsidRPr="002A7673" w:rsidRDefault="00A74088" w:rsidP="00A74088">
      <w:pPr>
        <w:pStyle w:val="Prrafodelista"/>
        <w:spacing w:line="360" w:lineRule="auto"/>
        <w:ind w:left="916"/>
        <w:jc w:val="both"/>
        <w:rPr>
          <w:rFonts w:ascii="Times New Roman" w:hAnsi="Times New Roman" w:cs="Times New Roman"/>
          <w:sz w:val="28"/>
          <w:szCs w:val="28"/>
        </w:rPr>
      </w:pPr>
    </w:p>
    <w:p w14:paraId="25F6AE17" w14:textId="77777777" w:rsidR="00A74088" w:rsidRPr="002A7673" w:rsidRDefault="00A74088" w:rsidP="00FF3FAC">
      <w:pPr>
        <w:numPr>
          <w:ilvl w:val="0"/>
          <w:numId w:val="66"/>
        </w:numPr>
        <w:spacing w:after="0" w:line="36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t>Detalle de Rebajos por Subpartida</w:t>
      </w:r>
    </w:p>
    <w:p w14:paraId="038166B3" w14:textId="77777777" w:rsidR="00A74088" w:rsidRPr="002A7673" w:rsidRDefault="00A74088" w:rsidP="00E85559">
      <w:pPr>
        <w:spacing w:line="240" w:lineRule="auto"/>
        <w:ind w:firstLine="708"/>
        <w:jc w:val="both"/>
        <w:rPr>
          <w:rFonts w:ascii="Times New Roman" w:hAnsi="Times New Roman" w:cs="Times New Roman"/>
          <w:sz w:val="28"/>
          <w:szCs w:val="28"/>
          <w:lang w:val="es-ES"/>
        </w:rPr>
      </w:pPr>
      <w:r w:rsidRPr="002A7673">
        <w:rPr>
          <w:rFonts w:ascii="Times New Roman" w:hAnsi="Times New Roman" w:cs="Times New Roman"/>
          <w:sz w:val="28"/>
          <w:szCs w:val="28"/>
          <w:lang w:val="es-ES"/>
        </w:rPr>
        <w:t>Conforme las Directrices Técnicas para la Formulación de la Programación Anual y Anteproyecto de Presupuesto 2022, y específicamente en el caso de las subpartidas restringidas en cuanto a su crecimiento, fue necesario aplicar rebajos por un total de ¢10.593.351, desglosados de la siguiente forma:</w:t>
      </w:r>
    </w:p>
    <w:p w14:paraId="164D994D" w14:textId="77777777" w:rsidR="00A74088" w:rsidRPr="002A7673" w:rsidRDefault="00A74088" w:rsidP="00A74088">
      <w:pPr>
        <w:spacing w:line="360" w:lineRule="auto"/>
        <w:jc w:val="both"/>
        <w:rPr>
          <w:rFonts w:ascii="Times New Roman" w:hAnsi="Times New Roman" w:cs="Times New Roman"/>
          <w:sz w:val="28"/>
          <w:szCs w:val="28"/>
        </w:rPr>
      </w:pPr>
    </w:p>
    <w:tbl>
      <w:tblPr>
        <w:tblW w:w="6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4"/>
        <w:gridCol w:w="3685"/>
        <w:gridCol w:w="1418"/>
      </w:tblGrid>
      <w:tr w:rsidR="00A74088" w:rsidRPr="002A7673" w14:paraId="1D404AA2" w14:textId="77777777" w:rsidTr="0048334E">
        <w:trPr>
          <w:jc w:val="center"/>
        </w:trPr>
        <w:tc>
          <w:tcPr>
            <w:tcW w:w="1464" w:type="dxa"/>
            <w:shd w:val="clear" w:color="auto" w:fill="1F3864"/>
            <w:vAlign w:val="center"/>
          </w:tcPr>
          <w:p w14:paraId="39FEE242" w14:textId="77777777" w:rsidR="00A74088" w:rsidRPr="002A7673" w:rsidRDefault="00A74088" w:rsidP="0048334E">
            <w:pPr>
              <w:jc w:val="center"/>
              <w:rPr>
                <w:rFonts w:ascii="Times New Roman" w:hAnsi="Times New Roman" w:cs="Times New Roman"/>
                <w:b/>
                <w:bCs/>
                <w:lang w:eastAsia="es-CR"/>
              </w:rPr>
            </w:pPr>
            <w:r w:rsidRPr="002A7673">
              <w:rPr>
                <w:rFonts w:ascii="Times New Roman" w:hAnsi="Times New Roman" w:cs="Times New Roman"/>
                <w:b/>
                <w:bCs/>
                <w:lang w:eastAsia="es-CR"/>
              </w:rPr>
              <w:t>Código Subpartida</w:t>
            </w:r>
          </w:p>
        </w:tc>
        <w:tc>
          <w:tcPr>
            <w:tcW w:w="3685" w:type="dxa"/>
            <w:shd w:val="clear" w:color="auto" w:fill="1F3864"/>
            <w:vAlign w:val="center"/>
          </w:tcPr>
          <w:p w14:paraId="023ADC2A" w14:textId="77777777" w:rsidR="00A74088" w:rsidRPr="002A7673" w:rsidRDefault="00A74088" w:rsidP="0048334E">
            <w:pPr>
              <w:jc w:val="center"/>
              <w:rPr>
                <w:rFonts w:ascii="Times New Roman" w:hAnsi="Times New Roman" w:cs="Times New Roman"/>
                <w:b/>
                <w:bCs/>
                <w:lang w:eastAsia="es-CR"/>
              </w:rPr>
            </w:pPr>
            <w:r w:rsidRPr="002A7673">
              <w:rPr>
                <w:rFonts w:ascii="Times New Roman" w:hAnsi="Times New Roman" w:cs="Times New Roman"/>
                <w:b/>
                <w:bCs/>
                <w:lang w:eastAsia="es-CR"/>
              </w:rPr>
              <w:t>Descripción de la Subpartida</w:t>
            </w:r>
          </w:p>
        </w:tc>
        <w:tc>
          <w:tcPr>
            <w:tcW w:w="1418" w:type="dxa"/>
            <w:shd w:val="clear" w:color="auto" w:fill="1F3864"/>
            <w:vAlign w:val="center"/>
          </w:tcPr>
          <w:p w14:paraId="271CF719" w14:textId="77777777" w:rsidR="00A74088" w:rsidRPr="002A7673" w:rsidRDefault="00A74088" w:rsidP="0048334E">
            <w:pPr>
              <w:jc w:val="center"/>
              <w:rPr>
                <w:rFonts w:ascii="Times New Roman" w:hAnsi="Times New Roman" w:cs="Times New Roman"/>
                <w:b/>
                <w:bCs/>
                <w:lang w:eastAsia="es-CR"/>
              </w:rPr>
            </w:pPr>
            <w:r w:rsidRPr="002A7673">
              <w:rPr>
                <w:rFonts w:ascii="Times New Roman" w:hAnsi="Times New Roman" w:cs="Times New Roman"/>
                <w:b/>
                <w:bCs/>
                <w:lang w:eastAsia="es-CR"/>
              </w:rPr>
              <w:t>Monto</w:t>
            </w:r>
          </w:p>
        </w:tc>
      </w:tr>
      <w:tr w:rsidR="00A74088" w:rsidRPr="002A7673" w14:paraId="35B8A2DD" w14:textId="77777777" w:rsidTr="0048334E">
        <w:trPr>
          <w:trHeight w:val="442"/>
          <w:jc w:val="center"/>
        </w:trPr>
        <w:tc>
          <w:tcPr>
            <w:tcW w:w="1464" w:type="dxa"/>
            <w:shd w:val="clear" w:color="auto" w:fill="auto"/>
            <w:vAlign w:val="center"/>
          </w:tcPr>
          <w:p w14:paraId="467BFD72" w14:textId="77777777" w:rsidR="00A74088" w:rsidRPr="002A7673" w:rsidRDefault="00A74088" w:rsidP="0048334E">
            <w:pPr>
              <w:ind w:left="142"/>
              <w:jc w:val="center"/>
              <w:rPr>
                <w:rFonts w:ascii="Times New Roman" w:hAnsi="Times New Roman" w:cs="Times New Roman"/>
              </w:rPr>
            </w:pPr>
            <w:r w:rsidRPr="002A7673">
              <w:rPr>
                <w:rFonts w:ascii="Times New Roman" w:hAnsi="Times New Roman" w:cs="Times New Roman"/>
              </w:rPr>
              <w:t>10301</w:t>
            </w:r>
          </w:p>
        </w:tc>
        <w:tc>
          <w:tcPr>
            <w:tcW w:w="3685" w:type="dxa"/>
            <w:shd w:val="clear" w:color="auto" w:fill="auto"/>
            <w:vAlign w:val="center"/>
          </w:tcPr>
          <w:p w14:paraId="1DB6DB07" w14:textId="77777777" w:rsidR="00A74088" w:rsidRPr="002A7673" w:rsidRDefault="00A74088" w:rsidP="0048334E">
            <w:pPr>
              <w:ind w:left="142"/>
              <w:jc w:val="both"/>
              <w:rPr>
                <w:rFonts w:ascii="Times New Roman" w:hAnsi="Times New Roman" w:cs="Times New Roman"/>
              </w:rPr>
            </w:pPr>
            <w:r w:rsidRPr="002A7673">
              <w:rPr>
                <w:rFonts w:ascii="Times New Roman" w:hAnsi="Times New Roman" w:cs="Times New Roman"/>
              </w:rPr>
              <w:t>Información</w:t>
            </w:r>
          </w:p>
        </w:tc>
        <w:tc>
          <w:tcPr>
            <w:tcW w:w="1418" w:type="dxa"/>
            <w:shd w:val="clear" w:color="auto" w:fill="auto"/>
            <w:vAlign w:val="center"/>
          </w:tcPr>
          <w:p w14:paraId="0AFD6281" w14:textId="77777777" w:rsidR="00A74088" w:rsidRPr="002A7673" w:rsidRDefault="00A74088" w:rsidP="0048334E">
            <w:pPr>
              <w:ind w:left="142"/>
              <w:jc w:val="right"/>
              <w:rPr>
                <w:rFonts w:ascii="Times New Roman" w:hAnsi="Times New Roman" w:cs="Times New Roman"/>
              </w:rPr>
            </w:pPr>
            <w:r w:rsidRPr="002A7673">
              <w:rPr>
                <w:rFonts w:ascii="Times New Roman" w:hAnsi="Times New Roman" w:cs="Times New Roman"/>
              </w:rPr>
              <w:t>¢832.000</w:t>
            </w:r>
          </w:p>
        </w:tc>
      </w:tr>
      <w:tr w:rsidR="00A74088" w:rsidRPr="002A7673" w14:paraId="1227BC50" w14:textId="77777777" w:rsidTr="0048334E">
        <w:trPr>
          <w:trHeight w:val="442"/>
          <w:jc w:val="center"/>
        </w:trPr>
        <w:tc>
          <w:tcPr>
            <w:tcW w:w="1464" w:type="dxa"/>
            <w:shd w:val="clear" w:color="auto" w:fill="auto"/>
            <w:vAlign w:val="center"/>
          </w:tcPr>
          <w:p w14:paraId="074CD460" w14:textId="77777777" w:rsidR="00A74088" w:rsidRPr="002A7673" w:rsidRDefault="00A74088" w:rsidP="0048334E">
            <w:pPr>
              <w:ind w:left="142"/>
              <w:jc w:val="center"/>
              <w:rPr>
                <w:rFonts w:ascii="Times New Roman" w:hAnsi="Times New Roman" w:cs="Times New Roman"/>
              </w:rPr>
            </w:pPr>
            <w:r w:rsidRPr="002A7673">
              <w:rPr>
                <w:rFonts w:ascii="Times New Roman" w:hAnsi="Times New Roman" w:cs="Times New Roman"/>
              </w:rPr>
              <w:t>10502</w:t>
            </w:r>
          </w:p>
        </w:tc>
        <w:tc>
          <w:tcPr>
            <w:tcW w:w="3685" w:type="dxa"/>
            <w:shd w:val="clear" w:color="auto" w:fill="auto"/>
            <w:vAlign w:val="center"/>
          </w:tcPr>
          <w:p w14:paraId="297C236B" w14:textId="77777777" w:rsidR="00A74088" w:rsidRPr="002A7673" w:rsidRDefault="00A74088" w:rsidP="0048334E">
            <w:pPr>
              <w:ind w:left="142"/>
              <w:jc w:val="both"/>
              <w:rPr>
                <w:rFonts w:ascii="Times New Roman" w:hAnsi="Times New Roman" w:cs="Times New Roman"/>
              </w:rPr>
            </w:pPr>
            <w:r w:rsidRPr="002A7673">
              <w:rPr>
                <w:rFonts w:ascii="Times New Roman" w:hAnsi="Times New Roman" w:cs="Times New Roman"/>
              </w:rPr>
              <w:t>Viáticos dentro del País</w:t>
            </w:r>
          </w:p>
        </w:tc>
        <w:tc>
          <w:tcPr>
            <w:tcW w:w="1418" w:type="dxa"/>
            <w:shd w:val="clear" w:color="auto" w:fill="auto"/>
            <w:vAlign w:val="center"/>
          </w:tcPr>
          <w:p w14:paraId="1A6790B9" w14:textId="77777777" w:rsidR="00A74088" w:rsidRPr="002A7673" w:rsidRDefault="00A74088" w:rsidP="0048334E">
            <w:pPr>
              <w:ind w:left="142"/>
              <w:jc w:val="right"/>
              <w:rPr>
                <w:rFonts w:ascii="Times New Roman" w:hAnsi="Times New Roman" w:cs="Times New Roman"/>
              </w:rPr>
            </w:pPr>
            <w:r w:rsidRPr="002A7673">
              <w:rPr>
                <w:rFonts w:ascii="Times New Roman" w:hAnsi="Times New Roman" w:cs="Times New Roman"/>
              </w:rPr>
              <w:t>¢1.666.470</w:t>
            </w:r>
          </w:p>
        </w:tc>
      </w:tr>
      <w:tr w:rsidR="00A74088" w:rsidRPr="002A7673" w14:paraId="23EB8DCD" w14:textId="77777777" w:rsidTr="0048334E">
        <w:trPr>
          <w:trHeight w:val="442"/>
          <w:jc w:val="center"/>
        </w:trPr>
        <w:tc>
          <w:tcPr>
            <w:tcW w:w="1464" w:type="dxa"/>
            <w:shd w:val="clear" w:color="auto" w:fill="auto"/>
            <w:vAlign w:val="center"/>
          </w:tcPr>
          <w:p w14:paraId="196FF7E5" w14:textId="77777777" w:rsidR="00A74088" w:rsidRPr="002A7673" w:rsidRDefault="00A74088" w:rsidP="0048334E">
            <w:pPr>
              <w:ind w:left="142"/>
              <w:jc w:val="center"/>
              <w:rPr>
                <w:rFonts w:ascii="Times New Roman" w:hAnsi="Times New Roman" w:cs="Times New Roman"/>
              </w:rPr>
            </w:pPr>
            <w:r w:rsidRPr="002A7673">
              <w:rPr>
                <w:rFonts w:ascii="Times New Roman" w:hAnsi="Times New Roman" w:cs="Times New Roman"/>
              </w:rPr>
              <w:t>10701</w:t>
            </w:r>
          </w:p>
        </w:tc>
        <w:tc>
          <w:tcPr>
            <w:tcW w:w="3685" w:type="dxa"/>
            <w:shd w:val="clear" w:color="auto" w:fill="auto"/>
            <w:vAlign w:val="center"/>
          </w:tcPr>
          <w:p w14:paraId="7785D3D2" w14:textId="77777777" w:rsidR="00A74088" w:rsidRPr="002A7673" w:rsidRDefault="00A74088" w:rsidP="0048334E">
            <w:pPr>
              <w:ind w:left="142"/>
              <w:jc w:val="both"/>
              <w:rPr>
                <w:rFonts w:ascii="Times New Roman" w:hAnsi="Times New Roman" w:cs="Times New Roman"/>
              </w:rPr>
            </w:pPr>
            <w:r w:rsidRPr="002A7673">
              <w:rPr>
                <w:rFonts w:ascii="Times New Roman" w:hAnsi="Times New Roman" w:cs="Times New Roman"/>
              </w:rPr>
              <w:t>Actividades de Capacitación</w:t>
            </w:r>
          </w:p>
        </w:tc>
        <w:tc>
          <w:tcPr>
            <w:tcW w:w="1418" w:type="dxa"/>
            <w:shd w:val="clear" w:color="auto" w:fill="auto"/>
            <w:vAlign w:val="center"/>
          </w:tcPr>
          <w:p w14:paraId="641C1201" w14:textId="77777777" w:rsidR="00A74088" w:rsidRPr="002A7673" w:rsidRDefault="00A74088" w:rsidP="0048334E">
            <w:pPr>
              <w:ind w:left="142"/>
              <w:jc w:val="right"/>
              <w:rPr>
                <w:rFonts w:ascii="Times New Roman" w:hAnsi="Times New Roman" w:cs="Times New Roman"/>
              </w:rPr>
            </w:pPr>
            <w:r w:rsidRPr="002A7673">
              <w:rPr>
                <w:rFonts w:ascii="Times New Roman" w:hAnsi="Times New Roman" w:cs="Times New Roman"/>
              </w:rPr>
              <w:t>¢8.025.640</w:t>
            </w:r>
          </w:p>
        </w:tc>
      </w:tr>
      <w:tr w:rsidR="00A74088" w:rsidRPr="002A7673" w14:paraId="36E370DD" w14:textId="77777777" w:rsidTr="0048334E">
        <w:trPr>
          <w:trHeight w:val="442"/>
          <w:jc w:val="center"/>
        </w:trPr>
        <w:tc>
          <w:tcPr>
            <w:tcW w:w="1464" w:type="dxa"/>
            <w:shd w:val="clear" w:color="auto" w:fill="auto"/>
            <w:vAlign w:val="center"/>
          </w:tcPr>
          <w:p w14:paraId="1EABB85B" w14:textId="77777777" w:rsidR="00A74088" w:rsidRPr="002A7673" w:rsidRDefault="00A74088" w:rsidP="0048334E">
            <w:pPr>
              <w:ind w:left="142"/>
              <w:jc w:val="center"/>
              <w:rPr>
                <w:rFonts w:ascii="Times New Roman" w:hAnsi="Times New Roman" w:cs="Times New Roman"/>
              </w:rPr>
            </w:pPr>
            <w:r w:rsidRPr="002A7673">
              <w:rPr>
                <w:rFonts w:ascii="Times New Roman" w:hAnsi="Times New Roman" w:cs="Times New Roman"/>
              </w:rPr>
              <w:t>10702</w:t>
            </w:r>
          </w:p>
        </w:tc>
        <w:tc>
          <w:tcPr>
            <w:tcW w:w="3685" w:type="dxa"/>
            <w:shd w:val="clear" w:color="auto" w:fill="auto"/>
            <w:vAlign w:val="center"/>
          </w:tcPr>
          <w:p w14:paraId="3CCC4E74" w14:textId="77777777" w:rsidR="00A74088" w:rsidRPr="002A7673" w:rsidRDefault="00A74088" w:rsidP="0048334E">
            <w:pPr>
              <w:ind w:left="142"/>
              <w:jc w:val="both"/>
              <w:rPr>
                <w:rFonts w:ascii="Times New Roman" w:hAnsi="Times New Roman" w:cs="Times New Roman"/>
              </w:rPr>
            </w:pPr>
            <w:r w:rsidRPr="002A7673">
              <w:rPr>
                <w:rFonts w:ascii="Times New Roman" w:hAnsi="Times New Roman" w:cs="Times New Roman"/>
              </w:rPr>
              <w:t>Actividades Protocolarias y Sociales</w:t>
            </w:r>
          </w:p>
        </w:tc>
        <w:tc>
          <w:tcPr>
            <w:tcW w:w="1418" w:type="dxa"/>
            <w:shd w:val="clear" w:color="auto" w:fill="auto"/>
            <w:vAlign w:val="center"/>
          </w:tcPr>
          <w:p w14:paraId="04EA985A" w14:textId="77777777" w:rsidR="00A74088" w:rsidRPr="002A7673" w:rsidRDefault="00A74088" w:rsidP="0048334E">
            <w:pPr>
              <w:ind w:left="142"/>
              <w:jc w:val="right"/>
              <w:rPr>
                <w:rFonts w:ascii="Times New Roman" w:hAnsi="Times New Roman" w:cs="Times New Roman"/>
              </w:rPr>
            </w:pPr>
            <w:r w:rsidRPr="002A7673">
              <w:rPr>
                <w:rFonts w:ascii="Times New Roman" w:hAnsi="Times New Roman" w:cs="Times New Roman"/>
              </w:rPr>
              <w:t>¢69.241</w:t>
            </w:r>
          </w:p>
        </w:tc>
      </w:tr>
    </w:tbl>
    <w:p w14:paraId="4E6DA2A7" w14:textId="77777777" w:rsidR="00A74088" w:rsidRPr="002A7673" w:rsidRDefault="00A74088" w:rsidP="00A74088">
      <w:pPr>
        <w:spacing w:line="360" w:lineRule="auto"/>
        <w:jc w:val="both"/>
        <w:rPr>
          <w:rFonts w:ascii="Times New Roman" w:hAnsi="Times New Roman" w:cs="Times New Roman"/>
          <w:sz w:val="28"/>
          <w:szCs w:val="28"/>
        </w:rPr>
      </w:pPr>
    </w:p>
    <w:p w14:paraId="5F05CEBC" w14:textId="77777777" w:rsidR="00A74088" w:rsidRPr="002A7673" w:rsidRDefault="00A74088" w:rsidP="00FB4BF4">
      <w:pPr>
        <w:spacing w:line="240" w:lineRule="auto"/>
        <w:ind w:firstLine="708"/>
        <w:jc w:val="both"/>
        <w:rPr>
          <w:rFonts w:ascii="Times New Roman" w:hAnsi="Times New Roman" w:cs="Times New Roman"/>
          <w:sz w:val="28"/>
          <w:szCs w:val="28"/>
          <w:lang w:val="es-ES"/>
        </w:rPr>
      </w:pPr>
      <w:r w:rsidRPr="002A7673">
        <w:rPr>
          <w:rFonts w:ascii="Times New Roman" w:hAnsi="Times New Roman" w:cs="Times New Roman"/>
          <w:sz w:val="28"/>
          <w:szCs w:val="28"/>
          <w:lang w:val="es-ES"/>
        </w:rPr>
        <w:t xml:space="preserve">Por otra parte, se rebajaron un total de ¢31.918.866, que corresponde a artículos que debieron ser eliminados de oficio del presupuesto, por cuanto son de tipo “recurso </w:t>
      </w:r>
      <w:r w:rsidRPr="002A7673">
        <w:rPr>
          <w:rFonts w:ascii="Times New Roman" w:hAnsi="Times New Roman" w:cs="Times New Roman"/>
          <w:sz w:val="28"/>
          <w:szCs w:val="28"/>
          <w:lang w:val="es-ES"/>
        </w:rPr>
        <w:lastRenderedPageBreak/>
        <w:t>tecnológico”, y por tanto según se indica en las directrices, debieron ser incluidos en el presupuesto del Área de Informática, para que fueran valorados por la Dirección de Tecnología de la Información.</w:t>
      </w:r>
    </w:p>
    <w:p w14:paraId="76A206F5" w14:textId="7B60001B" w:rsidR="00A74088" w:rsidRPr="002A7673" w:rsidRDefault="00A74088" w:rsidP="00FB4BF4">
      <w:pPr>
        <w:spacing w:line="240" w:lineRule="auto"/>
        <w:ind w:firstLine="708"/>
        <w:jc w:val="both"/>
        <w:rPr>
          <w:rFonts w:ascii="Times New Roman" w:hAnsi="Times New Roman" w:cs="Times New Roman"/>
          <w:sz w:val="28"/>
          <w:szCs w:val="28"/>
          <w:lang w:val="es-ES"/>
        </w:rPr>
      </w:pPr>
      <w:r w:rsidRPr="002A7673">
        <w:rPr>
          <w:rFonts w:ascii="Times New Roman" w:hAnsi="Times New Roman" w:cs="Times New Roman"/>
          <w:sz w:val="28"/>
          <w:szCs w:val="28"/>
          <w:lang w:val="es-ES"/>
        </w:rPr>
        <w:t>Finalmente, producto de la revisión realizada y del resultado de las consultas planteadas, se aplicaron rebajos por un total de ¢13.417.461 en las siguientes subpartidas.</w:t>
      </w:r>
    </w:p>
    <w:p w14:paraId="40F1E655" w14:textId="77777777" w:rsidR="00A74088" w:rsidRPr="002A7673" w:rsidRDefault="00A74088" w:rsidP="00A74088">
      <w:pPr>
        <w:ind w:left="360"/>
        <w:jc w:val="center"/>
        <w:rPr>
          <w:rFonts w:ascii="Times New Roman" w:hAnsi="Times New Roman" w:cs="Times New Roman"/>
          <w:sz w:val="28"/>
          <w:szCs w:val="28"/>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0"/>
        <w:gridCol w:w="3823"/>
        <w:gridCol w:w="1418"/>
      </w:tblGrid>
      <w:tr w:rsidR="00A74088" w:rsidRPr="002A7673" w14:paraId="1C2E00FC" w14:textId="77777777" w:rsidTr="0048334E">
        <w:trPr>
          <w:jc w:val="center"/>
        </w:trPr>
        <w:tc>
          <w:tcPr>
            <w:tcW w:w="1280" w:type="dxa"/>
            <w:shd w:val="clear" w:color="auto" w:fill="1F3864"/>
            <w:vAlign w:val="center"/>
          </w:tcPr>
          <w:p w14:paraId="1B1E1223" w14:textId="77777777" w:rsidR="00A74088" w:rsidRPr="002A7673" w:rsidRDefault="00A74088" w:rsidP="0048334E">
            <w:pPr>
              <w:jc w:val="center"/>
              <w:rPr>
                <w:rFonts w:ascii="Times New Roman" w:hAnsi="Times New Roman" w:cs="Times New Roman"/>
                <w:b/>
                <w:bCs/>
                <w:lang w:eastAsia="es-CR"/>
              </w:rPr>
            </w:pPr>
            <w:r w:rsidRPr="002A7673">
              <w:rPr>
                <w:rFonts w:ascii="Times New Roman" w:hAnsi="Times New Roman" w:cs="Times New Roman"/>
                <w:b/>
                <w:bCs/>
                <w:lang w:eastAsia="es-CR"/>
              </w:rPr>
              <w:t>Código Subpartida</w:t>
            </w:r>
          </w:p>
        </w:tc>
        <w:tc>
          <w:tcPr>
            <w:tcW w:w="3823" w:type="dxa"/>
            <w:shd w:val="clear" w:color="auto" w:fill="1F3864"/>
            <w:vAlign w:val="center"/>
          </w:tcPr>
          <w:p w14:paraId="6BAA9896" w14:textId="77777777" w:rsidR="00A74088" w:rsidRPr="002A7673" w:rsidRDefault="00A74088" w:rsidP="0048334E">
            <w:pPr>
              <w:jc w:val="center"/>
              <w:rPr>
                <w:rFonts w:ascii="Times New Roman" w:hAnsi="Times New Roman" w:cs="Times New Roman"/>
                <w:b/>
                <w:bCs/>
                <w:lang w:eastAsia="es-CR"/>
              </w:rPr>
            </w:pPr>
            <w:r w:rsidRPr="002A7673">
              <w:rPr>
                <w:rFonts w:ascii="Times New Roman" w:hAnsi="Times New Roman" w:cs="Times New Roman"/>
                <w:b/>
                <w:bCs/>
                <w:lang w:eastAsia="es-CR"/>
              </w:rPr>
              <w:t>Descripción de la Subpartida</w:t>
            </w:r>
          </w:p>
        </w:tc>
        <w:tc>
          <w:tcPr>
            <w:tcW w:w="1418" w:type="dxa"/>
            <w:shd w:val="clear" w:color="auto" w:fill="1F3864"/>
            <w:vAlign w:val="center"/>
          </w:tcPr>
          <w:p w14:paraId="0AACA476" w14:textId="77777777" w:rsidR="00A74088" w:rsidRPr="002A7673" w:rsidRDefault="00A74088" w:rsidP="0048334E">
            <w:pPr>
              <w:jc w:val="center"/>
              <w:rPr>
                <w:rFonts w:ascii="Times New Roman" w:hAnsi="Times New Roman" w:cs="Times New Roman"/>
                <w:b/>
                <w:bCs/>
                <w:lang w:eastAsia="es-CR"/>
              </w:rPr>
            </w:pPr>
            <w:r w:rsidRPr="002A7673">
              <w:rPr>
                <w:rFonts w:ascii="Times New Roman" w:hAnsi="Times New Roman" w:cs="Times New Roman"/>
                <w:b/>
                <w:bCs/>
                <w:lang w:eastAsia="es-CR"/>
              </w:rPr>
              <w:t>Monto</w:t>
            </w:r>
          </w:p>
        </w:tc>
      </w:tr>
      <w:tr w:rsidR="00A74088" w:rsidRPr="002A7673" w14:paraId="042F4AF1" w14:textId="77777777" w:rsidTr="0048334E">
        <w:trPr>
          <w:trHeight w:val="442"/>
          <w:jc w:val="center"/>
        </w:trPr>
        <w:tc>
          <w:tcPr>
            <w:tcW w:w="1280" w:type="dxa"/>
            <w:shd w:val="clear" w:color="auto" w:fill="auto"/>
            <w:vAlign w:val="center"/>
          </w:tcPr>
          <w:p w14:paraId="2BE88D47" w14:textId="77777777" w:rsidR="00A74088" w:rsidRPr="002A7673" w:rsidRDefault="00A74088" w:rsidP="0048334E">
            <w:pPr>
              <w:ind w:left="142"/>
              <w:jc w:val="center"/>
              <w:rPr>
                <w:rFonts w:ascii="Times New Roman" w:hAnsi="Times New Roman" w:cs="Times New Roman"/>
              </w:rPr>
            </w:pPr>
            <w:r w:rsidRPr="002A7673">
              <w:rPr>
                <w:rFonts w:ascii="Times New Roman" w:hAnsi="Times New Roman" w:cs="Times New Roman"/>
              </w:rPr>
              <w:t>20199</w:t>
            </w:r>
          </w:p>
        </w:tc>
        <w:tc>
          <w:tcPr>
            <w:tcW w:w="3823" w:type="dxa"/>
            <w:shd w:val="clear" w:color="auto" w:fill="auto"/>
            <w:vAlign w:val="center"/>
          </w:tcPr>
          <w:p w14:paraId="1380AC72" w14:textId="77777777" w:rsidR="00A74088" w:rsidRPr="002A7673" w:rsidRDefault="00A74088" w:rsidP="0048334E">
            <w:pPr>
              <w:ind w:left="142"/>
              <w:jc w:val="both"/>
              <w:rPr>
                <w:rFonts w:ascii="Times New Roman" w:hAnsi="Times New Roman" w:cs="Times New Roman"/>
              </w:rPr>
            </w:pPr>
            <w:r w:rsidRPr="002A7673">
              <w:rPr>
                <w:rFonts w:ascii="Times New Roman" w:hAnsi="Times New Roman" w:cs="Times New Roman"/>
              </w:rPr>
              <w:t>Otros Productos Químicos y Conexos</w:t>
            </w:r>
          </w:p>
        </w:tc>
        <w:tc>
          <w:tcPr>
            <w:tcW w:w="1418" w:type="dxa"/>
            <w:shd w:val="clear" w:color="auto" w:fill="auto"/>
            <w:vAlign w:val="center"/>
          </w:tcPr>
          <w:p w14:paraId="4A64481D" w14:textId="77777777" w:rsidR="00A74088" w:rsidRPr="002A7673" w:rsidRDefault="00A74088" w:rsidP="0048334E">
            <w:pPr>
              <w:ind w:left="142"/>
              <w:jc w:val="right"/>
              <w:rPr>
                <w:rFonts w:ascii="Times New Roman" w:hAnsi="Times New Roman" w:cs="Times New Roman"/>
              </w:rPr>
            </w:pPr>
            <w:r w:rsidRPr="002A7673">
              <w:rPr>
                <w:rFonts w:ascii="Times New Roman" w:hAnsi="Times New Roman" w:cs="Times New Roman"/>
              </w:rPr>
              <w:t>¢4.910.336</w:t>
            </w:r>
          </w:p>
        </w:tc>
      </w:tr>
      <w:tr w:rsidR="00A74088" w:rsidRPr="002A7673" w14:paraId="3EEC690F" w14:textId="77777777" w:rsidTr="0048334E">
        <w:trPr>
          <w:trHeight w:val="442"/>
          <w:jc w:val="center"/>
        </w:trPr>
        <w:tc>
          <w:tcPr>
            <w:tcW w:w="1280" w:type="dxa"/>
            <w:shd w:val="clear" w:color="auto" w:fill="auto"/>
            <w:vAlign w:val="center"/>
          </w:tcPr>
          <w:p w14:paraId="255AC131" w14:textId="77777777" w:rsidR="00A74088" w:rsidRPr="002A7673" w:rsidRDefault="00A74088" w:rsidP="0048334E">
            <w:pPr>
              <w:ind w:left="142"/>
              <w:jc w:val="center"/>
              <w:rPr>
                <w:rFonts w:ascii="Times New Roman" w:hAnsi="Times New Roman" w:cs="Times New Roman"/>
              </w:rPr>
            </w:pPr>
            <w:r w:rsidRPr="002A7673">
              <w:rPr>
                <w:rFonts w:ascii="Times New Roman" w:hAnsi="Times New Roman" w:cs="Times New Roman"/>
              </w:rPr>
              <w:t>20306</w:t>
            </w:r>
          </w:p>
        </w:tc>
        <w:tc>
          <w:tcPr>
            <w:tcW w:w="3823" w:type="dxa"/>
            <w:shd w:val="clear" w:color="auto" w:fill="auto"/>
            <w:vAlign w:val="center"/>
          </w:tcPr>
          <w:p w14:paraId="25B22CC6" w14:textId="77777777" w:rsidR="00A74088" w:rsidRPr="002A7673" w:rsidRDefault="00A74088" w:rsidP="0048334E">
            <w:pPr>
              <w:ind w:left="142"/>
              <w:jc w:val="both"/>
              <w:rPr>
                <w:rFonts w:ascii="Times New Roman" w:hAnsi="Times New Roman" w:cs="Times New Roman"/>
              </w:rPr>
            </w:pPr>
            <w:r w:rsidRPr="002A7673">
              <w:rPr>
                <w:rFonts w:ascii="Times New Roman" w:hAnsi="Times New Roman" w:cs="Times New Roman"/>
              </w:rPr>
              <w:t>Materiales y Productos de Plástico</w:t>
            </w:r>
          </w:p>
        </w:tc>
        <w:tc>
          <w:tcPr>
            <w:tcW w:w="1418" w:type="dxa"/>
            <w:shd w:val="clear" w:color="auto" w:fill="auto"/>
            <w:vAlign w:val="center"/>
          </w:tcPr>
          <w:p w14:paraId="3F6C75B5" w14:textId="77777777" w:rsidR="00A74088" w:rsidRPr="002A7673" w:rsidRDefault="00A74088" w:rsidP="0048334E">
            <w:pPr>
              <w:ind w:left="142"/>
              <w:jc w:val="right"/>
              <w:rPr>
                <w:rFonts w:ascii="Times New Roman" w:hAnsi="Times New Roman" w:cs="Times New Roman"/>
              </w:rPr>
            </w:pPr>
            <w:r w:rsidRPr="002A7673">
              <w:rPr>
                <w:rFonts w:ascii="Times New Roman" w:hAnsi="Times New Roman" w:cs="Times New Roman"/>
              </w:rPr>
              <w:t>¢4.498.000</w:t>
            </w:r>
          </w:p>
        </w:tc>
      </w:tr>
      <w:tr w:rsidR="00A74088" w:rsidRPr="002A7673" w14:paraId="74B2B098" w14:textId="77777777" w:rsidTr="0048334E">
        <w:trPr>
          <w:trHeight w:val="442"/>
          <w:jc w:val="center"/>
        </w:trPr>
        <w:tc>
          <w:tcPr>
            <w:tcW w:w="1280" w:type="dxa"/>
            <w:shd w:val="clear" w:color="auto" w:fill="auto"/>
            <w:vAlign w:val="center"/>
          </w:tcPr>
          <w:p w14:paraId="0E874928" w14:textId="77777777" w:rsidR="00A74088" w:rsidRPr="002A7673" w:rsidRDefault="00A74088" w:rsidP="0048334E">
            <w:pPr>
              <w:ind w:left="142"/>
              <w:jc w:val="center"/>
              <w:rPr>
                <w:rFonts w:ascii="Times New Roman" w:hAnsi="Times New Roman" w:cs="Times New Roman"/>
              </w:rPr>
            </w:pPr>
            <w:r w:rsidRPr="002A7673">
              <w:rPr>
                <w:rFonts w:ascii="Times New Roman" w:hAnsi="Times New Roman" w:cs="Times New Roman"/>
              </w:rPr>
              <w:t>50103</w:t>
            </w:r>
          </w:p>
        </w:tc>
        <w:tc>
          <w:tcPr>
            <w:tcW w:w="3823" w:type="dxa"/>
            <w:shd w:val="clear" w:color="auto" w:fill="auto"/>
            <w:vAlign w:val="center"/>
          </w:tcPr>
          <w:p w14:paraId="770E3BCD" w14:textId="77777777" w:rsidR="00A74088" w:rsidRPr="002A7673" w:rsidRDefault="00A74088" w:rsidP="0048334E">
            <w:pPr>
              <w:ind w:left="142"/>
              <w:jc w:val="both"/>
              <w:rPr>
                <w:rFonts w:ascii="Times New Roman" w:hAnsi="Times New Roman" w:cs="Times New Roman"/>
              </w:rPr>
            </w:pPr>
            <w:r w:rsidRPr="002A7673">
              <w:rPr>
                <w:rFonts w:ascii="Times New Roman" w:hAnsi="Times New Roman" w:cs="Times New Roman"/>
              </w:rPr>
              <w:t>Equipo de Comunicación</w:t>
            </w:r>
          </w:p>
        </w:tc>
        <w:tc>
          <w:tcPr>
            <w:tcW w:w="1418" w:type="dxa"/>
            <w:shd w:val="clear" w:color="auto" w:fill="auto"/>
            <w:vAlign w:val="center"/>
          </w:tcPr>
          <w:p w14:paraId="7819111E" w14:textId="77777777" w:rsidR="00A74088" w:rsidRPr="002A7673" w:rsidRDefault="00A74088" w:rsidP="0048334E">
            <w:pPr>
              <w:ind w:left="142"/>
              <w:jc w:val="right"/>
              <w:rPr>
                <w:rFonts w:ascii="Times New Roman" w:hAnsi="Times New Roman" w:cs="Times New Roman"/>
              </w:rPr>
            </w:pPr>
            <w:r w:rsidRPr="002A7673">
              <w:rPr>
                <w:rFonts w:ascii="Times New Roman" w:hAnsi="Times New Roman" w:cs="Times New Roman"/>
              </w:rPr>
              <w:t>¢3.218.125</w:t>
            </w:r>
          </w:p>
        </w:tc>
      </w:tr>
      <w:tr w:rsidR="00A74088" w:rsidRPr="002A7673" w14:paraId="48F67A28" w14:textId="77777777" w:rsidTr="0048334E">
        <w:trPr>
          <w:trHeight w:val="442"/>
          <w:jc w:val="center"/>
        </w:trPr>
        <w:tc>
          <w:tcPr>
            <w:tcW w:w="1280" w:type="dxa"/>
            <w:shd w:val="clear" w:color="auto" w:fill="auto"/>
            <w:vAlign w:val="center"/>
          </w:tcPr>
          <w:p w14:paraId="062DAB70" w14:textId="77777777" w:rsidR="00A74088" w:rsidRPr="002A7673" w:rsidRDefault="00A74088" w:rsidP="0048334E">
            <w:pPr>
              <w:ind w:left="142"/>
              <w:jc w:val="center"/>
              <w:rPr>
                <w:rFonts w:ascii="Times New Roman" w:hAnsi="Times New Roman" w:cs="Times New Roman"/>
              </w:rPr>
            </w:pPr>
            <w:r w:rsidRPr="002A7673">
              <w:rPr>
                <w:rFonts w:ascii="Times New Roman" w:hAnsi="Times New Roman" w:cs="Times New Roman"/>
              </w:rPr>
              <w:t>50199</w:t>
            </w:r>
          </w:p>
        </w:tc>
        <w:tc>
          <w:tcPr>
            <w:tcW w:w="3823" w:type="dxa"/>
            <w:shd w:val="clear" w:color="auto" w:fill="auto"/>
            <w:vAlign w:val="center"/>
          </w:tcPr>
          <w:p w14:paraId="211690AD" w14:textId="77777777" w:rsidR="00A74088" w:rsidRPr="002A7673" w:rsidRDefault="00A74088" w:rsidP="0048334E">
            <w:pPr>
              <w:ind w:left="142"/>
              <w:jc w:val="both"/>
              <w:rPr>
                <w:rFonts w:ascii="Times New Roman" w:hAnsi="Times New Roman" w:cs="Times New Roman"/>
              </w:rPr>
            </w:pPr>
            <w:r w:rsidRPr="002A7673">
              <w:rPr>
                <w:rFonts w:ascii="Times New Roman" w:hAnsi="Times New Roman" w:cs="Times New Roman"/>
              </w:rPr>
              <w:t>Maquinaria y Equipo Diverso</w:t>
            </w:r>
          </w:p>
        </w:tc>
        <w:tc>
          <w:tcPr>
            <w:tcW w:w="1418" w:type="dxa"/>
            <w:shd w:val="clear" w:color="auto" w:fill="auto"/>
            <w:vAlign w:val="center"/>
          </w:tcPr>
          <w:p w14:paraId="79B8FE08" w14:textId="77777777" w:rsidR="00A74088" w:rsidRPr="002A7673" w:rsidRDefault="00A74088" w:rsidP="0048334E">
            <w:pPr>
              <w:ind w:left="142"/>
              <w:jc w:val="right"/>
              <w:rPr>
                <w:rFonts w:ascii="Times New Roman" w:hAnsi="Times New Roman" w:cs="Times New Roman"/>
              </w:rPr>
            </w:pPr>
            <w:r w:rsidRPr="002A7673">
              <w:rPr>
                <w:rFonts w:ascii="Times New Roman" w:hAnsi="Times New Roman" w:cs="Times New Roman"/>
              </w:rPr>
              <w:t>¢791.000</w:t>
            </w:r>
          </w:p>
        </w:tc>
      </w:tr>
    </w:tbl>
    <w:p w14:paraId="102245E1" w14:textId="77777777" w:rsidR="00A74088" w:rsidRPr="002A7673" w:rsidRDefault="00A74088" w:rsidP="00760992">
      <w:pPr>
        <w:jc w:val="both"/>
        <w:rPr>
          <w:rFonts w:ascii="Times New Roman" w:hAnsi="Times New Roman" w:cs="Times New Roman"/>
          <w:sz w:val="28"/>
          <w:szCs w:val="28"/>
        </w:rPr>
      </w:pPr>
    </w:p>
    <w:p w14:paraId="0DDF89EE" w14:textId="2BE61584" w:rsidR="00A74088" w:rsidRPr="002A7673" w:rsidRDefault="00A74088" w:rsidP="00FF3FAC">
      <w:pPr>
        <w:numPr>
          <w:ilvl w:val="0"/>
          <w:numId w:val="66"/>
        </w:numPr>
        <w:spacing w:after="0" w:line="36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t>Detalle de Requerimientos Adicionales</w:t>
      </w:r>
    </w:p>
    <w:p w14:paraId="34D43E4C" w14:textId="77777777" w:rsidR="00760992" w:rsidRPr="002A7673" w:rsidRDefault="00760992" w:rsidP="00B67880">
      <w:pPr>
        <w:spacing w:after="0" w:line="240" w:lineRule="auto"/>
        <w:ind w:left="501"/>
        <w:jc w:val="both"/>
        <w:rPr>
          <w:rFonts w:ascii="Times New Roman" w:hAnsi="Times New Roman" w:cs="Times New Roman"/>
          <w:b/>
          <w:sz w:val="28"/>
          <w:szCs w:val="28"/>
        </w:rPr>
      </w:pPr>
    </w:p>
    <w:p w14:paraId="4D60610C" w14:textId="6D7E934E" w:rsidR="00A74088" w:rsidRPr="002A7673" w:rsidRDefault="00760992" w:rsidP="00B67880">
      <w:pPr>
        <w:spacing w:line="240" w:lineRule="auto"/>
        <w:jc w:val="both"/>
        <w:rPr>
          <w:rFonts w:ascii="Times New Roman" w:hAnsi="Times New Roman" w:cs="Times New Roman"/>
          <w:sz w:val="28"/>
          <w:szCs w:val="28"/>
          <w:highlight w:val="yellow"/>
          <w:lang w:val="es-ES"/>
        </w:rPr>
      </w:pPr>
      <w:r w:rsidRPr="002A7673">
        <w:rPr>
          <w:rFonts w:ascii="Times New Roman" w:hAnsi="Times New Roman" w:cs="Times New Roman"/>
          <w:sz w:val="28"/>
          <w:szCs w:val="28"/>
          <w:lang w:val="es-ES"/>
        </w:rPr>
        <w:t>5.1</w:t>
      </w:r>
      <w:r w:rsidRPr="002A7673">
        <w:rPr>
          <w:rFonts w:ascii="Times New Roman" w:hAnsi="Times New Roman" w:cs="Times New Roman"/>
          <w:sz w:val="28"/>
          <w:szCs w:val="28"/>
          <w:lang w:val="es-ES"/>
        </w:rPr>
        <w:tab/>
        <w:t xml:space="preserve">En sesión de Consejo Superior N°22-2021, celebrada el 16 de marzo de 2021, artículo XX, se conoció el oficio N°049-SUP-2021, donde los máster, Walter Espinoza </w:t>
      </w:r>
      <w:proofErr w:type="spellStart"/>
      <w:r w:rsidRPr="002A7673">
        <w:rPr>
          <w:rFonts w:ascii="Times New Roman" w:hAnsi="Times New Roman" w:cs="Times New Roman"/>
          <w:sz w:val="28"/>
          <w:szCs w:val="28"/>
          <w:lang w:val="es-ES"/>
        </w:rPr>
        <w:t>Espinoza</w:t>
      </w:r>
      <w:proofErr w:type="spellEnd"/>
      <w:r w:rsidRPr="002A7673">
        <w:rPr>
          <w:rFonts w:ascii="Times New Roman" w:hAnsi="Times New Roman" w:cs="Times New Roman"/>
          <w:sz w:val="28"/>
          <w:szCs w:val="28"/>
          <w:lang w:val="es-ES"/>
        </w:rPr>
        <w:t>, Randall Zúñiga López y Jorge Monge Calderón, por su orden Director General, Jefe de la Oficina de Planes y Operaciones y Jefe Unidad de Supervisión, todos de la Dirección General del Organismo de Investigación Judicial, gestionaron la ayuda económica que se requiere para las actualizaciones y mantenimientos anuales del Sistema Integrado de Identificación Balística (IBIS) durante los períodos 2022, 2023 y 2024, costos que indican, debido a las fuertes restricciones presupuestarias existentes, no es posible sufragar con el presupuesto ordinario del OIJ. Al respecto el acuerdo del Consejo Superior fue el siguiente:</w:t>
      </w:r>
    </w:p>
    <w:p w14:paraId="661CCD20" w14:textId="7DEF5565" w:rsidR="00A74088" w:rsidRPr="002A7673" w:rsidRDefault="00A74088" w:rsidP="00760992">
      <w:pPr>
        <w:spacing w:line="360" w:lineRule="auto"/>
        <w:ind w:left="1416" w:right="851"/>
        <w:jc w:val="both"/>
        <w:rPr>
          <w:rFonts w:ascii="Times New Roman" w:hAnsi="Times New Roman" w:cs="Times New Roman"/>
          <w:i/>
          <w:iCs/>
          <w:sz w:val="28"/>
          <w:szCs w:val="28"/>
          <w:lang w:val="es-ES"/>
        </w:rPr>
      </w:pPr>
      <w:r w:rsidRPr="002A7673">
        <w:rPr>
          <w:rFonts w:ascii="Times New Roman" w:hAnsi="Times New Roman" w:cs="Times New Roman"/>
          <w:i/>
          <w:iCs/>
          <w:lang w:val="es-ES"/>
        </w:rPr>
        <w:t xml:space="preserve">“Trasladar a la Dirección de Planificación la solicitud de los máster, Walter Espinoza </w:t>
      </w:r>
      <w:proofErr w:type="spellStart"/>
      <w:r w:rsidRPr="002A7673">
        <w:rPr>
          <w:rFonts w:ascii="Times New Roman" w:hAnsi="Times New Roman" w:cs="Times New Roman"/>
          <w:i/>
          <w:iCs/>
          <w:lang w:val="es-ES"/>
        </w:rPr>
        <w:t>Espinoza</w:t>
      </w:r>
      <w:proofErr w:type="spellEnd"/>
      <w:r w:rsidRPr="002A7673">
        <w:rPr>
          <w:rFonts w:ascii="Times New Roman" w:hAnsi="Times New Roman" w:cs="Times New Roman"/>
          <w:i/>
          <w:iCs/>
          <w:lang w:val="es-ES"/>
        </w:rPr>
        <w:t xml:space="preserve">, Randall Zúñiga López y Jorge Monge Calderón, por su orden Director General, Jefe de la Oficina de Planes y Operaciones y Jefe Unidad de Supervisión, todos de la Dirección General del Organismo de Investigación Judicial, en cuanto a la ayuda económica para hacer los cambios respectivos al Sistema de </w:t>
      </w:r>
      <w:r w:rsidRPr="002A7673">
        <w:rPr>
          <w:rFonts w:ascii="Times New Roman" w:hAnsi="Times New Roman" w:cs="Times New Roman"/>
          <w:i/>
          <w:iCs/>
          <w:lang w:val="es-ES"/>
        </w:rPr>
        <w:lastRenderedPageBreak/>
        <w:t>Identificación Balística Integrado (</w:t>
      </w:r>
      <w:proofErr w:type="spellStart"/>
      <w:r w:rsidRPr="002A7673">
        <w:rPr>
          <w:rFonts w:ascii="Times New Roman" w:hAnsi="Times New Roman" w:cs="Times New Roman"/>
          <w:i/>
          <w:iCs/>
          <w:lang w:val="es-ES"/>
        </w:rPr>
        <w:t>Integrated</w:t>
      </w:r>
      <w:proofErr w:type="spellEnd"/>
      <w:r w:rsidRPr="002A7673">
        <w:rPr>
          <w:rFonts w:ascii="Times New Roman" w:hAnsi="Times New Roman" w:cs="Times New Roman"/>
          <w:i/>
          <w:iCs/>
          <w:lang w:val="es-ES"/>
        </w:rPr>
        <w:t xml:space="preserve"> </w:t>
      </w:r>
      <w:proofErr w:type="spellStart"/>
      <w:r w:rsidRPr="002A7673">
        <w:rPr>
          <w:rFonts w:ascii="Times New Roman" w:hAnsi="Times New Roman" w:cs="Times New Roman"/>
          <w:i/>
          <w:iCs/>
          <w:lang w:val="es-ES"/>
        </w:rPr>
        <w:t>Ballistics</w:t>
      </w:r>
      <w:proofErr w:type="spellEnd"/>
      <w:r w:rsidRPr="002A7673">
        <w:rPr>
          <w:rFonts w:ascii="Times New Roman" w:hAnsi="Times New Roman" w:cs="Times New Roman"/>
          <w:i/>
          <w:iCs/>
          <w:lang w:val="es-ES"/>
        </w:rPr>
        <w:t xml:space="preserve"> </w:t>
      </w:r>
      <w:proofErr w:type="spellStart"/>
      <w:r w:rsidRPr="002A7673">
        <w:rPr>
          <w:rFonts w:ascii="Times New Roman" w:hAnsi="Times New Roman" w:cs="Times New Roman"/>
          <w:i/>
          <w:iCs/>
          <w:lang w:val="es-ES"/>
        </w:rPr>
        <w:t>Identification</w:t>
      </w:r>
      <w:proofErr w:type="spellEnd"/>
      <w:r w:rsidRPr="002A7673">
        <w:rPr>
          <w:rFonts w:ascii="Times New Roman" w:hAnsi="Times New Roman" w:cs="Times New Roman"/>
          <w:i/>
          <w:iCs/>
          <w:lang w:val="es-ES"/>
        </w:rPr>
        <w:t xml:space="preserve"> </w:t>
      </w:r>
      <w:proofErr w:type="spellStart"/>
      <w:r w:rsidRPr="002A7673">
        <w:rPr>
          <w:rFonts w:ascii="Times New Roman" w:hAnsi="Times New Roman" w:cs="Times New Roman"/>
          <w:i/>
          <w:iCs/>
          <w:lang w:val="es-ES"/>
        </w:rPr>
        <w:t>System</w:t>
      </w:r>
      <w:proofErr w:type="spellEnd"/>
      <w:r w:rsidRPr="002A7673">
        <w:rPr>
          <w:rFonts w:ascii="Times New Roman" w:hAnsi="Times New Roman" w:cs="Times New Roman"/>
          <w:i/>
          <w:iCs/>
          <w:lang w:val="es-ES"/>
        </w:rPr>
        <w:t>), para que sea valorado dentro del presupuesto del 2022”.</w:t>
      </w:r>
      <w:r w:rsidRPr="002A7673">
        <w:rPr>
          <w:rFonts w:ascii="Times New Roman" w:hAnsi="Times New Roman" w:cs="Times New Roman"/>
          <w:i/>
          <w:iCs/>
          <w:sz w:val="28"/>
          <w:szCs w:val="28"/>
          <w:lang w:val="es-ES"/>
        </w:rPr>
        <w:t xml:space="preserve"> </w:t>
      </w:r>
    </w:p>
    <w:p w14:paraId="73FB35E1" w14:textId="696F54AC" w:rsidR="00A74088" w:rsidRPr="002A7673" w:rsidRDefault="00A74088" w:rsidP="006B2D3F">
      <w:pPr>
        <w:spacing w:line="240" w:lineRule="auto"/>
        <w:ind w:firstLine="709"/>
        <w:jc w:val="both"/>
        <w:rPr>
          <w:rFonts w:ascii="Times New Roman" w:hAnsi="Times New Roman" w:cs="Times New Roman"/>
          <w:sz w:val="28"/>
          <w:szCs w:val="28"/>
          <w:lang w:val="es-ES"/>
        </w:rPr>
      </w:pPr>
      <w:r w:rsidRPr="002A7673">
        <w:rPr>
          <w:rFonts w:ascii="Times New Roman" w:hAnsi="Times New Roman" w:cs="Times New Roman"/>
          <w:sz w:val="28"/>
          <w:szCs w:val="28"/>
          <w:lang w:val="es-ES"/>
        </w:rPr>
        <w:t xml:space="preserve">Según consulta realizada a la Licda. Kattia Saborío Chaverri, Jefa de la Sección de Pericias Físicas, indica que los ¢105.660.400 requeridos para el mantenimiento, sí fueron incluidos en el presupuesto, por lo </w:t>
      </w:r>
      <w:proofErr w:type="gramStart"/>
      <w:r w:rsidRPr="002A7673">
        <w:rPr>
          <w:rFonts w:ascii="Times New Roman" w:hAnsi="Times New Roman" w:cs="Times New Roman"/>
          <w:sz w:val="28"/>
          <w:szCs w:val="28"/>
          <w:lang w:val="es-ES"/>
        </w:rPr>
        <w:t>que</w:t>
      </w:r>
      <w:proofErr w:type="gramEnd"/>
      <w:r w:rsidRPr="002A7673">
        <w:rPr>
          <w:rFonts w:ascii="Times New Roman" w:hAnsi="Times New Roman" w:cs="Times New Roman"/>
          <w:sz w:val="28"/>
          <w:szCs w:val="28"/>
          <w:lang w:val="es-ES"/>
        </w:rPr>
        <w:t xml:space="preserve"> como requerimiento adicional, únicamente se requieren los ¢157.944.380 de la actualización, desagregados de la siguiente forma:</w:t>
      </w:r>
    </w:p>
    <w:p w14:paraId="074EF3D9" w14:textId="77777777" w:rsidR="00A74088" w:rsidRPr="002A7673" w:rsidRDefault="00A74088" w:rsidP="00A74088">
      <w:pPr>
        <w:spacing w:line="360" w:lineRule="auto"/>
        <w:jc w:val="right"/>
        <w:rPr>
          <w:rFonts w:ascii="Times New Roman" w:hAnsi="Times New Roman" w:cs="Times New Roman"/>
          <w:sz w:val="28"/>
          <w:szCs w:val="28"/>
          <w:lang w:val="es-ES"/>
        </w:rPr>
      </w:pPr>
      <w:r w:rsidRPr="002A7673">
        <w:rPr>
          <w:rFonts w:ascii="Times New Roman" w:hAnsi="Times New Roman" w:cs="Times New Roman"/>
          <w:noProof/>
        </w:rPr>
        <w:drawing>
          <wp:inline distT="0" distB="0" distL="0" distR="0" wp14:anchorId="32C80223" wp14:editId="3E06BF99">
            <wp:extent cx="5664192" cy="849630"/>
            <wp:effectExtent l="0" t="0" r="0" b="7620"/>
            <wp:docPr id="1263269114" name="Imagen 126326911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114"/>
                    <pic:cNvPicPr/>
                  </pic:nvPicPr>
                  <pic:blipFill>
                    <a:blip r:embed="rId331">
                      <a:extLst>
                        <a:ext uri="{28A0092B-C50C-407E-A947-70E740481C1C}">
                          <a14:useLocalDpi xmlns:a14="http://schemas.microsoft.com/office/drawing/2010/main" val="0"/>
                        </a:ext>
                      </a:extLst>
                    </a:blip>
                    <a:stretch>
                      <a:fillRect/>
                    </a:stretch>
                  </pic:blipFill>
                  <pic:spPr>
                    <a:xfrm>
                      <a:off x="0" y="0"/>
                      <a:ext cx="5664192" cy="849630"/>
                    </a:xfrm>
                    <a:prstGeom prst="rect">
                      <a:avLst/>
                    </a:prstGeom>
                  </pic:spPr>
                </pic:pic>
              </a:graphicData>
            </a:graphic>
          </wp:inline>
        </w:drawing>
      </w:r>
    </w:p>
    <w:p w14:paraId="7AED9017" w14:textId="77777777" w:rsidR="00A74088" w:rsidRPr="002A7673" w:rsidRDefault="00A74088" w:rsidP="00FB4BF4">
      <w:pPr>
        <w:spacing w:line="240" w:lineRule="auto"/>
        <w:ind w:firstLine="709"/>
        <w:jc w:val="both"/>
        <w:rPr>
          <w:rFonts w:ascii="Times New Roman" w:hAnsi="Times New Roman" w:cs="Times New Roman"/>
          <w:i/>
          <w:iCs/>
          <w:sz w:val="28"/>
          <w:szCs w:val="28"/>
          <w:lang w:val="es-ES"/>
        </w:rPr>
      </w:pPr>
      <w:r w:rsidRPr="002A7673">
        <w:rPr>
          <w:rFonts w:ascii="Times New Roman" w:hAnsi="Times New Roman" w:cs="Times New Roman"/>
          <w:i/>
          <w:iCs/>
          <w:sz w:val="28"/>
          <w:szCs w:val="28"/>
          <w:lang w:val="es-ES"/>
        </w:rPr>
        <w:t>En el caso de la primera línea es de la subpartida 50106 “Equipo Sanitario, de Laboratorio e Investigación” y la segunda de la subpartida 50105 “Equipo de Cómputo”.</w:t>
      </w:r>
    </w:p>
    <w:p w14:paraId="35D87C8F" w14:textId="7BE3EDFA" w:rsidR="00A74088" w:rsidRPr="002A7673" w:rsidRDefault="00320D7C" w:rsidP="00FB4BF4">
      <w:pPr>
        <w:spacing w:line="240" w:lineRule="auto"/>
        <w:ind w:firstLine="709"/>
        <w:jc w:val="both"/>
        <w:rPr>
          <w:rFonts w:ascii="Times New Roman" w:hAnsi="Times New Roman" w:cs="Times New Roman"/>
          <w:i/>
          <w:iCs/>
          <w:sz w:val="28"/>
          <w:szCs w:val="28"/>
          <w:lang w:val="es-ES"/>
        </w:rPr>
      </w:pPr>
      <w:r w:rsidRPr="002A7673">
        <w:rPr>
          <w:rFonts w:ascii="Times New Roman" w:hAnsi="Times New Roman" w:cs="Times New Roman"/>
          <w:i/>
          <w:iCs/>
          <w:sz w:val="28"/>
          <w:szCs w:val="28"/>
          <w:lang w:val="es-ES"/>
        </w:rPr>
        <w:t xml:space="preserve">5.2 </w:t>
      </w:r>
      <w:r w:rsidR="00A74088" w:rsidRPr="002A7673">
        <w:rPr>
          <w:rFonts w:ascii="Times New Roman" w:hAnsi="Times New Roman" w:cs="Times New Roman"/>
          <w:i/>
          <w:iCs/>
          <w:sz w:val="28"/>
          <w:szCs w:val="28"/>
          <w:lang w:val="es-ES"/>
        </w:rPr>
        <w:t xml:space="preserve">Como parte de la revisión realizada por la Dirección de Planificación a los proyectos estratégicos del Portafolio y la verificación de la inclusión o no de recursos en el Sistema de Presupuestación Plurianual, surgió el caso del Proyecto 1167-OIJ-P22 “Sistema de Análisis de Crímenes Violentos”, que a la hora de solicitar la justificación del porqué no requerían recursos, se indicó que en este caso sí se requieren recursos, a pesar de que no se incluyeron en el Sistema de Presupuestación Plurianual. Al respecto como justificación se indica que se trata de un Proyecto nuevo que fue aprobado a mediados del mes de diciembre pasado, razón por la cual no fue posible incorporar la solicitud en Plurianuales, por cuanto ya el período para ello había cerrado.     </w:t>
      </w:r>
    </w:p>
    <w:p w14:paraId="2D1B4DA2" w14:textId="23690949" w:rsidR="00A74088" w:rsidRPr="002A7673" w:rsidRDefault="00A74088" w:rsidP="00FB4BF4">
      <w:pPr>
        <w:spacing w:line="240" w:lineRule="auto"/>
        <w:ind w:firstLine="709"/>
        <w:jc w:val="both"/>
        <w:rPr>
          <w:rFonts w:ascii="Times New Roman" w:hAnsi="Times New Roman" w:cs="Times New Roman"/>
          <w:i/>
          <w:iCs/>
          <w:sz w:val="28"/>
          <w:szCs w:val="28"/>
          <w:lang w:val="es-ES"/>
        </w:rPr>
      </w:pPr>
      <w:r w:rsidRPr="002A7673">
        <w:rPr>
          <w:rFonts w:ascii="Times New Roman" w:hAnsi="Times New Roman" w:cs="Times New Roman"/>
          <w:i/>
          <w:iCs/>
          <w:sz w:val="28"/>
          <w:szCs w:val="28"/>
          <w:lang w:val="es-ES"/>
        </w:rPr>
        <w:t xml:space="preserve">En cuanto a los recursos solicitados se trata de $16.320 equivalentes a ¢10.619.261, los que se requieren en la subpartida 10405 “Servicios Informáticos”, para la contratación de horas de consultoría en la utilización de tecnologías de SQL Server, lo cual se indica es vital para la construcción de Sistemas de Información basados en SQL Server. Se agrega que como mínimo se debe brindar asesoría en sitio (en las instalaciones que el OIJ requiera, dentro del área Metropolitana o bien remoto de manera virtual) mediante el establecimiento de buenas prácticas de la industria en las siguientes áreas: Administración de Base de Datos, Programación de SQL Server, </w:t>
      </w:r>
      <w:proofErr w:type="spellStart"/>
      <w:r w:rsidRPr="002A7673">
        <w:rPr>
          <w:rFonts w:ascii="Times New Roman" w:hAnsi="Times New Roman" w:cs="Times New Roman"/>
          <w:i/>
          <w:iCs/>
          <w:sz w:val="28"/>
          <w:szCs w:val="28"/>
          <w:lang w:val="es-ES"/>
        </w:rPr>
        <w:t>Integration</w:t>
      </w:r>
      <w:proofErr w:type="spellEnd"/>
      <w:r w:rsidRPr="002A7673">
        <w:rPr>
          <w:rFonts w:ascii="Times New Roman" w:hAnsi="Times New Roman" w:cs="Times New Roman"/>
          <w:i/>
          <w:iCs/>
          <w:sz w:val="28"/>
          <w:szCs w:val="28"/>
          <w:lang w:val="es-ES"/>
        </w:rPr>
        <w:t xml:space="preserve"> </w:t>
      </w:r>
      <w:proofErr w:type="spellStart"/>
      <w:r w:rsidRPr="002A7673">
        <w:rPr>
          <w:rFonts w:ascii="Times New Roman" w:hAnsi="Times New Roman" w:cs="Times New Roman"/>
          <w:i/>
          <w:iCs/>
          <w:sz w:val="28"/>
          <w:szCs w:val="28"/>
          <w:lang w:val="es-ES"/>
        </w:rPr>
        <w:t>Services</w:t>
      </w:r>
      <w:proofErr w:type="spellEnd"/>
      <w:r w:rsidRPr="002A7673">
        <w:rPr>
          <w:rFonts w:ascii="Times New Roman" w:hAnsi="Times New Roman" w:cs="Times New Roman"/>
          <w:i/>
          <w:iCs/>
          <w:sz w:val="28"/>
          <w:szCs w:val="28"/>
          <w:lang w:val="es-ES"/>
        </w:rPr>
        <w:t xml:space="preserve">, Cubos Tabulares, </w:t>
      </w:r>
      <w:proofErr w:type="spellStart"/>
      <w:r w:rsidRPr="002A7673">
        <w:rPr>
          <w:rFonts w:ascii="Times New Roman" w:hAnsi="Times New Roman" w:cs="Times New Roman"/>
          <w:i/>
          <w:iCs/>
          <w:sz w:val="28"/>
          <w:szCs w:val="28"/>
          <w:lang w:val="es-ES"/>
        </w:rPr>
        <w:t>Reporting</w:t>
      </w:r>
      <w:proofErr w:type="spellEnd"/>
      <w:r w:rsidRPr="002A7673">
        <w:rPr>
          <w:rFonts w:ascii="Times New Roman" w:hAnsi="Times New Roman" w:cs="Times New Roman"/>
          <w:i/>
          <w:iCs/>
          <w:sz w:val="28"/>
          <w:szCs w:val="28"/>
          <w:lang w:val="es-ES"/>
        </w:rPr>
        <w:t xml:space="preserve"> </w:t>
      </w:r>
      <w:proofErr w:type="spellStart"/>
      <w:r w:rsidRPr="002A7673">
        <w:rPr>
          <w:rFonts w:ascii="Times New Roman" w:hAnsi="Times New Roman" w:cs="Times New Roman"/>
          <w:i/>
          <w:iCs/>
          <w:sz w:val="28"/>
          <w:szCs w:val="28"/>
          <w:lang w:val="es-ES"/>
        </w:rPr>
        <w:t>Services</w:t>
      </w:r>
      <w:proofErr w:type="spellEnd"/>
      <w:r w:rsidRPr="002A7673">
        <w:rPr>
          <w:rFonts w:ascii="Times New Roman" w:hAnsi="Times New Roman" w:cs="Times New Roman"/>
          <w:i/>
          <w:iCs/>
          <w:sz w:val="28"/>
          <w:szCs w:val="28"/>
          <w:lang w:val="es-ES"/>
        </w:rPr>
        <w:t xml:space="preserve"> y Visualización.</w:t>
      </w:r>
    </w:p>
    <w:p w14:paraId="0B7E0098" w14:textId="4BE33A44" w:rsidR="00A74088" w:rsidRPr="002A7673" w:rsidRDefault="00A74088" w:rsidP="00FB4BF4">
      <w:pPr>
        <w:spacing w:line="240" w:lineRule="auto"/>
        <w:ind w:firstLine="709"/>
        <w:jc w:val="both"/>
        <w:rPr>
          <w:rFonts w:ascii="Times New Roman" w:hAnsi="Times New Roman" w:cs="Times New Roman"/>
          <w:i/>
          <w:iCs/>
          <w:sz w:val="28"/>
          <w:szCs w:val="28"/>
          <w:lang w:val="es-ES"/>
        </w:rPr>
      </w:pPr>
      <w:r w:rsidRPr="002A7673">
        <w:rPr>
          <w:rFonts w:ascii="Times New Roman" w:hAnsi="Times New Roman" w:cs="Times New Roman"/>
          <w:i/>
          <w:iCs/>
          <w:sz w:val="28"/>
          <w:szCs w:val="28"/>
          <w:lang w:val="es-ES"/>
        </w:rPr>
        <w:lastRenderedPageBreak/>
        <w:t xml:space="preserve">Finalmente se indica que durante febrero y marzo del presente año se trató de obtener los recursos con la Administración del </w:t>
      </w:r>
      <w:proofErr w:type="gramStart"/>
      <w:r w:rsidRPr="002A7673">
        <w:rPr>
          <w:rFonts w:ascii="Times New Roman" w:hAnsi="Times New Roman" w:cs="Times New Roman"/>
          <w:i/>
          <w:iCs/>
          <w:sz w:val="28"/>
          <w:szCs w:val="28"/>
          <w:lang w:val="es-ES"/>
        </w:rPr>
        <w:t>OIJ</w:t>
      </w:r>
      <w:proofErr w:type="gramEnd"/>
      <w:r w:rsidRPr="002A7673">
        <w:rPr>
          <w:rFonts w:ascii="Times New Roman" w:hAnsi="Times New Roman" w:cs="Times New Roman"/>
          <w:i/>
          <w:iCs/>
          <w:sz w:val="28"/>
          <w:szCs w:val="28"/>
          <w:lang w:val="es-ES"/>
        </w:rPr>
        <w:t xml:space="preserve"> pero no fue posible debido a las restricciones presupuestarias existentes.</w:t>
      </w:r>
    </w:p>
    <w:p w14:paraId="673F1F16" w14:textId="77777777" w:rsidR="00B67880" w:rsidRPr="002A7673" w:rsidRDefault="00B67880" w:rsidP="00B67880">
      <w:pPr>
        <w:pStyle w:val="NormalWeb"/>
        <w:ind w:left="708"/>
        <w:jc w:val="both"/>
        <w:rPr>
          <w:rFonts w:ascii="Times New Roman" w:eastAsia="Times New Roman" w:hAnsi="Times New Roman" w:cs="Times New Roman"/>
          <w:iCs/>
          <w:color w:val="auto"/>
          <w:sz w:val="28"/>
          <w:szCs w:val="28"/>
          <w:lang w:val="es-CR"/>
        </w:rPr>
      </w:pPr>
    </w:p>
    <w:p w14:paraId="46B8D479" w14:textId="77777777" w:rsidR="00A74088" w:rsidRPr="002A7673" w:rsidRDefault="00A74088" w:rsidP="00FF3FAC">
      <w:pPr>
        <w:numPr>
          <w:ilvl w:val="0"/>
          <w:numId w:val="66"/>
        </w:numPr>
        <w:spacing w:after="0" w:line="36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t>Otros Requerimientos Operativos</w:t>
      </w:r>
    </w:p>
    <w:p w14:paraId="3BBC1048" w14:textId="77777777" w:rsidR="00A74088" w:rsidRPr="002A7673" w:rsidRDefault="00A74088" w:rsidP="00B67880">
      <w:pPr>
        <w:pStyle w:val="NormalWeb"/>
        <w:ind w:firstLine="501"/>
        <w:jc w:val="both"/>
        <w:rPr>
          <w:rFonts w:ascii="Times New Roman" w:eastAsia="Times New Roman" w:hAnsi="Times New Roman" w:cs="Times New Roman"/>
          <w:iCs/>
          <w:color w:val="auto"/>
          <w:sz w:val="28"/>
          <w:szCs w:val="28"/>
          <w:lang w:val="es-CR"/>
        </w:rPr>
      </w:pPr>
      <w:r w:rsidRPr="002A7673">
        <w:rPr>
          <w:rFonts w:ascii="Times New Roman" w:eastAsia="Times New Roman" w:hAnsi="Times New Roman" w:cs="Times New Roman"/>
          <w:iCs/>
          <w:color w:val="auto"/>
          <w:sz w:val="28"/>
          <w:szCs w:val="28"/>
          <w:lang w:val="es-CR"/>
        </w:rPr>
        <w:t>Conforme el acuerdo del Consejo Superior tomado en la sesión N°21-2021, del 12 de marzo, artículo X, en el cual se acordó: “Solicitar a la Dirección Ejecutiva que en coordinación con la Dirección de Planificación y debido a las limitaciones presupuestarias, realice un análisis de las necesidades adicionales solicitadas por cada una de las oficinas, estableciendo una propuesta de priorización a nivel institucional.”, se indica que para el programa presupuestario 928 “Organismo de Investigación Judicial”  se están solicitando un total de ¢5.000.000 en la subpartida 10406 Servicios Generales para el servicio de limpieza de la Unidad Canina.</w:t>
      </w:r>
    </w:p>
    <w:p w14:paraId="2200FFFE" w14:textId="77777777" w:rsidR="00A74088" w:rsidRPr="002A7673" w:rsidRDefault="00A74088" w:rsidP="00B67880">
      <w:pPr>
        <w:spacing w:line="240" w:lineRule="auto"/>
        <w:jc w:val="both"/>
        <w:rPr>
          <w:rFonts w:ascii="Times New Roman" w:hAnsi="Times New Roman" w:cs="Times New Roman"/>
          <w:sz w:val="28"/>
          <w:szCs w:val="28"/>
          <w:highlight w:val="yellow"/>
          <w:lang w:val="es-ES"/>
        </w:rPr>
      </w:pPr>
    </w:p>
    <w:p w14:paraId="1B698732" w14:textId="77777777" w:rsidR="00A74088" w:rsidRPr="002A7673" w:rsidRDefault="00A74088" w:rsidP="00A74088">
      <w:pPr>
        <w:spacing w:line="360" w:lineRule="auto"/>
        <w:jc w:val="both"/>
        <w:rPr>
          <w:rFonts w:ascii="Times New Roman" w:hAnsi="Times New Roman" w:cs="Times New Roman"/>
          <w:b/>
          <w:bCs/>
          <w:sz w:val="32"/>
          <w:szCs w:val="32"/>
        </w:rPr>
      </w:pPr>
      <w:r w:rsidRPr="002A7673">
        <w:rPr>
          <w:rFonts w:ascii="Times New Roman" w:hAnsi="Times New Roman" w:cs="Times New Roman"/>
          <w:b/>
          <w:bCs/>
          <w:sz w:val="28"/>
          <w:szCs w:val="28"/>
          <w:lang w:val="es-ES"/>
        </w:rPr>
        <w:t>De aprobarse por parte del Consejo Superior tanto los requerimientos adicionales como los operativos, que en total suman ¢173.563.641, el presupuesto del Organismo de Investigación Judicial para el 2022 quedaría en ¢18.185.556.800 con un decrecimiento respecto al 2021 de -4%.</w:t>
      </w:r>
    </w:p>
    <w:p w14:paraId="3A744D6D" w14:textId="77777777" w:rsidR="00A74088" w:rsidRPr="002A7673" w:rsidRDefault="00A74088" w:rsidP="00A74088">
      <w:pPr>
        <w:spacing w:line="360" w:lineRule="auto"/>
        <w:jc w:val="center"/>
        <w:rPr>
          <w:rFonts w:ascii="Times New Roman" w:hAnsi="Times New Roman" w:cs="Times New Roman"/>
          <w:sz w:val="28"/>
          <w:szCs w:val="28"/>
        </w:rPr>
      </w:pPr>
    </w:p>
    <w:p w14:paraId="1ACB1449" w14:textId="77777777" w:rsidR="00A74088" w:rsidRPr="002A7673" w:rsidRDefault="00A74088" w:rsidP="00FF3FAC">
      <w:pPr>
        <w:numPr>
          <w:ilvl w:val="0"/>
          <w:numId w:val="66"/>
        </w:numPr>
        <w:spacing w:after="0" w:line="48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t>Detalle del Presupuesto Formulado para 2022</w:t>
      </w:r>
    </w:p>
    <w:p w14:paraId="7BD5E525" w14:textId="77777777" w:rsidR="00A74088" w:rsidRPr="002A7673" w:rsidRDefault="00A74088" w:rsidP="006B2D3F">
      <w:pPr>
        <w:spacing w:line="240" w:lineRule="auto"/>
        <w:ind w:left="360" w:firstLine="348"/>
        <w:jc w:val="both"/>
        <w:rPr>
          <w:rFonts w:ascii="Times New Roman" w:hAnsi="Times New Roman" w:cs="Times New Roman"/>
          <w:sz w:val="28"/>
          <w:szCs w:val="28"/>
        </w:rPr>
      </w:pPr>
      <w:r w:rsidRPr="002A7673">
        <w:rPr>
          <w:rFonts w:ascii="Times New Roman" w:hAnsi="Times New Roman" w:cs="Times New Roman"/>
          <w:sz w:val="28"/>
          <w:szCs w:val="28"/>
        </w:rPr>
        <w:t xml:space="preserve">A continuación, se incluye el archivo que contiene el detalle del gasto de los recursos formulados para el 2022. </w:t>
      </w:r>
    </w:p>
    <w:p w14:paraId="57C4B839" w14:textId="77777777" w:rsidR="00A74088" w:rsidRPr="002A7673" w:rsidRDefault="00A74088" w:rsidP="00B67880">
      <w:pPr>
        <w:spacing w:line="240" w:lineRule="auto"/>
        <w:ind w:left="360"/>
        <w:jc w:val="both"/>
        <w:rPr>
          <w:rFonts w:ascii="Times New Roman" w:hAnsi="Times New Roman" w:cs="Times New Roman"/>
          <w:sz w:val="28"/>
          <w:szCs w:val="28"/>
        </w:rPr>
      </w:pPr>
    </w:p>
    <w:p w14:paraId="30DC3F3F" w14:textId="77777777" w:rsidR="00A74088" w:rsidRPr="002A7673" w:rsidRDefault="00A74088" w:rsidP="00A74088">
      <w:pPr>
        <w:ind w:left="714"/>
        <w:jc w:val="center"/>
        <w:rPr>
          <w:rFonts w:ascii="Times New Roman" w:hAnsi="Times New Roman" w:cs="Times New Roman"/>
          <w:b/>
          <w:sz w:val="28"/>
          <w:szCs w:val="28"/>
        </w:rPr>
      </w:pPr>
      <w:bookmarkStart w:id="214" w:name="_MON_1615717268"/>
      <w:bookmarkStart w:id="215" w:name="_MON_1647518598"/>
      <w:bookmarkEnd w:id="214"/>
      <w:bookmarkEnd w:id="215"/>
    </w:p>
    <w:p w14:paraId="0C7313E1" w14:textId="77777777" w:rsidR="00A74088" w:rsidRPr="002A7673" w:rsidRDefault="00A74088" w:rsidP="00A74088">
      <w:pPr>
        <w:ind w:left="714"/>
        <w:jc w:val="center"/>
        <w:rPr>
          <w:rFonts w:ascii="Times New Roman" w:hAnsi="Times New Roman" w:cs="Times New Roman"/>
          <w:b/>
          <w:sz w:val="28"/>
          <w:szCs w:val="28"/>
        </w:rPr>
      </w:pPr>
      <w:r w:rsidRPr="002A7673">
        <w:rPr>
          <w:rFonts w:ascii="Times New Roman" w:hAnsi="Times New Roman" w:cs="Times New Roman"/>
          <w:b/>
          <w:sz w:val="28"/>
          <w:szCs w:val="28"/>
        </w:rPr>
        <w:object w:dxaOrig="1508" w:dyaOrig="983" w14:anchorId="2E8DBC07">
          <v:shape id="_x0000_i1149" type="#_x0000_t75" style="width:77.5pt;height:52pt" o:ole="">
            <v:imagedata r:id="rId332" o:title=""/>
          </v:shape>
          <o:OLEObject Type="Embed" ProgID="Excel.Sheet.12" ShapeID="_x0000_i1149" DrawAspect="Icon" ObjectID="_1684067092" r:id="rId333"/>
        </w:object>
      </w:r>
    </w:p>
    <w:p w14:paraId="069C5A48" w14:textId="77777777" w:rsidR="00A74088" w:rsidRPr="002A7673" w:rsidRDefault="00A74088" w:rsidP="00102DB7">
      <w:pPr>
        <w:jc w:val="both"/>
        <w:rPr>
          <w:rFonts w:ascii="Times New Roman" w:hAnsi="Times New Roman" w:cs="Times New Roman"/>
          <w:b/>
          <w:sz w:val="28"/>
          <w:szCs w:val="28"/>
        </w:rPr>
      </w:pPr>
    </w:p>
    <w:p w14:paraId="37403B3F" w14:textId="77777777" w:rsidR="00A74088" w:rsidRPr="002A7673" w:rsidRDefault="00A74088" w:rsidP="00FF3FAC">
      <w:pPr>
        <w:numPr>
          <w:ilvl w:val="0"/>
          <w:numId w:val="66"/>
        </w:numPr>
        <w:spacing w:after="0" w:line="36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lastRenderedPageBreak/>
        <w:t xml:space="preserve">Carga de Trabajo de los Circuitos Judiciales y Centros de Responsabilidad </w:t>
      </w:r>
    </w:p>
    <w:p w14:paraId="362DB77B" w14:textId="77777777" w:rsidR="00A74088" w:rsidRPr="002A7673" w:rsidRDefault="00A74088" w:rsidP="00A74088">
      <w:pPr>
        <w:jc w:val="both"/>
        <w:rPr>
          <w:rFonts w:ascii="Times New Roman" w:hAnsi="Times New Roman" w:cs="Times New Roman"/>
          <w:b/>
          <w:sz w:val="28"/>
          <w:szCs w:val="28"/>
        </w:rPr>
      </w:pPr>
    </w:p>
    <w:p w14:paraId="12E4AA20" w14:textId="77777777" w:rsidR="00A74088" w:rsidRPr="002A7673" w:rsidRDefault="00A74088" w:rsidP="006B2D3F">
      <w:pPr>
        <w:spacing w:line="240" w:lineRule="auto"/>
        <w:ind w:left="357" w:firstLine="351"/>
        <w:jc w:val="both"/>
        <w:rPr>
          <w:rFonts w:ascii="Times New Roman" w:hAnsi="Times New Roman" w:cs="Times New Roman"/>
          <w:sz w:val="28"/>
          <w:szCs w:val="28"/>
        </w:rPr>
      </w:pPr>
      <w:r w:rsidRPr="002A7673">
        <w:rPr>
          <w:rFonts w:ascii="Times New Roman" w:hAnsi="Times New Roman" w:cs="Times New Roman"/>
          <w:sz w:val="28"/>
          <w:szCs w:val="28"/>
        </w:rPr>
        <w:t>A continuación, se presenta un resumen de algunas de las actividades desarrolladas por el Organismo de Investigación Judicial durante el periodo comprendido entre enero y diciembre de los años 2019 y 2020.</w:t>
      </w:r>
    </w:p>
    <w:p w14:paraId="0787C627" w14:textId="77777777" w:rsidR="00A74088" w:rsidRPr="002A7673" w:rsidRDefault="00A74088" w:rsidP="00EF3209">
      <w:pPr>
        <w:spacing w:line="360" w:lineRule="auto"/>
        <w:jc w:val="both"/>
        <w:rPr>
          <w:rFonts w:ascii="Times New Roman" w:hAnsi="Times New Roman" w:cs="Times New Roman"/>
          <w:sz w:val="28"/>
          <w:szCs w:val="28"/>
        </w:rPr>
      </w:pPr>
    </w:p>
    <w:p w14:paraId="7EC9887A" w14:textId="77777777" w:rsidR="00A74088" w:rsidRPr="002A7673" w:rsidRDefault="00A74088" w:rsidP="00FF3FAC">
      <w:pPr>
        <w:pStyle w:val="Prrafodelista"/>
        <w:numPr>
          <w:ilvl w:val="0"/>
          <w:numId w:val="71"/>
        </w:numPr>
        <w:spacing w:line="480" w:lineRule="auto"/>
        <w:ind w:left="360"/>
        <w:contextualSpacing/>
        <w:jc w:val="both"/>
        <w:rPr>
          <w:rFonts w:ascii="Times New Roman" w:hAnsi="Times New Roman" w:cs="Times New Roman"/>
          <w:b/>
          <w:bCs/>
          <w:sz w:val="26"/>
          <w:szCs w:val="26"/>
        </w:rPr>
      </w:pPr>
      <w:r w:rsidRPr="002A7673">
        <w:rPr>
          <w:rFonts w:ascii="Times New Roman" w:hAnsi="Times New Roman" w:cs="Times New Roman"/>
          <w:b/>
          <w:bCs/>
          <w:sz w:val="26"/>
          <w:szCs w:val="26"/>
        </w:rPr>
        <w:t>Oficina de Planes y Operaciones</w:t>
      </w:r>
    </w:p>
    <w:tbl>
      <w:tblPr>
        <w:tblW w:w="8910" w:type="dxa"/>
        <w:jc w:val="right"/>
        <w:tblBorders>
          <w:top w:val="single" w:sz="4" w:space="0" w:color="auto"/>
          <w:bottom w:val="single" w:sz="4" w:space="0" w:color="auto"/>
        </w:tblBorders>
        <w:tblCellMar>
          <w:left w:w="70" w:type="dxa"/>
          <w:right w:w="70" w:type="dxa"/>
        </w:tblCellMar>
        <w:tblLook w:val="0600" w:firstRow="0" w:lastRow="0" w:firstColumn="0" w:lastColumn="0" w:noHBand="1" w:noVBand="1"/>
      </w:tblPr>
      <w:tblGrid>
        <w:gridCol w:w="3493"/>
        <w:gridCol w:w="832"/>
        <w:gridCol w:w="905"/>
        <w:gridCol w:w="832"/>
        <w:gridCol w:w="905"/>
        <w:gridCol w:w="960"/>
        <w:gridCol w:w="983"/>
      </w:tblGrid>
      <w:tr w:rsidR="00A74088" w:rsidRPr="002A7673" w14:paraId="211B97F2" w14:textId="77777777" w:rsidTr="0048334E">
        <w:trPr>
          <w:trHeight w:val="324"/>
          <w:jc w:val="right"/>
        </w:trPr>
        <w:tc>
          <w:tcPr>
            <w:tcW w:w="3493" w:type="dxa"/>
            <w:vMerge w:val="restart"/>
            <w:tcBorders>
              <w:top w:val="single" w:sz="4" w:space="0" w:color="auto"/>
              <w:bottom w:val="single" w:sz="4" w:space="0" w:color="auto"/>
            </w:tcBorders>
            <w:shd w:val="clear" w:color="auto" w:fill="E7E6E6"/>
            <w:vAlign w:val="center"/>
            <w:hideMark/>
          </w:tcPr>
          <w:p w14:paraId="1485A702" w14:textId="77777777" w:rsidR="00A74088" w:rsidRPr="002A7673" w:rsidRDefault="00A74088" w:rsidP="0048334E">
            <w:pPr>
              <w:jc w:val="center"/>
              <w:rPr>
                <w:rFonts w:ascii="Times New Roman" w:hAnsi="Times New Roman" w:cs="Times New Roman"/>
                <w:b/>
                <w:bCs/>
                <w:sz w:val="20"/>
                <w:szCs w:val="20"/>
                <w:lang w:val="es-ES"/>
              </w:rPr>
            </w:pPr>
            <w:r w:rsidRPr="002A7673">
              <w:rPr>
                <w:rFonts w:ascii="Times New Roman" w:hAnsi="Times New Roman" w:cs="Times New Roman"/>
                <w:b/>
                <w:bCs/>
                <w:sz w:val="20"/>
                <w:szCs w:val="20"/>
              </w:rPr>
              <w:t>Unidad</w:t>
            </w:r>
          </w:p>
        </w:tc>
        <w:tc>
          <w:tcPr>
            <w:tcW w:w="1737" w:type="dxa"/>
            <w:gridSpan w:val="2"/>
            <w:tcBorders>
              <w:top w:val="single" w:sz="4" w:space="0" w:color="auto"/>
              <w:bottom w:val="single" w:sz="4" w:space="0" w:color="auto"/>
            </w:tcBorders>
            <w:shd w:val="clear" w:color="auto" w:fill="E7E6E6"/>
            <w:vAlign w:val="center"/>
            <w:hideMark/>
          </w:tcPr>
          <w:p w14:paraId="6664C6C6" w14:textId="77777777" w:rsidR="00A74088" w:rsidRPr="002A7673" w:rsidRDefault="00A74088" w:rsidP="0048334E">
            <w:pPr>
              <w:jc w:val="center"/>
              <w:rPr>
                <w:rFonts w:ascii="Times New Roman" w:hAnsi="Times New Roman" w:cs="Times New Roman"/>
                <w:b/>
                <w:bCs/>
                <w:sz w:val="20"/>
                <w:szCs w:val="20"/>
              </w:rPr>
            </w:pPr>
            <w:r w:rsidRPr="002A7673">
              <w:rPr>
                <w:rFonts w:ascii="Times New Roman" w:hAnsi="Times New Roman" w:cs="Times New Roman"/>
                <w:b/>
                <w:bCs/>
                <w:sz w:val="20"/>
                <w:szCs w:val="20"/>
              </w:rPr>
              <w:t>2019</w:t>
            </w:r>
          </w:p>
        </w:tc>
        <w:tc>
          <w:tcPr>
            <w:tcW w:w="1737" w:type="dxa"/>
            <w:gridSpan w:val="2"/>
            <w:tcBorders>
              <w:top w:val="single" w:sz="4" w:space="0" w:color="auto"/>
              <w:bottom w:val="single" w:sz="4" w:space="0" w:color="auto"/>
            </w:tcBorders>
            <w:shd w:val="clear" w:color="auto" w:fill="E7E6E6"/>
            <w:vAlign w:val="center"/>
            <w:hideMark/>
          </w:tcPr>
          <w:p w14:paraId="432A8BF8" w14:textId="77777777" w:rsidR="00A74088" w:rsidRPr="002A7673" w:rsidRDefault="00A74088" w:rsidP="0048334E">
            <w:pPr>
              <w:jc w:val="center"/>
              <w:rPr>
                <w:rFonts w:ascii="Times New Roman" w:hAnsi="Times New Roman" w:cs="Times New Roman"/>
                <w:b/>
                <w:bCs/>
                <w:sz w:val="20"/>
                <w:szCs w:val="20"/>
              </w:rPr>
            </w:pPr>
            <w:r w:rsidRPr="002A7673">
              <w:rPr>
                <w:rFonts w:ascii="Times New Roman" w:hAnsi="Times New Roman" w:cs="Times New Roman"/>
                <w:b/>
                <w:bCs/>
                <w:sz w:val="20"/>
                <w:szCs w:val="20"/>
              </w:rPr>
              <w:t>2020</w:t>
            </w:r>
          </w:p>
        </w:tc>
        <w:tc>
          <w:tcPr>
            <w:tcW w:w="1943" w:type="dxa"/>
            <w:gridSpan w:val="2"/>
            <w:tcBorders>
              <w:top w:val="single" w:sz="4" w:space="0" w:color="auto"/>
              <w:bottom w:val="single" w:sz="4" w:space="0" w:color="auto"/>
            </w:tcBorders>
            <w:shd w:val="clear" w:color="auto" w:fill="E7E6E6"/>
            <w:vAlign w:val="center"/>
            <w:hideMark/>
          </w:tcPr>
          <w:p w14:paraId="52489477" w14:textId="77777777" w:rsidR="00A74088" w:rsidRPr="002A7673" w:rsidRDefault="00A74088" w:rsidP="0048334E">
            <w:pPr>
              <w:jc w:val="center"/>
              <w:rPr>
                <w:rFonts w:ascii="Times New Roman" w:hAnsi="Times New Roman" w:cs="Times New Roman"/>
                <w:b/>
                <w:bCs/>
                <w:sz w:val="20"/>
                <w:szCs w:val="20"/>
              </w:rPr>
            </w:pPr>
            <w:r w:rsidRPr="002A7673">
              <w:rPr>
                <w:rFonts w:ascii="Times New Roman" w:hAnsi="Times New Roman" w:cs="Times New Roman"/>
                <w:b/>
                <w:bCs/>
                <w:sz w:val="20"/>
                <w:szCs w:val="20"/>
              </w:rPr>
              <w:t>% variación</w:t>
            </w:r>
          </w:p>
          <w:p w14:paraId="45747E3C" w14:textId="77777777" w:rsidR="00A74088" w:rsidRPr="002A7673" w:rsidRDefault="00A74088" w:rsidP="0048334E">
            <w:pPr>
              <w:jc w:val="center"/>
              <w:rPr>
                <w:rFonts w:ascii="Times New Roman" w:hAnsi="Times New Roman" w:cs="Times New Roman"/>
                <w:b/>
                <w:bCs/>
                <w:sz w:val="20"/>
                <w:szCs w:val="20"/>
              </w:rPr>
            </w:pPr>
            <w:r w:rsidRPr="002A7673">
              <w:rPr>
                <w:rFonts w:ascii="Times New Roman" w:hAnsi="Times New Roman" w:cs="Times New Roman"/>
                <w:b/>
                <w:bCs/>
                <w:sz w:val="20"/>
                <w:szCs w:val="20"/>
              </w:rPr>
              <w:t>2019-2020</w:t>
            </w:r>
          </w:p>
        </w:tc>
      </w:tr>
      <w:tr w:rsidR="00A74088" w:rsidRPr="002A7673" w14:paraId="5C81374D" w14:textId="77777777" w:rsidTr="0048334E">
        <w:trPr>
          <w:trHeight w:val="324"/>
          <w:jc w:val="right"/>
        </w:trPr>
        <w:tc>
          <w:tcPr>
            <w:tcW w:w="3493" w:type="dxa"/>
            <w:vMerge/>
            <w:tcBorders>
              <w:top w:val="nil"/>
              <w:bottom w:val="single" w:sz="4" w:space="0" w:color="auto"/>
            </w:tcBorders>
            <w:shd w:val="clear" w:color="auto" w:fill="E7E6E6"/>
            <w:vAlign w:val="center"/>
            <w:hideMark/>
          </w:tcPr>
          <w:p w14:paraId="3AA0D1B7" w14:textId="77777777" w:rsidR="00A74088" w:rsidRPr="002A7673" w:rsidRDefault="00A74088" w:rsidP="0048334E">
            <w:pPr>
              <w:rPr>
                <w:rFonts w:ascii="Times New Roman" w:hAnsi="Times New Roman" w:cs="Times New Roman"/>
                <w:b/>
                <w:bCs/>
                <w:sz w:val="20"/>
                <w:szCs w:val="20"/>
              </w:rPr>
            </w:pPr>
          </w:p>
        </w:tc>
        <w:tc>
          <w:tcPr>
            <w:tcW w:w="832" w:type="dxa"/>
            <w:tcBorders>
              <w:top w:val="single" w:sz="4" w:space="0" w:color="auto"/>
              <w:bottom w:val="single" w:sz="4" w:space="0" w:color="auto"/>
            </w:tcBorders>
            <w:shd w:val="clear" w:color="auto" w:fill="E7E6E6"/>
            <w:vAlign w:val="center"/>
            <w:hideMark/>
          </w:tcPr>
          <w:p w14:paraId="469A392A" w14:textId="77777777" w:rsidR="00A74088" w:rsidRPr="002A7673" w:rsidRDefault="00A74088" w:rsidP="0048334E">
            <w:pPr>
              <w:jc w:val="center"/>
              <w:rPr>
                <w:rFonts w:ascii="Times New Roman" w:hAnsi="Times New Roman" w:cs="Times New Roman"/>
                <w:b/>
                <w:bCs/>
                <w:sz w:val="20"/>
                <w:szCs w:val="20"/>
              </w:rPr>
            </w:pPr>
            <w:r w:rsidRPr="002A7673">
              <w:rPr>
                <w:rFonts w:ascii="Times New Roman" w:hAnsi="Times New Roman" w:cs="Times New Roman"/>
                <w:b/>
                <w:bCs/>
                <w:sz w:val="20"/>
                <w:szCs w:val="20"/>
              </w:rPr>
              <w:t>Ingres.</w:t>
            </w:r>
          </w:p>
        </w:tc>
        <w:tc>
          <w:tcPr>
            <w:tcW w:w="904" w:type="dxa"/>
            <w:tcBorders>
              <w:top w:val="single" w:sz="4" w:space="0" w:color="auto"/>
              <w:bottom w:val="single" w:sz="4" w:space="0" w:color="auto"/>
            </w:tcBorders>
            <w:shd w:val="clear" w:color="auto" w:fill="E7E6E6"/>
            <w:vAlign w:val="center"/>
            <w:hideMark/>
          </w:tcPr>
          <w:p w14:paraId="258FD860" w14:textId="77777777" w:rsidR="00A74088" w:rsidRPr="002A7673" w:rsidRDefault="00A74088" w:rsidP="0048334E">
            <w:pPr>
              <w:jc w:val="center"/>
              <w:rPr>
                <w:rFonts w:ascii="Times New Roman" w:hAnsi="Times New Roman" w:cs="Times New Roman"/>
                <w:b/>
                <w:bCs/>
                <w:sz w:val="20"/>
                <w:szCs w:val="20"/>
              </w:rPr>
            </w:pPr>
            <w:proofErr w:type="spellStart"/>
            <w:r w:rsidRPr="002A7673">
              <w:rPr>
                <w:rFonts w:ascii="Times New Roman" w:hAnsi="Times New Roman" w:cs="Times New Roman"/>
                <w:b/>
                <w:bCs/>
                <w:sz w:val="20"/>
                <w:szCs w:val="20"/>
              </w:rPr>
              <w:t>Tramit</w:t>
            </w:r>
            <w:proofErr w:type="spellEnd"/>
            <w:r w:rsidRPr="002A7673">
              <w:rPr>
                <w:rFonts w:ascii="Times New Roman" w:hAnsi="Times New Roman" w:cs="Times New Roman"/>
                <w:b/>
                <w:bCs/>
                <w:sz w:val="20"/>
                <w:szCs w:val="20"/>
              </w:rPr>
              <w:t>.</w:t>
            </w:r>
          </w:p>
        </w:tc>
        <w:tc>
          <w:tcPr>
            <w:tcW w:w="832" w:type="dxa"/>
            <w:tcBorders>
              <w:top w:val="single" w:sz="4" w:space="0" w:color="auto"/>
              <w:bottom w:val="single" w:sz="4" w:space="0" w:color="auto"/>
            </w:tcBorders>
            <w:shd w:val="clear" w:color="auto" w:fill="E7E6E6"/>
            <w:vAlign w:val="center"/>
            <w:hideMark/>
          </w:tcPr>
          <w:p w14:paraId="1A6CA5BB" w14:textId="77777777" w:rsidR="00A74088" w:rsidRPr="002A7673" w:rsidRDefault="00A74088" w:rsidP="0048334E">
            <w:pPr>
              <w:jc w:val="center"/>
              <w:rPr>
                <w:rFonts w:ascii="Times New Roman" w:hAnsi="Times New Roman" w:cs="Times New Roman"/>
                <w:b/>
                <w:bCs/>
                <w:sz w:val="20"/>
                <w:szCs w:val="20"/>
              </w:rPr>
            </w:pPr>
            <w:r w:rsidRPr="002A7673">
              <w:rPr>
                <w:rFonts w:ascii="Times New Roman" w:hAnsi="Times New Roman" w:cs="Times New Roman"/>
                <w:b/>
                <w:bCs/>
                <w:sz w:val="20"/>
                <w:szCs w:val="20"/>
              </w:rPr>
              <w:t>Ingres.</w:t>
            </w:r>
          </w:p>
        </w:tc>
        <w:tc>
          <w:tcPr>
            <w:tcW w:w="904" w:type="dxa"/>
            <w:tcBorders>
              <w:top w:val="single" w:sz="4" w:space="0" w:color="auto"/>
              <w:bottom w:val="single" w:sz="4" w:space="0" w:color="auto"/>
            </w:tcBorders>
            <w:shd w:val="clear" w:color="auto" w:fill="E7E6E6"/>
            <w:vAlign w:val="center"/>
            <w:hideMark/>
          </w:tcPr>
          <w:p w14:paraId="551EBC04" w14:textId="77777777" w:rsidR="00A74088" w:rsidRPr="002A7673" w:rsidRDefault="00A74088" w:rsidP="0048334E">
            <w:pPr>
              <w:jc w:val="center"/>
              <w:rPr>
                <w:rFonts w:ascii="Times New Roman" w:hAnsi="Times New Roman" w:cs="Times New Roman"/>
                <w:b/>
                <w:bCs/>
                <w:sz w:val="20"/>
                <w:szCs w:val="20"/>
              </w:rPr>
            </w:pPr>
            <w:proofErr w:type="spellStart"/>
            <w:r w:rsidRPr="002A7673">
              <w:rPr>
                <w:rFonts w:ascii="Times New Roman" w:hAnsi="Times New Roman" w:cs="Times New Roman"/>
                <w:b/>
                <w:bCs/>
                <w:sz w:val="20"/>
                <w:szCs w:val="20"/>
              </w:rPr>
              <w:t>Tramit</w:t>
            </w:r>
            <w:proofErr w:type="spellEnd"/>
            <w:r w:rsidRPr="002A7673">
              <w:rPr>
                <w:rFonts w:ascii="Times New Roman" w:hAnsi="Times New Roman" w:cs="Times New Roman"/>
                <w:b/>
                <w:bCs/>
                <w:sz w:val="20"/>
                <w:szCs w:val="20"/>
              </w:rPr>
              <w:t>.</w:t>
            </w:r>
          </w:p>
        </w:tc>
        <w:tc>
          <w:tcPr>
            <w:tcW w:w="960" w:type="dxa"/>
            <w:tcBorders>
              <w:top w:val="single" w:sz="4" w:space="0" w:color="auto"/>
              <w:bottom w:val="single" w:sz="4" w:space="0" w:color="auto"/>
            </w:tcBorders>
            <w:shd w:val="clear" w:color="auto" w:fill="E7E6E6"/>
            <w:vAlign w:val="center"/>
            <w:hideMark/>
          </w:tcPr>
          <w:p w14:paraId="171FD16D" w14:textId="77777777" w:rsidR="00A74088" w:rsidRPr="002A7673" w:rsidRDefault="00A74088" w:rsidP="0048334E">
            <w:pPr>
              <w:jc w:val="center"/>
              <w:rPr>
                <w:rFonts w:ascii="Times New Roman" w:hAnsi="Times New Roman" w:cs="Times New Roman"/>
                <w:b/>
                <w:bCs/>
                <w:sz w:val="20"/>
                <w:szCs w:val="20"/>
              </w:rPr>
            </w:pPr>
            <w:r w:rsidRPr="002A7673">
              <w:rPr>
                <w:rFonts w:ascii="Times New Roman" w:hAnsi="Times New Roman" w:cs="Times New Roman"/>
                <w:b/>
                <w:bCs/>
                <w:sz w:val="20"/>
                <w:szCs w:val="20"/>
              </w:rPr>
              <w:t>Ingres.</w:t>
            </w:r>
          </w:p>
        </w:tc>
        <w:tc>
          <w:tcPr>
            <w:tcW w:w="982" w:type="dxa"/>
            <w:tcBorders>
              <w:top w:val="single" w:sz="4" w:space="0" w:color="auto"/>
              <w:bottom w:val="single" w:sz="4" w:space="0" w:color="auto"/>
            </w:tcBorders>
            <w:shd w:val="clear" w:color="auto" w:fill="E7E6E6"/>
            <w:vAlign w:val="center"/>
            <w:hideMark/>
          </w:tcPr>
          <w:p w14:paraId="3AB2129F" w14:textId="77777777" w:rsidR="00A74088" w:rsidRPr="002A7673" w:rsidRDefault="00A74088" w:rsidP="0048334E">
            <w:pPr>
              <w:jc w:val="center"/>
              <w:rPr>
                <w:rFonts w:ascii="Times New Roman" w:hAnsi="Times New Roman" w:cs="Times New Roman"/>
                <w:b/>
                <w:bCs/>
                <w:sz w:val="20"/>
                <w:szCs w:val="20"/>
              </w:rPr>
            </w:pPr>
            <w:proofErr w:type="spellStart"/>
            <w:r w:rsidRPr="002A7673">
              <w:rPr>
                <w:rFonts w:ascii="Times New Roman" w:hAnsi="Times New Roman" w:cs="Times New Roman"/>
                <w:b/>
                <w:bCs/>
                <w:sz w:val="20"/>
                <w:szCs w:val="20"/>
              </w:rPr>
              <w:t>Tramit</w:t>
            </w:r>
            <w:proofErr w:type="spellEnd"/>
            <w:r w:rsidRPr="002A7673">
              <w:rPr>
                <w:rFonts w:ascii="Times New Roman" w:hAnsi="Times New Roman" w:cs="Times New Roman"/>
                <w:b/>
                <w:bCs/>
                <w:sz w:val="20"/>
                <w:szCs w:val="20"/>
              </w:rPr>
              <w:t>.</w:t>
            </w:r>
          </w:p>
        </w:tc>
      </w:tr>
      <w:tr w:rsidR="00A74088" w:rsidRPr="002A7673" w14:paraId="3B4F1516" w14:textId="77777777" w:rsidTr="0048334E">
        <w:trPr>
          <w:trHeight w:val="308"/>
          <w:jc w:val="right"/>
        </w:trPr>
        <w:tc>
          <w:tcPr>
            <w:tcW w:w="3493" w:type="dxa"/>
            <w:tcBorders>
              <w:top w:val="single" w:sz="4" w:space="0" w:color="auto"/>
            </w:tcBorders>
            <w:shd w:val="clear" w:color="auto" w:fill="auto"/>
            <w:vAlign w:val="center"/>
            <w:hideMark/>
          </w:tcPr>
          <w:p w14:paraId="64336122"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de Administración de Sistemas</w:t>
            </w:r>
          </w:p>
        </w:tc>
        <w:tc>
          <w:tcPr>
            <w:tcW w:w="832" w:type="dxa"/>
            <w:tcBorders>
              <w:top w:val="single" w:sz="4" w:space="0" w:color="auto"/>
            </w:tcBorders>
            <w:shd w:val="clear" w:color="auto" w:fill="auto"/>
            <w:vAlign w:val="center"/>
          </w:tcPr>
          <w:p w14:paraId="22223F3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19 875</w:t>
            </w:r>
          </w:p>
        </w:tc>
        <w:tc>
          <w:tcPr>
            <w:tcW w:w="904" w:type="dxa"/>
            <w:tcBorders>
              <w:top w:val="single" w:sz="4" w:space="0" w:color="auto"/>
            </w:tcBorders>
            <w:shd w:val="clear" w:color="auto" w:fill="auto"/>
            <w:vAlign w:val="center"/>
          </w:tcPr>
          <w:p w14:paraId="16E060CD"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19 875</w:t>
            </w:r>
          </w:p>
        </w:tc>
        <w:tc>
          <w:tcPr>
            <w:tcW w:w="832" w:type="dxa"/>
            <w:tcBorders>
              <w:top w:val="single" w:sz="4" w:space="0" w:color="auto"/>
            </w:tcBorders>
            <w:shd w:val="clear" w:color="auto" w:fill="auto"/>
            <w:vAlign w:val="center"/>
          </w:tcPr>
          <w:p w14:paraId="38EE4BF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57 301</w:t>
            </w:r>
          </w:p>
        </w:tc>
        <w:tc>
          <w:tcPr>
            <w:tcW w:w="904" w:type="dxa"/>
            <w:tcBorders>
              <w:top w:val="single" w:sz="4" w:space="0" w:color="auto"/>
            </w:tcBorders>
            <w:shd w:val="clear" w:color="auto" w:fill="auto"/>
            <w:vAlign w:val="center"/>
          </w:tcPr>
          <w:p w14:paraId="28E47AF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57 301</w:t>
            </w:r>
          </w:p>
        </w:tc>
        <w:tc>
          <w:tcPr>
            <w:tcW w:w="960" w:type="dxa"/>
            <w:tcBorders>
              <w:top w:val="single" w:sz="4" w:space="0" w:color="auto"/>
            </w:tcBorders>
            <w:shd w:val="clear" w:color="auto" w:fill="auto"/>
            <w:vAlign w:val="center"/>
          </w:tcPr>
          <w:p w14:paraId="604D95A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188,0</w:t>
            </w:r>
          </w:p>
        </w:tc>
        <w:tc>
          <w:tcPr>
            <w:tcW w:w="982" w:type="dxa"/>
            <w:tcBorders>
              <w:top w:val="single" w:sz="4" w:space="0" w:color="auto"/>
            </w:tcBorders>
            <w:shd w:val="clear" w:color="auto" w:fill="auto"/>
            <w:vAlign w:val="center"/>
          </w:tcPr>
          <w:p w14:paraId="1B738F59"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188,0</w:t>
            </w:r>
          </w:p>
        </w:tc>
      </w:tr>
      <w:tr w:rsidR="00A74088" w:rsidRPr="002A7673" w14:paraId="2DDC914F" w14:textId="77777777" w:rsidTr="0048334E">
        <w:trPr>
          <w:trHeight w:val="308"/>
          <w:jc w:val="right"/>
        </w:trPr>
        <w:tc>
          <w:tcPr>
            <w:tcW w:w="3493" w:type="dxa"/>
            <w:shd w:val="clear" w:color="auto" w:fill="E7E6E6"/>
            <w:noWrap/>
            <w:vAlign w:val="center"/>
            <w:hideMark/>
          </w:tcPr>
          <w:p w14:paraId="63E8B8F8"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Centro de Información Confidencial</w:t>
            </w:r>
          </w:p>
        </w:tc>
        <w:tc>
          <w:tcPr>
            <w:tcW w:w="832" w:type="dxa"/>
            <w:shd w:val="clear" w:color="auto" w:fill="E7E6E6"/>
            <w:vAlign w:val="center"/>
          </w:tcPr>
          <w:p w14:paraId="720CE2F9"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lang w:val="es-ES"/>
              </w:rPr>
              <w:t>69 093</w:t>
            </w:r>
          </w:p>
        </w:tc>
        <w:tc>
          <w:tcPr>
            <w:tcW w:w="904" w:type="dxa"/>
            <w:shd w:val="clear" w:color="auto" w:fill="E7E6E6"/>
            <w:vAlign w:val="center"/>
          </w:tcPr>
          <w:p w14:paraId="736C6556"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lang w:val="es-ES"/>
              </w:rPr>
              <w:t>69 093</w:t>
            </w:r>
          </w:p>
        </w:tc>
        <w:tc>
          <w:tcPr>
            <w:tcW w:w="832" w:type="dxa"/>
            <w:shd w:val="clear" w:color="auto" w:fill="E7E6E6"/>
            <w:vAlign w:val="center"/>
          </w:tcPr>
          <w:p w14:paraId="2078904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lang w:val="es-ES"/>
              </w:rPr>
              <w:t>71 880</w:t>
            </w:r>
          </w:p>
        </w:tc>
        <w:tc>
          <w:tcPr>
            <w:tcW w:w="904" w:type="dxa"/>
            <w:shd w:val="clear" w:color="auto" w:fill="E7E6E6"/>
            <w:vAlign w:val="center"/>
          </w:tcPr>
          <w:p w14:paraId="4C42B26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lang w:val="es-ES"/>
              </w:rPr>
              <w:t>71 880</w:t>
            </w:r>
          </w:p>
        </w:tc>
        <w:tc>
          <w:tcPr>
            <w:tcW w:w="960" w:type="dxa"/>
            <w:shd w:val="clear" w:color="auto" w:fill="E7E6E6"/>
            <w:vAlign w:val="center"/>
          </w:tcPr>
          <w:p w14:paraId="35C2FA6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4,0</w:t>
            </w:r>
          </w:p>
        </w:tc>
        <w:tc>
          <w:tcPr>
            <w:tcW w:w="982" w:type="dxa"/>
            <w:shd w:val="clear" w:color="auto" w:fill="E7E6E6"/>
            <w:vAlign w:val="center"/>
          </w:tcPr>
          <w:p w14:paraId="140C105E"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4,0</w:t>
            </w:r>
          </w:p>
        </w:tc>
      </w:tr>
      <w:tr w:rsidR="00A74088" w:rsidRPr="002A7673" w14:paraId="6F30B86C" w14:textId="77777777" w:rsidTr="0048334E">
        <w:trPr>
          <w:trHeight w:val="308"/>
          <w:jc w:val="right"/>
        </w:trPr>
        <w:tc>
          <w:tcPr>
            <w:tcW w:w="3493" w:type="dxa"/>
            <w:shd w:val="clear" w:color="auto" w:fill="auto"/>
            <w:noWrap/>
            <w:vAlign w:val="center"/>
            <w:hideMark/>
          </w:tcPr>
          <w:p w14:paraId="01BF4F28"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Tecnológica Informática</w:t>
            </w:r>
          </w:p>
        </w:tc>
        <w:tc>
          <w:tcPr>
            <w:tcW w:w="832" w:type="dxa"/>
            <w:shd w:val="clear" w:color="auto" w:fill="auto"/>
            <w:vAlign w:val="center"/>
          </w:tcPr>
          <w:p w14:paraId="234C61A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17 669</w:t>
            </w:r>
          </w:p>
        </w:tc>
        <w:tc>
          <w:tcPr>
            <w:tcW w:w="904" w:type="dxa"/>
            <w:shd w:val="clear" w:color="auto" w:fill="auto"/>
            <w:vAlign w:val="center"/>
          </w:tcPr>
          <w:p w14:paraId="444A7538"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17 292</w:t>
            </w:r>
          </w:p>
        </w:tc>
        <w:tc>
          <w:tcPr>
            <w:tcW w:w="832" w:type="dxa"/>
            <w:shd w:val="clear" w:color="auto" w:fill="auto"/>
            <w:vAlign w:val="center"/>
          </w:tcPr>
          <w:p w14:paraId="777FCF5D"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21 491</w:t>
            </w:r>
          </w:p>
        </w:tc>
        <w:tc>
          <w:tcPr>
            <w:tcW w:w="904" w:type="dxa"/>
            <w:shd w:val="clear" w:color="auto" w:fill="auto"/>
            <w:vAlign w:val="center"/>
          </w:tcPr>
          <w:p w14:paraId="7D4323C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21 459</w:t>
            </w:r>
          </w:p>
        </w:tc>
        <w:tc>
          <w:tcPr>
            <w:tcW w:w="960" w:type="dxa"/>
            <w:shd w:val="clear" w:color="auto" w:fill="auto"/>
            <w:vAlign w:val="center"/>
          </w:tcPr>
          <w:p w14:paraId="13C1B45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21,6</w:t>
            </w:r>
          </w:p>
        </w:tc>
        <w:tc>
          <w:tcPr>
            <w:tcW w:w="982" w:type="dxa"/>
            <w:shd w:val="clear" w:color="auto" w:fill="auto"/>
            <w:vAlign w:val="center"/>
          </w:tcPr>
          <w:p w14:paraId="092F1B2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24,1</w:t>
            </w:r>
          </w:p>
        </w:tc>
      </w:tr>
      <w:tr w:rsidR="00A74088" w:rsidRPr="002A7673" w14:paraId="705E560C" w14:textId="77777777" w:rsidTr="0048334E">
        <w:trPr>
          <w:trHeight w:val="308"/>
          <w:jc w:val="right"/>
        </w:trPr>
        <w:tc>
          <w:tcPr>
            <w:tcW w:w="3493" w:type="dxa"/>
            <w:shd w:val="clear" w:color="auto" w:fill="E7E6E6"/>
            <w:noWrap/>
            <w:vAlign w:val="center"/>
            <w:hideMark/>
          </w:tcPr>
          <w:p w14:paraId="3B1FF59B"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Plataforma de Información Policial</w:t>
            </w:r>
          </w:p>
        </w:tc>
        <w:tc>
          <w:tcPr>
            <w:tcW w:w="832" w:type="dxa"/>
            <w:shd w:val="clear" w:color="auto" w:fill="E7E6E6"/>
            <w:vAlign w:val="center"/>
          </w:tcPr>
          <w:p w14:paraId="541E043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21 450</w:t>
            </w:r>
          </w:p>
        </w:tc>
        <w:tc>
          <w:tcPr>
            <w:tcW w:w="904" w:type="dxa"/>
            <w:shd w:val="clear" w:color="auto" w:fill="E7E6E6"/>
            <w:vAlign w:val="center"/>
          </w:tcPr>
          <w:p w14:paraId="1E9481B5"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21 441</w:t>
            </w:r>
          </w:p>
        </w:tc>
        <w:tc>
          <w:tcPr>
            <w:tcW w:w="832" w:type="dxa"/>
            <w:shd w:val="clear" w:color="auto" w:fill="E7E6E6"/>
            <w:vAlign w:val="center"/>
          </w:tcPr>
          <w:p w14:paraId="4240BA6C"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11 447</w:t>
            </w:r>
          </w:p>
        </w:tc>
        <w:tc>
          <w:tcPr>
            <w:tcW w:w="904" w:type="dxa"/>
            <w:shd w:val="clear" w:color="auto" w:fill="E7E6E6"/>
            <w:vAlign w:val="center"/>
          </w:tcPr>
          <w:p w14:paraId="483C8784"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11 441</w:t>
            </w:r>
          </w:p>
        </w:tc>
        <w:tc>
          <w:tcPr>
            <w:tcW w:w="960" w:type="dxa"/>
            <w:shd w:val="clear" w:color="auto" w:fill="E7E6E6"/>
            <w:vAlign w:val="center"/>
          </w:tcPr>
          <w:p w14:paraId="5527BB54"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-46,6</w:t>
            </w:r>
          </w:p>
        </w:tc>
        <w:tc>
          <w:tcPr>
            <w:tcW w:w="982" w:type="dxa"/>
            <w:shd w:val="clear" w:color="auto" w:fill="E7E6E6"/>
            <w:vAlign w:val="center"/>
          </w:tcPr>
          <w:p w14:paraId="704A605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-46,6</w:t>
            </w:r>
          </w:p>
        </w:tc>
      </w:tr>
      <w:tr w:rsidR="00A74088" w:rsidRPr="002A7673" w14:paraId="5A30682A" w14:textId="77777777" w:rsidTr="0048334E">
        <w:trPr>
          <w:trHeight w:val="308"/>
          <w:jc w:val="right"/>
        </w:trPr>
        <w:tc>
          <w:tcPr>
            <w:tcW w:w="3493" w:type="dxa"/>
            <w:shd w:val="clear" w:color="auto" w:fill="auto"/>
            <w:noWrap/>
            <w:vAlign w:val="center"/>
            <w:hideMark/>
          </w:tcPr>
          <w:p w14:paraId="6E17FAF9"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de Víctimas y Testigos</w:t>
            </w:r>
          </w:p>
        </w:tc>
        <w:tc>
          <w:tcPr>
            <w:tcW w:w="832" w:type="dxa"/>
            <w:shd w:val="clear" w:color="auto" w:fill="auto"/>
            <w:vAlign w:val="center"/>
          </w:tcPr>
          <w:p w14:paraId="290422F6"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4 108</w:t>
            </w:r>
          </w:p>
        </w:tc>
        <w:tc>
          <w:tcPr>
            <w:tcW w:w="904" w:type="dxa"/>
            <w:shd w:val="clear" w:color="auto" w:fill="auto"/>
            <w:vAlign w:val="center"/>
          </w:tcPr>
          <w:p w14:paraId="1EBDFEA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4 108</w:t>
            </w:r>
          </w:p>
        </w:tc>
        <w:tc>
          <w:tcPr>
            <w:tcW w:w="832" w:type="dxa"/>
            <w:shd w:val="clear" w:color="auto" w:fill="auto"/>
            <w:vAlign w:val="center"/>
          </w:tcPr>
          <w:p w14:paraId="79DE0FF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4 389</w:t>
            </w:r>
          </w:p>
        </w:tc>
        <w:tc>
          <w:tcPr>
            <w:tcW w:w="904" w:type="dxa"/>
            <w:shd w:val="clear" w:color="auto" w:fill="auto"/>
            <w:vAlign w:val="center"/>
          </w:tcPr>
          <w:p w14:paraId="57189B9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4 389</w:t>
            </w:r>
          </w:p>
        </w:tc>
        <w:tc>
          <w:tcPr>
            <w:tcW w:w="960" w:type="dxa"/>
            <w:shd w:val="clear" w:color="auto" w:fill="auto"/>
            <w:vAlign w:val="center"/>
          </w:tcPr>
          <w:p w14:paraId="6616476C"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6,8</w:t>
            </w:r>
          </w:p>
        </w:tc>
        <w:tc>
          <w:tcPr>
            <w:tcW w:w="982" w:type="dxa"/>
            <w:shd w:val="clear" w:color="auto" w:fill="auto"/>
            <w:vAlign w:val="center"/>
          </w:tcPr>
          <w:p w14:paraId="7FBEEA5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6,8</w:t>
            </w:r>
          </w:p>
        </w:tc>
      </w:tr>
      <w:tr w:rsidR="00A74088" w:rsidRPr="002A7673" w14:paraId="2DF8E772" w14:textId="77777777" w:rsidTr="0048334E">
        <w:trPr>
          <w:trHeight w:val="308"/>
          <w:jc w:val="right"/>
        </w:trPr>
        <w:tc>
          <w:tcPr>
            <w:tcW w:w="3493" w:type="dxa"/>
            <w:shd w:val="clear" w:color="auto" w:fill="E7E6E6"/>
            <w:noWrap/>
            <w:vAlign w:val="center"/>
            <w:hideMark/>
          </w:tcPr>
          <w:p w14:paraId="0E18F066"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Interpol</w:t>
            </w:r>
          </w:p>
        </w:tc>
        <w:tc>
          <w:tcPr>
            <w:tcW w:w="832" w:type="dxa"/>
            <w:shd w:val="clear" w:color="auto" w:fill="E7E6E6"/>
            <w:vAlign w:val="center"/>
          </w:tcPr>
          <w:p w14:paraId="6DCB241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33 095</w:t>
            </w:r>
          </w:p>
        </w:tc>
        <w:tc>
          <w:tcPr>
            <w:tcW w:w="904" w:type="dxa"/>
            <w:shd w:val="clear" w:color="auto" w:fill="E7E6E6"/>
            <w:vAlign w:val="center"/>
          </w:tcPr>
          <w:p w14:paraId="25335DB2"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33 093</w:t>
            </w:r>
          </w:p>
        </w:tc>
        <w:tc>
          <w:tcPr>
            <w:tcW w:w="832" w:type="dxa"/>
            <w:shd w:val="clear" w:color="auto" w:fill="E7E6E6"/>
            <w:vAlign w:val="center"/>
          </w:tcPr>
          <w:p w14:paraId="3E9E2E16"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21 154</w:t>
            </w:r>
          </w:p>
        </w:tc>
        <w:tc>
          <w:tcPr>
            <w:tcW w:w="904" w:type="dxa"/>
            <w:shd w:val="clear" w:color="auto" w:fill="E7E6E6"/>
            <w:vAlign w:val="center"/>
          </w:tcPr>
          <w:p w14:paraId="555AD33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21 145</w:t>
            </w:r>
          </w:p>
        </w:tc>
        <w:tc>
          <w:tcPr>
            <w:tcW w:w="960" w:type="dxa"/>
            <w:shd w:val="clear" w:color="auto" w:fill="E7E6E6"/>
            <w:vAlign w:val="center"/>
          </w:tcPr>
          <w:p w14:paraId="1865BAED"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-36,1</w:t>
            </w:r>
          </w:p>
        </w:tc>
        <w:tc>
          <w:tcPr>
            <w:tcW w:w="982" w:type="dxa"/>
            <w:shd w:val="clear" w:color="auto" w:fill="E7E6E6"/>
            <w:vAlign w:val="center"/>
          </w:tcPr>
          <w:p w14:paraId="11C0D6B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-36,1</w:t>
            </w:r>
          </w:p>
        </w:tc>
      </w:tr>
      <w:tr w:rsidR="00A74088" w:rsidRPr="002A7673" w14:paraId="6A0E20ED" w14:textId="77777777" w:rsidTr="0048334E">
        <w:trPr>
          <w:trHeight w:val="308"/>
          <w:jc w:val="right"/>
        </w:trPr>
        <w:tc>
          <w:tcPr>
            <w:tcW w:w="3493" w:type="dxa"/>
            <w:shd w:val="clear" w:color="auto" w:fill="auto"/>
            <w:noWrap/>
            <w:vAlign w:val="center"/>
            <w:hideMark/>
          </w:tcPr>
          <w:p w14:paraId="40D3BB28"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de Análisis Criminal</w:t>
            </w:r>
          </w:p>
        </w:tc>
        <w:tc>
          <w:tcPr>
            <w:tcW w:w="832" w:type="dxa"/>
            <w:shd w:val="clear" w:color="auto" w:fill="auto"/>
            <w:vAlign w:val="center"/>
          </w:tcPr>
          <w:p w14:paraId="15BFD6F5"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3 488</w:t>
            </w:r>
          </w:p>
        </w:tc>
        <w:tc>
          <w:tcPr>
            <w:tcW w:w="904" w:type="dxa"/>
            <w:shd w:val="clear" w:color="auto" w:fill="auto"/>
            <w:vAlign w:val="center"/>
          </w:tcPr>
          <w:p w14:paraId="7BA63E48"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3 488</w:t>
            </w:r>
          </w:p>
        </w:tc>
        <w:tc>
          <w:tcPr>
            <w:tcW w:w="832" w:type="dxa"/>
            <w:shd w:val="clear" w:color="auto" w:fill="auto"/>
            <w:vAlign w:val="center"/>
          </w:tcPr>
          <w:p w14:paraId="33B042B9"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4 246</w:t>
            </w:r>
          </w:p>
        </w:tc>
        <w:tc>
          <w:tcPr>
            <w:tcW w:w="904" w:type="dxa"/>
            <w:shd w:val="clear" w:color="auto" w:fill="auto"/>
            <w:vAlign w:val="center"/>
          </w:tcPr>
          <w:p w14:paraId="0BFC82B6"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4 199</w:t>
            </w:r>
          </w:p>
        </w:tc>
        <w:tc>
          <w:tcPr>
            <w:tcW w:w="960" w:type="dxa"/>
            <w:shd w:val="clear" w:color="auto" w:fill="auto"/>
            <w:vAlign w:val="center"/>
          </w:tcPr>
          <w:p w14:paraId="712F28E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21,7</w:t>
            </w:r>
          </w:p>
        </w:tc>
        <w:tc>
          <w:tcPr>
            <w:tcW w:w="982" w:type="dxa"/>
            <w:shd w:val="clear" w:color="auto" w:fill="auto"/>
            <w:vAlign w:val="center"/>
          </w:tcPr>
          <w:p w14:paraId="3940126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20,4</w:t>
            </w:r>
          </w:p>
        </w:tc>
      </w:tr>
      <w:tr w:rsidR="00A74088" w:rsidRPr="002A7673" w14:paraId="13E6EA1A" w14:textId="77777777" w:rsidTr="0048334E">
        <w:trPr>
          <w:trHeight w:val="308"/>
          <w:jc w:val="right"/>
        </w:trPr>
        <w:tc>
          <w:tcPr>
            <w:tcW w:w="3493" w:type="dxa"/>
            <w:shd w:val="clear" w:color="auto" w:fill="E7E6E6"/>
            <w:noWrap/>
            <w:vAlign w:val="center"/>
            <w:hideMark/>
          </w:tcPr>
          <w:p w14:paraId="3B121072"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Canina</w:t>
            </w:r>
          </w:p>
        </w:tc>
        <w:tc>
          <w:tcPr>
            <w:tcW w:w="832" w:type="dxa"/>
            <w:shd w:val="clear" w:color="auto" w:fill="E7E6E6"/>
            <w:vAlign w:val="center"/>
          </w:tcPr>
          <w:p w14:paraId="3F0DB1EB"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755</w:t>
            </w:r>
          </w:p>
        </w:tc>
        <w:tc>
          <w:tcPr>
            <w:tcW w:w="904" w:type="dxa"/>
            <w:shd w:val="clear" w:color="auto" w:fill="E7E6E6"/>
            <w:vAlign w:val="center"/>
          </w:tcPr>
          <w:p w14:paraId="0B6F494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784</w:t>
            </w:r>
          </w:p>
        </w:tc>
        <w:tc>
          <w:tcPr>
            <w:tcW w:w="832" w:type="dxa"/>
            <w:shd w:val="clear" w:color="auto" w:fill="E7E6E6"/>
            <w:vAlign w:val="center"/>
          </w:tcPr>
          <w:p w14:paraId="475C135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564</w:t>
            </w:r>
          </w:p>
        </w:tc>
        <w:tc>
          <w:tcPr>
            <w:tcW w:w="904" w:type="dxa"/>
            <w:shd w:val="clear" w:color="auto" w:fill="E7E6E6"/>
            <w:vAlign w:val="center"/>
          </w:tcPr>
          <w:p w14:paraId="325FFBC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584</w:t>
            </w:r>
          </w:p>
        </w:tc>
        <w:tc>
          <w:tcPr>
            <w:tcW w:w="960" w:type="dxa"/>
            <w:shd w:val="clear" w:color="auto" w:fill="E7E6E6"/>
            <w:vAlign w:val="center"/>
          </w:tcPr>
          <w:p w14:paraId="274ADA16"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-25,3</w:t>
            </w:r>
          </w:p>
        </w:tc>
        <w:tc>
          <w:tcPr>
            <w:tcW w:w="982" w:type="dxa"/>
            <w:shd w:val="clear" w:color="auto" w:fill="E7E6E6"/>
            <w:vAlign w:val="center"/>
          </w:tcPr>
          <w:p w14:paraId="7D9D3AD5"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-25,5</w:t>
            </w:r>
          </w:p>
        </w:tc>
      </w:tr>
      <w:tr w:rsidR="00A74088" w:rsidRPr="002A7673" w14:paraId="18C9409F" w14:textId="77777777" w:rsidTr="0048334E">
        <w:trPr>
          <w:trHeight w:val="308"/>
          <w:jc w:val="right"/>
        </w:trPr>
        <w:tc>
          <w:tcPr>
            <w:tcW w:w="3493" w:type="dxa"/>
            <w:shd w:val="clear" w:color="auto" w:fill="auto"/>
            <w:vAlign w:val="center"/>
            <w:hideMark/>
          </w:tcPr>
          <w:p w14:paraId="1CAFB081"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de Asesores Operativos</w:t>
            </w:r>
          </w:p>
        </w:tc>
        <w:tc>
          <w:tcPr>
            <w:tcW w:w="832" w:type="dxa"/>
            <w:shd w:val="clear" w:color="auto" w:fill="auto"/>
            <w:vAlign w:val="center"/>
          </w:tcPr>
          <w:p w14:paraId="1B12FC2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265</w:t>
            </w:r>
          </w:p>
        </w:tc>
        <w:tc>
          <w:tcPr>
            <w:tcW w:w="904" w:type="dxa"/>
            <w:shd w:val="clear" w:color="auto" w:fill="auto"/>
            <w:vAlign w:val="center"/>
          </w:tcPr>
          <w:p w14:paraId="42608CA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258</w:t>
            </w:r>
          </w:p>
        </w:tc>
        <w:tc>
          <w:tcPr>
            <w:tcW w:w="832" w:type="dxa"/>
            <w:shd w:val="clear" w:color="auto" w:fill="auto"/>
            <w:vAlign w:val="center"/>
          </w:tcPr>
          <w:p w14:paraId="0D01DC9C"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377</w:t>
            </w:r>
          </w:p>
        </w:tc>
        <w:tc>
          <w:tcPr>
            <w:tcW w:w="904" w:type="dxa"/>
            <w:shd w:val="clear" w:color="auto" w:fill="auto"/>
            <w:vAlign w:val="center"/>
          </w:tcPr>
          <w:p w14:paraId="1B7907A5"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343</w:t>
            </w:r>
          </w:p>
        </w:tc>
        <w:tc>
          <w:tcPr>
            <w:tcW w:w="960" w:type="dxa"/>
            <w:shd w:val="clear" w:color="auto" w:fill="auto"/>
            <w:vAlign w:val="center"/>
          </w:tcPr>
          <w:p w14:paraId="0D26F68C"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42,3</w:t>
            </w:r>
          </w:p>
        </w:tc>
        <w:tc>
          <w:tcPr>
            <w:tcW w:w="982" w:type="dxa"/>
            <w:shd w:val="clear" w:color="auto" w:fill="auto"/>
            <w:vAlign w:val="center"/>
          </w:tcPr>
          <w:p w14:paraId="2ACD15C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32,9</w:t>
            </w:r>
          </w:p>
        </w:tc>
      </w:tr>
      <w:tr w:rsidR="00A74088" w:rsidRPr="002A7673" w14:paraId="6703FE45" w14:textId="77777777" w:rsidTr="0048334E">
        <w:trPr>
          <w:trHeight w:val="308"/>
          <w:jc w:val="right"/>
        </w:trPr>
        <w:tc>
          <w:tcPr>
            <w:tcW w:w="3493" w:type="dxa"/>
            <w:shd w:val="clear" w:color="auto" w:fill="E7E6E6"/>
            <w:vAlign w:val="center"/>
            <w:hideMark/>
          </w:tcPr>
          <w:p w14:paraId="7BC0D89E"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Servicio Especial de Respuesta Táctica</w:t>
            </w:r>
          </w:p>
        </w:tc>
        <w:tc>
          <w:tcPr>
            <w:tcW w:w="832" w:type="dxa"/>
            <w:shd w:val="clear" w:color="auto" w:fill="E7E6E6"/>
            <w:vAlign w:val="center"/>
          </w:tcPr>
          <w:p w14:paraId="304322D4"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188</w:t>
            </w:r>
          </w:p>
        </w:tc>
        <w:tc>
          <w:tcPr>
            <w:tcW w:w="904" w:type="dxa"/>
            <w:shd w:val="clear" w:color="auto" w:fill="E7E6E6"/>
            <w:vAlign w:val="center"/>
          </w:tcPr>
          <w:p w14:paraId="1A9BFB8E"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188</w:t>
            </w:r>
          </w:p>
        </w:tc>
        <w:tc>
          <w:tcPr>
            <w:tcW w:w="832" w:type="dxa"/>
            <w:shd w:val="clear" w:color="auto" w:fill="E7E6E6"/>
            <w:vAlign w:val="center"/>
          </w:tcPr>
          <w:p w14:paraId="6D0E369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142</w:t>
            </w:r>
          </w:p>
        </w:tc>
        <w:tc>
          <w:tcPr>
            <w:tcW w:w="904" w:type="dxa"/>
            <w:shd w:val="clear" w:color="auto" w:fill="E7E6E6"/>
            <w:vAlign w:val="center"/>
          </w:tcPr>
          <w:p w14:paraId="555083E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142</w:t>
            </w:r>
          </w:p>
        </w:tc>
        <w:tc>
          <w:tcPr>
            <w:tcW w:w="960" w:type="dxa"/>
            <w:shd w:val="clear" w:color="auto" w:fill="E7E6E6"/>
            <w:vAlign w:val="center"/>
          </w:tcPr>
          <w:p w14:paraId="0CE07741"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-24,5</w:t>
            </w:r>
          </w:p>
        </w:tc>
        <w:tc>
          <w:tcPr>
            <w:tcW w:w="982" w:type="dxa"/>
            <w:shd w:val="clear" w:color="auto" w:fill="E7E6E6"/>
            <w:vAlign w:val="center"/>
          </w:tcPr>
          <w:p w14:paraId="1A4BBFA6"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-24,5</w:t>
            </w:r>
          </w:p>
        </w:tc>
      </w:tr>
      <w:tr w:rsidR="00A74088" w:rsidRPr="002A7673" w14:paraId="5604786C" w14:textId="77777777" w:rsidTr="0048334E">
        <w:trPr>
          <w:trHeight w:val="308"/>
          <w:jc w:val="right"/>
        </w:trPr>
        <w:tc>
          <w:tcPr>
            <w:tcW w:w="3493" w:type="dxa"/>
            <w:shd w:val="clear" w:color="auto" w:fill="auto"/>
            <w:vAlign w:val="center"/>
            <w:hideMark/>
          </w:tcPr>
          <w:p w14:paraId="1F3E9B66"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de Recolección de Información Policial</w:t>
            </w:r>
          </w:p>
        </w:tc>
        <w:tc>
          <w:tcPr>
            <w:tcW w:w="832" w:type="dxa"/>
            <w:shd w:val="clear" w:color="auto" w:fill="auto"/>
            <w:vAlign w:val="center"/>
          </w:tcPr>
          <w:p w14:paraId="3FDC54F9"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339</w:t>
            </w:r>
          </w:p>
        </w:tc>
        <w:tc>
          <w:tcPr>
            <w:tcW w:w="904" w:type="dxa"/>
            <w:shd w:val="clear" w:color="auto" w:fill="auto"/>
            <w:vAlign w:val="center"/>
          </w:tcPr>
          <w:p w14:paraId="02B4A1C9"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325</w:t>
            </w:r>
          </w:p>
        </w:tc>
        <w:tc>
          <w:tcPr>
            <w:tcW w:w="832" w:type="dxa"/>
            <w:shd w:val="clear" w:color="auto" w:fill="auto"/>
            <w:vAlign w:val="center"/>
          </w:tcPr>
          <w:p w14:paraId="66AF60E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393</w:t>
            </w:r>
          </w:p>
        </w:tc>
        <w:tc>
          <w:tcPr>
            <w:tcW w:w="904" w:type="dxa"/>
            <w:shd w:val="clear" w:color="auto" w:fill="auto"/>
            <w:vAlign w:val="center"/>
          </w:tcPr>
          <w:p w14:paraId="71246ECE"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366</w:t>
            </w:r>
          </w:p>
        </w:tc>
        <w:tc>
          <w:tcPr>
            <w:tcW w:w="960" w:type="dxa"/>
            <w:shd w:val="clear" w:color="auto" w:fill="auto"/>
            <w:vAlign w:val="center"/>
          </w:tcPr>
          <w:p w14:paraId="1DBBC83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15,9</w:t>
            </w:r>
          </w:p>
        </w:tc>
        <w:tc>
          <w:tcPr>
            <w:tcW w:w="982" w:type="dxa"/>
            <w:shd w:val="clear" w:color="auto" w:fill="auto"/>
            <w:vAlign w:val="center"/>
          </w:tcPr>
          <w:p w14:paraId="47FD286B"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12,6</w:t>
            </w:r>
          </w:p>
        </w:tc>
      </w:tr>
      <w:tr w:rsidR="00A74088" w:rsidRPr="002A7673" w14:paraId="4E89B5E3" w14:textId="77777777" w:rsidTr="0048334E">
        <w:trPr>
          <w:trHeight w:val="308"/>
          <w:jc w:val="right"/>
        </w:trPr>
        <w:tc>
          <w:tcPr>
            <w:tcW w:w="3493" w:type="dxa"/>
            <w:shd w:val="clear" w:color="auto" w:fill="E7E6E6"/>
            <w:noWrap/>
            <w:vAlign w:val="center"/>
            <w:hideMark/>
          </w:tcPr>
          <w:p w14:paraId="048CA220"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Bodega de Drogas</w:t>
            </w:r>
          </w:p>
        </w:tc>
        <w:tc>
          <w:tcPr>
            <w:tcW w:w="832" w:type="dxa"/>
            <w:shd w:val="clear" w:color="auto" w:fill="E7E6E6"/>
            <w:vAlign w:val="center"/>
          </w:tcPr>
          <w:p w14:paraId="223465C4"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1 561</w:t>
            </w:r>
          </w:p>
        </w:tc>
        <w:tc>
          <w:tcPr>
            <w:tcW w:w="904" w:type="dxa"/>
            <w:shd w:val="clear" w:color="auto" w:fill="E7E6E6"/>
            <w:vAlign w:val="center"/>
          </w:tcPr>
          <w:p w14:paraId="4F30D64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1 561</w:t>
            </w:r>
          </w:p>
        </w:tc>
        <w:tc>
          <w:tcPr>
            <w:tcW w:w="832" w:type="dxa"/>
            <w:shd w:val="clear" w:color="auto" w:fill="E7E6E6"/>
            <w:vAlign w:val="center"/>
          </w:tcPr>
          <w:p w14:paraId="1F989BD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1 319</w:t>
            </w:r>
          </w:p>
        </w:tc>
        <w:tc>
          <w:tcPr>
            <w:tcW w:w="904" w:type="dxa"/>
            <w:shd w:val="clear" w:color="auto" w:fill="E7E6E6"/>
            <w:vAlign w:val="center"/>
          </w:tcPr>
          <w:p w14:paraId="3C9E3B6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1 319</w:t>
            </w:r>
          </w:p>
        </w:tc>
        <w:tc>
          <w:tcPr>
            <w:tcW w:w="960" w:type="dxa"/>
            <w:shd w:val="clear" w:color="auto" w:fill="E7E6E6"/>
            <w:vAlign w:val="center"/>
          </w:tcPr>
          <w:p w14:paraId="1D58B049"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-15,5</w:t>
            </w:r>
          </w:p>
        </w:tc>
        <w:tc>
          <w:tcPr>
            <w:tcW w:w="982" w:type="dxa"/>
            <w:shd w:val="clear" w:color="auto" w:fill="E7E6E6"/>
            <w:vAlign w:val="center"/>
          </w:tcPr>
          <w:p w14:paraId="6E6FB54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-15,5</w:t>
            </w:r>
          </w:p>
        </w:tc>
      </w:tr>
      <w:tr w:rsidR="00A74088" w:rsidRPr="002A7673" w14:paraId="324A6728" w14:textId="77777777" w:rsidTr="0048334E">
        <w:trPr>
          <w:trHeight w:val="324"/>
          <w:jc w:val="right"/>
        </w:trPr>
        <w:tc>
          <w:tcPr>
            <w:tcW w:w="3493" w:type="dxa"/>
            <w:shd w:val="clear" w:color="auto" w:fill="auto"/>
            <w:noWrap/>
            <w:vAlign w:val="center"/>
            <w:hideMark/>
          </w:tcPr>
          <w:p w14:paraId="1413AAB2"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de Vigilancia y Seguimiento</w:t>
            </w:r>
          </w:p>
        </w:tc>
        <w:tc>
          <w:tcPr>
            <w:tcW w:w="832" w:type="dxa"/>
            <w:shd w:val="clear" w:color="auto" w:fill="auto"/>
            <w:vAlign w:val="center"/>
          </w:tcPr>
          <w:p w14:paraId="51883159"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94</w:t>
            </w:r>
          </w:p>
        </w:tc>
        <w:tc>
          <w:tcPr>
            <w:tcW w:w="904" w:type="dxa"/>
            <w:shd w:val="clear" w:color="auto" w:fill="auto"/>
            <w:vAlign w:val="center"/>
          </w:tcPr>
          <w:p w14:paraId="70DA167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94</w:t>
            </w:r>
          </w:p>
        </w:tc>
        <w:tc>
          <w:tcPr>
            <w:tcW w:w="832" w:type="dxa"/>
            <w:shd w:val="clear" w:color="auto" w:fill="auto"/>
            <w:vAlign w:val="center"/>
          </w:tcPr>
          <w:p w14:paraId="799DE6F1"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93</w:t>
            </w:r>
          </w:p>
        </w:tc>
        <w:tc>
          <w:tcPr>
            <w:tcW w:w="904" w:type="dxa"/>
            <w:shd w:val="clear" w:color="auto" w:fill="auto"/>
            <w:vAlign w:val="center"/>
          </w:tcPr>
          <w:p w14:paraId="39B19F7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93</w:t>
            </w:r>
          </w:p>
        </w:tc>
        <w:tc>
          <w:tcPr>
            <w:tcW w:w="960" w:type="dxa"/>
            <w:shd w:val="clear" w:color="auto" w:fill="auto"/>
            <w:vAlign w:val="center"/>
          </w:tcPr>
          <w:p w14:paraId="6E3F7211"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-1,1</w:t>
            </w:r>
          </w:p>
        </w:tc>
        <w:tc>
          <w:tcPr>
            <w:tcW w:w="982" w:type="dxa"/>
            <w:shd w:val="clear" w:color="auto" w:fill="auto"/>
            <w:vAlign w:val="center"/>
          </w:tcPr>
          <w:p w14:paraId="1307EE3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-1,1</w:t>
            </w:r>
          </w:p>
        </w:tc>
      </w:tr>
      <w:tr w:rsidR="00A74088" w:rsidRPr="002A7673" w14:paraId="1A00DFEA" w14:textId="77777777" w:rsidTr="0048334E">
        <w:trPr>
          <w:trHeight w:val="130"/>
          <w:jc w:val="right"/>
        </w:trPr>
        <w:tc>
          <w:tcPr>
            <w:tcW w:w="3493" w:type="dxa"/>
            <w:shd w:val="clear" w:color="auto" w:fill="E7E6E6"/>
            <w:noWrap/>
            <w:vAlign w:val="center"/>
            <w:hideMark/>
          </w:tcPr>
          <w:p w14:paraId="6B6445B1"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de Supervisión</w:t>
            </w:r>
          </w:p>
        </w:tc>
        <w:tc>
          <w:tcPr>
            <w:tcW w:w="832" w:type="dxa"/>
            <w:shd w:val="clear" w:color="auto" w:fill="E7E6E6"/>
            <w:vAlign w:val="center"/>
          </w:tcPr>
          <w:p w14:paraId="00D2812E"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319</w:t>
            </w:r>
          </w:p>
        </w:tc>
        <w:tc>
          <w:tcPr>
            <w:tcW w:w="904" w:type="dxa"/>
            <w:shd w:val="clear" w:color="auto" w:fill="E7E6E6"/>
            <w:vAlign w:val="center"/>
          </w:tcPr>
          <w:p w14:paraId="26B2682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319</w:t>
            </w:r>
          </w:p>
        </w:tc>
        <w:tc>
          <w:tcPr>
            <w:tcW w:w="832" w:type="dxa"/>
            <w:shd w:val="clear" w:color="auto" w:fill="E7E6E6"/>
            <w:vAlign w:val="center"/>
          </w:tcPr>
          <w:p w14:paraId="25525A9D"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950</w:t>
            </w:r>
          </w:p>
        </w:tc>
        <w:tc>
          <w:tcPr>
            <w:tcW w:w="904" w:type="dxa"/>
            <w:shd w:val="clear" w:color="auto" w:fill="E7E6E6"/>
            <w:vAlign w:val="center"/>
          </w:tcPr>
          <w:p w14:paraId="636B1216"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950</w:t>
            </w:r>
          </w:p>
        </w:tc>
        <w:tc>
          <w:tcPr>
            <w:tcW w:w="960" w:type="dxa"/>
            <w:shd w:val="clear" w:color="auto" w:fill="E7E6E6"/>
            <w:vAlign w:val="center"/>
          </w:tcPr>
          <w:p w14:paraId="1DA1BE68"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197,8</w:t>
            </w:r>
          </w:p>
        </w:tc>
        <w:tc>
          <w:tcPr>
            <w:tcW w:w="982" w:type="dxa"/>
            <w:shd w:val="clear" w:color="auto" w:fill="E7E6E6"/>
            <w:vAlign w:val="center"/>
          </w:tcPr>
          <w:p w14:paraId="611266DC"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197,8</w:t>
            </w:r>
          </w:p>
        </w:tc>
      </w:tr>
      <w:tr w:rsidR="00A74088" w:rsidRPr="002A7673" w14:paraId="1DE8D1A9" w14:textId="77777777" w:rsidTr="0048334E">
        <w:trPr>
          <w:trHeight w:val="308"/>
          <w:jc w:val="right"/>
        </w:trPr>
        <w:tc>
          <w:tcPr>
            <w:tcW w:w="3493" w:type="dxa"/>
            <w:tcBorders>
              <w:bottom w:val="nil"/>
            </w:tcBorders>
            <w:shd w:val="clear" w:color="auto" w:fill="auto"/>
            <w:vAlign w:val="center"/>
            <w:hideMark/>
          </w:tcPr>
          <w:p w14:paraId="2E9ACD41"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de Protección a Funcionarios</w:t>
            </w:r>
          </w:p>
        </w:tc>
        <w:tc>
          <w:tcPr>
            <w:tcW w:w="832" w:type="dxa"/>
            <w:tcBorders>
              <w:bottom w:val="nil"/>
            </w:tcBorders>
            <w:shd w:val="clear" w:color="auto" w:fill="auto"/>
            <w:vAlign w:val="center"/>
          </w:tcPr>
          <w:p w14:paraId="03C107C4"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143</w:t>
            </w:r>
          </w:p>
        </w:tc>
        <w:tc>
          <w:tcPr>
            <w:tcW w:w="904" w:type="dxa"/>
            <w:tcBorders>
              <w:bottom w:val="nil"/>
            </w:tcBorders>
            <w:shd w:val="clear" w:color="auto" w:fill="auto"/>
            <w:vAlign w:val="center"/>
          </w:tcPr>
          <w:p w14:paraId="1F5392D1"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143</w:t>
            </w:r>
          </w:p>
        </w:tc>
        <w:tc>
          <w:tcPr>
            <w:tcW w:w="832" w:type="dxa"/>
            <w:tcBorders>
              <w:bottom w:val="nil"/>
            </w:tcBorders>
            <w:shd w:val="clear" w:color="auto" w:fill="auto"/>
            <w:vAlign w:val="center"/>
          </w:tcPr>
          <w:p w14:paraId="643420A2"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lang w:val="es-ES"/>
              </w:rPr>
              <w:t>122</w:t>
            </w:r>
          </w:p>
        </w:tc>
        <w:tc>
          <w:tcPr>
            <w:tcW w:w="904" w:type="dxa"/>
            <w:tcBorders>
              <w:bottom w:val="nil"/>
            </w:tcBorders>
            <w:shd w:val="clear" w:color="auto" w:fill="auto"/>
            <w:vAlign w:val="center"/>
          </w:tcPr>
          <w:p w14:paraId="3ED4D658"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kern w:val="24"/>
                <w:sz w:val="20"/>
                <w:szCs w:val="20"/>
              </w:rPr>
              <w:t>122</w:t>
            </w:r>
          </w:p>
        </w:tc>
        <w:tc>
          <w:tcPr>
            <w:tcW w:w="960" w:type="dxa"/>
            <w:tcBorders>
              <w:bottom w:val="nil"/>
            </w:tcBorders>
            <w:shd w:val="clear" w:color="auto" w:fill="auto"/>
            <w:vAlign w:val="center"/>
          </w:tcPr>
          <w:p w14:paraId="062FD29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-14,7</w:t>
            </w:r>
          </w:p>
        </w:tc>
        <w:tc>
          <w:tcPr>
            <w:tcW w:w="982" w:type="dxa"/>
            <w:tcBorders>
              <w:bottom w:val="nil"/>
            </w:tcBorders>
            <w:shd w:val="clear" w:color="auto" w:fill="auto"/>
            <w:vAlign w:val="center"/>
          </w:tcPr>
          <w:p w14:paraId="73AF0F3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-14,7</w:t>
            </w:r>
          </w:p>
        </w:tc>
      </w:tr>
      <w:tr w:rsidR="00A74088" w:rsidRPr="002A7673" w14:paraId="34BF798C" w14:textId="77777777" w:rsidTr="0048334E">
        <w:trPr>
          <w:trHeight w:val="308"/>
          <w:jc w:val="right"/>
        </w:trPr>
        <w:tc>
          <w:tcPr>
            <w:tcW w:w="3493" w:type="dxa"/>
            <w:tcBorders>
              <w:top w:val="nil"/>
              <w:bottom w:val="single" w:sz="4" w:space="0" w:color="auto"/>
            </w:tcBorders>
            <w:shd w:val="clear" w:color="auto" w:fill="E7E6E6"/>
            <w:vAlign w:val="center"/>
            <w:hideMark/>
          </w:tcPr>
          <w:p w14:paraId="07BFF7EC"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Unidad de Vínculos Criminales</w:t>
            </w:r>
          </w:p>
        </w:tc>
        <w:tc>
          <w:tcPr>
            <w:tcW w:w="832" w:type="dxa"/>
            <w:tcBorders>
              <w:top w:val="nil"/>
              <w:bottom w:val="single" w:sz="4" w:space="0" w:color="auto"/>
            </w:tcBorders>
            <w:shd w:val="clear" w:color="auto" w:fill="E7E6E6"/>
            <w:vAlign w:val="center"/>
          </w:tcPr>
          <w:p w14:paraId="6A96BCB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23</w:t>
            </w:r>
          </w:p>
        </w:tc>
        <w:tc>
          <w:tcPr>
            <w:tcW w:w="904" w:type="dxa"/>
            <w:tcBorders>
              <w:top w:val="nil"/>
              <w:bottom w:val="single" w:sz="4" w:space="0" w:color="auto"/>
            </w:tcBorders>
            <w:shd w:val="clear" w:color="auto" w:fill="E7E6E6"/>
            <w:vAlign w:val="center"/>
          </w:tcPr>
          <w:p w14:paraId="33D2001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23</w:t>
            </w:r>
          </w:p>
        </w:tc>
        <w:tc>
          <w:tcPr>
            <w:tcW w:w="832" w:type="dxa"/>
            <w:tcBorders>
              <w:top w:val="nil"/>
              <w:bottom w:val="single" w:sz="4" w:space="0" w:color="auto"/>
            </w:tcBorders>
            <w:shd w:val="clear" w:color="auto" w:fill="E7E6E6"/>
            <w:vAlign w:val="center"/>
          </w:tcPr>
          <w:p w14:paraId="1A5921E8"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50</w:t>
            </w:r>
          </w:p>
        </w:tc>
        <w:tc>
          <w:tcPr>
            <w:tcW w:w="904" w:type="dxa"/>
            <w:tcBorders>
              <w:top w:val="nil"/>
              <w:bottom w:val="single" w:sz="4" w:space="0" w:color="auto"/>
            </w:tcBorders>
            <w:shd w:val="clear" w:color="auto" w:fill="E7E6E6"/>
            <w:vAlign w:val="center"/>
          </w:tcPr>
          <w:p w14:paraId="68768EAE"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17</w:t>
            </w:r>
          </w:p>
        </w:tc>
        <w:tc>
          <w:tcPr>
            <w:tcW w:w="960" w:type="dxa"/>
            <w:tcBorders>
              <w:top w:val="nil"/>
              <w:bottom w:val="single" w:sz="4" w:space="0" w:color="auto"/>
            </w:tcBorders>
            <w:shd w:val="clear" w:color="auto" w:fill="E7E6E6"/>
            <w:vAlign w:val="center"/>
          </w:tcPr>
          <w:p w14:paraId="274C9B6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117,4</w:t>
            </w:r>
          </w:p>
        </w:tc>
        <w:tc>
          <w:tcPr>
            <w:tcW w:w="982" w:type="dxa"/>
            <w:tcBorders>
              <w:top w:val="nil"/>
              <w:bottom w:val="single" w:sz="4" w:space="0" w:color="auto"/>
            </w:tcBorders>
            <w:shd w:val="clear" w:color="auto" w:fill="E7E6E6"/>
            <w:vAlign w:val="center"/>
          </w:tcPr>
          <w:p w14:paraId="40F2915D"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-26,1</w:t>
            </w:r>
          </w:p>
        </w:tc>
      </w:tr>
      <w:tr w:rsidR="00A74088" w:rsidRPr="002A7673" w14:paraId="7A526129" w14:textId="77777777" w:rsidTr="0048334E">
        <w:trPr>
          <w:trHeight w:val="308"/>
          <w:jc w:val="right"/>
        </w:trPr>
        <w:tc>
          <w:tcPr>
            <w:tcW w:w="3493" w:type="dxa"/>
            <w:tcBorders>
              <w:top w:val="single" w:sz="4" w:space="0" w:color="auto"/>
            </w:tcBorders>
            <w:shd w:val="clear" w:color="auto" w:fill="auto"/>
            <w:noWrap/>
            <w:vAlign w:val="center"/>
            <w:hideMark/>
          </w:tcPr>
          <w:p w14:paraId="30A6C4C1" w14:textId="77777777" w:rsidR="00A74088" w:rsidRPr="002A7673" w:rsidRDefault="00A74088" w:rsidP="0048334E">
            <w:pPr>
              <w:jc w:val="center"/>
              <w:rPr>
                <w:rFonts w:ascii="Times New Roman" w:hAnsi="Times New Roman" w:cs="Times New Roman"/>
                <w:b/>
                <w:sz w:val="18"/>
                <w:szCs w:val="18"/>
              </w:rPr>
            </w:pPr>
            <w:r w:rsidRPr="002A7673">
              <w:rPr>
                <w:rFonts w:ascii="Times New Roman" w:hAnsi="Times New Roman" w:cs="Times New Roman"/>
                <w:b/>
                <w:bCs/>
                <w:sz w:val="18"/>
                <w:szCs w:val="18"/>
              </w:rPr>
              <w:t>Total</w:t>
            </w:r>
          </w:p>
        </w:tc>
        <w:tc>
          <w:tcPr>
            <w:tcW w:w="832" w:type="dxa"/>
            <w:tcBorders>
              <w:top w:val="single" w:sz="4" w:space="0" w:color="auto"/>
            </w:tcBorders>
            <w:shd w:val="clear" w:color="auto" w:fill="auto"/>
            <w:noWrap/>
            <w:vAlign w:val="center"/>
          </w:tcPr>
          <w:p w14:paraId="08D6F23D" w14:textId="77777777" w:rsidR="00A74088" w:rsidRPr="002A7673" w:rsidRDefault="00A74088" w:rsidP="0048334E">
            <w:pPr>
              <w:jc w:val="center"/>
              <w:rPr>
                <w:rFonts w:ascii="Times New Roman" w:hAnsi="Times New Roman" w:cs="Times New Roman"/>
                <w:b/>
                <w:sz w:val="18"/>
                <w:szCs w:val="18"/>
              </w:rPr>
            </w:pPr>
            <w:r w:rsidRPr="002A7673">
              <w:rPr>
                <w:rFonts w:ascii="Times New Roman" w:hAnsi="Times New Roman" w:cs="Times New Roman"/>
                <w:b/>
                <w:sz w:val="18"/>
                <w:szCs w:val="18"/>
              </w:rPr>
              <w:t>172 951</w:t>
            </w:r>
          </w:p>
        </w:tc>
        <w:tc>
          <w:tcPr>
            <w:tcW w:w="904" w:type="dxa"/>
            <w:tcBorders>
              <w:top w:val="single" w:sz="4" w:space="0" w:color="auto"/>
            </w:tcBorders>
            <w:shd w:val="clear" w:color="auto" w:fill="auto"/>
            <w:noWrap/>
            <w:vAlign w:val="center"/>
          </w:tcPr>
          <w:p w14:paraId="3917C4A2" w14:textId="77777777" w:rsidR="00A74088" w:rsidRPr="002A7673" w:rsidRDefault="00A74088" w:rsidP="0048334E">
            <w:pPr>
              <w:jc w:val="center"/>
              <w:rPr>
                <w:rFonts w:ascii="Times New Roman" w:hAnsi="Times New Roman" w:cs="Times New Roman"/>
                <w:b/>
                <w:sz w:val="18"/>
                <w:szCs w:val="18"/>
              </w:rPr>
            </w:pPr>
            <w:r w:rsidRPr="002A7673">
              <w:rPr>
                <w:rFonts w:ascii="Times New Roman" w:hAnsi="Times New Roman" w:cs="Times New Roman"/>
                <w:b/>
                <w:sz w:val="18"/>
                <w:szCs w:val="18"/>
              </w:rPr>
              <w:t>172 589</w:t>
            </w:r>
          </w:p>
        </w:tc>
        <w:tc>
          <w:tcPr>
            <w:tcW w:w="832" w:type="dxa"/>
            <w:tcBorders>
              <w:top w:val="single" w:sz="4" w:space="0" w:color="auto"/>
            </w:tcBorders>
            <w:shd w:val="clear" w:color="auto" w:fill="auto"/>
            <w:noWrap/>
            <w:vAlign w:val="center"/>
          </w:tcPr>
          <w:p w14:paraId="5FDF56B6" w14:textId="77777777" w:rsidR="00A74088" w:rsidRPr="002A7673" w:rsidRDefault="00A74088" w:rsidP="0048334E">
            <w:pPr>
              <w:jc w:val="center"/>
              <w:rPr>
                <w:rFonts w:ascii="Times New Roman" w:hAnsi="Times New Roman" w:cs="Times New Roman"/>
                <w:b/>
                <w:sz w:val="18"/>
                <w:szCs w:val="18"/>
              </w:rPr>
            </w:pPr>
            <w:r w:rsidRPr="002A7673">
              <w:rPr>
                <w:rFonts w:ascii="Times New Roman" w:hAnsi="Times New Roman" w:cs="Times New Roman"/>
                <w:b/>
                <w:sz w:val="18"/>
                <w:szCs w:val="18"/>
              </w:rPr>
              <w:t>196 298</w:t>
            </w:r>
          </w:p>
        </w:tc>
        <w:tc>
          <w:tcPr>
            <w:tcW w:w="904" w:type="dxa"/>
            <w:tcBorders>
              <w:top w:val="single" w:sz="4" w:space="0" w:color="auto"/>
            </w:tcBorders>
            <w:shd w:val="clear" w:color="auto" w:fill="auto"/>
            <w:noWrap/>
            <w:vAlign w:val="center"/>
          </w:tcPr>
          <w:p w14:paraId="160E787C" w14:textId="77777777" w:rsidR="00A74088" w:rsidRPr="002A7673" w:rsidRDefault="00A74088" w:rsidP="0048334E">
            <w:pPr>
              <w:jc w:val="center"/>
              <w:rPr>
                <w:rFonts w:ascii="Times New Roman" w:hAnsi="Times New Roman" w:cs="Times New Roman"/>
                <w:b/>
                <w:sz w:val="18"/>
                <w:szCs w:val="18"/>
              </w:rPr>
            </w:pPr>
            <w:r w:rsidRPr="002A7673">
              <w:rPr>
                <w:rFonts w:ascii="Times New Roman" w:hAnsi="Times New Roman" w:cs="Times New Roman"/>
                <w:b/>
                <w:sz w:val="18"/>
                <w:szCs w:val="18"/>
              </w:rPr>
              <w:t>196 201</w:t>
            </w:r>
          </w:p>
        </w:tc>
        <w:tc>
          <w:tcPr>
            <w:tcW w:w="960" w:type="dxa"/>
            <w:tcBorders>
              <w:top w:val="single" w:sz="4" w:space="0" w:color="auto"/>
            </w:tcBorders>
            <w:shd w:val="clear" w:color="auto" w:fill="auto"/>
            <w:noWrap/>
            <w:vAlign w:val="center"/>
          </w:tcPr>
          <w:p w14:paraId="4430E3E5" w14:textId="77777777" w:rsidR="00A74088" w:rsidRPr="002A7673" w:rsidRDefault="00A74088" w:rsidP="0048334E">
            <w:pPr>
              <w:jc w:val="center"/>
              <w:rPr>
                <w:rFonts w:ascii="Times New Roman" w:hAnsi="Times New Roman" w:cs="Times New Roman"/>
                <w:b/>
                <w:sz w:val="18"/>
                <w:szCs w:val="18"/>
              </w:rPr>
            </w:pPr>
            <w:r w:rsidRPr="002A7673">
              <w:rPr>
                <w:rFonts w:ascii="Times New Roman" w:hAnsi="Times New Roman" w:cs="Times New Roman"/>
                <w:b/>
                <w:sz w:val="18"/>
                <w:szCs w:val="18"/>
              </w:rPr>
              <w:t>13,5</w:t>
            </w:r>
          </w:p>
        </w:tc>
        <w:tc>
          <w:tcPr>
            <w:tcW w:w="982" w:type="dxa"/>
            <w:tcBorders>
              <w:top w:val="single" w:sz="4" w:space="0" w:color="auto"/>
            </w:tcBorders>
            <w:shd w:val="clear" w:color="auto" w:fill="auto"/>
            <w:noWrap/>
            <w:vAlign w:val="center"/>
          </w:tcPr>
          <w:p w14:paraId="22A3A089" w14:textId="77777777" w:rsidR="00A74088" w:rsidRPr="002A7673" w:rsidRDefault="00A74088" w:rsidP="0048334E">
            <w:pPr>
              <w:jc w:val="center"/>
              <w:rPr>
                <w:rFonts w:ascii="Times New Roman" w:hAnsi="Times New Roman" w:cs="Times New Roman"/>
                <w:b/>
                <w:sz w:val="18"/>
                <w:szCs w:val="18"/>
              </w:rPr>
            </w:pPr>
            <w:r w:rsidRPr="002A7673">
              <w:rPr>
                <w:rFonts w:ascii="Times New Roman" w:hAnsi="Times New Roman" w:cs="Times New Roman"/>
                <w:b/>
                <w:sz w:val="18"/>
                <w:szCs w:val="18"/>
              </w:rPr>
              <w:t>13,7</w:t>
            </w:r>
          </w:p>
        </w:tc>
      </w:tr>
    </w:tbl>
    <w:p w14:paraId="0990062D" w14:textId="1B538365" w:rsidR="00A74088" w:rsidRPr="002A7673" w:rsidRDefault="00A74088" w:rsidP="00A74088">
      <w:pPr>
        <w:rPr>
          <w:rFonts w:ascii="Times New Roman" w:hAnsi="Times New Roman" w:cs="Times New Roman"/>
          <w:sz w:val="18"/>
          <w:szCs w:val="18"/>
        </w:rPr>
      </w:pPr>
      <w:r w:rsidRPr="002A7673">
        <w:rPr>
          <w:rFonts w:ascii="Times New Roman" w:hAnsi="Times New Roman" w:cs="Times New Roman"/>
          <w:sz w:val="18"/>
          <w:szCs w:val="18"/>
        </w:rPr>
        <w:lastRenderedPageBreak/>
        <w:t>Fuente: Información suministrada por la Oficina de Planes y Operaciones.</w:t>
      </w:r>
    </w:p>
    <w:p w14:paraId="7549A823" w14:textId="77777777" w:rsidR="00A74088" w:rsidRPr="002A7673" w:rsidRDefault="00A74088" w:rsidP="00FF3FAC">
      <w:pPr>
        <w:pStyle w:val="Prrafodelista"/>
        <w:numPr>
          <w:ilvl w:val="0"/>
          <w:numId w:val="71"/>
        </w:numPr>
        <w:spacing w:line="480" w:lineRule="auto"/>
        <w:ind w:left="360"/>
        <w:contextualSpacing/>
        <w:jc w:val="both"/>
        <w:rPr>
          <w:rFonts w:ascii="Times New Roman" w:hAnsi="Times New Roman" w:cs="Times New Roman"/>
          <w:b/>
          <w:bCs/>
          <w:sz w:val="26"/>
          <w:szCs w:val="26"/>
        </w:rPr>
      </w:pPr>
      <w:r w:rsidRPr="002A7673">
        <w:rPr>
          <w:rFonts w:ascii="Times New Roman" w:hAnsi="Times New Roman" w:cs="Times New Roman"/>
          <w:b/>
          <w:bCs/>
          <w:sz w:val="26"/>
          <w:szCs w:val="26"/>
        </w:rPr>
        <w:t>Departamento de Laboratorio de Ciencias Forenses</w:t>
      </w:r>
    </w:p>
    <w:p w14:paraId="25C444F9" w14:textId="77777777" w:rsidR="00A74088" w:rsidRPr="002A7673" w:rsidRDefault="00A74088" w:rsidP="00A74088">
      <w:pPr>
        <w:rPr>
          <w:rFonts w:ascii="Times New Roman" w:hAnsi="Times New Roman" w:cs="Times New Roman"/>
          <w:sz w:val="18"/>
          <w:szCs w:val="18"/>
        </w:rPr>
      </w:pPr>
    </w:p>
    <w:tbl>
      <w:tblPr>
        <w:tblW w:w="9020" w:type="dxa"/>
        <w:jc w:val="center"/>
        <w:tblCellMar>
          <w:left w:w="70" w:type="dxa"/>
          <w:right w:w="70" w:type="dxa"/>
        </w:tblCellMar>
        <w:tblLook w:val="04A0" w:firstRow="1" w:lastRow="0" w:firstColumn="1" w:lastColumn="0" w:noHBand="0" w:noVBand="1"/>
      </w:tblPr>
      <w:tblGrid>
        <w:gridCol w:w="3727"/>
        <w:gridCol w:w="1840"/>
        <w:gridCol w:w="1772"/>
        <w:gridCol w:w="1681"/>
      </w:tblGrid>
      <w:tr w:rsidR="00A74088" w:rsidRPr="002A7673" w14:paraId="031E3C85" w14:textId="77777777" w:rsidTr="0048334E">
        <w:trPr>
          <w:trHeight w:val="538"/>
          <w:jc w:val="center"/>
        </w:trPr>
        <w:tc>
          <w:tcPr>
            <w:tcW w:w="3727" w:type="dxa"/>
            <w:vMerge w:val="restart"/>
            <w:tcBorders>
              <w:top w:val="single" w:sz="4" w:space="0" w:color="auto"/>
              <w:left w:val="nil"/>
              <w:bottom w:val="single" w:sz="4" w:space="0" w:color="000000"/>
              <w:right w:val="nil"/>
            </w:tcBorders>
            <w:shd w:val="clear" w:color="auto" w:fill="auto"/>
            <w:vAlign w:val="center"/>
            <w:hideMark/>
          </w:tcPr>
          <w:p w14:paraId="7596BA7A"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Variable</w:t>
            </w:r>
          </w:p>
        </w:tc>
        <w:tc>
          <w:tcPr>
            <w:tcW w:w="1840" w:type="dxa"/>
            <w:tcBorders>
              <w:top w:val="single" w:sz="4" w:space="0" w:color="auto"/>
              <w:left w:val="nil"/>
              <w:bottom w:val="single" w:sz="4" w:space="0" w:color="auto"/>
              <w:right w:val="nil"/>
            </w:tcBorders>
            <w:shd w:val="clear" w:color="auto" w:fill="auto"/>
            <w:vAlign w:val="bottom"/>
            <w:hideMark/>
          </w:tcPr>
          <w:p w14:paraId="327CD91A"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 xml:space="preserve">Enero-diciembre 2019 </w:t>
            </w:r>
          </w:p>
        </w:tc>
        <w:tc>
          <w:tcPr>
            <w:tcW w:w="1772" w:type="dxa"/>
            <w:tcBorders>
              <w:top w:val="single" w:sz="4" w:space="0" w:color="auto"/>
              <w:left w:val="nil"/>
              <w:bottom w:val="single" w:sz="4" w:space="0" w:color="auto"/>
              <w:right w:val="nil"/>
            </w:tcBorders>
            <w:shd w:val="clear" w:color="auto" w:fill="auto"/>
            <w:vAlign w:val="bottom"/>
            <w:hideMark/>
          </w:tcPr>
          <w:p w14:paraId="7AA17ACE"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Enero-diciembre 2020</w:t>
            </w:r>
          </w:p>
        </w:tc>
        <w:tc>
          <w:tcPr>
            <w:tcW w:w="1681" w:type="dxa"/>
            <w:vMerge w:val="restart"/>
            <w:tcBorders>
              <w:top w:val="single" w:sz="4" w:space="0" w:color="auto"/>
              <w:left w:val="nil"/>
              <w:bottom w:val="single" w:sz="4" w:space="0" w:color="000000"/>
              <w:right w:val="nil"/>
            </w:tcBorders>
            <w:shd w:val="clear" w:color="auto" w:fill="auto"/>
            <w:noWrap/>
            <w:vAlign w:val="center"/>
            <w:hideMark/>
          </w:tcPr>
          <w:p w14:paraId="1FF1322A"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Variación</w:t>
            </w:r>
          </w:p>
        </w:tc>
      </w:tr>
      <w:tr w:rsidR="00A74088" w:rsidRPr="002A7673" w14:paraId="39DFB6C9" w14:textId="77777777" w:rsidTr="0048334E">
        <w:trPr>
          <w:trHeight w:val="269"/>
          <w:jc w:val="center"/>
        </w:trPr>
        <w:tc>
          <w:tcPr>
            <w:tcW w:w="3727" w:type="dxa"/>
            <w:vMerge/>
            <w:tcBorders>
              <w:top w:val="single" w:sz="4" w:space="0" w:color="auto"/>
              <w:left w:val="nil"/>
              <w:bottom w:val="single" w:sz="4" w:space="0" w:color="000000"/>
              <w:right w:val="nil"/>
            </w:tcBorders>
            <w:vAlign w:val="center"/>
            <w:hideMark/>
          </w:tcPr>
          <w:p w14:paraId="3A0463D4" w14:textId="77777777" w:rsidR="00A74088" w:rsidRPr="002A7673" w:rsidRDefault="00A74088" w:rsidP="0048334E">
            <w:pPr>
              <w:rPr>
                <w:rFonts w:ascii="Times New Roman" w:hAnsi="Times New Roman" w:cs="Times New Roman"/>
                <w:b/>
                <w:bCs/>
                <w:sz w:val="20"/>
                <w:szCs w:val="20"/>
                <w:lang w:eastAsia="es-CR"/>
              </w:rPr>
            </w:pPr>
          </w:p>
        </w:tc>
        <w:tc>
          <w:tcPr>
            <w:tcW w:w="1840" w:type="dxa"/>
            <w:tcBorders>
              <w:top w:val="nil"/>
              <w:left w:val="nil"/>
              <w:bottom w:val="single" w:sz="4" w:space="0" w:color="auto"/>
              <w:right w:val="nil"/>
            </w:tcBorders>
            <w:shd w:val="clear" w:color="auto" w:fill="auto"/>
            <w:noWrap/>
            <w:vAlign w:val="bottom"/>
            <w:hideMark/>
          </w:tcPr>
          <w:p w14:paraId="5576879F"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Ingresado</w:t>
            </w:r>
          </w:p>
        </w:tc>
        <w:tc>
          <w:tcPr>
            <w:tcW w:w="1772" w:type="dxa"/>
            <w:tcBorders>
              <w:top w:val="nil"/>
              <w:left w:val="nil"/>
              <w:bottom w:val="single" w:sz="4" w:space="0" w:color="auto"/>
              <w:right w:val="nil"/>
            </w:tcBorders>
            <w:shd w:val="clear" w:color="auto" w:fill="auto"/>
            <w:noWrap/>
            <w:vAlign w:val="bottom"/>
            <w:hideMark/>
          </w:tcPr>
          <w:p w14:paraId="3F3DB3CE"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Ingresado</w:t>
            </w:r>
          </w:p>
        </w:tc>
        <w:tc>
          <w:tcPr>
            <w:tcW w:w="1681" w:type="dxa"/>
            <w:vMerge/>
            <w:tcBorders>
              <w:top w:val="single" w:sz="4" w:space="0" w:color="auto"/>
              <w:left w:val="nil"/>
              <w:bottom w:val="single" w:sz="4" w:space="0" w:color="000000"/>
              <w:right w:val="nil"/>
            </w:tcBorders>
            <w:vAlign w:val="center"/>
            <w:hideMark/>
          </w:tcPr>
          <w:p w14:paraId="3D27C5E5" w14:textId="77777777" w:rsidR="00A74088" w:rsidRPr="002A7673" w:rsidRDefault="00A74088" w:rsidP="0048334E">
            <w:pPr>
              <w:rPr>
                <w:rFonts w:ascii="Times New Roman" w:hAnsi="Times New Roman" w:cs="Times New Roman"/>
                <w:b/>
                <w:bCs/>
                <w:sz w:val="20"/>
                <w:szCs w:val="20"/>
                <w:lang w:eastAsia="es-CR"/>
              </w:rPr>
            </w:pPr>
          </w:p>
        </w:tc>
      </w:tr>
      <w:tr w:rsidR="00A74088" w:rsidRPr="002A7673" w14:paraId="490C9CF6" w14:textId="77777777" w:rsidTr="0048334E">
        <w:trPr>
          <w:trHeight w:val="269"/>
          <w:jc w:val="center"/>
        </w:trPr>
        <w:tc>
          <w:tcPr>
            <w:tcW w:w="3727" w:type="dxa"/>
            <w:tcBorders>
              <w:top w:val="nil"/>
              <w:left w:val="nil"/>
              <w:bottom w:val="nil"/>
              <w:right w:val="nil"/>
            </w:tcBorders>
            <w:shd w:val="clear" w:color="auto" w:fill="auto"/>
            <w:noWrap/>
            <w:vAlign w:val="bottom"/>
            <w:hideMark/>
          </w:tcPr>
          <w:p w14:paraId="567419A1" w14:textId="77777777" w:rsidR="00A74088" w:rsidRPr="002A7673" w:rsidRDefault="00A74088" w:rsidP="0048334E">
            <w:pPr>
              <w:rPr>
                <w:rFonts w:ascii="Times New Roman" w:hAnsi="Times New Roman" w:cs="Times New Roman"/>
                <w:sz w:val="20"/>
                <w:szCs w:val="20"/>
                <w:lang w:eastAsia="es-CR"/>
              </w:rPr>
            </w:pPr>
            <w:r w:rsidRPr="002A7673">
              <w:rPr>
                <w:rFonts w:ascii="Times New Roman" w:hAnsi="Times New Roman" w:cs="Times New Roman"/>
                <w:sz w:val="20"/>
                <w:szCs w:val="20"/>
                <w:lang w:eastAsia="es-CR"/>
              </w:rPr>
              <w:t>Casos ingresados</w:t>
            </w:r>
          </w:p>
        </w:tc>
        <w:tc>
          <w:tcPr>
            <w:tcW w:w="1840" w:type="dxa"/>
            <w:tcBorders>
              <w:top w:val="nil"/>
              <w:left w:val="nil"/>
              <w:bottom w:val="nil"/>
              <w:right w:val="nil"/>
            </w:tcBorders>
            <w:shd w:val="clear" w:color="auto" w:fill="auto"/>
            <w:noWrap/>
            <w:vAlign w:val="bottom"/>
          </w:tcPr>
          <w:p w14:paraId="3F0822CF" w14:textId="77777777" w:rsidR="00A74088" w:rsidRPr="002A7673" w:rsidRDefault="00A74088" w:rsidP="0048334E">
            <w:pPr>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35.438</w:t>
            </w:r>
          </w:p>
        </w:tc>
        <w:tc>
          <w:tcPr>
            <w:tcW w:w="1772" w:type="dxa"/>
            <w:tcBorders>
              <w:top w:val="nil"/>
              <w:left w:val="nil"/>
              <w:bottom w:val="nil"/>
              <w:right w:val="nil"/>
            </w:tcBorders>
            <w:shd w:val="clear" w:color="auto" w:fill="auto"/>
            <w:noWrap/>
            <w:vAlign w:val="bottom"/>
          </w:tcPr>
          <w:p w14:paraId="362C3990" w14:textId="77777777" w:rsidR="00A74088" w:rsidRPr="002A7673" w:rsidRDefault="00A74088" w:rsidP="0048334E">
            <w:pPr>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30910</w:t>
            </w:r>
          </w:p>
        </w:tc>
        <w:tc>
          <w:tcPr>
            <w:tcW w:w="1681" w:type="dxa"/>
            <w:tcBorders>
              <w:top w:val="nil"/>
              <w:left w:val="nil"/>
              <w:bottom w:val="nil"/>
              <w:right w:val="nil"/>
            </w:tcBorders>
            <w:shd w:val="clear" w:color="auto" w:fill="auto"/>
            <w:noWrap/>
            <w:vAlign w:val="bottom"/>
          </w:tcPr>
          <w:p w14:paraId="59A92566" w14:textId="77777777" w:rsidR="00A74088" w:rsidRPr="002A7673" w:rsidRDefault="00A74088" w:rsidP="0048334E">
            <w:pPr>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-4528 (12,8%)</w:t>
            </w:r>
          </w:p>
        </w:tc>
      </w:tr>
      <w:tr w:rsidR="00A74088" w:rsidRPr="002A7673" w14:paraId="1D98ABB1" w14:textId="77777777" w:rsidTr="0048334E">
        <w:trPr>
          <w:trHeight w:val="269"/>
          <w:jc w:val="center"/>
        </w:trPr>
        <w:tc>
          <w:tcPr>
            <w:tcW w:w="3727" w:type="dxa"/>
            <w:tcBorders>
              <w:top w:val="nil"/>
              <w:left w:val="nil"/>
              <w:bottom w:val="nil"/>
              <w:right w:val="nil"/>
            </w:tcBorders>
            <w:shd w:val="clear" w:color="auto" w:fill="auto"/>
            <w:noWrap/>
            <w:vAlign w:val="bottom"/>
            <w:hideMark/>
          </w:tcPr>
          <w:p w14:paraId="03EE5A38" w14:textId="77777777" w:rsidR="00A74088" w:rsidRPr="002A7673" w:rsidRDefault="00A74088" w:rsidP="0048334E">
            <w:pPr>
              <w:rPr>
                <w:rFonts w:ascii="Times New Roman" w:hAnsi="Times New Roman" w:cs="Times New Roman"/>
                <w:sz w:val="20"/>
                <w:szCs w:val="20"/>
                <w:lang w:eastAsia="es-CR"/>
              </w:rPr>
            </w:pPr>
            <w:r w:rsidRPr="002A7673">
              <w:rPr>
                <w:rFonts w:ascii="Times New Roman" w:hAnsi="Times New Roman" w:cs="Times New Roman"/>
                <w:sz w:val="20"/>
                <w:szCs w:val="20"/>
                <w:lang w:eastAsia="es-CR"/>
              </w:rPr>
              <w:t>Casos salidos</w:t>
            </w:r>
          </w:p>
        </w:tc>
        <w:tc>
          <w:tcPr>
            <w:tcW w:w="1840" w:type="dxa"/>
            <w:tcBorders>
              <w:top w:val="nil"/>
              <w:left w:val="nil"/>
              <w:bottom w:val="nil"/>
              <w:right w:val="nil"/>
            </w:tcBorders>
            <w:shd w:val="clear" w:color="auto" w:fill="auto"/>
            <w:noWrap/>
            <w:vAlign w:val="bottom"/>
          </w:tcPr>
          <w:p w14:paraId="6A07C971" w14:textId="77777777" w:rsidR="00A74088" w:rsidRPr="002A7673" w:rsidRDefault="00A74088" w:rsidP="0048334E">
            <w:pPr>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37.121</w:t>
            </w:r>
          </w:p>
        </w:tc>
        <w:tc>
          <w:tcPr>
            <w:tcW w:w="1772" w:type="dxa"/>
            <w:tcBorders>
              <w:top w:val="nil"/>
              <w:left w:val="nil"/>
              <w:bottom w:val="nil"/>
              <w:right w:val="nil"/>
            </w:tcBorders>
            <w:shd w:val="clear" w:color="auto" w:fill="auto"/>
            <w:noWrap/>
            <w:vAlign w:val="bottom"/>
          </w:tcPr>
          <w:p w14:paraId="47C7EF9B" w14:textId="77777777" w:rsidR="00A74088" w:rsidRPr="002A7673" w:rsidRDefault="00A74088" w:rsidP="0048334E">
            <w:pPr>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32667</w:t>
            </w:r>
          </w:p>
        </w:tc>
        <w:tc>
          <w:tcPr>
            <w:tcW w:w="1681" w:type="dxa"/>
            <w:tcBorders>
              <w:top w:val="nil"/>
              <w:left w:val="nil"/>
              <w:bottom w:val="nil"/>
              <w:right w:val="nil"/>
            </w:tcBorders>
            <w:shd w:val="clear" w:color="auto" w:fill="auto"/>
            <w:noWrap/>
            <w:vAlign w:val="bottom"/>
          </w:tcPr>
          <w:p w14:paraId="5C3FFB4D" w14:textId="77777777" w:rsidR="00A74088" w:rsidRPr="002A7673" w:rsidRDefault="00A74088" w:rsidP="0048334E">
            <w:pPr>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-4454 (12,0%)</w:t>
            </w:r>
          </w:p>
        </w:tc>
      </w:tr>
      <w:tr w:rsidR="00A74088" w:rsidRPr="002A7673" w14:paraId="4D6B6481" w14:textId="77777777" w:rsidTr="0048334E">
        <w:trPr>
          <w:trHeight w:val="269"/>
          <w:jc w:val="center"/>
        </w:trPr>
        <w:tc>
          <w:tcPr>
            <w:tcW w:w="3727" w:type="dxa"/>
            <w:tcBorders>
              <w:top w:val="nil"/>
              <w:left w:val="nil"/>
              <w:bottom w:val="single" w:sz="4" w:space="0" w:color="auto"/>
              <w:right w:val="nil"/>
            </w:tcBorders>
            <w:shd w:val="clear" w:color="auto" w:fill="auto"/>
            <w:noWrap/>
            <w:vAlign w:val="bottom"/>
            <w:hideMark/>
          </w:tcPr>
          <w:p w14:paraId="04FF5C4D" w14:textId="77777777" w:rsidR="00A74088" w:rsidRPr="002A7673" w:rsidRDefault="00A74088" w:rsidP="0048334E">
            <w:pP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xml:space="preserve">Casos pendientes                                                </w:t>
            </w:r>
          </w:p>
        </w:tc>
        <w:tc>
          <w:tcPr>
            <w:tcW w:w="1840" w:type="dxa"/>
            <w:tcBorders>
              <w:top w:val="nil"/>
              <w:left w:val="nil"/>
              <w:bottom w:val="single" w:sz="4" w:space="0" w:color="auto"/>
              <w:right w:val="nil"/>
            </w:tcBorders>
            <w:shd w:val="clear" w:color="auto" w:fill="auto"/>
            <w:noWrap/>
            <w:vAlign w:val="bottom"/>
          </w:tcPr>
          <w:p w14:paraId="5384B5E3" w14:textId="77777777" w:rsidR="00A74088" w:rsidRPr="002A7673" w:rsidRDefault="00A74088" w:rsidP="0048334E">
            <w:pPr>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5.057</w:t>
            </w:r>
          </w:p>
        </w:tc>
        <w:tc>
          <w:tcPr>
            <w:tcW w:w="1772" w:type="dxa"/>
            <w:tcBorders>
              <w:top w:val="nil"/>
              <w:left w:val="nil"/>
              <w:bottom w:val="single" w:sz="4" w:space="0" w:color="auto"/>
              <w:right w:val="nil"/>
            </w:tcBorders>
            <w:shd w:val="clear" w:color="auto" w:fill="auto"/>
            <w:noWrap/>
            <w:vAlign w:val="bottom"/>
          </w:tcPr>
          <w:p w14:paraId="25429CFC" w14:textId="77777777" w:rsidR="00A74088" w:rsidRPr="002A7673" w:rsidRDefault="00A74088" w:rsidP="0048334E">
            <w:pPr>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3300</w:t>
            </w:r>
          </w:p>
        </w:tc>
        <w:tc>
          <w:tcPr>
            <w:tcW w:w="1681" w:type="dxa"/>
            <w:tcBorders>
              <w:top w:val="nil"/>
              <w:left w:val="nil"/>
              <w:bottom w:val="single" w:sz="4" w:space="0" w:color="auto"/>
              <w:right w:val="nil"/>
            </w:tcBorders>
            <w:shd w:val="clear" w:color="auto" w:fill="auto"/>
            <w:noWrap/>
            <w:vAlign w:val="bottom"/>
          </w:tcPr>
          <w:p w14:paraId="078D2905" w14:textId="77777777" w:rsidR="00A74088" w:rsidRPr="002A7673" w:rsidRDefault="00A74088" w:rsidP="0048334E">
            <w:pPr>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-1757 (34,7%)</w:t>
            </w:r>
          </w:p>
        </w:tc>
      </w:tr>
    </w:tbl>
    <w:p w14:paraId="2BFB91D7" w14:textId="77777777" w:rsidR="00A74088" w:rsidRPr="002A7673" w:rsidRDefault="00A74088" w:rsidP="00A74088">
      <w:pPr>
        <w:rPr>
          <w:rFonts w:ascii="Times New Roman" w:hAnsi="Times New Roman" w:cs="Times New Roman"/>
          <w:sz w:val="18"/>
          <w:szCs w:val="18"/>
        </w:rPr>
      </w:pPr>
    </w:p>
    <w:p w14:paraId="6D16AAF0" w14:textId="77777777" w:rsidR="00A74088" w:rsidRPr="002A7673" w:rsidRDefault="00A74088" w:rsidP="00A74088">
      <w:pPr>
        <w:rPr>
          <w:rFonts w:ascii="Times New Roman" w:hAnsi="Times New Roman" w:cs="Times New Roman"/>
          <w:sz w:val="18"/>
          <w:szCs w:val="18"/>
        </w:rPr>
      </w:pPr>
      <w:r w:rsidRPr="002A7673">
        <w:rPr>
          <w:rFonts w:ascii="Times New Roman" w:hAnsi="Times New Roman" w:cs="Times New Roman"/>
          <w:sz w:val="18"/>
          <w:szCs w:val="18"/>
        </w:rPr>
        <w:t>Fuente: Información suministrada por el Departamento de Ciencias Forenses.</w:t>
      </w:r>
    </w:p>
    <w:p w14:paraId="627F5AC9" w14:textId="77777777" w:rsidR="00A74088" w:rsidRPr="002A7673" w:rsidRDefault="00A74088" w:rsidP="00A74088">
      <w:pPr>
        <w:rPr>
          <w:rFonts w:ascii="Times New Roman" w:hAnsi="Times New Roman" w:cs="Times New Roman"/>
          <w:sz w:val="18"/>
          <w:szCs w:val="18"/>
        </w:rPr>
      </w:pPr>
    </w:p>
    <w:p w14:paraId="4ACABAF8" w14:textId="77777777" w:rsidR="00A74088" w:rsidRPr="002A7673" w:rsidRDefault="00A74088" w:rsidP="00FF3FAC">
      <w:pPr>
        <w:pStyle w:val="Prrafodelista"/>
        <w:numPr>
          <w:ilvl w:val="0"/>
          <w:numId w:val="71"/>
        </w:numPr>
        <w:spacing w:line="480" w:lineRule="auto"/>
        <w:ind w:left="360"/>
        <w:contextualSpacing/>
        <w:jc w:val="both"/>
        <w:rPr>
          <w:rFonts w:ascii="Times New Roman" w:hAnsi="Times New Roman" w:cs="Times New Roman"/>
          <w:b/>
          <w:bCs/>
          <w:sz w:val="26"/>
          <w:szCs w:val="26"/>
        </w:rPr>
      </w:pPr>
      <w:r w:rsidRPr="002A7673">
        <w:rPr>
          <w:rFonts w:ascii="Times New Roman" w:hAnsi="Times New Roman" w:cs="Times New Roman"/>
          <w:b/>
          <w:bCs/>
          <w:sz w:val="26"/>
          <w:szCs w:val="26"/>
        </w:rPr>
        <w:t>Departamento de Medicina Legal</w:t>
      </w:r>
    </w:p>
    <w:tbl>
      <w:tblPr>
        <w:tblW w:w="9334" w:type="dxa"/>
        <w:jc w:val="center"/>
        <w:tblCellMar>
          <w:left w:w="70" w:type="dxa"/>
          <w:right w:w="70" w:type="dxa"/>
        </w:tblCellMar>
        <w:tblLook w:val="04A0" w:firstRow="1" w:lastRow="0" w:firstColumn="1" w:lastColumn="0" w:noHBand="0" w:noVBand="1"/>
      </w:tblPr>
      <w:tblGrid>
        <w:gridCol w:w="4697"/>
        <w:gridCol w:w="1182"/>
        <w:gridCol w:w="1182"/>
        <w:gridCol w:w="1182"/>
        <w:gridCol w:w="1091"/>
      </w:tblGrid>
      <w:tr w:rsidR="00A74088" w:rsidRPr="002A7673" w14:paraId="1729D8F1" w14:textId="77777777" w:rsidTr="0048334E">
        <w:trPr>
          <w:trHeight w:val="774"/>
          <w:jc w:val="center"/>
        </w:trPr>
        <w:tc>
          <w:tcPr>
            <w:tcW w:w="4697" w:type="dxa"/>
            <w:tcBorders>
              <w:top w:val="nil"/>
              <w:left w:val="nil"/>
              <w:bottom w:val="nil"/>
              <w:right w:val="nil"/>
            </w:tcBorders>
            <w:shd w:val="clear" w:color="auto" w:fill="auto"/>
            <w:noWrap/>
            <w:vAlign w:val="bottom"/>
            <w:hideMark/>
          </w:tcPr>
          <w:p w14:paraId="5E738FCA" w14:textId="77777777" w:rsidR="00A74088" w:rsidRPr="002A7673" w:rsidRDefault="00A74088" w:rsidP="0048334E">
            <w:pPr>
              <w:jc w:val="center"/>
              <w:rPr>
                <w:rFonts w:ascii="Times New Roman" w:hAnsi="Times New Roman" w:cs="Times New Roman"/>
                <w:sz w:val="20"/>
                <w:szCs w:val="20"/>
                <w:lang w:val="es-ES"/>
              </w:rPr>
            </w:pPr>
            <w:r w:rsidRPr="002A7673">
              <w:rPr>
                <w:rFonts w:ascii="Times New Roman" w:hAnsi="Times New Roman" w:cs="Times New Roman"/>
                <w:b/>
                <w:bCs/>
                <w:sz w:val="20"/>
                <w:szCs w:val="20"/>
                <w:lang w:eastAsia="es-CR"/>
              </w:rPr>
              <w:t>Variable</w:t>
            </w:r>
          </w:p>
        </w:tc>
        <w:tc>
          <w:tcPr>
            <w:tcW w:w="1182" w:type="dxa"/>
            <w:tcBorders>
              <w:top w:val="single" w:sz="8" w:space="0" w:color="auto"/>
              <w:left w:val="nil"/>
              <w:bottom w:val="single" w:sz="8" w:space="0" w:color="auto"/>
              <w:right w:val="nil"/>
            </w:tcBorders>
            <w:shd w:val="clear" w:color="auto" w:fill="auto"/>
            <w:vAlign w:val="center"/>
            <w:hideMark/>
          </w:tcPr>
          <w:p w14:paraId="12600E1B"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Enero-Diciembre 2019</w:t>
            </w:r>
          </w:p>
        </w:tc>
        <w:tc>
          <w:tcPr>
            <w:tcW w:w="1182" w:type="dxa"/>
            <w:tcBorders>
              <w:top w:val="single" w:sz="8" w:space="0" w:color="auto"/>
              <w:left w:val="nil"/>
              <w:bottom w:val="single" w:sz="8" w:space="0" w:color="auto"/>
              <w:right w:val="nil"/>
            </w:tcBorders>
            <w:shd w:val="clear" w:color="auto" w:fill="auto"/>
            <w:vAlign w:val="center"/>
            <w:hideMark/>
          </w:tcPr>
          <w:p w14:paraId="0A09CD7F"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Enero-Diciembre 2020</w:t>
            </w:r>
          </w:p>
        </w:tc>
        <w:tc>
          <w:tcPr>
            <w:tcW w:w="1182" w:type="dxa"/>
            <w:tcBorders>
              <w:top w:val="nil"/>
              <w:left w:val="nil"/>
              <w:bottom w:val="nil"/>
              <w:right w:val="nil"/>
            </w:tcBorders>
            <w:shd w:val="clear" w:color="auto" w:fill="auto"/>
            <w:noWrap/>
            <w:vAlign w:val="bottom"/>
            <w:hideMark/>
          </w:tcPr>
          <w:p w14:paraId="351D30A4" w14:textId="77777777" w:rsidR="00A74088" w:rsidRPr="002A7673" w:rsidRDefault="00A74088" w:rsidP="0048334E">
            <w:pPr>
              <w:jc w:val="center"/>
              <w:rPr>
                <w:rFonts w:ascii="Times New Roman" w:hAnsi="Times New Roman" w:cs="Times New Roman"/>
                <w:b/>
                <w:bCs/>
                <w:color w:val="000000"/>
                <w:sz w:val="20"/>
                <w:szCs w:val="20"/>
              </w:rPr>
            </w:pPr>
          </w:p>
        </w:tc>
        <w:tc>
          <w:tcPr>
            <w:tcW w:w="1091" w:type="dxa"/>
            <w:tcBorders>
              <w:top w:val="nil"/>
              <w:left w:val="nil"/>
              <w:bottom w:val="nil"/>
              <w:right w:val="nil"/>
            </w:tcBorders>
          </w:tcPr>
          <w:p w14:paraId="3BDFE390" w14:textId="77777777" w:rsidR="00A74088" w:rsidRPr="002A7673" w:rsidRDefault="00A74088" w:rsidP="0048334E">
            <w:pPr>
              <w:jc w:val="center"/>
              <w:rPr>
                <w:rFonts w:ascii="Times New Roman" w:hAnsi="Times New Roman" w:cs="Times New Roman"/>
                <w:b/>
                <w:bCs/>
                <w:color w:val="000000"/>
                <w:sz w:val="20"/>
                <w:szCs w:val="20"/>
              </w:rPr>
            </w:pPr>
          </w:p>
        </w:tc>
      </w:tr>
      <w:tr w:rsidR="00A74088" w:rsidRPr="002A7673" w14:paraId="593E2151" w14:textId="77777777" w:rsidTr="0048334E">
        <w:trPr>
          <w:trHeight w:val="306"/>
          <w:jc w:val="center"/>
        </w:trPr>
        <w:tc>
          <w:tcPr>
            <w:tcW w:w="4697" w:type="dxa"/>
            <w:tcBorders>
              <w:top w:val="nil"/>
              <w:left w:val="nil"/>
              <w:bottom w:val="single" w:sz="4" w:space="0" w:color="auto"/>
              <w:right w:val="nil"/>
            </w:tcBorders>
            <w:shd w:val="clear" w:color="auto" w:fill="auto"/>
            <w:noWrap/>
            <w:vAlign w:val="bottom"/>
            <w:hideMark/>
          </w:tcPr>
          <w:p w14:paraId="3B744FEC" w14:textId="77777777" w:rsidR="00A74088" w:rsidRPr="002A7673" w:rsidRDefault="00A74088" w:rsidP="0048334E">
            <w:pPr>
              <w:jc w:val="center"/>
              <w:rPr>
                <w:rFonts w:ascii="Times New Roman" w:hAnsi="Times New Roman" w:cs="Times New Roman"/>
                <w:sz w:val="20"/>
                <w:szCs w:val="20"/>
              </w:rPr>
            </w:pPr>
          </w:p>
        </w:tc>
        <w:tc>
          <w:tcPr>
            <w:tcW w:w="1182" w:type="dxa"/>
            <w:tcBorders>
              <w:top w:val="nil"/>
              <w:left w:val="nil"/>
              <w:bottom w:val="single" w:sz="4" w:space="0" w:color="auto"/>
              <w:right w:val="nil"/>
            </w:tcBorders>
            <w:shd w:val="clear" w:color="auto" w:fill="auto"/>
            <w:noWrap/>
            <w:vAlign w:val="center"/>
            <w:hideMark/>
          </w:tcPr>
          <w:p w14:paraId="782AD750"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Ingresado</w:t>
            </w:r>
          </w:p>
        </w:tc>
        <w:tc>
          <w:tcPr>
            <w:tcW w:w="1182" w:type="dxa"/>
            <w:tcBorders>
              <w:top w:val="nil"/>
              <w:left w:val="nil"/>
              <w:bottom w:val="single" w:sz="4" w:space="0" w:color="auto"/>
              <w:right w:val="nil"/>
            </w:tcBorders>
            <w:shd w:val="clear" w:color="auto" w:fill="auto"/>
            <w:noWrap/>
            <w:vAlign w:val="center"/>
            <w:hideMark/>
          </w:tcPr>
          <w:p w14:paraId="1E931C50"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Ingresado</w:t>
            </w:r>
          </w:p>
        </w:tc>
        <w:tc>
          <w:tcPr>
            <w:tcW w:w="1182" w:type="dxa"/>
            <w:tcBorders>
              <w:top w:val="nil"/>
              <w:left w:val="nil"/>
              <w:bottom w:val="single" w:sz="4" w:space="0" w:color="auto"/>
              <w:right w:val="nil"/>
            </w:tcBorders>
            <w:shd w:val="clear" w:color="auto" w:fill="auto"/>
            <w:noWrap/>
            <w:vAlign w:val="center"/>
            <w:hideMark/>
          </w:tcPr>
          <w:p w14:paraId="0CB1F378"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 xml:space="preserve">                                           </w:t>
            </w:r>
          </w:p>
          <w:p w14:paraId="21D6043C" w14:textId="77777777" w:rsidR="00A74088" w:rsidRPr="002A7673" w:rsidRDefault="00A74088" w:rsidP="0048334E">
            <w:pPr>
              <w:rPr>
                <w:rFonts w:ascii="Times New Roman" w:hAnsi="Times New Roman" w:cs="Times New Roman"/>
                <w:b/>
                <w:bCs/>
                <w:color w:val="000000"/>
                <w:sz w:val="20"/>
                <w:szCs w:val="20"/>
              </w:rPr>
            </w:pPr>
          </w:p>
          <w:p w14:paraId="2A6D29C5"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Diferencia</w:t>
            </w:r>
          </w:p>
          <w:p w14:paraId="38E83858" w14:textId="77777777" w:rsidR="00A74088" w:rsidRPr="002A7673" w:rsidRDefault="00A74088" w:rsidP="0048334E">
            <w:pPr>
              <w:jc w:val="center"/>
              <w:rPr>
                <w:rFonts w:ascii="Times New Roman" w:hAnsi="Times New Roman" w:cs="Times New Roman"/>
                <w:b/>
                <w:bCs/>
                <w:color w:val="000000"/>
                <w:sz w:val="20"/>
                <w:szCs w:val="20"/>
              </w:rPr>
            </w:pPr>
          </w:p>
          <w:p w14:paraId="3FC65046"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Absoluta</w:t>
            </w:r>
          </w:p>
        </w:tc>
        <w:tc>
          <w:tcPr>
            <w:tcW w:w="1091" w:type="dxa"/>
            <w:tcBorders>
              <w:top w:val="nil"/>
              <w:left w:val="nil"/>
              <w:bottom w:val="single" w:sz="4" w:space="0" w:color="auto"/>
              <w:right w:val="nil"/>
            </w:tcBorders>
          </w:tcPr>
          <w:p w14:paraId="36027222" w14:textId="77777777" w:rsidR="00A74088" w:rsidRPr="002A7673" w:rsidRDefault="00A74088" w:rsidP="0048334E">
            <w:pPr>
              <w:jc w:val="center"/>
              <w:rPr>
                <w:rFonts w:ascii="Times New Roman" w:hAnsi="Times New Roman" w:cs="Times New Roman"/>
                <w:b/>
                <w:bCs/>
                <w:color w:val="000000"/>
                <w:sz w:val="20"/>
                <w:szCs w:val="20"/>
              </w:rPr>
            </w:pPr>
          </w:p>
          <w:p w14:paraId="16E160FD" w14:textId="77777777" w:rsidR="00A74088" w:rsidRPr="002A7673" w:rsidRDefault="00A74088" w:rsidP="0048334E">
            <w:pPr>
              <w:jc w:val="center"/>
              <w:rPr>
                <w:rFonts w:ascii="Times New Roman" w:hAnsi="Times New Roman" w:cs="Times New Roman"/>
                <w:b/>
                <w:bCs/>
                <w:color w:val="000000"/>
                <w:sz w:val="20"/>
                <w:szCs w:val="20"/>
              </w:rPr>
            </w:pPr>
          </w:p>
          <w:p w14:paraId="5F528D32" w14:textId="77777777" w:rsidR="00A74088" w:rsidRPr="002A7673" w:rsidRDefault="00A74088" w:rsidP="0048334E">
            <w:pPr>
              <w:jc w:val="center"/>
              <w:rPr>
                <w:rFonts w:ascii="Times New Roman" w:hAnsi="Times New Roman" w:cs="Times New Roman"/>
                <w:b/>
                <w:bCs/>
                <w:color w:val="000000"/>
                <w:sz w:val="20"/>
                <w:szCs w:val="20"/>
              </w:rPr>
            </w:pPr>
          </w:p>
          <w:p w14:paraId="7CFF9558" w14:textId="77777777" w:rsidR="00A74088" w:rsidRPr="002A7673" w:rsidRDefault="00A74088" w:rsidP="0048334E">
            <w:pPr>
              <w:jc w:val="center"/>
              <w:rPr>
                <w:rFonts w:ascii="Times New Roman" w:hAnsi="Times New Roman" w:cs="Times New Roman"/>
                <w:b/>
                <w:bCs/>
                <w:color w:val="000000"/>
                <w:sz w:val="20"/>
                <w:szCs w:val="20"/>
              </w:rPr>
            </w:pPr>
          </w:p>
          <w:p w14:paraId="74115D88"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Porcentual</w:t>
            </w:r>
          </w:p>
        </w:tc>
      </w:tr>
      <w:tr w:rsidR="00A74088" w:rsidRPr="002A7673" w14:paraId="02E9213D" w14:textId="77777777" w:rsidTr="0048334E">
        <w:trPr>
          <w:trHeight w:val="298"/>
          <w:jc w:val="center"/>
        </w:trPr>
        <w:tc>
          <w:tcPr>
            <w:tcW w:w="46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910475"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Casos atendidos por la Unidad de Radiología</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64C2C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3912</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918164"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3904</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1DDA82"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-8</w:t>
            </w:r>
          </w:p>
        </w:tc>
        <w:tc>
          <w:tcPr>
            <w:tcW w:w="1091" w:type="dxa"/>
            <w:tcBorders>
              <w:top w:val="single" w:sz="4" w:space="0" w:color="auto"/>
              <w:left w:val="single" w:sz="4" w:space="0" w:color="auto"/>
              <w:bottom w:val="single" w:sz="4" w:space="0" w:color="auto"/>
              <w:right w:val="single" w:sz="4" w:space="0" w:color="auto"/>
            </w:tcBorders>
          </w:tcPr>
          <w:p w14:paraId="2A546666"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-0.2%</w:t>
            </w:r>
          </w:p>
        </w:tc>
      </w:tr>
      <w:tr w:rsidR="00A74088" w:rsidRPr="002A7673" w14:paraId="47DF2C94" w14:textId="77777777" w:rsidTr="0048334E">
        <w:trPr>
          <w:trHeight w:val="298"/>
          <w:jc w:val="center"/>
        </w:trPr>
        <w:tc>
          <w:tcPr>
            <w:tcW w:w="46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CCDE4"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Autopsias realizadas por la Sección de Patología Forense</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638E88"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3580</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5FB4B2"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3281</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A400D4"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-299</w:t>
            </w:r>
          </w:p>
        </w:tc>
        <w:tc>
          <w:tcPr>
            <w:tcW w:w="1091" w:type="dxa"/>
            <w:tcBorders>
              <w:top w:val="single" w:sz="4" w:space="0" w:color="auto"/>
              <w:left w:val="single" w:sz="4" w:space="0" w:color="auto"/>
              <w:bottom w:val="single" w:sz="4" w:space="0" w:color="auto"/>
              <w:right w:val="single" w:sz="4" w:space="0" w:color="auto"/>
            </w:tcBorders>
          </w:tcPr>
          <w:p w14:paraId="52C0C1F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-8.4%</w:t>
            </w:r>
          </w:p>
        </w:tc>
      </w:tr>
      <w:tr w:rsidR="00A74088" w:rsidRPr="002A7673" w14:paraId="18FA974F" w14:textId="77777777" w:rsidTr="0048334E">
        <w:trPr>
          <w:trHeight w:val="765"/>
          <w:jc w:val="center"/>
        </w:trPr>
        <w:tc>
          <w:tcPr>
            <w:tcW w:w="46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BDF48B"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 xml:space="preserve">Sección de Medicina del Trabajo, </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B5CF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color w:val="000000"/>
                <w:sz w:val="20"/>
                <w:szCs w:val="20"/>
              </w:rPr>
              <w:t>2917</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0AAC8D"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color w:val="000000"/>
                <w:sz w:val="20"/>
                <w:szCs w:val="20"/>
              </w:rPr>
              <w:t>3824</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8A6CE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color w:val="000000"/>
                <w:sz w:val="20"/>
                <w:szCs w:val="20"/>
              </w:rPr>
              <w:t>907</w:t>
            </w:r>
          </w:p>
        </w:tc>
        <w:tc>
          <w:tcPr>
            <w:tcW w:w="1091" w:type="dxa"/>
            <w:tcBorders>
              <w:top w:val="single" w:sz="4" w:space="0" w:color="auto"/>
              <w:left w:val="single" w:sz="4" w:space="0" w:color="auto"/>
              <w:bottom w:val="single" w:sz="4" w:space="0" w:color="auto"/>
              <w:right w:val="single" w:sz="4" w:space="0" w:color="auto"/>
            </w:tcBorders>
          </w:tcPr>
          <w:p w14:paraId="4A7F841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31.1%</w:t>
            </w:r>
          </w:p>
        </w:tc>
      </w:tr>
      <w:tr w:rsidR="00A74088" w:rsidRPr="002A7673" w14:paraId="41CB10FB" w14:textId="77777777" w:rsidTr="0048334E">
        <w:trPr>
          <w:trHeight w:val="298"/>
          <w:jc w:val="center"/>
        </w:trPr>
        <w:tc>
          <w:tcPr>
            <w:tcW w:w="4697" w:type="dxa"/>
            <w:tcBorders>
              <w:top w:val="single" w:sz="4" w:space="0" w:color="auto"/>
              <w:left w:val="single" w:sz="4" w:space="0" w:color="auto"/>
              <w:bottom w:val="single" w:sz="4" w:space="0" w:color="auto"/>
              <w:right w:val="single" w:sz="4" w:space="0" w:color="auto"/>
            </w:tcBorders>
            <w:shd w:val="clear" w:color="auto" w:fill="auto"/>
            <w:vAlign w:val="center"/>
          </w:tcPr>
          <w:p w14:paraId="608B7356"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Sección de Psiquiatría y Psicología Forense</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D4889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color w:val="000000"/>
                <w:sz w:val="20"/>
                <w:szCs w:val="20"/>
              </w:rPr>
              <w:t>2176</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8638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color w:val="000000"/>
                <w:sz w:val="20"/>
                <w:szCs w:val="20"/>
              </w:rPr>
              <w:t>2397</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5F93CE"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color w:val="000000"/>
                <w:sz w:val="20"/>
                <w:szCs w:val="20"/>
              </w:rPr>
              <w:t>221</w:t>
            </w:r>
          </w:p>
        </w:tc>
        <w:tc>
          <w:tcPr>
            <w:tcW w:w="1091" w:type="dxa"/>
            <w:tcBorders>
              <w:top w:val="single" w:sz="4" w:space="0" w:color="auto"/>
              <w:left w:val="single" w:sz="4" w:space="0" w:color="auto"/>
              <w:bottom w:val="single" w:sz="4" w:space="0" w:color="auto"/>
              <w:right w:val="single" w:sz="4" w:space="0" w:color="auto"/>
            </w:tcBorders>
          </w:tcPr>
          <w:p w14:paraId="60B6042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10.2%</w:t>
            </w:r>
          </w:p>
        </w:tc>
      </w:tr>
      <w:tr w:rsidR="00A74088" w:rsidRPr="002A7673" w14:paraId="6CAE42D1" w14:textId="77777777" w:rsidTr="0048334E">
        <w:trPr>
          <w:trHeight w:val="298"/>
          <w:jc w:val="center"/>
        </w:trPr>
        <w:tc>
          <w:tcPr>
            <w:tcW w:w="46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5756D6"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Casos atendidos por el Consejo Médico Forense</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AB078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548</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4E0583"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521</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366980"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-27</w:t>
            </w:r>
          </w:p>
        </w:tc>
        <w:tc>
          <w:tcPr>
            <w:tcW w:w="1091" w:type="dxa"/>
            <w:tcBorders>
              <w:top w:val="single" w:sz="4" w:space="0" w:color="auto"/>
              <w:left w:val="single" w:sz="4" w:space="0" w:color="auto"/>
              <w:bottom w:val="single" w:sz="4" w:space="0" w:color="auto"/>
              <w:right w:val="single" w:sz="4" w:space="0" w:color="auto"/>
            </w:tcBorders>
          </w:tcPr>
          <w:p w14:paraId="757A3774"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-4.9%</w:t>
            </w:r>
          </w:p>
        </w:tc>
      </w:tr>
      <w:tr w:rsidR="00A74088" w:rsidRPr="002A7673" w14:paraId="330B59A4" w14:textId="77777777" w:rsidTr="0048334E">
        <w:trPr>
          <w:trHeight w:val="298"/>
          <w:jc w:val="center"/>
        </w:trPr>
        <w:tc>
          <w:tcPr>
            <w:tcW w:w="46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46387E"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Casos atendidos por la Sección Clínica Médico Forense</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F2419E"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10861</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CC3061"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9738</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68B4E1"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-1123</w:t>
            </w:r>
          </w:p>
        </w:tc>
        <w:tc>
          <w:tcPr>
            <w:tcW w:w="1091" w:type="dxa"/>
            <w:tcBorders>
              <w:top w:val="single" w:sz="4" w:space="0" w:color="auto"/>
              <w:left w:val="single" w:sz="4" w:space="0" w:color="auto"/>
              <w:bottom w:val="single" w:sz="4" w:space="0" w:color="auto"/>
              <w:right w:val="single" w:sz="4" w:space="0" w:color="auto"/>
            </w:tcBorders>
          </w:tcPr>
          <w:p w14:paraId="2BF00C0F"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-10.3%</w:t>
            </w:r>
          </w:p>
        </w:tc>
      </w:tr>
      <w:tr w:rsidR="00A74088" w:rsidRPr="002A7673" w14:paraId="75C6A379" w14:textId="77777777" w:rsidTr="0048334E">
        <w:trPr>
          <w:trHeight w:val="298"/>
          <w:jc w:val="center"/>
        </w:trPr>
        <w:tc>
          <w:tcPr>
            <w:tcW w:w="46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AB946"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Casos atendidos en las Unidades Medicolegales</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22A452"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23026</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06BB3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16201</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4966F5"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-6825</w:t>
            </w:r>
          </w:p>
        </w:tc>
        <w:tc>
          <w:tcPr>
            <w:tcW w:w="1091" w:type="dxa"/>
            <w:tcBorders>
              <w:top w:val="single" w:sz="4" w:space="0" w:color="auto"/>
              <w:left w:val="single" w:sz="4" w:space="0" w:color="auto"/>
              <w:bottom w:val="single" w:sz="4" w:space="0" w:color="auto"/>
              <w:right w:val="single" w:sz="4" w:space="0" w:color="auto"/>
            </w:tcBorders>
          </w:tcPr>
          <w:p w14:paraId="2FFF720A"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-29.6%</w:t>
            </w:r>
          </w:p>
        </w:tc>
      </w:tr>
      <w:tr w:rsidR="00A74088" w:rsidRPr="002A7673" w14:paraId="5FEFC47A" w14:textId="77777777" w:rsidTr="0048334E">
        <w:trPr>
          <w:trHeight w:val="306"/>
          <w:jc w:val="center"/>
        </w:trPr>
        <w:tc>
          <w:tcPr>
            <w:tcW w:w="46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7A61D9"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lastRenderedPageBreak/>
              <w:t>Videoconferencias realizadas</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08BCA4"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132</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39AE41"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62</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DEC2D1"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-70</w:t>
            </w:r>
          </w:p>
        </w:tc>
        <w:tc>
          <w:tcPr>
            <w:tcW w:w="1091" w:type="dxa"/>
            <w:tcBorders>
              <w:top w:val="single" w:sz="4" w:space="0" w:color="auto"/>
              <w:left w:val="single" w:sz="4" w:space="0" w:color="auto"/>
              <w:bottom w:val="single" w:sz="4" w:space="0" w:color="auto"/>
              <w:right w:val="single" w:sz="4" w:space="0" w:color="auto"/>
            </w:tcBorders>
          </w:tcPr>
          <w:p w14:paraId="33E47F2E"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-53.0%</w:t>
            </w:r>
          </w:p>
        </w:tc>
      </w:tr>
    </w:tbl>
    <w:p w14:paraId="0C516214" w14:textId="51CB8A23" w:rsidR="00A74088" w:rsidRPr="002A7673" w:rsidRDefault="00A74088" w:rsidP="00A74088">
      <w:pPr>
        <w:rPr>
          <w:rFonts w:ascii="Times New Roman" w:hAnsi="Times New Roman" w:cs="Times New Roman"/>
          <w:sz w:val="18"/>
          <w:szCs w:val="18"/>
        </w:rPr>
      </w:pPr>
      <w:r w:rsidRPr="002A7673">
        <w:rPr>
          <w:rFonts w:ascii="Times New Roman" w:hAnsi="Times New Roman" w:cs="Times New Roman"/>
          <w:sz w:val="18"/>
          <w:szCs w:val="18"/>
        </w:rPr>
        <w:t xml:space="preserve">Fuente: Información brindada por el Departamento de Medicina Legal  </w:t>
      </w:r>
    </w:p>
    <w:p w14:paraId="087F52FC" w14:textId="77777777" w:rsidR="00320D7C" w:rsidRPr="002A7673" w:rsidRDefault="00320D7C" w:rsidP="00A74088">
      <w:pPr>
        <w:rPr>
          <w:rFonts w:ascii="Times New Roman" w:hAnsi="Times New Roman" w:cs="Times New Roman"/>
          <w:sz w:val="18"/>
          <w:szCs w:val="18"/>
        </w:rPr>
      </w:pPr>
    </w:p>
    <w:p w14:paraId="292C4001" w14:textId="77777777" w:rsidR="00A74088" w:rsidRPr="002A7673" w:rsidRDefault="00A74088" w:rsidP="00FF3FAC">
      <w:pPr>
        <w:pStyle w:val="Prrafodelista"/>
        <w:numPr>
          <w:ilvl w:val="0"/>
          <w:numId w:val="71"/>
        </w:numPr>
        <w:spacing w:line="480" w:lineRule="auto"/>
        <w:ind w:left="360"/>
        <w:contextualSpacing/>
        <w:jc w:val="both"/>
        <w:rPr>
          <w:rFonts w:ascii="Times New Roman" w:hAnsi="Times New Roman" w:cs="Times New Roman"/>
          <w:b/>
          <w:bCs/>
          <w:sz w:val="26"/>
          <w:szCs w:val="26"/>
        </w:rPr>
      </w:pPr>
      <w:r w:rsidRPr="002A7673">
        <w:rPr>
          <w:rFonts w:ascii="Times New Roman" w:hAnsi="Times New Roman" w:cs="Times New Roman"/>
          <w:b/>
          <w:bCs/>
          <w:sz w:val="26"/>
          <w:szCs w:val="26"/>
        </w:rPr>
        <w:t>Departamento de Investigaciones Criminales</w:t>
      </w:r>
    </w:p>
    <w:tbl>
      <w:tblPr>
        <w:tblW w:w="9456"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2729"/>
        <w:gridCol w:w="1125"/>
        <w:gridCol w:w="1125"/>
        <w:gridCol w:w="1125"/>
        <w:gridCol w:w="1125"/>
        <w:gridCol w:w="1125"/>
        <w:gridCol w:w="1102"/>
      </w:tblGrid>
      <w:tr w:rsidR="00A74088" w:rsidRPr="002A7673" w14:paraId="56F61ACF" w14:textId="77777777" w:rsidTr="0048334E">
        <w:trPr>
          <w:trHeight w:val="315"/>
          <w:jc w:val="center"/>
        </w:trPr>
        <w:tc>
          <w:tcPr>
            <w:tcW w:w="2729" w:type="dxa"/>
            <w:vMerge w:val="restart"/>
            <w:tcBorders>
              <w:top w:val="single" w:sz="4" w:space="0" w:color="auto"/>
            </w:tcBorders>
            <w:shd w:val="clear" w:color="auto" w:fill="F2F2F2"/>
            <w:vAlign w:val="center"/>
            <w:hideMark/>
          </w:tcPr>
          <w:p w14:paraId="21A03CAF" w14:textId="77777777" w:rsidR="00A74088" w:rsidRPr="002A7673" w:rsidRDefault="00A74088" w:rsidP="0048334E">
            <w:pPr>
              <w:jc w:val="center"/>
              <w:rPr>
                <w:rFonts w:ascii="Times New Roman" w:hAnsi="Times New Roman" w:cs="Times New Roman"/>
                <w:b/>
                <w:bCs/>
                <w:color w:val="000000"/>
                <w:sz w:val="20"/>
                <w:szCs w:val="20"/>
                <w:lang w:val="es-ES"/>
              </w:rPr>
            </w:pPr>
            <w:bookmarkStart w:id="216" w:name="_Hlk66778892"/>
            <w:r w:rsidRPr="002A7673">
              <w:rPr>
                <w:rFonts w:ascii="Times New Roman" w:hAnsi="Times New Roman" w:cs="Times New Roman"/>
                <w:b/>
                <w:bCs/>
                <w:color w:val="000000"/>
                <w:sz w:val="20"/>
                <w:szCs w:val="20"/>
                <w:lang w:eastAsia="es-CR"/>
              </w:rPr>
              <w:t>Sección</w:t>
            </w:r>
          </w:p>
        </w:tc>
        <w:tc>
          <w:tcPr>
            <w:tcW w:w="2250" w:type="dxa"/>
            <w:gridSpan w:val="2"/>
            <w:tcBorders>
              <w:top w:val="single" w:sz="4" w:space="0" w:color="auto"/>
              <w:bottom w:val="single" w:sz="4" w:space="0" w:color="auto"/>
            </w:tcBorders>
            <w:shd w:val="clear" w:color="auto" w:fill="F2F2F2"/>
            <w:noWrap/>
            <w:vAlign w:val="center"/>
            <w:hideMark/>
          </w:tcPr>
          <w:p w14:paraId="1B44C2A5"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2019</w:t>
            </w:r>
          </w:p>
        </w:tc>
        <w:tc>
          <w:tcPr>
            <w:tcW w:w="2250" w:type="dxa"/>
            <w:gridSpan w:val="2"/>
            <w:tcBorders>
              <w:top w:val="single" w:sz="4" w:space="0" w:color="auto"/>
              <w:bottom w:val="single" w:sz="4" w:space="0" w:color="auto"/>
            </w:tcBorders>
            <w:shd w:val="clear" w:color="auto" w:fill="F2F2F2"/>
            <w:noWrap/>
            <w:vAlign w:val="center"/>
            <w:hideMark/>
          </w:tcPr>
          <w:p w14:paraId="37EBE8D7"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2020</w:t>
            </w:r>
          </w:p>
        </w:tc>
        <w:tc>
          <w:tcPr>
            <w:tcW w:w="2227" w:type="dxa"/>
            <w:gridSpan w:val="2"/>
            <w:tcBorders>
              <w:top w:val="single" w:sz="4" w:space="0" w:color="auto"/>
              <w:bottom w:val="single" w:sz="4" w:space="0" w:color="auto"/>
            </w:tcBorders>
            <w:shd w:val="clear" w:color="auto" w:fill="F2F2F2"/>
            <w:vAlign w:val="center"/>
            <w:hideMark/>
          </w:tcPr>
          <w:p w14:paraId="70506315"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Variación</w:t>
            </w:r>
          </w:p>
        </w:tc>
      </w:tr>
      <w:tr w:rsidR="00A74088" w:rsidRPr="002A7673" w14:paraId="74ADCBBA" w14:textId="77777777" w:rsidTr="0048334E">
        <w:trPr>
          <w:trHeight w:val="300"/>
          <w:jc w:val="center"/>
        </w:trPr>
        <w:tc>
          <w:tcPr>
            <w:tcW w:w="2729" w:type="dxa"/>
            <w:vMerge/>
            <w:tcBorders>
              <w:bottom w:val="single" w:sz="4" w:space="0" w:color="auto"/>
            </w:tcBorders>
            <w:shd w:val="clear" w:color="auto" w:fill="F2F2F2"/>
            <w:vAlign w:val="center"/>
            <w:hideMark/>
          </w:tcPr>
          <w:p w14:paraId="3A6F4C8B" w14:textId="77777777" w:rsidR="00A74088" w:rsidRPr="002A7673" w:rsidRDefault="00A74088" w:rsidP="0048334E">
            <w:pPr>
              <w:rPr>
                <w:rFonts w:ascii="Times New Roman" w:hAnsi="Times New Roman" w:cs="Times New Roman"/>
                <w:b/>
                <w:bCs/>
                <w:color w:val="000000"/>
                <w:sz w:val="20"/>
                <w:szCs w:val="20"/>
              </w:rPr>
            </w:pPr>
          </w:p>
        </w:tc>
        <w:tc>
          <w:tcPr>
            <w:tcW w:w="1125" w:type="dxa"/>
            <w:tcBorders>
              <w:top w:val="single" w:sz="4" w:space="0" w:color="auto"/>
              <w:bottom w:val="single" w:sz="4" w:space="0" w:color="auto"/>
            </w:tcBorders>
            <w:shd w:val="clear" w:color="auto" w:fill="F2F2F2"/>
            <w:noWrap/>
            <w:vAlign w:val="center"/>
            <w:hideMark/>
          </w:tcPr>
          <w:p w14:paraId="5AD84610"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Ingresado</w:t>
            </w:r>
          </w:p>
        </w:tc>
        <w:tc>
          <w:tcPr>
            <w:tcW w:w="1125" w:type="dxa"/>
            <w:tcBorders>
              <w:top w:val="single" w:sz="4" w:space="0" w:color="auto"/>
              <w:bottom w:val="single" w:sz="4" w:space="0" w:color="auto"/>
            </w:tcBorders>
            <w:shd w:val="clear" w:color="auto" w:fill="F2F2F2"/>
            <w:noWrap/>
            <w:vAlign w:val="center"/>
            <w:hideMark/>
          </w:tcPr>
          <w:p w14:paraId="3604BE49"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Tramitado</w:t>
            </w:r>
          </w:p>
        </w:tc>
        <w:tc>
          <w:tcPr>
            <w:tcW w:w="1125" w:type="dxa"/>
            <w:tcBorders>
              <w:top w:val="single" w:sz="4" w:space="0" w:color="auto"/>
              <w:bottom w:val="single" w:sz="4" w:space="0" w:color="auto"/>
            </w:tcBorders>
            <w:shd w:val="clear" w:color="auto" w:fill="F2F2F2"/>
            <w:noWrap/>
            <w:vAlign w:val="center"/>
            <w:hideMark/>
          </w:tcPr>
          <w:p w14:paraId="6F04D4A0"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Ingresado</w:t>
            </w:r>
          </w:p>
        </w:tc>
        <w:tc>
          <w:tcPr>
            <w:tcW w:w="1125" w:type="dxa"/>
            <w:tcBorders>
              <w:top w:val="single" w:sz="4" w:space="0" w:color="auto"/>
              <w:bottom w:val="single" w:sz="4" w:space="0" w:color="auto"/>
            </w:tcBorders>
            <w:shd w:val="clear" w:color="auto" w:fill="F2F2F2"/>
            <w:noWrap/>
            <w:vAlign w:val="center"/>
            <w:hideMark/>
          </w:tcPr>
          <w:p w14:paraId="275E03B9"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Tramitado</w:t>
            </w:r>
          </w:p>
        </w:tc>
        <w:tc>
          <w:tcPr>
            <w:tcW w:w="1125" w:type="dxa"/>
            <w:tcBorders>
              <w:top w:val="single" w:sz="4" w:space="0" w:color="auto"/>
              <w:bottom w:val="single" w:sz="4" w:space="0" w:color="auto"/>
            </w:tcBorders>
            <w:shd w:val="clear" w:color="auto" w:fill="F2F2F2"/>
            <w:vAlign w:val="center"/>
            <w:hideMark/>
          </w:tcPr>
          <w:p w14:paraId="5CC1A4F3"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Ingresado</w:t>
            </w:r>
          </w:p>
        </w:tc>
        <w:tc>
          <w:tcPr>
            <w:tcW w:w="1102" w:type="dxa"/>
            <w:tcBorders>
              <w:top w:val="single" w:sz="4" w:space="0" w:color="auto"/>
              <w:bottom w:val="single" w:sz="4" w:space="0" w:color="auto"/>
            </w:tcBorders>
            <w:shd w:val="clear" w:color="auto" w:fill="F2F2F2"/>
            <w:vAlign w:val="center"/>
            <w:hideMark/>
          </w:tcPr>
          <w:p w14:paraId="0BE1E8D4"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Tramitado</w:t>
            </w:r>
          </w:p>
        </w:tc>
      </w:tr>
      <w:tr w:rsidR="00A74088" w:rsidRPr="002A7673" w14:paraId="5DF7C957" w14:textId="77777777" w:rsidTr="0048334E">
        <w:trPr>
          <w:trHeight w:val="300"/>
          <w:jc w:val="center"/>
        </w:trPr>
        <w:tc>
          <w:tcPr>
            <w:tcW w:w="2729" w:type="dxa"/>
            <w:tcBorders>
              <w:top w:val="single" w:sz="4" w:space="0" w:color="auto"/>
            </w:tcBorders>
            <w:shd w:val="clear" w:color="auto" w:fill="auto"/>
            <w:vAlign w:val="center"/>
            <w:hideMark/>
          </w:tcPr>
          <w:p w14:paraId="4A6DA00C"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Asaltos</w:t>
            </w:r>
          </w:p>
        </w:tc>
        <w:tc>
          <w:tcPr>
            <w:tcW w:w="1125" w:type="dxa"/>
            <w:tcBorders>
              <w:top w:val="single" w:sz="4" w:space="0" w:color="auto"/>
            </w:tcBorders>
            <w:shd w:val="clear" w:color="auto" w:fill="auto"/>
            <w:vAlign w:val="center"/>
          </w:tcPr>
          <w:p w14:paraId="6AA1C16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7 901</w:t>
            </w:r>
          </w:p>
        </w:tc>
        <w:tc>
          <w:tcPr>
            <w:tcW w:w="1125" w:type="dxa"/>
            <w:tcBorders>
              <w:top w:val="single" w:sz="4" w:space="0" w:color="auto"/>
            </w:tcBorders>
            <w:shd w:val="clear" w:color="auto" w:fill="auto"/>
            <w:vAlign w:val="center"/>
          </w:tcPr>
          <w:p w14:paraId="5A856C7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1 668</w:t>
            </w:r>
          </w:p>
        </w:tc>
        <w:tc>
          <w:tcPr>
            <w:tcW w:w="1125" w:type="dxa"/>
            <w:tcBorders>
              <w:top w:val="single" w:sz="4" w:space="0" w:color="auto"/>
            </w:tcBorders>
            <w:shd w:val="clear" w:color="auto" w:fill="auto"/>
            <w:vAlign w:val="center"/>
          </w:tcPr>
          <w:p w14:paraId="4B9F58E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4 234</w:t>
            </w:r>
          </w:p>
        </w:tc>
        <w:tc>
          <w:tcPr>
            <w:tcW w:w="1125" w:type="dxa"/>
            <w:tcBorders>
              <w:top w:val="single" w:sz="4" w:space="0" w:color="auto"/>
            </w:tcBorders>
            <w:shd w:val="clear" w:color="auto" w:fill="auto"/>
            <w:vAlign w:val="center"/>
          </w:tcPr>
          <w:p w14:paraId="3B22E59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982</w:t>
            </w:r>
          </w:p>
        </w:tc>
        <w:tc>
          <w:tcPr>
            <w:tcW w:w="1125" w:type="dxa"/>
            <w:tcBorders>
              <w:top w:val="single" w:sz="4" w:space="0" w:color="auto"/>
            </w:tcBorders>
            <w:shd w:val="clear" w:color="auto" w:fill="auto"/>
            <w:noWrap/>
            <w:vAlign w:val="center"/>
          </w:tcPr>
          <w:p w14:paraId="44CFCBB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-46,4</w:t>
            </w:r>
          </w:p>
        </w:tc>
        <w:tc>
          <w:tcPr>
            <w:tcW w:w="1102" w:type="dxa"/>
            <w:tcBorders>
              <w:top w:val="single" w:sz="4" w:space="0" w:color="auto"/>
            </w:tcBorders>
            <w:shd w:val="clear" w:color="auto" w:fill="auto"/>
            <w:noWrap/>
            <w:vAlign w:val="center"/>
          </w:tcPr>
          <w:p w14:paraId="72C72C3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-41,1</w:t>
            </w:r>
          </w:p>
        </w:tc>
      </w:tr>
      <w:tr w:rsidR="00A74088" w:rsidRPr="002A7673" w14:paraId="6639250A" w14:textId="77777777" w:rsidTr="0048334E">
        <w:trPr>
          <w:trHeight w:val="300"/>
          <w:jc w:val="center"/>
        </w:trPr>
        <w:tc>
          <w:tcPr>
            <w:tcW w:w="2729" w:type="dxa"/>
            <w:shd w:val="clear" w:color="auto" w:fill="F2F2F2"/>
            <w:vAlign w:val="center"/>
            <w:hideMark/>
          </w:tcPr>
          <w:p w14:paraId="05F3F197"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Fraudes</w:t>
            </w:r>
          </w:p>
        </w:tc>
        <w:tc>
          <w:tcPr>
            <w:tcW w:w="1125" w:type="dxa"/>
            <w:shd w:val="clear" w:color="auto" w:fill="F2F2F2"/>
            <w:vAlign w:val="center"/>
          </w:tcPr>
          <w:p w14:paraId="7A87DF4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5 775</w:t>
            </w:r>
          </w:p>
        </w:tc>
        <w:tc>
          <w:tcPr>
            <w:tcW w:w="1125" w:type="dxa"/>
            <w:shd w:val="clear" w:color="auto" w:fill="F2F2F2"/>
            <w:vAlign w:val="center"/>
          </w:tcPr>
          <w:p w14:paraId="498EAF0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1 995</w:t>
            </w:r>
          </w:p>
        </w:tc>
        <w:tc>
          <w:tcPr>
            <w:tcW w:w="1125" w:type="dxa"/>
            <w:shd w:val="clear" w:color="auto" w:fill="F2F2F2"/>
            <w:vAlign w:val="center"/>
          </w:tcPr>
          <w:p w14:paraId="01DE0EA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7 072</w:t>
            </w:r>
          </w:p>
        </w:tc>
        <w:tc>
          <w:tcPr>
            <w:tcW w:w="1125" w:type="dxa"/>
            <w:shd w:val="clear" w:color="auto" w:fill="F2F2F2"/>
            <w:vAlign w:val="center"/>
          </w:tcPr>
          <w:p w14:paraId="3EE474A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4 417</w:t>
            </w:r>
          </w:p>
        </w:tc>
        <w:tc>
          <w:tcPr>
            <w:tcW w:w="1125" w:type="dxa"/>
            <w:shd w:val="clear" w:color="auto" w:fill="F2F2F2"/>
            <w:noWrap/>
            <w:vAlign w:val="center"/>
          </w:tcPr>
          <w:p w14:paraId="5D5C2B0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22,5</w:t>
            </w:r>
          </w:p>
        </w:tc>
        <w:tc>
          <w:tcPr>
            <w:tcW w:w="1102" w:type="dxa"/>
            <w:shd w:val="clear" w:color="auto" w:fill="F2F2F2"/>
            <w:noWrap/>
            <w:vAlign w:val="center"/>
          </w:tcPr>
          <w:p w14:paraId="33EB556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121,4</w:t>
            </w:r>
          </w:p>
        </w:tc>
      </w:tr>
      <w:tr w:rsidR="00A74088" w:rsidRPr="002A7673" w14:paraId="3ECDDF28" w14:textId="77777777" w:rsidTr="0048334E">
        <w:trPr>
          <w:trHeight w:val="300"/>
          <w:jc w:val="center"/>
        </w:trPr>
        <w:tc>
          <w:tcPr>
            <w:tcW w:w="2729" w:type="dxa"/>
            <w:shd w:val="clear" w:color="auto" w:fill="auto"/>
            <w:vAlign w:val="center"/>
            <w:hideMark/>
          </w:tcPr>
          <w:p w14:paraId="394EE6CC"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Robos y Hurtos</w:t>
            </w:r>
          </w:p>
        </w:tc>
        <w:tc>
          <w:tcPr>
            <w:tcW w:w="1125" w:type="dxa"/>
            <w:shd w:val="clear" w:color="auto" w:fill="auto"/>
            <w:vAlign w:val="center"/>
          </w:tcPr>
          <w:p w14:paraId="22F8E4B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7 093</w:t>
            </w:r>
          </w:p>
        </w:tc>
        <w:tc>
          <w:tcPr>
            <w:tcW w:w="1125" w:type="dxa"/>
            <w:shd w:val="clear" w:color="auto" w:fill="auto"/>
            <w:vAlign w:val="center"/>
          </w:tcPr>
          <w:p w14:paraId="416C358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1 805</w:t>
            </w:r>
          </w:p>
        </w:tc>
        <w:tc>
          <w:tcPr>
            <w:tcW w:w="1125" w:type="dxa"/>
            <w:shd w:val="clear" w:color="auto" w:fill="auto"/>
            <w:vAlign w:val="center"/>
          </w:tcPr>
          <w:p w14:paraId="6F4F249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7 009</w:t>
            </w:r>
          </w:p>
        </w:tc>
        <w:tc>
          <w:tcPr>
            <w:tcW w:w="1125" w:type="dxa"/>
            <w:shd w:val="clear" w:color="auto" w:fill="auto"/>
            <w:vAlign w:val="center"/>
          </w:tcPr>
          <w:p w14:paraId="4A3C4BF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1 879</w:t>
            </w:r>
          </w:p>
        </w:tc>
        <w:tc>
          <w:tcPr>
            <w:tcW w:w="1125" w:type="dxa"/>
            <w:shd w:val="clear" w:color="auto" w:fill="auto"/>
            <w:noWrap/>
            <w:vAlign w:val="center"/>
          </w:tcPr>
          <w:p w14:paraId="063B0DB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-1,2</w:t>
            </w:r>
          </w:p>
        </w:tc>
        <w:tc>
          <w:tcPr>
            <w:tcW w:w="1102" w:type="dxa"/>
            <w:shd w:val="clear" w:color="auto" w:fill="auto"/>
            <w:noWrap/>
            <w:vAlign w:val="center"/>
          </w:tcPr>
          <w:p w14:paraId="228AB85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4,1</w:t>
            </w:r>
          </w:p>
        </w:tc>
      </w:tr>
      <w:tr w:rsidR="00A74088" w:rsidRPr="002A7673" w14:paraId="52600469" w14:textId="77777777" w:rsidTr="0048334E">
        <w:trPr>
          <w:trHeight w:val="300"/>
          <w:jc w:val="center"/>
        </w:trPr>
        <w:tc>
          <w:tcPr>
            <w:tcW w:w="2729" w:type="dxa"/>
            <w:shd w:val="clear" w:color="auto" w:fill="F2F2F2"/>
            <w:vAlign w:val="center"/>
            <w:hideMark/>
          </w:tcPr>
          <w:p w14:paraId="7AF6D24D"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Robo de Vehículos</w:t>
            </w:r>
          </w:p>
        </w:tc>
        <w:tc>
          <w:tcPr>
            <w:tcW w:w="1125" w:type="dxa"/>
            <w:shd w:val="clear" w:color="auto" w:fill="F2F2F2"/>
            <w:vAlign w:val="center"/>
          </w:tcPr>
          <w:p w14:paraId="69EECCD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1 685</w:t>
            </w:r>
          </w:p>
        </w:tc>
        <w:tc>
          <w:tcPr>
            <w:tcW w:w="1125" w:type="dxa"/>
            <w:shd w:val="clear" w:color="auto" w:fill="F2F2F2"/>
            <w:vAlign w:val="center"/>
          </w:tcPr>
          <w:p w14:paraId="0934E0C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532</w:t>
            </w:r>
          </w:p>
        </w:tc>
        <w:tc>
          <w:tcPr>
            <w:tcW w:w="1125" w:type="dxa"/>
            <w:shd w:val="clear" w:color="auto" w:fill="F2F2F2"/>
            <w:vAlign w:val="center"/>
          </w:tcPr>
          <w:p w14:paraId="4C9FB3C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1 131</w:t>
            </w:r>
          </w:p>
        </w:tc>
        <w:tc>
          <w:tcPr>
            <w:tcW w:w="1125" w:type="dxa"/>
            <w:shd w:val="clear" w:color="auto" w:fill="F2F2F2"/>
            <w:vAlign w:val="center"/>
          </w:tcPr>
          <w:p w14:paraId="25C13E8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417</w:t>
            </w:r>
          </w:p>
        </w:tc>
        <w:tc>
          <w:tcPr>
            <w:tcW w:w="1125" w:type="dxa"/>
            <w:shd w:val="clear" w:color="auto" w:fill="F2F2F2"/>
            <w:noWrap/>
            <w:vAlign w:val="center"/>
          </w:tcPr>
          <w:p w14:paraId="0187807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-32,9</w:t>
            </w:r>
          </w:p>
        </w:tc>
        <w:tc>
          <w:tcPr>
            <w:tcW w:w="1102" w:type="dxa"/>
            <w:shd w:val="clear" w:color="auto" w:fill="F2F2F2"/>
            <w:noWrap/>
            <w:vAlign w:val="center"/>
          </w:tcPr>
          <w:p w14:paraId="4658A93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-21,6</w:t>
            </w:r>
          </w:p>
        </w:tc>
      </w:tr>
      <w:tr w:rsidR="00A74088" w:rsidRPr="002A7673" w14:paraId="664448C4" w14:textId="77777777" w:rsidTr="0048334E">
        <w:trPr>
          <w:trHeight w:val="249"/>
          <w:jc w:val="center"/>
        </w:trPr>
        <w:tc>
          <w:tcPr>
            <w:tcW w:w="2729" w:type="dxa"/>
            <w:shd w:val="clear" w:color="auto" w:fill="auto"/>
            <w:vAlign w:val="center"/>
            <w:hideMark/>
          </w:tcPr>
          <w:p w14:paraId="48961140"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Homicidios</w:t>
            </w:r>
          </w:p>
        </w:tc>
        <w:tc>
          <w:tcPr>
            <w:tcW w:w="1125" w:type="dxa"/>
            <w:shd w:val="clear" w:color="auto" w:fill="auto"/>
            <w:vAlign w:val="center"/>
          </w:tcPr>
          <w:p w14:paraId="4020ADA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129</w:t>
            </w:r>
          </w:p>
        </w:tc>
        <w:tc>
          <w:tcPr>
            <w:tcW w:w="1125" w:type="dxa"/>
            <w:shd w:val="clear" w:color="auto" w:fill="auto"/>
            <w:vAlign w:val="center"/>
          </w:tcPr>
          <w:p w14:paraId="40B38F2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125</w:t>
            </w:r>
          </w:p>
        </w:tc>
        <w:tc>
          <w:tcPr>
            <w:tcW w:w="1125" w:type="dxa"/>
            <w:shd w:val="clear" w:color="auto" w:fill="auto"/>
            <w:vAlign w:val="center"/>
          </w:tcPr>
          <w:p w14:paraId="4386B13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227</w:t>
            </w:r>
          </w:p>
        </w:tc>
        <w:tc>
          <w:tcPr>
            <w:tcW w:w="1125" w:type="dxa"/>
            <w:shd w:val="clear" w:color="auto" w:fill="auto"/>
            <w:vAlign w:val="center"/>
          </w:tcPr>
          <w:p w14:paraId="2148743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155</w:t>
            </w:r>
          </w:p>
        </w:tc>
        <w:tc>
          <w:tcPr>
            <w:tcW w:w="1125" w:type="dxa"/>
            <w:shd w:val="clear" w:color="auto" w:fill="auto"/>
            <w:noWrap/>
            <w:vAlign w:val="center"/>
          </w:tcPr>
          <w:p w14:paraId="739F9D3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76,0</w:t>
            </w:r>
          </w:p>
        </w:tc>
        <w:tc>
          <w:tcPr>
            <w:tcW w:w="1102" w:type="dxa"/>
            <w:shd w:val="clear" w:color="auto" w:fill="auto"/>
            <w:noWrap/>
            <w:vAlign w:val="center"/>
          </w:tcPr>
          <w:p w14:paraId="4D5F90D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24,0</w:t>
            </w:r>
          </w:p>
        </w:tc>
      </w:tr>
      <w:tr w:rsidR="00A74088" w:rsidRPr="002A7673" w14:paraId="07B45C8F" w14:textId="77777777" w:rsidTr="0048334E">
        <w:trPr>
          <w:trHeight w:val="375"/>
          <w:jc w:val="center"/>
        </w:trPr>
        <w:tc>
          <w:tcPr>
            <w:tcW w:w="2729" w:type="dxa"/>
            <w:shd w:val="clear" w:color="auto" w:fill="F2F2F2"/>
            <w:vAlign w:val="center"/>
            <w:hideMark/>
          </w:tcPr>
          <w:p w14:paraId="64A87E0A"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Penal Juvenil</w:t>
            </w:r>
          </w:p>
        </w:tc>
        <w:tc>
          <w:tcPr>
            <w:tcW w:w="1125" w:type="dxa"/>
            <w:shd w:val="clear" w:color="auto" w:fill="F2F2F2"/>
            <w:vAlign w:val="center"/>
          </w:tcPr>
          <w:p w14:paraId="2EF8229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1 381</w:t>
            </w:r>
          </w:p>
        </w:tc>
        <w:tc>
          <w:tcPr>
            <w:tcW w:w="1125" w:type="dxa"/>
            <w:shd w:val="clear" w:color="auto" w:fill="F2F2F2"/>
            <w:vAlign w:val="center"/>
          </w:tcPr>
          <w:p w14:paraId="0054F13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833</w:t>
            </w:r>
          </w:p>
        </w:tc>
        <w:tc>
          <w:tcPr>
            <w:tcW w:w="1125" w:type="dxa"/>
            <w:shd w:val="clear" w:color="auto" w:fill="F2F2F2"/>
            <w:vAlign w:val="center"/>
          </w:tcPr>
          <w:p w14:paraId="55B5F74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798</w:t>
            </w:r>
          </w:p>
        </w:tc>
        <w:tc>
          <w:tcPr>
            <w:tcW w:w="1125" w:type="dxa"/>
            <w:shd w:val="clear" w:color="auto" w:fill="F2F2F2"/>
            <w:vAlign w:val="center"/>
          </w:tcPr>
          <w:p w14:paraId="40DC897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600</w:t>
            </w:r>
          </w:p>
        </w:tc>
        <w:tc>
          <w:tcPr>
            <w:tcW w:w="1125" w:type="dxa"/>
            <w:shd w:val="clear" w:color="auto" w:fill="F2F2F2"/>
            <w:noWrap/>
            <w:vAlign w:val="center"/>
          </w:tcPr>
          <w:p w14:paraId="6793135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-42,2</w:t>
            </w:r>
          </w:p>
        </w:tc>
        <w:tc>
          <w:tcPr>
            <w:tcW w:w="1102" w:type="dxa"/>
            <w:shd w:val="clear" w:color="auto" w:fill="F2F2F2"/>
            <w:noWrap/>
            <w:vAlign w:val="center"/>
          </w:tcPr>
          <w:p w14:paraId="105AD54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-28,0</w:t>
            </w:r>
          </w:p>
        </w:tc>
      </w:tr>
      <w:tr w:rsidR="00A74088" w:rsidRPr="002A7673" w14:paraId="30FF2747" w14:textId="77777777" w:rsidTr="0048334E">
        <w:trPr>
          <w:trHeight w:val="300"/>
          <w:jc w:val="center"/>
        </w:trPr>
        <w:tc>
          <w:tcPr>
            <w:tcW w:w="2729" w:type="dxa"/>
            <w:shd w:val="clear" w:color="auto" w:fill="auto"/>
            <w:vAlign w:val="center"/>
            <w:hideMark/>
          </w:tcPr>
          <w:p w14:paraId="2D4F9F09"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Delitos Varios</w:t>
            </w:r>
          </w:p>
        </w:tc>
        <w:tc>
          <w:tcPr>
            <w:tcW w:w="1125" w:type="dxa"/>
            <w:shd w:val="clear" w:color="auto" w:fill="auto"/>
            <w:vAlign w:val="center"/>
          </w:tcPr>
          <w:p w14:paraId="6294E1E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3 623</w:t>
            </w:r>
          </w:p>
        </w:tc>
        <w:tc>
          <w:tcPr>
            <w:tcW w:w="1125" w:type="dxa"/>
            <w:shd w:val="clear" w:color="auto" w:fill="auto"/>
            <w:vAlign w:val="center"/>
          </w:tcPr>
          <w:p w14:paraId="04AA44C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1 638</w:t>
            </w:r>
          </w:p>
        </w:tc>
        <w:tc>
          <w:tcPr>
            <w:tcW w:w="1125" w:type="dxa"/>
            <w:shd w:val="clear" w:color="auto" w:fill="auto"/>
            <w:vAlign w:val="center"/>
          </w:tcPr>
          <w:p w14:paraId="131CC66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3 498</w:t>
            </w:r>
          </w:p>
        </w:tc>
        <w:tc>
          <w:tcPr>
            <w:tcW w:w="1125" w:type="dxa"/>
            <w:shd w:val="clear" w:color="auto" w:fill="auto"/>
            <w:vAlign w:val="center"/>
          </w:tcPr>
          <w:p w14:paraId="51F3536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1 252</w:t>
            </w:r>
          </w:p>
        </w:tc>
        <w:tc>
          <w:tcPr>
            <w:tcW w:w="1125" w:type="dxa"/>
            <w:shd w:val="clear" w:color="auto" w:fill="auto"/>
            <w:noWrap/>
            <w:vAlign w:val="center"/>
          </w:tcPr>
          <w:p w14:paraId="7ED359E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-3,5</w:t>
            </w:r>
          </w:p>
        </w:tc>
        <w:tc>
          <w:tcPr>
            <w:tcW w:w="1102" w:type="dxa"/>
            <w:shd w:val="clear" w:color="auto" w:fill="auto"/>
            <w:noWrap/>
            <w:vAlign w:val="center"/>
          </w:tcPr>
          <w:p w14:paraId="0D2DCC3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-23,6</w:t>
            </w:r>
          </w:p>
        </w:tc>
      </w:tr>
      <w:tr w:rsidR="00A74088" w:rsidRPr="002A7673" w14:paraId="24E233DC" w14:textId="77777777" w:rsidTr="0048334E">
        <w:trPr>
          <w:trHeight w:val="300"/>
          <w:jc w:val="center"/>
        </w:trPr>
        <w:tc>
          <w:tcPr>
            <w:tcW w:w="2729" w:type="dxa"/>
            <w:shd w:val="clear" w:color="auto" w:fill="F2F2F2"/>
            <w:vAlign w:val="center"/>
            <w:hideMark/>
          </w:tcPr>
          <w:p w14:paraId="4792A077"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Contra la Integridad Física y Tránsito</w:t>
            </w:r>
          </w:p>
        </w:tc>
        <w:tc>
          <w:tcPr>
            <w:tcW w:w="1125" w:type="dxa"/>
            <w:shd w:val="clear" w:color="auto" w:fill="F2F2F2"/>
            <w:vAlign w:val="center"/>
          </w:tcPr>
          <w:p w14:paraId="5F22CE9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2 198</w:t>
            </w:r>
          </w:p>
        </w:tc>
        <w:tc>
          <w:tcPr>
            <w:tcW w:w="1125" w:type="dxa"/>
            <w:shd w:val="clear" w:color="auto" w:fill="F2F2F2"/>
            <w:vAlign w:val="center"/>
          </w:tcPr>
          <w:p w14:paraId="555D77F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1 008</w:t>
            </w:r>
          </w:p>
        </w:tc>
        <w:tc>
          <w:tcPr>
            <w:tcW w:w="1125" w:type="dxa"/>
            <w:shd w:val="clear" w:color="auto" w:fill="F2F2F2"/>
            <w:vAlign w:val="center"/>
          </w:tcPr>
          <w:p w14:paraId="7DD0F0A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1 281</w:t>
            </w:r>
          </w:p>
        </w:tc>
        <w:tc>
          <w:tcPr>
            <w:tcW w:w="1125" w:type="dxa"/>
            <w:shd w:val="clear" w:color="auto" w:fill="F2F2F2"/>
            <w:vAlign w:val="center"/>
          </w:tcPr>
          <w:p w14:paraId="53AD75B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1 072</w:t>
            </w:r>
          </w:p>
        </w:tc>
        <w:tc>
          <w:tcPr>
            <w:tcW w:w="1125" w:type="dxa"/>
            <w:shd w:val="clear" w:color="auto" w:fill="F2F2F2"/>
            <w:noWrap/>
            <w:vAlign w:val="center"/>
          </w:tcPr>
          <w:p w14:paraId="408A8E5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-41,7</w:t>
            </w:r>
          </w:p>
        </w:tc>
        <w:tc>
          <w:tcPr>
            <w:tcW w:w="1102" w:type="dxa"/>
            <w:shd w:val="clear" w:color="auto" w:fill="F2F2F2"/>
            <w:noWrap/>
            <w:vAlign w:val="center"/>
          </w:tcPr>
          <w:p w14:paraId="1E830EF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6,3</w:t>
            </w:r>
          </w:p>
        </w:tc>
      </w:tr>
      <w:tr w:rsidR="00A74088" w:rsidRPr="002A7673" w14:paraId="48C451C8" w14:textId="77777777" w:rsidTr="0048334E">
        <w:trPr>
          <w:trHeight w:val="300"/>
          <w:jc w:val="center"/>
        </w:trPr>
        <w:tc>
          <w:tcPr>
            <w:tcW w:w="2729" w:type="dxa"/>
            <w:shd w:val="clear" w:color="auto" w:fill="auto"/>
            <w:vAlign w:val="center"/>
            <w:hideMark/>
          </w:tcPr>
          <w:p w14:paraId="14EC4AC1" w14:textId="77777777" w:rsidR="00A74088" w:rsidRPr="002A7673" w:rsidRDefault="00A74088" w:rsidP="0048334E">
            <w:pPr>
              <w:rPr>
                <w:rFonts w:ascii="Times New Roman" w:hAnsi="Times New Roman" w:cs="Times New Roman"/>
                <w:sz w:val="20"/>
                <w:szCs w:val="20"/>
              </w:rPr>
            </w:pPr>
            <w:r w:rsidRPr="002A7673">
              <w:rPr>
                <w:rFonts w:ascii="Times New Roman" w:hAnsi="Times New Roman" w:cs="Times New Roman"/>
                <w:sz w:val="20"/>
                <w:szCs w:val="20"/>
              </w:rPr>
              <w:t>Violencia de Género, Trata y Tráfico (2020)</w:t>
            </w:r>
          </w:p>
        </w:tc>
        <w:tc>
          <w:tcPr>
            <w:tcW w:w="1125" w:type="dxa"/>
            <w:shd w:val="clear" w:color="auto" w:fill="auto"/>
            <w:vAlign w:val="center"/>
          </w:tcPr>
          <w:p w14:paraId="47FC7AB2"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w:t>
            </w:r>
          </w:p>
        </w:tc>
        <w:tc>
          <w:tcPr>
            <w:tcW w:w="1125" w:type="dxa"/>
            <w:shd w:val="clear" w:color="auto" w:fill="auto"/>
            <w:vAlign w:val="center"/>
          </w:tcPr>
          <w:p w14:paraId="3BFBDB6D"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w:t>
            </w:r>
          </w:p>
        </w:tc>
        <w:tc>
          <w:tcPr>
            <w:tcW w:w="1125" w:type="dxa"/>
            <w:shd w:val="clear" w:color="auto" w:fill="auto"/>
            <w:vAlign w:val="center"/>
          </w:tcPr>
          <w:p w14:paraId="481DB97E"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1143</w:t>
            </w:r>
          </w:p>
        </w:tc>
        <w:tc>
          <w:tcPr>
            <w:tcW w:w="1125" w:type="dxa"/>
            <w:shd w:val="clear" w:color="auto" w:fill="auto"/>
            <w:vAlign w:val="center"/>
          </w:tcPr>
          <w:p w14:paraId="3761E8E5"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758</w:t>
            </w:r>
          </w:p>
        </w:tc>
        <w:tc>
          <w:tcPr>
            <w:tcW w:w="1125" w:type="dxa"/>
            <w:shd w:val="clear" w:color="auto" w:fill="auto"/>
            <w:noWrap/>
            <w:vAlign w:val="center"/>
          </w:tcPr>
          <w:p w14:paraId="4230760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w:t>
            </w:r>
          </w:p>
        </w:tc>
        <w:tc>
          <w:tcPr>
            <w:tcW w:w="1102" w:type="dxa"/>
            <w:shd w:val="clear" w:color="auto" w:fill="auto"/>
            <w:noWrap/>
            <w:vAlign w:val="center"/>
          </w:tcPr>
          <w:p w14:paraId="582CC667" w14:textId="77777777" w:rsidR="00A74088" w:rsidRPr="002A7673" w:rsidRDefault="00A74088" w:rsidP="0048334E">
            <w:pPr>
              <w:jc w:val="center"/>
              <w:rPr>
                <w:rFonts w:ascii="Times New Roman" w:hAnsi="Times New Roman" w:cs="Times New Roman"/>
                <w:sz w:val="20"/>
                <w:szCs w:val="20"/>
              </w:rPr>
            </w:pPr>
            <w:r w:rsidRPr="002A7673">
              <w:rPr>
                <w:rFonts w:ascii="Times New Roman" w:hAnsi="Times New Roman" w:cs="Times New Roman"/>
                <w:sz w:val="20"/>
                <w:szCs w:val="20"/>
              </w:rPr>
              <w:t>--</w:t>
            </w:r>
          </w:p>
        </w:tc>
      </w:tr>
      <w:tr w:rsidR="00A74088" w:rsidRPr="002A7673" w14:paraId="2478F95E" w14:textId="77777777" w:rsidTr="0048334E">
        <w:trPr>
          <w:trHeight w:val="87"/>
          <w:jc w:val="center"/>
        </w:trPr>
        <w:tc>
          <w:tcPr>
            <w:tcW w:w="2729" w:type="dxa"/>
            <w:shd w:val="clear" w:color="auto" w:fill="F2F2F2"/>
            <w:vAlign w:val="center"/>
            <w:hideMark/>
          </w:tcPr>
          <w:p w14:paraId="2E8242DE"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SIORI</w:t>
            </w:r>
          </w:p>
        </w:tc>
        <w:tc>
          <w:tcPr>
            <w:tcW w:w="1125" w:type="dxa"/>
            <w:shd w:val="clear" w:color="auto" w:fill="F2F2F2"/>
            <w:vAlign w:val="center"/>
          </w:tcPr>
          <w:p w14:paraId="564C16F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1 470</w:t>
            </w:r>
          </w:p>
        </w:tc>
        <w:tc>
          <w:tcPr>
            <w:tcW w:w="1125" w:type="dxa"/>
            <w:shd w:val="clear" w:color="auto" w:fill="F2F2F2"/>
            <w:vAlign w:val="center"/>
          </w:tcPr>
          <w:p w14:paraId="401AC7A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1 470</w:t>
            </w:r>
          </w:p>
        </w:tc>
        <w:tc>
          <w:tcPr>
            <w:tcW w:w="1125" w:type="dxa"/>
            <w:shd w:val="clear" w:color="auto" w:fill="F2F2F2"/>
            <w:vAlign w:val="center"/>
          </w:tcPr>
          <w:p w14:paraId="5E6ACA3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1 236</w:t>
            </w:r>
          </w:p>
        </w:tc>
        <w:tc>
          <w:tcPr>
            <w:tcW w:w="1125" w:type="dxa"/>
            <w:shd w:val="clear" w:color="auto" w:fill="F2F2F2"/>
            <w:vAlign w:val="center"/>
          </w:tcPr>
          <w:p w14:paraId="41DC19F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1 699</w:t>
            </w:r>
          </w:p>
        </w:tc>
        <w:tc>
          <w:tcPr>
            <w:tcW w:w="1125" w:type="dxa"/>
            <w:shd w:val="clear" w:color="auto" w:fill="F2F2F2"/>
            <w:noWrap/>
            <w:vAlign w:val="center"/>
          </w:tcPr>
          <w:p w14:paraId="33DDC45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-15,9</w:t>
            </w:r>
          </w:p>
        </w:tc>
        <w:tc>
          <w:tcPr>
            <w:tcW w:w="1102" w:type="dxa"/>
            <w:shd w:val="clear" w:color="auto" w:fill="F2F2F2"/>
            <w:noWrap/>
            <w:vAlign w:val="center"/>
          </w:tcPr>
          <w:p w14:paraId="5DC3329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15,6</w:t>
            </w:r>
          </w:p>
        </w:tc>
      </w:tr>
      <w:tr w:rsidR="00A74088" w:rsidRPr="002A7673" w14:paraId="061D3033" w14:textId="77777777" w:rsidTr="0048334E">
        <w:trPr>
          <w:trHeight w:val="300"/>
          <w:jc w:val="center"/>
        </w:trPr>
        <w:tc>
          <w:tcPr>
            <w:tcW w:w="2729" w:type="dxa"/>
            <w:shd w:val="clear" w:color="auto" w:fill="auto"/>
            <w:vAlign w:val="center"/>
            <w:hideMark/>
          </w:tcPr>
          <w:p w14:paraId="50034032"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Cibercrimen</w:t>
            </w:r>
          </w:p>
        </w:tc>
        <w:tc>
          <w:tcPr>
            <w:tcW w:w="1125" w:type="dxa"/>
            <w:shd w:val="clear" w:color="auto" w:fill="auto"/>
            <w:vAlign w:val="center"/>
          </w:tcPr>
          <w:p w14:paraId="27C2AF1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1 170</w:t>
            </w:r>
          </w:p>
        </w:tc>
        <w:tc>
          <w:tcPr>
            <w:tcW w:w="1125" w:type="dxa"/>
            <w:shd w:val="clear" w:color="auto" w:fill="auto"/>
            <w:vAlign w:val="center"/>
          </w:tcPr>
          <w:p w14:paraId="72C3883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1 021</w:t>
            </w:r>
          </w:p>
        </w:tc>
        <w:tc>
          <w:tcPr>
            <w:tcW w:w="1125" w:type="dxa"/>
            <w:shd w:val="clear" w:color="auto" w:fill="auto"/>
            <w:vAlign w:val="center"/>
          </w:tcPr>
          <w:p w14:paraId="524D08F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1 008</w:t>
            </w:r>
          </w:p>
        </w:tc>
        <w:tc>
          <w:tcPr>
            <w:tcW w:w="1125" w:type="dxa"/>
            <w:shd w:val="clear" w:color="auto" w:fill="auto"/>
            <w:vAlign w:val="center"/>
          </w:tcPr>
          <w:p w14:paraId="705E7A2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747</w:t>
            </w:r>
          </w:p>
        </w:tc>
        <w:tc>
          <w:tcPr>
            <w:tcW w:w="1125" w:type="dxa"/>
            <w:shd w:val="clear" w:color="auto" w:fill="auto"/>
            <w:noWrap/>
            <w:vAlign w:val="center"/>
          </w:tcPr>
          <w:p w14:paraId="7380CC0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-13,8</w:t>
            </w:r>
          </w:p>
        </w:tc>
        <w:tc>
          <w:tcPr>
            <w:tcW w:w="1102" w:type="dxa"/>
            <w:shd w:val="clear" w:color="auto" w:fill="auto"/>
            <w:noWrap/>
            <w:vAlign w:val="center"/>
          </w:tcPr>
          <w:p w14:paraId="2F20530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-26,8</w:t>
            </w:r>
          </w:p>
        </w:tc>
      </w:tr>
      <w:tr w:rsidR="00A74088" w:rsidRPr="002A7673" w14:paraId="381403DE" w14:textId="77777777" w:rsidTr="0048334E">
        <w:trPr>
          <w:trHeight w:val="300"/>
          <w:jc w:val="center"/>
        </w:trPr>
        <w:tc>
          <w:tcPr>
            <w:tcW w:w="2729" w:type="dxa"/>
            <w:shd w:val="clear" w:color="auto" w:fill="F2F2F2"/>
            <w:vAlign w:val="center"/>
            <w:hideMark/>
          </w:tcPr>
          <w:p w14:paraId="28CEB80C" w14:textId="77777777" w:rsidR="00A74088" w:rsidRPr="002A7673" w:rsidRDefault="00A74088" w:rsidP="0048334E">
            <w:pPr>
              <w:rPr>
                <w:rFonts w:ascii="Times New Roman" w:hAnsi="Times New Roman" w:cs="Times New Roman"/>
                <w:color w:val="000000"/>
                <w:sz w:val="20"/>
                <w:szCs w:val="20"/>
              </w:rPr>
            </w:pPr>
            <w:bookmarkStart w:id="217" w:name="_Hlk66797277"/>
            <w:r w:rsidRPr="002A7673">
              <w:rPr>
                <w:rFonts w:ascii="Times New Roman" w:hAnsi="Times New Roman" w:cs="Times New Roman"/>
                <w:color w:val="000000"/>
                <w:sz w:val="20"/>
                <w:szCs w:val="20"/>
              </w:rPr>
              <w:t>Económicos y Anticorrupción</w:t>
            </w:r>
          </w:p>
        </w:tc>
        <w:tc>
          <w:tcPr>
            <w:tcW w:w="1125" w:type="dxa"/>
            <w:shd w:val="clear" w:color="auto" w:fill="F2F2F2"/>
            <w:vAlign w:val="center"/>
          </w:tcPr>
          <w:p w14:paraId="1D775B9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524</w:t>
            </w:r>
          </w:p>
        </w:tc>
        <w:tc>
          <w:tcPr>
            <w:tcW w:w="1125" w:type="dxa"/>
            <w:shd w:val="clear" w:color="auto" w:fill="F2F2F2"/>
            <w:vAlign w:val="center"/>
          </w:tcPr>
          <w:p w14:paraId="070137F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438</w:t>
            </w:r>
          </w:p>
        </w:tc>
        <w:tc>
          <w:tcPr>
            <w:tcW w:w="1125" w:type="dxa"/>
            <w:shd w:val="clear" w:color="auto" w:fill="F2F2F2"/>
            <w:vAlign w:val="center"/>
          </w:tcPr>
          <w:p w14:paraId="54CC306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583</w:t>
            </w:r>
          </w:p>
        </w:tc>
        <w:tc>
          <w:tcPr>
            <w:tcW w:w="1125" w:type="dxa"/>
            <w:shd w:val="clear" w:color="auto" w:fill="F2F2F2"/>
            <w:vAlign w:val="center"/>
          </w:tcPr>
          <w:p w14:paraId="386ACCE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648</w:t>
            </w:r>
          </w:p>
        </w:tc>
        <w:tc>
          <w:tcPr>
            <w:tcW w:w="1125" w:type="dxa"/>
            <w:shd w:val="clear" w:color="auto" w:fill="F2F2F2"/>
            <w:noWrap/>
            <w:vAlign w:val="center"/>
          </w:tcPr>
          <w:p w14:paraId="74442ED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11,3</w:t>
            </w:r>
          </w:p>
        </w:tc>
        <w:tc>
          <w:tcPr>
            <w:tcW w:w="1102" w:type="dxa"/>
            <w:shd w:val="clear" w:color="auto" w:fill="F2F2F2"/>
            <w:noWrap/>
            <w:vAlign w:val="center"/>
          </w:tcPr>
          <w:p w14:paraId="76C67F7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47,9</w:t>
            </w:r>
          </w:p>
        </w:tc>
      </w:tr>
      <w:tr w:rsidR="00A74088" w:rsidRPr="002A7673" w14:paraId="6FD9F0DA" w14:textId="77777777" w:rsidTr="0048334E">
        <w:trPr>
          <w:trHeight w:val="300"/>
          <w:jc w:val="center"/>
        </w:trPr>
        <w:tc>
          <w:tcPr>
            <w:tcW w:w="2729" w:type="dxa"/>
            <w:shd w:val="clear" w:color="auto" w:fill="auto"/>
            <w:vAlign w:val="center"/>
            <w:hideMark/>
          </w:tcPr>
          <w:p w14:paraId="72E53230"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Legitimación de Capitales</w:t>
            </w:r>
          </w:p>
        </w:tc>
        <w:tc>
          <w:tcPr>
            <w:tcW w:w="1125" w:type="dxa"/>
            <w:shd w:val="clear" w:color="auto" w:fill="auto"/>
            <w:vAlign w:val="center"/>
          </w:tcPr>
          <w:p w14:paraId="5DC353C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581</w:t>
            </w:r>
          </w:p>
        </w:tc>
        <w:tc>
          <w:tcPr>
            <w:tcW w:w="1125" w:type="dxa"/>
            <w:shd w:val="clear" w:color="auto" w:fill="auto"/>
            <w:vAlign w:val="center"/>
          </w:tcPr>
          <w:p w14:paraId="2971A1F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528</w:t>
            </w:r>
          </w:p>
        </w:tc>
        <w:tc>
          <w:tcPr>
            <w:tcW w:w="1125" w:type="dxa"/>
            <w:shd w:val="clear" w:color="auto" w:fill="auto"/>
            <w:vAlign w:val="center"/>
          </w:tcPr>
          <w:p w14:paraId="075FE5D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690</w:t>
            </w:r>
          </w:p>
        </w:tc>
        <w:tc>
          <w:tcPr>
            <w:tcW w:w="1125" w:type="dxa"/>
            <w:shd w:val="clear" w:color="auto" w:fill="auto"/>
            <w:vAlign w:val="center"/>
          </w:tcPr>
          <w:p w14:paraId="0502144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720</w:t>
            </w:r>
          </w:p>
        </w:tc>
        <w:tc>
          <w:tcPr>
            <w:tcW w:w="1125" w:type="dxa"/>
            <w:shd w:val="clear" w:color="auto" w:fill="auto"/>
            <w:noWrap/>
            <w:vAlign w:val="center"/>
          </w:tcPr>
          <w:p w14:paraId="3BD1664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18,8</w:t>
            </w:r>
          </w:p>
        </w:tc>
        <w:tc>
          <w:tcPr>
            <w:tcW w:w="1102" w:type="dxa"/>
            <w:shd w:val="clear" w:color="auto" w:fill="auto"/>
            <w:noWrap/>
            <w:vAlign w:val="center"/>
          </w:tcPr>
          <w:p w14:paraId="6B4C796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36,4</w:t>
            </w:r>
          </w:p>
        </w:tc>
      </w:tr>
      <w:bookmarkEnd w:id="217"/>
      <w:tr w:rsidR="00A74088" w:rsidRPr="002A7673" w14:paraId="536AC0FA" w14:textId="77777777" w:rsidTr="0048334E">
        <w:trPr>
          <w:trHeight w:val="300"/>
          <w:jc w:val="center"/>
        </w:trPr>
        <w:tc>
          <w:tcPr>
            <w:tcW w:w="2729" w:type="dxa"/>
            <w:tcBorders>
              <w:bottom w:val="nil"/>
            </w:tcBorders>
            <w:shd w:val="clear" w:color="auto" w:fill="F2F2F2"/>
            <w:vAlign w:val="center"/>
            <w:hideMark/>
          </w:tcPr>
          <w:p w14:paraId="16F9E165"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Estupefacientes</w:t>
            </w:r>
          </w:p>
        </w:tc>
        <w:tc>
          <w:tcPr>
            <w:tcW w:w="1125" w:type="dxa"/>
            <w:tcBorders>
              <w:bottom w:val="nil"/>
            </w:tcBorders>
            <w:shd w:val="clear" w:color="auto" w:fill="F2F2F2"/>
            <w:vAlign w:val="center"/>
          </w:tcPr>
          <w:p w14:paraId="0B489F7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111</w:t>
            </w:r>
          </w:p>
        </w:tc>
        <w:tc>
          <w:tcPr>
            <w:tcW w:w="1125" w:type="dxa"/>
            <w:tcBorders>
              <w:bottom w:val="nil"/>
            </w:tcBorders>
            <w:shd w:val="clear" w:color="auto" w:fill="F2F2F2"/>
            <w:vAlign w:val="center"/>
          </w:tcPr>
          <w:p w14:paraId="7C1A151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68</w:t>
            </w:r>
          </w:p>
        </w:tc>
        <w:tc>
          <w:tcPr>
            <w:tcW w:w="1125" w:type="dxa"/>
            <w:tcBorders>
              <w:bottom w:val="nil"/>
            </w:tcBorders>
            <w:shd w:val="clear" w:color="auto" w:fill="F2F2F2"/>
            <w:vAlign w:val="center"/>
          </w:tcPr>
          <w:p w14:paraId="0FA7AEB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134</w:t>
            </w:r>
          </w:p>
        </w:tc>
        <w:tc>
          <w:tcPr>
            <w:tcW w:w="1125" w:type="dxa"/>
            <w:tcBorders>
              <w:bottom w:val="nil"/>
            </w:tcBorders>
            <w:shd w:val="clear" w:color="auto" w:fill="F2F2F2"/>
            <w:vAlign w:val="center"/>
          </w:tcPr>
          <w:p w14:paraId="2EE614C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124</w:t>
            </w:r>
          </w:p>
        </w:tc>
        <w:tc>
          <w:tcPr>
            <w:tcW w:w="1125" w:type="dxa"/>
            <w:tcBorders>
              <w:bottom w:val="nil"/>
            </w:tcBorders>
            <w:shd w:val="clear" w:color="auto" w:fill="F2F2F2"/>
            <w:noWrap/>
            <w:vAlign w:val="center"/>
          </w:tcPr>
          <w:p w14:paraId="4BB79A3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20,7</w:t>
            </w:r>
          </w:p>
        </w:tc>
        <w:tc>
          <w:tcPr>
            <w:tcW w:w="1102" w:type="dxa"/>
            <w:tcBorders>
              <w:bottom w:val="nil"/>
            </w:tcBorders>
            <w:shd w:val="clear" w:color="auto" w:fill="F2F2F2"/>
            <w:noWrap/>
            <w:vAlign w:val="center"/>
          </w:tcPr>
          <w:p w14:paraId="5DA30E5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82,4</w:t>
            </w:r>
          </w:p>
        </w:tc>
      </w:tr>
      <w:tr w:rsidR="00A74088" w:rsidRPr="002A7673" w14:paraId="0196412D" w14:textId="77777777" w:rsidTr="0048334E">
        <w:trPr>
          <w:trHeight w:val="300"/>
          <w:jc w:val="center"/>
        </w:trPr>
        <w:tc>
          <w:tcPr>
            <w:tcW w:w="2729" w:type="dxa"/>
            <w:tcBorders>
              <w:top w:val="nil"/>
              <w:bottom w:val="single" w:sz="4" w:space="0" w:color="auto"/>
            </w:tcBorders>
            <w:shd w:val="clear" w:color="auto" w:fill="auto"/>
            <w:vAlign w:val="center"/>
            <w:hideMark/>
          </w:tcPr>
          <w:p w14:paraId="417A23B1"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Crimen Organizado</w:t>
            </w:r>
          </w:p>
        </w:tc>
        <w:tc>
          <w:tcPr>
            <w:tcW w:w="1125" w:type="dxa"/>
            <w:tcBorders>
              <w:top w:val="nil"/>
              <w:bottom w:val="single" w:sz="4" w:space="0" w:color="auto"/>
            </w:tcBorders>
            <w:shd w:val="clear" w:color="auto" w:fill="auto"/>
            <w:vAlign w:val="center"/>
          </w:tcPr>
          <w:p w14:paraId="05B8143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19</w:t>
            </w:r>
          </w:p>
        </w:tc>
        <w:tc>
          <w:tcPr>
            <w:tcW w:w="1125" w:type="dxa"/>
            <w:tcBorders>
              <w:top w:val="nil"/>
              <w:bottom w:val="single" w:sz="4" w:space="0" w:color="auto"/>
            </w:tcBorders>
            <w:shd w:val="clear" w:color="auto" w:fill="auto"/>
            <w:vAlign w:val="center"/>
          </w:tcPr>
          <w:p w14:paraId="01EC76C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w:t>
            </w:r>
          </w:p>
        </w:tc>
        <w:tc>
          <w:tcPr>
            <w:tcW w:w="1125" w:type="dxa"/>
            <w:tcBorders>
              <w:top w:val="nil"/>
              <w:bottom w:val="single" w:sz="4" w:space="0" w:color="auto"/>
            </w:tcBorders>
            <w:shd w:val="clear" w:color="auto" w:fill="auto"/>
            <w:vAlign w:val="center"/>
          </w:tcPr>
          <w:p w14:paraId="67962A6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15</w:t>
            </w:r>
          </w:p>
        </w:tc>
        <w:tc>
          <w:tcPr>
            <w:tcW w:w="1125" w:type="dxa"/>
            <w:tcBorders>
              <w:top w:val="nil"/>
              <w:bottom w:val="single" w:sz="4" w:space="0" w:color="auto"/>
            </w:tcBorders>
            <w:shd w:val="clear" w:color="auto" w:fill="auto"/>
            <w:vAlign w:val="center"/>
          </w:tcPr>
          <w:p w14:paraId="06E5976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w:t>
            </w:r>
          </w:p>
        </w:tc>
        <w:tc>
          <w:tcPr>
            <w:tcW w:w="1125" w:type="dxa"/>
            <w:tcBorders>
              <w:top w:val="nil"/>
              <w:bottom w:val="single" w:sz="4" w:space="0" w:color="auto"/>
            </w:tcBorders>
            <w:shd w:val="clear" w:color="auto" w:fill="auto"/>
            <w:noWrap/>
            <w:vAlign w:val="center"/>
          </w:tcPr>
          <w:p w14:paraId="30EDF6B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-21,1</w:t>
            </w:r>
          </w:p>
        </w:tc>
        <w:tc>
          <w:tcPr>
            <w:tcW w:w="1102" w:type="dxa"/>
            <w:tcBorders>
              <w:top w:val="nil"/>
              <w:bottom w:val="single" w:sz="4" w:space="0" w:color="auto"/>
            </w:tcBorders>
            <w:shd w:val="clear" w:color="auto" w:fill="auto"/>
            <w:noWrap/>
            <w:vAlign w:val="center"/>
          </w:tcPr>
          <w:p w14:paraId="341E184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0,0</w:t>
            </w:r>
          </w:p>
        </w:tc>
      </w:tr>
      <w:tr w:rsidR="00A74088" w:rsidRPr="002A7673" w14:paraId="11BB4439" w14:textId="77777777" w:rsidTr="0048334E">
        <w:trPr>
          <w:trHeight w:val="300"/>
          <w:jc w:val="center"/>
        </w:trPr>
        <w:tc>
          <w:tcPr>
            <w:tcW w:w="2729" w:type="dxa"/>
            <w:tcBorders>
              <w:top w:val="single" w:sz="4" w:space="0" w:color="auto"/>
            </w:tcBorders>
            <w:shd w:val="clear" w:color="auto" w:fill="auto"/>
            <w:vAlign w:val="center"/>
          </w:tcPr>
          <w:p w14:paraId="7C4F059B"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Total</w:t>
            </w:r>
          </w:p>
        </w:tc>
        <w:tc>
          <w:tcPr>
            <w:tcW w:w="1125" w:type="dxa"/>
            <w:tcBorders>
              <w:top w:val="single" w:sz="4" w:space="0" w:color="auto"/>
            </w:tcBorders>
            <w:shd w:val="clear" w:color="auto" w:fill="auto"/>
            <w:vAlign w:val="center"/>
          </w:tcPr>
          <w:p w14:paraId="7E96F63B"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33 660</w:t>
            </w:r>
          </w:p>
        </w:tc>
        <w:tc>
          <w:tcPr>
            <w:tcW w:w="1125" w:type="dxa"/>
            <w:tcBorders>
              <w:top w:val="single" w:sz="4" w:space="0" w:color="auto"/>
            </w:tcBorders>
            <w:shd w:val="clear" w:color="auto" w:fill="auto"/>
            <w:vAlign w:val="center"/>
          </w:tcPr>
          <w:p w14:paraId="0071229C"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13 137</w:t>
            </w:r>
          </w:p>
        </w:tc>
        <w:tc>
          <w:tcPr>
            <w:tcW w:w="1125" w:type="dxa"/>
            <w:tcBorders>
              <w:top w:val="single" w:sz="4" w:space="0" w:color="auto"/>
            </w:tcBorders>
            <w:shd w:val="clear" w:color="auto" w:fill="auto"/>
            <w:vAlign w:val="center"/>
          </w:tcPr>
          <w:p w14:paraId="0F4960D0"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30 059</w:t>
            </w:r>
          </w:p>
        </w:tc>
        <w:tc>
          <w:tcPr>
            <w:tcW w:w="1125" w:type="dxa"/>
            <w:tcBorders>
              <w:top w:val="single" w:sz="4" w:space="0" w:color="auto"/>
            </w:tcBorders>
            <w:shd w:val="clear" w:color="auto" w:fill="auto"/>
            <w:vAlign w:val="center"/>
          </w:tcPr>
          <w:p w14:paraId="0D13D080"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15 478</w:t>
            </w:r>
          </w:p>
        </w:tc>
        <w:tc>
          <w:tcPr>
            <w:tcW w:w="1125" w:type="dxa"/>
            <w:tcBorders>
              <w:top w:val="single" w:sz="4" w:space="0" w:color="auto"/>
            </w:tcBorders>
            <w:shd w:val="clear" w:color="auto" w:fill="auto"/>
            <w:noWrap/>
            <w:vAlign w:val="center"/>
          </w:tcPr>
          <w:p w14:paraId="4C3281AC"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-10,7</w:t>
            </w:r>
          </w:p>
        </w:tc>
        <w:tc>
          <w:tcPr>
            <w:tcW w:w="1102" w:type="dxa"/>
            <w:tcBorders>
              <w:top w:val="single" w:sz="4" w:space="0" w:color="auto"/>
            </w:tcBorders>
            <w:shd w:val="clear" w:color="auto" w:fill="auto"/>
            <w:noWrap/>
            <w:vAlign w:val="center"/>
          </w:tcPr>
          <w:p w14:paraId="48A58A66" w14:textId="77777777" w:rsidR="00A74088" w:rsidRPr="002A7673" w:rsidRDefault="00A74088" w:rsidP="0048334E">
            <w:pPr>
              <w:jc w:val="center"/>
              <w:rPr>
                <w:rFonts w:ascii="Times New Roman" w:hAnsi="Times New Roman" w:cs="Times New Roman"/>
                <w:b/>
                <w:bCs/>
                <w:color w:val="000000"/>
              </w:rPr>
            </w:pPr>
            <w:r w:rsidRPr="002A7673">
              <w:rPr>
                <w:rFonts w:ascii="Times New Roman" w:hAnsi="Times New Roman" w:cs="Times New Roman"/>
                <w:b/>
                <w:bCs/>
                <w:color w:val="000000"/>
              </w:rPr>
              <w:t>17,8</w:t>
            </w:r>
          </w:p>
        </w:tc>
      </w:tr>
    </w:tbl>
    <w:bookmarkEnd w:id="216"/>
    <w:p w14:paraId="5834F807" w14:textId="77777777" w:rsidR="00A74088" w:rsidRPr="002A7673" w:rsidRDefault="00A74088" w:rsidP="00A74088">
      <w:pPr>
        <w:rPr>
          <w:rFonts w:ascii="Times New Roman" w:hAnsi="Times New Roman" w:cs="Times New Roman"/>
          <w:sz w:val="18"/>
          <w:szCs w:val="18"/>
        </w:rPr>
      </w:pPr>
      <w:r w:rsidRPr="002A7673">
        <w:rPr>
          <w:rFonts w:ascii="Times New Roman" w:hAnsi="Times New Roman" w:cs="Times New Roman"/>
          <w:sz w:val="18"/>
          <w:szCs w:val="18"/>
        </w:rPr>
        <w:t>Fuente: Información suministrada por la Oficina de Planes y Operaciones.</w:t>
      </w:r>
    </w:p>
    <w:p w14:paraId="3E681E56" w14:textId="77777777" w:rsidR="00A74088" w:rsidRPr="002A7673" w:rsidRDefault="00A74088" w:rsidP="00A74088">
      <w:pPr>
        <w:rPr>
          <w:rFonts w:ascii="Times New Roman" w:hAnsi="Times New Roman" w:cs="Times New Roman"/>
          <w:sz w:val="18"/>
          <w:szCs w:val="18"/>
        </w:rPr>
      </w:pPr>
    </w:p>
    <w:p w14:paraId="3B60A5DB" w14:textId="77777777" w:rsidR="00A74088" w:rsidRPr="002A7673" w:rsidRDefault="00A74088" w:rsidP="00FF3FAC">
      <w:pPr>
        <w:pStyle w:val="Prrafodelista"/>
        <w:numPr>
          <w:ilvl w:val="0"/>
          <w:numId w:val="71"/>
        </w:numPr>
        <w:spacing w:line="480" w:lineRule="auto"/>
        <w:ind w:left="360"/>
        <w:contextualSpacing/>
        <w:jc w:val="both"/>
        <w:rPr>
          <w:rFonts w:ascii="Times New Roman" w:hAnsi="Times New Roman" w:cs="Times New Roman"/>
          <w:b/>
          <w:bCs/>
          <w:sz w:val="26"/>
          <w:szCs w:val="26"/>
        </w:rPr>
      </w:pPr>
      <w:r w:rsidRPr="002A7673">
        <w:rPr>
          <w:rFonts w:ascii="Times New Roman" w:hAnsi="Times New Roman" w:cs="Times New Roman"/>
          <w:b/>
          <w:bCs/>
          <w:sz w:val="26"/>
          <w:szCs w:val="26"/>
        </w:rPr>
        <w:t>Oficinas Regionales</w:t>
      </w:r>
    </w:p>
    <w:tbl>
      <w:tblPr>
        <w:tblW w:w="8978" w:type="dxa"/>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1801"/>
        <w:gridCol w:w="1155"/>
        <w:gridCol w:w="1234"/>
        <w:gridCol w:w="1154"/>
        <w:gridCol w:w="1233"/>
        <w:gridCol w:w="1154"/>
        <w:gridCol w:w="1247"/>
      </w:tblGrid>
      <w:tr w:rsidR="00A74088" w:rsidRPr="002A7673" w14:paraId="71A406FB" w14:textId="77777777" w:rsidTr="0048334E">
        <w:trPr>
          <w:trHeight w:val="315"/>
          <w:tblHeader/>
          <w:jc w:val="center"/>
        </w:trPr>
        <w:tc>
          <w:tcPr>
            <w:tcW w:w="1801" w:type="dxa"/>
            <w:vMerge w:val="restart"/>
            <w:tcBorders>
              <w:top w:val="single" w:sz="4" w:space="0" w:color="auto"/>
              <w:bottom w:val="single" w:sz="4" w:space="0" w:color="auto"/>
            </w:tcBorders>
            <w:shd w:val="clear" w:color="auto" w:fill="F2F2F2"/>
            <w:vAlign w:val="center"/>
            <w:hideMark/>
          </w:tcPr>
          <w:p w14:paraId="05C78985" w14:textId="77777777" w:rsidR="00A74088" w:rsidRPr="002A7673" w:rsidRDefault="00A74088" w:rsidP="0048334E">
            <w:pPr>
              <w:jc w:val="center"/>
              <w:rPr>
                <w:rFonts w:ascii="Times New Roman" w:hAnsi="Times New Roman" w:cs="Times New Roman"/>
                <w:b/>
                <w:bCs/>
                <w:color w:val="000000"/>
                <w:sz w:val="20"/>
                <w:szCs w:val="20"/>
                <w:lang w:val="es-ES"/>
              </w:rPr>
            </w:pPr>
            <w:r w:rsidRPr="002A7673">
              <w:rPr>
                <w:rFonts w:ascii="Times New Roman" w:hAnsi="Times New Roman" w:cs="Times New Roman"/>
                <w:b/>
                <w:bCs/>
                <w:color w:val="000000"/>
                <w:sz w:val="20"/>
                <w:szCs w:val="20"/>
                <w:lang w:eastAsia="es-CR"/>
              </w:rPr>
              <w:lastRenderedPageBreak/>
              <w:t>Oficina</w:t>
            </w:r>
          </w:p>
        </w:tc>
        <w:tc>
          <w:tcPr>
            <w:tcW w:w="2389" w:type="dxa"/>
            <w:gridSpan w:val="2"/>
            <w:tcBorders>
              <w:top w:val="single" w:sz="4" w:space="0" w:color="auto"/>
              <w:bottom w:val="single" w:sz="4" w:space="0" w:color="auto"/>
            </w:tcBorders>
            <w:shd w:val="clear" w:color="auto" w:fill="F2F2F2"/>
            <w:noWrap/>
            <w:vAlign w:val="center"/>
            <w:hideMark/>
          </w:tcPr>
          <w:p w14:paraId="52F36751"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2019</w:t>
            </w:r>
          </w:p>
        </w:tc>
        <w:tc>
          <w:tcPr>
            <w:tcW w:w="2387" w:type="dxa"/>
            <w:gridSpan w:val="2"/>
            <w:tcBorders>
              <w:top w:val="single" w:sz="4" w:space="0" w:color="auto"/>
              <w:bottom w:val="single" w:sz="4" w:space="0" w:color="auto"/>
            </w:tcBorders>
            <w:shd w:val="clear" w:color="auto" w:fill="F2F2F2"/>
            <w:noWrap/>
            <w:vAlign w:val="center"/>
            <w:hideMark/>
          </w:tcPr>
          <w:p w14:paraId="5ECF6A83"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2020</w:t>
            </w:r>
          </w:p>
        </w:tc>
        <w:tc>
          <w:tcPr>
            <w:tcW w:w="2401" w:type="dxa"/>
            <w:gridSpan w:val="2"/>
            <w:tcBorders>
              <w:top w:val="single" w:sz="4" w:space="0" w:color="auto"/>
              <w:bottom w:val="single" w:sz="4" w:space="0" w:color="auto"/>
            </w:tcBorders>
            <w:shd w:val="clear" w:color="auto" w:fill="F2F2F2"/>
            <w:vAlign w:val="center"/>
            <w:hideMark/>
          </w:tcPr>
          <w:p w14:paraId="5636067F"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Variación</w:t>
            </w:r>
          </w:p>
        </w:tc>
      </w:tr>
      <w:tr w:rsidR="00A74088" w:rsidRPr="002A7673" w14:paraId="323E692B" w14:textId="77777777" w:rsidTr="0048334E">
        <w:trPr>
          <w:trHeight w:val="315"/>
          <w:jc w:val="center"/>
        </w:trPr>
        <w:tc>
          <w:tcPr>
            <w:tcW w:w="1801" w:type="dxa"/>
            <w:vMerge/>
            <w:tcBorders>
              <w:top w:val="nil"/>
              <w:bottom w:val="single" w:sz="4" w:space="0" w:color="auto"/>
            </w:tcBorders>
            <w:vAlign w:val="center"/>
            <w:hideMark/>
          </w:tcPr>
          <w:p w14:paraId="3CACCB03" w14:textId="77777777" w:rsidR="00A74088" w:rsidRPr="002A7673" w:rsidRDefault="00A74088" w:rsidP="0048334E">
            <w:pPr>
              <w:rPr>
                <w:rFonts w:ascii="Times New Roman" w:hAnsi="Times New Roman" w:cs="Times New Roman"/>
                <w:b/>
                <w:bCs/>
                <w:color w:val="000000"/>
                <w:sz w:val="20"/>
                <w:szCs w:val="20"/>
              </w:rPr>
            </w:pPr>
          </w:p>
        </w:tc>
        <w:tc>
          <w:tcPr>
            <w:tcW w:w="1155" w:type="dxa"/>
            <w:tcBorders>
              <w:top w:val="single" w:sz="4" w:space="0" w:color="auto"/>
              <w:bottom w:val="single" w:sz="4" w:space="0" w:color="auto"/>
            </w:tcBorders>
            <w:shd w:val="clear" w:color="auto" w:fill="F2F2F2"/>
            <w:noWrap/>
            <w:vAlign w:val="center"/>
            <w:hideMark/>
          </w:tcPr>
          <w:p w14:paraId="4BF5076F"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Ingresado</w:t>
            </w:r>
          </w:p>
        </w:tc>
        <w:tc>
          <w:tcPr>
            <w:tcW w:w="1234" w:type="dxa"/>
            <w:tcBorders>
              <w:top w:val="single" w:sz="4" w:space="0" w:color="auto"/>
              <w:bottom w:val="single" w:sz="4" w:space="0" w:color="auto"/>
            </w:tcBorders>
            <w:shd w:val="clear" w:color="auto" w:fill="F2F2F2"/>
            <w:noWrap/>
            <w:vAlign w:val="center"/>
            <w:hideMark/>
          </w:tcPr>
          <w:p w14:paraId="122B02E5"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Tramitado</w:t>
            </w:r>
          </w:p>
        </w:tc>
        <w:tc>
          <w:tcPr>
            <w:tcW w:w="1154" w:type="dxa"/>
            <w:tcBorders>
              <w:top w:val="single" w:sz="4" w:space="0" w:color="auto"/>
              <w:bottom w:val="single" w:sz="4" w:space="0" w:color="auto"/>
            </w:tcBorders>
            <w:shd w:val="clear" w:color="auto" w:fill="F2F2F2"/>
            <w:noWrap/>
            <w:vAlign w:val="center"/>
            <w:hideMark/>
          </w:tcPr>
          <w:p w14:paraId="171ACF4E"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Ingresado</w:t>
            </w:r>
          </w:p>
        </w:tc>
        <w:tc>
          <w:tcPr>
            <w:tcW w:w="1233" w:type="dxa"/>
            <w:tcBorders>
              <w:top w:val="single" w:sz="4" w:space="0" w:color="auto"/>
              <w:bottom w:val="single" w:sz="4" w:space="0" w:color="auto"/>
            </w:tcBorders>
            <w:shd w:val="clear" w:color="auto" w:fill="F2F2F2"/>
            <w:noWrap/>
            <w:vAlign w:val="center"/>
            <w:hideMark/>
          </w:tcPr>
          <w:p w14:paraId="7A8F9B14"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Tramitado</w:t>
            </w:r>
          </w:p>
        </w:tc>
        <w:tc>
          <w:tcPr>
            <w:tcW w:w="1154" w:type="dxa"/>
            <w:tcBorders>
              <w:top w:val="single" w:sz="4" w:space="0" w:color="auto"/>
              <w:bottom w:val="single" w:sz="4" w:space="0" w:color="auto"/>
            </w:tcBorders>
            <w:shd w:val="clear" w:color="auto" w:fill="F2F2F2"/>
            <w:vAlign w:val="center"/>
            <w:hideMark/>
          </w:tcPr>
          <w:p w14:paraId="723D53DC"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Ingresado</w:t>
            </w:r>
          </w:p>
        </w:tc>
        <w:tc>
          <w:tcPr>
            <w:tcW w:w="1247" w:type="dxa"/>
            <w:tcBorders>
              <w:top w:val="single" w:sz="4" w:space="0" w:color="auto"/>
              <w:bottom w:val="single" w:sz="4" w:space="0" w:color="auto"/>
            </w:tcBorders>
            <w:shd w:val="clear" w:color="auto" w:fill="F2F2F2"/>
            <w:vAlign w:val="center"/>
            <w:hideMark/>
          </w:tcPr>
          <w:p w14:paraId="35C71A08"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lang w:eastAsia="es-CR"/>
              </w:rPr>
              <w:t>tramitado</w:t>
            </w:r>
          </w:p>
        </w:tc>
      </w:tr>
      <w:tr w:rsidR="00A74088" w:rsidRPr="002A7673" w14:paraId="67BDD07F" w14:textId="77777777" w:rsidTr="0048334E">
        <w:trPr>
          <w:trHeight w:val="300"/>
          <w:jc w:val="center"/>
        </w:trPr>
        <w:tc>
          <w:tcPr>
            <w:tcW w:w="1801" w:type="dxa"/>
            <w:tcBorders>
              <w:top w:val="single" w:sz="4" w:space="0" w:color="auto"/>
            </w:tcBorders>
            <w:shd w:val="clear" w:color="auto" w:fill="auto"/>
            <w:noWrap/>
            <w:vAlign w:val="center"/>
            <w:hideMark/>
          </w:tcPr>
          <w:p w14:paraId="1F555C4F"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Alajuela</w:t>
            </w:r>
          </w:p>
        </w:tc>
        <w:tc>
          <w:tcPr>
            <w:tcW w:w="1155" w:type="dxa"/>
            <w:tcBorders>
              <w:top w:val="single" w:sz="4" w:space="0" w:color="auto"/>
            </w:tcBorders>
            <w:shd w:val="clear" w:color="auto" w:fill="auto"/>
            <w:noWrap/>
            <w:vAlign w:val="center"/>
          </w:tcPr>
          <w:p w14:paraId="28C2F35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5 962</w:t>
            </w:r>
          </w:p>
        </w:tc>
        <w:tc>
          <w:tcPr>
            <w:tcW w:w="1234" w:type="dxa"/>
            <w:tcBorders>
              <w:top w:val="single" w:sz="4" w:space="0" w:color="auto"/>
            </w:tcBorders>
            <w:shd w:val="clear" w:color="auto" w:fill="auto"/>
            <w:noWrap/>
            <w:vAlign w:val="center"/>
          </w:tcPr>
          <w:p w14:paraId="59FDB2E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1 586</w:t>
            </w:r>
          </w:p>
        </w:tc>
        <w:tc>
          <w:tcPr>
            <w:tcW w:w="1154" w:type="dxa"/>
            <w:tcBorders>
              <w:top w:val="single" w:sz="4" w:space="0" w:color="auto"/>
            </w:tcBorders>
            <w:shd w:val="clear" w:color="auto" w:fill="auto"/>
            <w:noWrap/>
            <w:vAlign w:val="center"/>
          </w:tcPr>
          <w:p w14:paraId="74C6575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5755</w:t>
            </w:r>
          </w:p>
        </w:tc>
        <w:tc>
          <w:tcPr>
            <w:tcW w:w="1233" w:type="dxa"/>
            <w:tcBorders>
              <w:top w:val="single" w:sz="4" w:space="0" w:color="auto"/>
            </w:tcBorders>
            <w:shd w:val="clear" w:color="auto" w:fill="auto"/>
            <w:noWrap/>
            <w:vAlign w:val="center"/>
          </w:tcPr>
          <w:p w14:paraId="78124AC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1836</w:t>
            </w:r>
          </w:p>
        </w:tc>
        <w:tc>
          <w:tcPr>
            <w:tcW w:w="1154" w:type="dxa"/>
            <w:tcBorders>
              <w:top w:val="single" w:sz="4" w:space="0" w:color="auto"/>
            </w:tcBorders>
            <w:shd w:val="clear" w:color="auto" w:fill="auto"/>
            <w:noWrap/>
            <w:vAlign w:val="center"/>
          </w:tcPr>
          <w:p w14:paraId="70CB6C9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-3,5</w:t>
            </w:r>
          </w:p>
        </w:tc>
        <w:tc>
          <w:tcPr>
            <w:tcW w:w="1247" w:type="dxa"/>
            <w:tcBorders>
              <w:top w:val="single" w:sz="4" w:space="0" w:color="auto"/>
            </w:tcBorders>
            <w:shd w:val="clear" w:color="auto" w:fill="auto"/>
            <w:noWrap/>
            <w:vAlign w:val="center"/>
          </w:tcPr>
          <w:p w14:paraId="4710BA0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15,8</w:t>
            </w:r>
          </w:p>
        </w:tc>
      </w:tr>
      <w:tr w:rsidR="00A74088" w:rsidRPr="002A7673" w14:paraId="7B9EE693" w14:textId="77777777" w:rsidTr="0048334E">
        <w:trPr>
          <w:trHeight w:val="300"/>
          <w:jc w:val="center"/>
        </w:trPr>
        <w:tc>
          <w:tcPr>
            <w:tcW w:w="1801" w:type="dxa"/>
            <w:shd w:val="clear" w:color="auto" w:fill="F2F2F2"/>
            <w:noWrap/>
            <w:vAlign w:val="center"/>
            <w:hideMark/>
          </w:tcPr>
          <w:p w14:paraId="77F4812F"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Cartago</w:t>
            </w:r>
          </w:p>
        </w:tc>
        <w:tc>
          <w:tcPr>
            <w:tcW w:w="1155" w:type="dxa"/>
            <w:shd w:val="clear" w:color="auto" w:fill="F2F2F2"/>
            <w:noWrap/>
            <w:vAlign w:val="center"/>
          </w:tcPr>
          <w:p w14:paraId="7A0CDB3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4 808</w:t>
            </w:r>
          </w:p>
        </w:tc>
        <w:tc>
          <w:tcPr>
            <w:tcW w:w="1234" w:type="dxa"/>
            <w:shd w:val="clear" w:color="auto" w:fill="F2F2F2"/>
            <w:noWrap/>
            <w:vAlign w:val="center"/>
          </w:tcPr>
          <w:p w14:paraId="5A43940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1 401</w:t>
            </w:r>
          </w:p>
        </w:tc>
        <w:tc>
          <w:tcPr>
            <w:tcW w:w="1154" w:type="dxa"/>
            <w:shd w:val="clear" w:color="auto" w:fill="F2F2F2"/>
            <w:noWrap/>
            <w:vAlign w:val="center"/>
          </w:tcPr>
          <w:p w14:paraId="6D933E9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4126</w:t>
            </w:r>
          </w:p>
        </w:tc>
        <w:tc>
          <w:tcPr>
            <w:tcW w:w="1233" w:type="dxa"/>
            <w:shd w:val="clear" w:color="auto" w:fill="F2F2F2"/>
            <w:noWrap/>
            <w:vAlign w:val="center"/>
          </w:tcPr>
          <w:p w14:paraId="44D5037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1614</w:t>
            </w:r>
          </w:p>
        </w:tc>
        <w:tc>
          <w:tcPr>
            <w:tcW w:w="1154" w:type="dxa"/>
            <w:shd w:val="clear" w:color="auto" w:fill="F2F2F2"/>
            <w:noWrap/>
            <w:vAlign w:val="center"/>
          </w:tcPr>
          <w:p w14:paraId="3AF2D98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-14,2</w:t>
            </w:r>
          </w:p>
        </w:tc>
        <w:tc>
          <w:tcPr>
            <w:tcW w:w="1247" w:type="dxa"/>
            <w:shd w:val="clear" w:color="auto" w:fill="F2F2F2"/>
            <w:noWrap/>
            <w:vAlign w:val="center"/>
          </w:tcPr>
          <w:p w14:paraId="1190D09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15,2</w:t>
            </w:r>
          </w:p>
        </w:tc>
      </w:tr>
      <w:tr w:rsidR="00A74088" w:rsidRPr="002A7673" w14:paraId="36A2BDE9" w14:textId="77777777" w:rsidTr="0048334E">
        <w:trPr>
          <w:trHeight w:val="300"/>
          <w:jc w:val="center"/>
        </w:trPr>
        <w:tc>
          <w:tcPr>
            <w:tcW w:w="1801" w:type="dxa"/>
            <w:shd w:val="clear" w:color="auto" w:fill="auto"/>
            <w:noWrap/>
            <w:vAlign w:val="center"/>
            <w:hideMark/>
          </w:tcPr>
          <w:p w14:paraId="1A009EAC"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Corredores</w:t>
            </w:r>
          </w:p>
        </w:tc>
        <w:tc>
          <w:tcPr>
            <w:tcW w:w="1155" w:type="dxa"/>
            <w:shd w:val="clear" w:color="auto" w:fill="auto"/>
            <w:noWrap/>
            <w:vAlign w:val="center"/>
          </w:tcPr>
          <w:p w14:paraId="24D3FD5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2656</w:t>
            </w:r>
          </w:p>
        </w:tc>
        <w:tc>
          <w:tcPr>
            <w:tcW w:w="1234" w:type="dxa"/>
            <w:shd w:val="clear" w:color="auto" w:fill="auto"/>
            <w:noWrap/>
            <w:vAlign w:val="center"/>
          </w:tcPr>
          <w:p w14:paraId="73AA7F5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794</w:t>
            </w:r>
          </w:p>
        </w:tc>
        <w:tc>
          <w:tcPr>
            <w:tcW w:w="1154" w:type="dxa"/>
            <w:shd w:val="clear" w:color="auto" w:fill="auto"/>
            <w:noWrap/>
            <w:vAlign w:val="center"/>
          </w:tcPr>
          <w:p w14:paraId="6EE4282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2319</w:t>
            </w:r>
          </w:p>
        </w:tc>
        <w:tc>
          <w:tcPr>
            <w:tcW w:w="1233" w:type="dxa"/>
            <w:shd w:val="clear" w:color="auto" w:fill="auto"/>
            <w:noWrap/>
            <w:vAlign w:val="center"/>
          </w:tcPr>
          <w:p w14:paraId="41E59AF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931</w:t>
            </w:r>
          </w:p>
        </w:tc>
        <w:tc>
          <w:tcPr>
            <w:tcW w:w="1154" w:type="dxa"/>
            <w:shd w:val="clear" w:color="auto" w:fill="auto"/>
            <w:noWrap/>
            <w:vAlign w:val="center"/>
          </w:tcPr>
          <w:p w14:paraId="2076C92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-12,7</w:t>
            </w:r>
          </w:p>
        </w:tc>
        <w:tc>
          <w:tcPr>
            <w:tcW w:w="1247" w:type="dxa"/>
            <w:shd w:val="clear" w:color="auto" w:fill="auto"/>
            <w:noWrap/>
            <w:vAlign w:val="center"/>
          </w:tcPr>
          <w:p w14:paraId="080EB0D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17,3</w:t>
            </w:r>
          </w:p>
        </w:tc>
      </w:tr>
      <w:tr w:rsidR="00A74088" w:rsidRPr="002A7673" w14:paraId="4DEB6676" w14:textId="77777777" w:rsidTr="0048334E">
        <w:trPr>
          <w:trHeight w:val="300"/>
          <w:jc w:val="center"/>
        </w:trPr>
        <w:tc>
          <w:tcPr>
            <w:tcW w:w="1801" w:type="dxa"/>
            <w:shd w:val="clear" w:color="auto" w:fill="F2F2F2"/>
            <w:noWrap/>
            <w:vAlign w:val="center"/>
            <w:hideMark/>
          </w:tcPr>
          <w:p w14:paraId="1C5C6804"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Heredia</w:t>
            </w:r>
          </w:p>
        </w:tc>
        <w:tc>
          <w:tcPr>
            <w:tcW w:w="1155" w:type="dxa"/>
            <w:shd w:val="clear" w:color="auto" w:fill="F2F2F2"/>
            <w:noWrap/>
            <w:vAlign w:val="center"/>
          </w:tcPr>
          <w:p w14:paraId="200F292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7 672</w:t>
            </w:r>
          </w:p>
        </w:tc>
        <w:tc>
          <w:tcPr>
            <w:tcW w:w="1234" w:type="dxa"/>
            <w:shd w:val="clear" w:color="auto" w:fill="F2F2F2"/>
            <w:noWrap/>
            <w:vAlign w:val="center"/>
          </w:tcPr>
          <w:p w14:paraId="00AADD3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2 381</w:t>
            </w:r>
          </w:p>
        </w:tc>
        <w:tc>
          <w:tcPr>
            <w:tcW w:w="1154" w:type="dxa"/>
            <w:shd w:val="clear" w:color="auto" w:fill="F2F2F2"/>
            <w:noWrap/>
            <w:vAlign w:val="center"/>
          </w:tcPr>
          <w:p w14:paraId="35F5603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6766</w:t>
            </w:r>
          </w:p>
        </w:tc>
        <w:tc>
          <w:tcPr>
            <w:tcW w:w="1233" w:type="dxa"/>
            <w:shd w:val="clear" w:color="auto" w:fill="F2F2F2"/>
            <w:noWrap/>
            <w:vAlign w:val="center"/>
          </w:tcPr>
          <w:p w14:paraId="21792B0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2152</w:t>
            </w:r>
          </w:p>
        </w:tc>
        <w:tc>
          <w:tcPr>
            <w:tcW w:w="1154" w:type="dxa"/>
            <w:shd w:val="clear" w:color="auto" w:fill="F2F2F2"/>
            <w:noWrap/>
            <w:vAlign w:val="center"/>
          </w:tcPr>
          <w:p w14:paraId="4073581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-11,8</w:t>
            </w:r>
          </w:p>
        </w:tc>
        <w:tc>
          <w:tcPr>
            <w:tcW w:w="1247" w:type="dxa"/>
            <w:shd w:val="clear" w:color="auto" w:fill="F2F2F2"/>
            <w:noWrap/>
            <w:vAlign w:val="center"/>
          </w:tcPr>
          <w:p w14:paraId="24077A4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-9,6</w:t>
            </w:r>
          </w:p>
        </w:tc>
      </w:tr>
      <w:tr w:rsidR="00A74088" w:rsidRPr="002A7673" w14:paraId="6DBAC013" w14:textId="77777777" w:rsidTr="0048334E">
        <w:trPr>
          <w:trHeight w:val="300"/>
          <w:jc w:val="center"/>
        </w:trPr>
        <w:tc>
          <w:tcPr>
            <w:tcW w:w="1801" w:type="dxa"/>
            <w:shd w:val="clear" w:color="auto" w:fill="auto"/>
            <w:noWrap/>
            <w:vAlign w:val="center"/>
            <w:hideMark/>
          </w:tcPr>
          <w:p w14:paraId="5AC6A730"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Liberia</w:t>
            </w:r>
          </w:p>
        </w:tc>
        <w:tc>
          <w:tcPr>
            <w:tcW w:w="1155" w:type="dxa"/>
            <w:shd w:val="clear" w:color="auto" w:fill="auto"/>
            <w:noWrap/>
            <w:vAlign w:val="center"/>
          </w:tcPr>
          <w:p w14:paraId="1208D2F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2 856</w:t>
            </w:r>
          </w:p>
        </w:tc>
        <w:tc>
          <w:tcPr>
            <w:tcW w:w="1234" w:type="dxa"/>
            <w:shd w:val="clear" w:color="auto" w:fill="auto"/>
            <w:noWrap/>
            <w:vAlign w:val="center"/>
          </w:tcPr>
          <w:p w14:paraId="779281E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1 072</w:t>
            </w:r>
          </w:p>
        </w:tc>
        <w:tc>
          <w:tcPr>
            <w:tcW w:w="1154" w:type="dxa"/>
            <w:shd w:val="clear" w:color="auto" w:fill="auto"/>
            <w:noWrap/>
            <w:vAlign w:val="center"/>
          </w:tcPr>
          <w:p w14:paraId="4A8F81B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2801</w:t>
            </w:r>
          </w:p>
        </w:tc>
        <w:tc>
          <w:tcPr>
            <w:tcW w:w="1233" w:type="dxa"/>
            <w:shd w:val="clear" w:color="auto" w:fill="auto"/>
            <w:noWrap/>
            <w:vAlign w:val="center"/>
          </w:tcPr>
          <w:p w14:paraId="7E7140A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1139</w:t>
            </w:r>
          </w:p>
        </w:tc>
        <w:tc>
          <w:tcPr>
            <w:tcW w:w="1154" w:type="dxa"/>
            <w:shd w:val="clear" w:color="auto" w:fill="auto"/>
            <w:noWrap/>
            <w:vAlign w:val="center"/>
          </w:tcPr>
          <w:p w14:paraId="59C9E5F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-1,9</w:t>
            </w:r>
          </w:p>
        </w:tc>
        <w:tc>
          <w:tcPr>
            <w:tcW w:w="1247" w:type="dxa"/>
            <w:shd w:val="clear" w:color="auto" w:fill="auto"/>
            <w:noWrap/>
            <w:vAlign w:val="center"/>
          </w:tcPr>
          <w:p w14:paraId="3188F20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6,3</w:t>
            </w:r>
          </w:p>
        </w:tc>
      </w:tr>
      <w:tr w:rsidR="00A74088" w:rsidRPr="002A7673" w14:paraId="73BBD576" w14:textId="77777777" w:rsidTr="0048334E">
        <w:trPr>
          <w:trHeight w:val="300"/>
          <w:jc w:val="center"/>
        </w:trPr>
        <w:tc>
          <w:tcPr>
            <w:tcW w:w="1801" w:type="dxa"/>
            <w:shd w:val="clear" w:color="auto" w:fill="F2F2F2"/>
            <w:noWrap/>
            <w:vAlign w:val="center"/>
            <w:hideMark/>
          </w:tcPr>
          <w:p w14:paraId="30679390"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Limón</w:t>
            </w:r>
          </w:p>
        </w:tc>
        <w:tc>
          <w:tcPr>
            <w:tcW w:w="1155" w:type="dxa"/>
            <w:shd w:val="clear" w:color="auto" w:fill="F2F2F2"/>
            <w:noWrap/>
            <w:vAlign w:val="center"/>
          </w:tcPr>
          <w:p w14:paraId="1094BC2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2 644</w:t>
            </w:r>
          </w:p>
        </w:tc>
        <w:tc>
          <w:tcPr>
            <w:tcW w:w="1234" w:type="dxa"/>
            <w:shd w:val="clear" w:color="auto" w:fill="F2F2F2"/>
            <w:noWrap/>
            <w:vAlign w:val="center"/>
          </w:tcPr>
          <w:p w14:paraId="3501F60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991</w:t>
            </w:r>
          </w:p>
        </w:tc>
        <w:tc>
          <w:tcPr>
            <w:tcW w:w="1154" w:type="dxa"/>
            <w:shd w:val="clear" w:color="auto" w:fill="F2F2F2"/>
            <w:noWrap/>
            <w:vAlign w:val="center"/>
          </w:tcPr>
          <w:p w14:paraId="27488C0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2065</w:t>
            </w:r>
          </w:p>
        </w:tc>
        <w:tc>
          <w:tcPr>
            <w:tcW w:w="1233" w:type="dxa"/>
            <w:shd w:val="clear" w:color="auto" w:fill="F2F2F2"/>
            <w:noWrap/>
            <w:vAlign w:val="center"/>
          </w:tcPr>
          <w:p w14:paraId="253039A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1125</w:t>
            </w:r>
          </w:p>
        </w:tc>
        <w:tc>
          <w:tcPr>
            <w:tcW w:w="1154" w:type="dxa"/>
            <w:shd w:val="clear" w:color="auto" w:fill="F2F2F2"/>
            <w:noWrap/>
            <w:vAlign w:val="center"/>
          </w:tcPr>
          <w:p w14:paraId="4620074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-21,9</w:t>
            </w:r>
          </w:p>
        </w:tc>
        <w:tc>
          <w:tcPr>
            <w:tcW w:w="1247" w:type="dxa"/>
            <w:shd w:val="clear" w:color="auto" w:fill="F2F2F2"/>
            <w:noWrap/>
            <w:vAlign w:val="center"/>
          </w:tcPr>
          <w:p w14:paraId="55C4A35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13,5</w:t>
            </w:r>
          </w:p>
        </w:tc>
      </w:tr>
      <w:tr w:rsidR="00A74088" w:rsidRPr="002A7673" w14:paraId="21D44C8D" w14:textId="77777777" w:rsidTr="0048334E">
        <w:trPr>
          <w:trHeight w:val="300"/>
          <w:jc w:val="center"/>
        </w:trPr>
        <w:tc>
          <w:tcPr>
            <w:tcW w:w="1801" w:type="dxa"/>
            <w:shd w:val="clear" w:color="auto" w:fill="auto"/>
            <w:noWrap/>
            <w:vAlign w:val="center"/>
            <w:hideMark/>
          </w:tcPr>
          <w:p w14:paraId="07F9164B"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Pérez Zeledón</w:t>
            </w:r>
          </w:p>
        </w:tc>
        <w:tc>
          <w:tcPr>
            <w:tcW w:w="1155" w:type="dxa"/>
            <w:shd w:val="clear" w:color="auto" w:fill="auto"/>
            <w:noWrap/>
            <w:vAlign w:val="center"/>
          </w:tcPr>
          <w:p w14:paraId="79D8E9A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2 336</w:t>
            </w:r>
          </w:p>
        </w:tc>
        <w:tc>
          <w:tcPr>
            <w:tcW w:w="1234" w:type="dxa"/>
            <w:shd w:val="clear" w:color="auto" w:fill="auto"/>
            <w:noWrap/>
            <w:vAlign w:val="center"/>
          </w:tcPr>
          <w:p w14:paraId="118789A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683</w:t>
            </w:r>
          </w:p>
        </w:tc>
        <w:tc>
          <w:tcPr>
            <w:tcW w:w="1154" w:type="dxa"/>
            <w:shd w:val="clear" w:color="auto" w:fill="auto"/>
            <w:noWrap/>
            <w:vAlign w:val="center"/>
          </w:tcPr>
          <w:p w14:paraId="17B970B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2161</w:t>
            </w:r>
          </w:p>
        </w:tc>
        <w:tc>
          <w:tcPr>
            <w:tcW w:w="1233" w:type="dxa"/>
            <w:shd w:val="clear" w:color="auto" w:fill="auto"/>
            <w:noWrap/>
            <w:vAlign w:val="center"/>
          </w:tcPr>
          <w:p w14:paraId="4025DF2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835</w:t>
            </w:r>
          </w:p>
        </w:tc>
        <w:tc>
          <w:tcPr>
            <w:tcW w:w="1154" w:type="dxa"/>
            <w:shd w:val="clear" w:color="auto" w:fill="auto"/>
            <w:noWrap/>
            <w:vAlign w:val="center"/>
          </w:tcPr>
          <w:p w14:paraId="07EF416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-7,5</w:t>
            </w:r>
          </w:p>
        </w:tc>
        <w:tc>
          <w:tcPr>
            <w:tcW w:w="1247" w:type="dxa"/>
            <w:shd w:val="clear" w:color="auto" w:fill="auto"/>
            <w:noWrap/>
            <w:vAlign w:val="center"/>
          </w:tcPr>
          <w:p w14:paraId="00ADAD0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22,3</w:t>
            </w:r>
          </w:p>
        </w:tc>
      </w:tr>
      <w:tr w:rsidR="00A74088" w:rsidRPr="002A7673" w14:paraId="01925555" w14:textId="77777777" w:rsidTr="0048334E">
        <w:trPr>
          <w:trHeight w:val="300"/>
          <w:jc w:val="center"/>
        </w:trPr>
        <w:tc>
          <w:tcPr>
            <w:tcW w:w="1801" w:type="dxa"/>
            <w:shd w:val="clear" w:color="auto" w:fill="F2F2F2"/>
            <w:noWrap/>
            <w:vAlign w:val="center"/>
            <w:hideMark/>
          </w:tcPr>
          <w:p w14:paraId="6889709F"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Pococí</w:t>
            </w:r>
          </w:p>
        </w:tc>
        <w:tc>
          <w:tcPr>
            <w:tcW w:w="1155" w:type="dxa"/>
            <w:shd w:val="clear" w:color="auto" w:fill="F2F2F2"/>
            <w:noWrap/>
            <w:vAlign w:val="center"/>
          </w:tcPr>
          <w:p w14:paraId="7BB2805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3 554</w:t>
            </w:r>
          </w:p>
        </w:tc>
        <w:tc>
          <w:tcPr>
            <w:tcW w:w="1234" w:type="dxa"/>
            <w:shd w:val="clear" w:color="auto" w:fill="F2F2F2"/>
            <w:noWrap/>
            <w:vAlign w:val="center"/>
          </w:tcPr>
          <w:p w14:paraId="09F202B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1 144</w:t>
            </w:r>
          </w:p>
        </w:tc>
        <w:tc>
          <w:tcPr>
            <w:tcW w:w="1154" w:type="dxa"/>
            <w:shd w:val="clear" w:color="auto" w:fill="F2F2F2"/>
            <w:noWrap/>
            <w:vAlign w:val="center"/>
          </w:tcPr>
          <w:p w14:paraId="245EE50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2943</w:t>
            </w:r>
          </w:p>
        </w:tc>
        <w:tc>
          <w:tcPr>
            <w:tcW w:w="1233" w:type="dxa"/>
            <w:shd w:val="clear" w:color="auto" w:fill="F2F2F2"/>
            <w:noWrap/>
            <w:vAlign w:val="center"/>
          </w:tcPr>
          <w:p w14:paraId="6785CA8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1096</w:t>
            </w:r>
          </w:p>
        </w:tc>
        <w:tc>
          <w:tcPr>
            <w:tcW w:w="1154" w:type="dxa"/>
            <w:shd w:val="clear" w:color="auto" w:fill="F2F2F2"/>
            <w:noWrap/>
            <w:vAlign w:val="center"/>
          </w:tcPr>
          <w:p w14:paraId="12B7C70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-17,2</w:t>
            </w:r>
          </w:p>
        </w:tc>
        <w:tc>
          <w:tcPr>
            <w:tcW w:w="1247" w:type="dxa"/>
            <w:shd w:val="clear" w:color="auto" w:fill="F2F2F2"/>
            <w:noWrap/>
            <w:vAlign w:val="center"/>
          </w:tcPr>
          <w:p w14:paraId="2F5C436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-4,2</w:t>
            </w:r>
          </w:p>
        </w:tc>
      </w:tr>
      <w:tr w:rsidR="00A74088" w:rsidRPr="002A7673" w14:paraId="71A794DC" w14:textId="77777777" w:rsidTr="0048334E">
        <w:trPr>
          <w:trHeight w:val="300"/>
          <w:jc w:val="center"/>
        </w:trPr>
        <w:tc>
          <w:tcPr>
            <w:tcW w:w="1801" w:type="dxa"/>
            <w:shd w:val="clear" w:color="auto" w:fill="auto"/>
            <w:noWrap/>
            <w:vAlign w:val="center"/>
            <w:hideMark/>
          </w:tcPr>
          <w:p w14:paraId="65E056F9"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Puntarenas</w:t>
            </w:r>
          </w:p>
        </w:tc>
        <w:tc>
          <w:tcPr>
            <w:tcW w:w="1155" w:type="dxa"/>
            <w:shd w:val="clear" w:color="auto" w:fill="auto"/>
            <w:noWrap/>
            <w:vAlign w:val="center"/>
          </w:tcPr>
          <w:p w14:paraId="6A75780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2 880</w:t>
            </w:r>
          </w:p>
        </w:tc>
        <w:tc>
          <w:tcPr>
            <w:tcW w:w="1234" w:type="dxa"/>
            <w:shd w:val="clear" w:color="auto" w:fill="auto"/>
            <w:noWrap/>
            <w:vAlign w:val="center"/>
          </w:tcPr>
          <w:p w14:paraId="378AAD9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1 092</w:t>
            </w:r>
          </w:p>
        </w:tc>
        <w:tc>
          <w:tcPr>
            <w:tcW w:w="1154" w:type="dxa"/>
            <w:shd w:val="clear" w:color="auto" w:fill="auto"/>
            <w:noWrap/>
            <w:vAlign w:val="center"/>
          </w:tcPr>
          <w:p w14:paraId="5E3235C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2010</w:t>
            </w:r>
          </w:p>
        </w:tc>
        <w:tc>
          <w:tcPr>
            <w:tcW w:w="1233" w:type="dxa"/>
            <w:shd w:val="clear" w:color="auto" w:fill="auto"/>
            <w:noWrap/>
            <w:vAlign w:val="center"/>
          </w:tcPr>
          <w:p w14:paraId="4746B8F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1150</w:t>
            </w:r>
          </w:p>
        </w:tc>
        <w:tc>
          <w:tcPr>
            <w:tcW w:w="1154" w:type="dxa"/>
            <w:shd w:val="clear" w:color="auto" w:fill="auto"/>
            <w:noWrap/>
            <w:vAlign w:val="center"/>
          </w:tcPr>
          <w:p w14:paraId="7F31A34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-30,2</w:t>
            </w:r>
          </w:p>
        </w:tc>
        <w:tc>
          <w:tcPr>
            <w:tcW w:w="1247" w:type="dxa"/>
            <w:shd w:val="clear" w:color="auto" w:fill="auto"/>
            <w:noWrap/>
            <w:vAlign w:val="center"/>
          </w:tcPr>
          <w:p w14:paraId="2E50ED2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5,3</w:t>
            </w:r>
          </w:p>
        </w:tc>
      </w:tr>
      <w:tr w:rsidR="00A74088" w:rsidRPr="002A7673" w14:paraId="59D2B43C" w14:textId="77777777" w:rsidTr="0048334E">
        <w:trPr>
          <w:trHeight w:val="300"/>
          <w:jc w:val="center"/>
        </w:trPr>
        <w:tc>
          <w:tcPr>
            <w:tcW w:w="1801" w:type="dxa"/>
            <w:shd w:val="clear" w:color="auto" w:fill="F2F2F2"/>
            <w:noWrap/>
            <w:vAlign w:val="center"/>
            <w:hideMark/>
          </w:tcPr>
          <w:p w14:paraId="4506C0FF"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San Carlos</w:t>
            </w:r>
          </w:p>
        </w:tc>
        <w:tc>
          <w:tcPr>
            <w:tcW w:w="1155" w:type="dxa"/>
            <w:shd w:val="clear" w:color="auto" w:fill="F2F2F2"/>
            <w:noWrap/>
            <w:vAlign w:val="center"/>
          </w:tcPr>
          <w:p w14:paraId="2F26C0E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2 212</w:t>
            </w:r>
          </w:p>
        </w:tc>
        <w:tc>
          <w:tcPr>
            <w:tcW w:w="1234" w:type="dxa"/>
            <w:shd w:val="clear" w:color="auto" w:fill="F2F2F2"/>
            <w:noWrap/>
            <w:vAlign w:val="center"/>
          </w:tcPr>
          <w:p w14:paraId="7CC2C4E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567</w:t>
            </w:r>
          </w:p>
        </w:tc>
        <w:tc>
          <w:tcPr>
            <w:tcW w:w="1154" w:type="dxa"/>
            <w:shd w:val="clear" w:color="auto" w:fill="F2F2F2"/>
            <w:noWrap/>
            <w:vAlign w:val="center"/>
          </w:tcPr>
          <w:p w14:paraId="5708456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2060</w:t>
            </w:r>
          </w:p>
        </w:tc>
        <w:tc>
          <w:tcPr>
            <w:tcW w:w="1233" w:type="dxa"/>
            <w:shd w:val="clear" w:color="auto" w:fill="F2F2F2"/>
            <w:noWrap/>
            <w:vAlign w:val="center"/>
          </w:tcPr>
          <w:p w14:paraId="735B73E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811</w:t>
            </w:r>
          </w:p>
        </w:tc>
        <w:tc>
          <w:tcPr>
            <w:tcW w:w="1154" w:type="dxa"/>
            <w:shd w:val="clear" w:color="auto" w:fill="F2F2F2"/>
            <w:noWrap/>
            <w:vAlign w:val="center"/>
          </w:tcPr>
          <w:p w14:paraId="16797B6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-6,9</w:t>
            </w:r>
          </w:p>
        </w:tc>
        <w:tc>
          <w:tcPr>
            <w:tcW w:w="1247" w:type="dxa"/>
            <w:shd w:val="clear" w:color="auto" w:fill="F2F2F2"/>
            <w:noWrap/>
            <w:vAlign w:val="center"/>
          </w:tcPr>
          <w:p w14:paraId="4D809B4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43,0</w:t>
            </w:r>
          </w:p>
        </w:tc>
      </w:tr>
      <w:tr w:rsidR="00A74088" w:rsidRPr="002A7673" w14:paraId="49EB113B" w14:textId="77777777" w:rsidTr="0048334E">
        <w:trPr>
          <w:trHeight w:val="300"/>
          <w:jc w:val="center"/>
        </w:trPr>
        <w:tc>
          <w:tcPr>
            <w:tcW w:w="1801" w:type="dxa"/>
            <w:shd w:val="clear" w:color="auto" w:fill="auto"/>
            <w:noWrap/>
            <w:vAlign w:val="center"/>
            <w:hideMark/>
          </w:tcPr>
          <w:p w14:paraId="035944C8"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San Ramón</w:t>
            </w:r>
          </w:p>
        </w:tc>
        <w:tc>
          <w:tcPr>
            <w:tcW w:w="1155" w:type="dxa"/>
            <w:shd w:val="clear" w:color="auto" w:fill="auto"/>
            <w:noWrap/>
            <w:vAlign w:val="center"/>
          </w:tcPr>
          <w:p w14:paraId="12B05E1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2 214</w:t>
            </w:r>
          </w:p>
        </w:tc>
        <w:tc>
          <w:tcPr>
            <w:tcW w:w="1234" w:type="dxa"/>
            <w:shd w:val="clear" w:color="auto" w:fill="auto"/>
            <w:noWrap/>
            <w:vAlign w:val="center"/>
          </w:tcPr>
          <w:p w14:paraId="13172D8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650</w:t>
            </w:r>
          </w:p>
        </w:tc>
        <w:tc>
          <w:tcPr>
            <w:tcW w:w="1154" w:type="dxa"/>
            <w:shd w:val="clear" w:color="auto" w:fill="auto"/>
            <w:noWrap/>
            <w:vAlign w:val="center"/>
          </w:tcPr>
          <w:p w14:paraId="7B39F68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2162</w:t>
            </w:r>
          </w:p>
        </w:tc>
        <w:tc>
          <w:tcPr>
            <w:tcW w:w="1233" w:type="dxa"/>
            <w:shd w:val="clear" w:color="auto" w:fill="auto"/>
            <w:noWrap/>
            <w:vAlign w:val="center"/>
          </w:tcPr>
          <w:p w14:paraId="79B336C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818</w:t>
            </w:r>
          </w:p>
        </w:tc>
        <w:tc>
          <w:tcPr>
            <w:tcW w:w="1154" w:type="dxa"/>
            <w:shd w:val="clear" w:color="auto" w:fill="auto"/>
            <w:noWrap/>
            <w:vAlign w:val="center"/>
          </w:tcPr>
          <w:p w14:paraId="6B49C19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-2,3</w:t>
            </w:r>
          </w:p>
        </w:tc>
        <w:tc>
          <w:tcPr>
            <w:tcW w:w="1247" w:type="dxa"/>
            <w:shd w:val="clear" w:color="auto" w:fill="auto"/>
            <w:noWrap/>
            <w:vAlign w:val="center"/>
          </w:tcPr>
          <w:p w14:paraId="0793BDF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25,8</w:t>
            </w:r>
          </w:p>
        </w:tc>
      </w:tr>
      <w:tr w:rsidR="00A74088" w:rsidRPr="002A7673" w14:paraId="7D03414E" w14:textId="77777777" w:rsidTr="0048334E">
        <w:trPr>
          <w:trHeight w:val="300"/>
          <w:jc w:val="center"/>
        </w:trPr>
        <w:tc>
          <w:tcPr>
            <w:tcW w:w="1801" w:type="dxa"/>
            <w:shd w:val="clear" w:color="auto" w:fill="F2F2F2"/>
            <w:noWrap/>
            <w:vAlign w:val="center"/>
            <w:hideMark/>
          </w:tcPr>
          <w:p w14:paraId="5A00EB3C"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Cañas</w:t>
            </w:r>
          </w:p>
        </w:tc>
        <w:tc>
          <w:tcPr>
            <w:tcW w:w="1155" w:type="dxa"/>
            <w:shd w:val="clear" w:color="auto" w:fill="F2F2F2"/>
            <w:noWrap/>
            <w:vAlign w:val="center"/>
          </w:tcPr>
          <w:p w14:paraId="704D3EB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1 351</w:t>
            </w:r>
          </w:p>
        </w:tc>
        <w:tc>
          <w:tcPr>
            <w:tcW w:w="1234" w:type="dxa"/>
            <w:shd w:val="clear" w:color="auto" w:fill="F2F2F2"/>
            <w:noWrap/>
            <w:vAlign w:val="center"/>
          </w:tcPr>
          <w:p w14:paraId="5E6C4EE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364</w:t>
            </w:r>
          </w:p>
        </w:tc>
        <w:tc>
          <w:tcPr>
            <w:tcW w:w="1154" w:type="dxa"/>
            <w:shd w:val="clear" w:color="auto" w:fill="F2F2F2"/>
            <w:noWrap/>
            <w:vAlign w:val="center"/>
          </w:tcPr>
          <w:p w14:paraId="7C1C763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1180</w:t>
            </w:r>
          </w:p>
        </w:tc>
        <w:tc>
          <w:tcPr>
            <w:tcW w:w="1233" w:type="dxa"/>
            <w:shd w:val="clear" w:color="auto" w:fill="F2F2F2"/>
            <w:noWrap/>
            <w:vAlign w:val="center"/>
          </w:tcPr>
          <w:p w14:paraId="6AEF3A6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411</w:t>
            </w:r>
          </w:p>
        </w:tc>
        <w:tc>
          <w:tcPr>
            <w:tcW w:w="1154" w:type="dxa"/>
            <w:shd w:val="clear" w:color="auto" w:fill="F2F2F2"/>
            <w:noWrap/>
            <w:vAlign w:val="center"/>
          </w:tcPr>
          <w:p w14:paraId="76A12E8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-12,7</w:t>
            </w:r>
          </w:p>
        </w:tc>
        <w:tc>
          <w:tcPr>
            <w:tcW w:w="1247" w:type="dxa"/>
            <w:shd w:val="clear" w:color="auto" w:fill="F2F2F2"/>
            <w:noWrap/>
            <w:vAlign w:val="center"/>
          </w:tcPr>
          <w:p w14:paraId="2083D80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12,9</w:t>
            </w:r>
          </w:p>
        </w:tc>
      </w:tr>
      <w:tr w:rsidR="00A74088" w:rsidRPr="002A7673" w14:paraId="5752520D" w14:textId="77777777" w:rsidTr="0048334E">
        <w:trPr>
          <w:trHeight w:val="300"/>
          <w:jc w:val="center"/>
        </w:trPr>
        <w:tc>
          <w:tcPr>
            <w:tcW w:w="1801" w:type="dxa"/>
            <w:shd w:val="clear" w:color="auto" w:fill="auto"/>
            <w:noWrap/>
            <w:vAlign w:val="center"/>
            <w:hideMark/>
          </w:tcPr>
          <w:p w14:paraId="00ED5975"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Garabito</w:t>
            </w:r>
          </w:p>
        </w:tc>
        <w:tc>
          <w:tcPr>
            <w:tcW w:w="1155" w:type="dxa"/>
            <w:shd w:val="clear" w:color="auto" w:fill="auto"/>
            <w:noWrap/>
            <w:vAlign w:val="center"/>
          </w:tcPr>
          <w:p w14:paraId="2C8D846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1 434</w:t>
            </w:r>
          </w:p>
        </w:tc>
        <w:tc>
          <w:tcPr>
            <w:tcW w:w="1234" w:type="dxa"/>
            <w:shd w:val="clear" w:color="auto" w:fill="auto"/>
            <w:noWrap/>
            <w:vAlign w:val="center"/>
          </w:tcPr>
          <w:p w14:paraId="4C1CD49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460</w:t>
            </w:r>
          </w:p>
        </w:tc>
        <w:tc>
          <w:tcPr>
            <w:tcW w:w="1154" w:type="dxa"/>
            <w:shd w:val="clear" w:color="auto" w:fill="auto"/>
            <w:noWrap/>
            <w:vAlign w:val="center"/>
          </w:tcPr>
          <w:p w14:paraId="09143ED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891</w:t>
            </w:r>
          </w:p>
        </w:tc>
        <w:tc>
          <w:tcPr>
            <w:tcW w:w="1233" w:type="dxa"/>
            <w:shd w:val="clear" w:color="auto" w:fill="auto"/>
            <w:noWrap/>
            <w:vAlign w:val="center"/>
          </w:tcPr>
          <w:p w14:paraId="68BAC29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397</w:t>
            </w:r>
          </w:p>
        </w:tc>
        <w:tc>
          <w:tcPr>
            <w:tcW w:w="1154" w:type="dxa"/>
            <w:shd w:val="clear" w:color="auto" w:fill="auto"/>
            <w:noWrap/>
            <w:vAlign w:val="center"/>
          </w:tcPr>
          <w:p w14:paraId="5FC940C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-37,9</w:t>
            </w:r>
          </w:p>
        </w:tc>
        <w:tc>
          <w:tcPr>
            <w:tcW w:w="1247" w:type="dxa"/>
            <w:shd w:val="clear" w:color="auto" w:fill="auto"/>
            <w:noWrap/>
            <w:vAlign w:val="center"/>
          </w:tcPr>
          <w:p w14:paraId="46C6E52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-13,7</w:t>
            </w:r>
          </w:p>
        </w:tc>
      </w:tr>
      <w:tr w:rsidR="00A74088" w:rsidRPr="002A7673" w14:paraId="23908911" w14:textId="77777777" w:rsidTr="0048334E">
        <w:trPr>
          <w:trHeight w:val="300"/>
          <w:jc w:val="center"/>
        </w:trPr>
        <w:tc>
          <w:tcPr>
            <w:tcW w:w="1801" w:type="dxa"/>
            <w:shd w:val="clear" w:color="auto" w:fill="F2F2F2"/>
            <w:noWrap/>
            <w:vAlign w:val="center"/>
            <w:hideMark/>
          </w:tcPr>
          <w:p w14:paraId="0C2295BE"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La Unión</w:t>
            </w:r>
          </w:p>
        </w:tc>
        <w:tc>
          <w:tcPr>
            <w:tcW w:w="1155" w:type="dxa"/>
            <w:shd w:val="clear" w:color="auto" w:fill="F2F2F2"/>
            <w:noWrap/>
            <w:vAlign w:val="center"/>
          </w:tcPr>
          <w:p w14:paraId="25D7456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1 709</w:t>
            </w:r>
          </w:p>
        </w:tc>
        <w:tc>
          <w:tcPr>
            <w:tcW w:w="1234" w:type="dxa"/>
            <w:shd w:val="clear" w:color="auto" w:fill="F2F2F2"/>
            <w:noWrap/>
            <w:vAlign w:val="center"/>
          </w:tcPr>
          <w:p w14:paraId="4E8E872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628</w:t>
            </w:r>
          </w:p>
        </w:tc>
        <w:tc>
          <w:tcPr>
            <w:tcW w:w="1154" w:type="dxa"/>
            <w:shd w:val="clear" w:color="auto" w:fill="F2F2F2"/>
            <w:noWrap/>
            <w:vAlign w:val="center"/>
          </w:tcPr>
          <w:p w14:paraId="4CE33A2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1644</w:t>
            </w:r>
          </w:p>
        </w:tc>
        <w:tc>
          <w:tcPr>
            <w:tcW w:w="1233" w:type="dxa"/>
            <w:shd w:val="clear" w:color="auto" w:fill="F2F2F2"/>
            <w:noWrap/>
            <w:vAlign w:val="center"/>
          </w:tcPr>
          <w:p w14:paraId="443BE93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865</w:t>
            </w:r>
          </w:p>
        </w:tc>
        <w:tc>
          <w:tcPr>
            <w:tcW w:w="1154" w:type="dxa"/>
            <w:shd w:val="clear" w:color="auto" w:fill="F2F2F2"/>
            <w:noWrap/>
            <w:vAlign w:val="center"/>
          </w:tcPr>
          <w:p w14:paraId="496E385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-3,8</w:t>
            </w:r>
          </w:p>
        </w:tc>
        <w:tc>
          <w:tcPr>
            <w:tcW w:w="1247" w:type="dxa"/>
            <w:shd w:val="clear" w:color="auto" w:fill="F2F2F2"/>
            <w:noWrap/>
            <w:vAlign w:val="center"/>
          </w:tcPr>
          <w:p w14:paraId="24747A9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37,7</w:t>
            </w:r>
          </w:p>
        </w:tc>
      </w:tr>
      <w:tr w:rsidR="00A74088" w:rsidRPr="002A7673" w14:paraId="60C1A304" w14:textId="77777777" w:rsidTr="0048334E">
        <w:trPr>
          <w:trHeight w:val="300"/>
          <w:jc w:val="center"/>
        </w:trPr>
        <w:tc>
          <w:tcPr>
            <w:tcW w:w="1801" w:type="dxa"/>
            <w:shd w:val="clear" w:color="auto" w:fill="auto"/>
            <w:noWrap/>
            <w:vAlign w:val="center"/>
            <w:hideMark/>
          </w:tcPr>
          <w:p w14:paraId="7AE71535"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Nicoya</w:t>
            </w:r>
          </w:p>
        </w:tc>
        <w:tc>
          <w:tcPr>
            <w:tcW w:w="1155" w:type="dxa"/>
            <w:shd w:val="clear" w:color="auto" w:fill="auto"/>
            <w:noWrap/>
            <w:vAlign w:val="center"/>
          </w:tcPr>
          <w:p w14:paraId="0E258FC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1 609</w:t>
            </w:r>
          </w:p>
        </w:tc>
        <w:tc>
          <w:tcPr>
            <w:tcW w:w="1234" w:type="dxa"/>
            <w:shd w:val="clear" w:color="auto" w:fill="auto"/>
            <w:noWrap/>
            <w:vAlign w:val="center"/>
          </w:tcPr>
          <w:p w14:paraId="5208E8E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498</w:t>
            </w:r>
          </w:p>
        </w:tc>
        <w:tc>
          <w:tcPr>
            <w:tcW w:w="1154" w:type="dxa"/>
            <w:shd w:val="clear" w:color="auto" w:fill="auto"/>
            <w:noWrap/>
            <w:vAlign w:val="center"/>
          </w:tcPr>
          <w:p w14:paraId="3ADBE78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1372</w:t>
            </w:r>
          </w:p>
        </w:tc>
        <w:tc>
          <w:tcPr>
            <w:tcW w:w="1233" w:type="dxa"/>
            <w:shd w:val="clear" w:color="auto" w:fill="auto"/>
            <w:noWrap/>
            <w:vAlign w:val="center"/>
          </w:tcPr>
          <w:p w14:paraId="214EA27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661</w:t>
            </w:r>
          </w:p>
        </w:tc>
        <w:tc>
          <w:tcPr>
            <w:tcW w:w="1154" w:type="dxa"/>
            <w:shd w:val="clear" w:color="auto" w:fill="auto"/>
            <w:noWrap/>
            <w:vAlign w:val="center"/>
          </w:tcPr>
          <w:p w14:paraId="60BBFA2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-14,7</w:t>
            </w:r>
          </w:p>
        </w:tc>
        <w:tc>
          <w:tcPr>
            <w:tcW w:w="1247" w:type="dxa"/>
            <w:shd w:val="clear" w:color="auto" w:fill="auto"/>
            <w:noWrap/>
            <w:vAlign w:val="center"/>
          </w:tcPr>
          <w:p w14:paraId="2677E60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32,7</w:t>
            </w:r>
          </w:p>
        </w:tc>
      </w:tr>
      <w:tr w:rsidR="00A74088" w:rsidRPr="002A7673" w14:paraId="65A716DB" w14:textId="77777777" w:rsidTr="0048334E">
        <w:trPr>
          <w:trHeight w:val="300"/>
          <w:jc w:val="center"/>
        </w:trPr>
        <w:tc>
          <w:tcPr>
            <w:tcW w:w="1801" w:type="dxa"/>
            <w:shd w:val="clear" w:color="auto" w:fill="F2F2F2"/>
            <w:noWrap/>
            <w:vAlign w:val="center"/>
            <w:hideMark/>
          </w:tcPr>
          <w:p w14:paraId="7F97BAEC"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Quepos</w:t>
            </w:r>
          </w:p>
        </w:tc>
        <w:tc>
          <w:tcPr>
            <w:tcW w:w="1155" w:type="dxa"/>
            <w:shd w:val="clear" w:color="auto" w:fill="F2F2F2"/>
            <w:noWrap/>
            <w:vAlign w:val="center"/>
          </w:tcPr>
          <w:p w14:paraId="7AEAF43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1 823</w:t>
            </w:r>
          </w:p>
        </w:tc>
        <w:tc>
          <w:tcPr>
            <w:tcW w:w="1234" w:type="dxa"/>
            <w:shd w:val="clear" w:color="auto" w:fill="F2F2F2"/>
            <w:noWrap/>
            <w:vAlign w:val="center"/>
          </w:tcPr>
          <w:p w14:paraId="22A7747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680</w:t>
            </w:r>
          </w:p>
        </w:tc>
        <w:tc>
          <w:tcPr>
            <w:tcW w:w="1154" w:type="dxa"/>
            <w:shd w:val="clear" w:color="auto" w:fill="F2F2F2"/>
            <w:noWrap/>
            <w:vAlign w:val="center"/>
          </w:tcPr>
          <w:p w14:paraId="0D2CB42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1497</w:t>
            </w:r>
          </w:p>
        </w:tc>
        <w:tc>
          <w:tcPr>
            <w:tcW w:w="1233" w:type="dxa"/>
            <w:shd w:val="clear" w:color="auto" w:fill="F2F2F2"/>
            <w:noWrap/>
            <w:vAlign w:val="center"/>
          </w:tcPr>
          <w:p w14:paraId="070826B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705</w:t>
            </w:r>
          </w:p>
        </w:tc>
        <w:tc>
          <w:tcPr>
            <w:tcW w:w="1154" w:type="dxa"/>
            <w:shd w:val="clear" w:color="auto" w:fill="F2F2F2"/>
            <w:noWrap/>
            <w:vAlign w:val="center"/>
          </w:tcPr>
          <w:p w14:paraId="5EC21F8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-17,9</w:t>
            </w:r>
          </w:p>
        </w:tc>
        <w:tc>
          <w:tcPr>
            <w:tcW w:w="1247" w:type="dxa"/>
            <w:shd w:val="clear" w:color="auto" w:fill="F2F2F2"/>
            <w:noWrap/>
            <w:vAlign w:val="center"/>
          </w:tcPr>
          <w:p w14:paraId="58418C1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3,7</w:t>
            </w:r>
          </w:p>
        </w:tc>
      </w:tr>
      <w:tr w:rsidR="00A74088" w:rsidRPr="002A7673" w14:paraId="1A4D9D65" w14:textId="77777777" w:rsidTr="0048334E">
        <w:trPr>
          <w:trHeight w:val="300"/>
          <w:jc w:val="center"/>
        </w:trPr>
        <w:tc>
          <w:tcPr>
            <w:tcW w:w="1801" w:type="dxa"/>
            <w:shd w:val="clear" w:color="auto" w:fill="auto"/>
            <w:noWrap/>
            <w:vAlign w:val="center"/>
            <w:hideMark/>
          </w:tcPr>
          <w:p w14:paraId="5624AF9E"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Santa Cruz</w:t>
            </w:r>
          </w:p>
        </w:tc>
        <w:tc>
          <w:tcPr>
            <w:tcW w:w="1155" w:type="dxa"/>
            <w:shd w:val="clear" w:color="auto" w:fill="auto"/>
            <w:noWrap/>
            <w:vAlign w:val="center"/>
          </w:tcPr>
          <w:p w14:paraId="587214F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2 202</w:t>
            </w:r>
          </w:p>
        </w:tc>
        <w:tc>
          <w:tcPr>
            <w:tcW w:w="1234" w:type="dxa"/>
            <w:shd w:val="clear" w:color="auto" w:fill="auto"/>
            <w:noWrap/>
            <w:vAlign w:val="center"/>
          </w:tcPr>
          <w:p w14:paraId="2B9C30E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713</w:t>
            </w:r>
          </w:p>
        </w:tc>
        <w:tc>
          <w:tcPr>
            <w:tcW w:w="1154" w:type="dxa"/>
            <w:shd w:val="clear" w:color="auto" w:fill="auto"/>
            <w:noWrap/>
            <w:vAlign w:val="center"/>
          </w:tcPr>
          <w:p w14:paraId="220C3B6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1992</w:t>
            </w:r>
          </w:p>
        </w:tc>
        <w:tc>
          <w:tcPr>
            <w:tcW w:w="1233" w:type="dxa"/>
            <w:shd w:val="clear" w:color="auto" w:fill="auto"/>
            <w:noWrap/>
            <w:vAlign w:val="center"/>
          </w:tcPr>
          <w:p w14:paraId="4A50789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739</w:t>
            </w:r>
          </w:p>
        </w:tc>
        <w:tc>
          <w:tcPr>
            <w:tcW w:w="1154" w:type="dxa"/>
            <w:shd w:val="clear" w:color="auto" w:fill="auto"/>
            <w:noWrap/>
            <w:vAlign w:val="center"/>
          </w:tcPr>
          <w:p w14:paraId="0C2F61A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-9,5</w:t>
            </w:r>
          </w:p>
        </w:tc>
        <w:tc>
          <w:tcPr>
            <w:tcW w:w="1247" w:type="dxa"/>
            <w:shd w:val="clear" w:color="auto" w:fill="auto"/>
            <w:noWrap/>
            <w:vAlign w:val="center"/>
          </w:tcPr>
          <w:p w14:paraId="10C2C00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3,6</w:t>
            </w:r>
          </w:p>
        </w:tc>
      </w:tr>
      <w:tr w:rsidR="00A74088" w:rsidRPr="002A7673" w14:paraId="47C96051" w14:textId="77777777" w:rsidTr="0048334E">
        <w:trPr>
          <w:trHeight w:val="300"/>
          <w:jc w:val="center"/>
        </w:trPr>
        <w:tc>
          <w:tcPr>
            <w:tcW w:w="1801" w:type="dxa"/>
            <w:shd w:val="clear" w:color="auto" w:fill="F2F2F2"/>
            <w:noWrap/>
            <w:vAlign w:val="center"/>
            <w:hideMark/>
          </w:tcPr>
          <w:p w14:paraId="2E9BDECB"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Sarapiquí</w:t>
            </w:r>
          </w:p>
        </w:tc>
        <w:tc>
          <w:tcPr>
            <w:tcW w:w="1155" w:type="dxa"/>
            <w:shd w:val="clear" w:color="auto" w:fill="F2F2F2"/>
            <w:noWrap/>
            <w:vAlign w:val="center"/>
          </w:tcPr>
          <w:p w14:paraId="2CBEE6F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1 244</w:t>
            </w:r>
          </w:p>
        </w:tc>
        <w:tc>
          <w:tcPr>
            <w:tcW w:w="1234" w:type="dxa"/>
            <w:shd w:val="clear" w:color="auto" w:fill="F2F2F2"/>
            <w:noWrap/>
            <w:vAlign w:val="center"/>
          </w:tcPr>
          <w:p w14:paraId="32AE732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313</w:t>
            </w:r>
          </w:p>
        </w:tc>
        <w:tc>
          <w:tcPr>
            <w:tcW w:w="1154" w:type="dxa"/>
            <w:shd w:val="clear" w:color="auto" w:fill="F2F2F2"/>
            <w:noWrap/>
            <w:vAlign w:val="center"/>
          </w:tcPr>
          <w:p w14:paraId="69859E6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1113</w:t>
            </w:r>
          </w:p>
        </w:tc>
        <w:tc>
          <w:tcPr>
            <w:tcW w:w="1233" w:type="dxa"/>
            <w:shd w:val="clear" w:color="auto" w:fill="F2F2F2"/>
            <w:noWrap/>
            <w:vAlign w:val="center"/>
          </w:tcPr>
          <w:p w14:paraId="461B98F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300</w:t>
            </w:r>
          </w:p>
        </w:tc>
        <w:tc>
          <w:tcPr>
            <w:tcW w:w="1154" w:type="dxa"/>
            <w:shd w:val="clear" w:color="auto" w:fill="F2F2F2"/>
            <w:noWrap/>
            <w:vAlign w:val="center"/>
          </w:tcPr>
          <w:p w14:paraId="2BC7D54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-10,5</w:t>
            </w:r>
          </w:p>
        </w:tc>
        <w:tc>
          <w:tcPr>
            <w:tcW w:w="1247" w:type="dxa"/>
            <w:shd w:val="clear" w:color="auto" w:fill="F2F2F2"/>
            <w:noWrap/>
            <w:vAlign w:val="center"/>
          </w:tcPr>
          <w:p w14:paraId="2C4E02A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-4,2</w:t>
            </w:r>
          </w:p>
        </w:tc>
      </w:tr>
      <w:tr w:rsidR="00A74088" w:rsidRPr="002A7673" w14:paraId="08C56A74" w14:textId="77777777" w:rsidTr="0048334E">
        <w:trPr>
          <w:trHeight w:val="300"/>
          <w:jc w:val="center"/>
        </w:trPr>
        <w:tc>
          <w:tcPr>
            <w:tcW w:w="1801" w:type="dxa"/>
            <w:shd w:val="clear" w:color="auto" w:fill="auto"/>
            <w:noWrap/>
            <w:vAlign w:val="center"/>
            <w:hideMark/>
          </w:tcPr>
          <w:p w14:paraId="1380E97B"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Siquirres</w:t>
            </w:r>
          </w:p>
        </w:tc>
        <w:tc>
          <w:tcPr>
            <w:tcW w:w="1155" w:type="dxa"/>
            <w:shd w:val="clear" w:color="auto" w:fill="auto"/>
            <w:noWrap/>
            <w:vAlign w:val="center"/>
          </w:tcPr>
          <w:p w14:paraId="5389D64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1 606</w:t>
            </w:r>
          </w:p>
        </w:tc>
        <w:tc>
          <w:tcPr>
            <w:tcW w:w="1234" w:type="dxa"/>
            <w:shd w:val="clear" w:color="auto" w:fill="auto"/>
            <w:noWrap/>
            <w:vAlign w:val="center"/>
          </w:tcPr>
          <w:p w14:paraId="69EEE77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511</w:t>
            </w:r>
          </w:p>
        </w:tc>
        <w:tc>
          <w:tcPr>
            <w:tcW w:w="1154" w:type="dxa"/>
            <w:shd w:val="clear" w:color="auto" w:fill="auto"/>
            <w:noWrap/>
            <w:vAlign w:val="center"/>
          </w:tcPr>
          <w:p w14:paraId="0D31BEF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1330</w:t>
            </w:r>
          </w:p>
        </w:tc>
        <w:tc>
          <w:tcPr>
            <w:tcW w:w="1233" w:type="dxa"/>
            <w:shd w:val="clear" w:color="auto" w:fill="auto"/>
            <w:noWrap/>
            <w:vAlign w:val="center"/>
          </w:tcPr>
          <w:p w14:paraId="4878705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589</w:t>
            </w:r>
          </w:p>
        </w:tc>
        <w:tc>
          <w:tcPr>
            <w:tcW w:w="1154" w:type="dxa"/>
            <w:shd w:val="clear" w:color="auto" w:fill="auto"/>
            <w:noWrap/>
            <w:vAlign w:val="center"/>
          </w:tcPr>
          <w:p w14:paraId="4F7B56B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-17,2</w:t>
            </w:r>
          </w:p>
        </w:tc>
        <w:tc>
          <w:tcPr>
            <w:tcW w:w="1247" w:type="dxa"/>
            <w:shd w:val="clear" w:color="auto" w:fill="auto"/>
            <w:noWrap/>
            <w:vAlign w:val="center"/>
          </w:tcPr>
          <w:p w14:paraId="49BA3D1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15,3</w:t>
            </w:r>
          </w:p>
        </w:tc>
      </w:tr>
      <w:tr w:rsidR="00A74088" w:rsidRPr="002A7673" w14:paraId="66430899" w14:textId="77777777" w:rsidTr="0048334E">
        <w:trPr>
          <w:trHeight w:val="300"/>
          <w:jc w:val="center"/>
        </w:trPr>
        <w:tc>
          <w:tcPr>
            <w:tcW w:w="1801" w:type="dxa"/>
            <w:shd w:val="clear" w:color="auto" w:fill="F2F2F2"/>
            <w:noWrap/>
            <w:vAlign w:val="center"/>
            <w:hideMark/>
          </w:tcPr>
          <w:p w14:paraId="18919D3D"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Turrialba</w:t>
            </w:r>
          </w:p>
        </w:tc>
        <w:tc>
          <w:tcPr>
            <w:tcW w:w="1155" w:type="dxa"/>
            <w:shd w:val="clear" w:color="auto" w:fill="F2F2F2"/>
            <w:noWrap/>
            <w:vAlign w:val="center"/>
          </w:tcPr>
          <w:p w14:paraId="2549F05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1 532</w:t>
            </w:r>
          </w:p>
        </w:tc>
        <w:tc>
          <w:tcPr>
            <w:tcW w:w="1234" w:type="dxa"/>
            <w:shd w:val="clear" w:color="auto" w:fill="F2F2F2"/>
            <w:noWrap/>
            <w:vAlign w:val="center"/>
          </w:tcPr>
          <w:p w14:paraId="209743B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529</w:t>
            </w:r>
          </w:p>
        </w:tc>
        <w:tc>
          <w:tcPr>
            <w:tcW w:w="1154" w:type="dxa"/>
            <w:shd w:val="clear" w:color="auto" w:fill="F2F2F2"/>
            <w:noWrap/>
            <w:vAlign w:val="center"/>
          </w:tcPr>
          <w:p w14:paraId="660E20E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1474</w:t>
            </w:r>
          </w:p>
        </w:tc>
        <w:tc>
          <w:tcPr>
            <w:tcW w:w="1233" w:type="dxa"/>
            <w:shd w:val="clear" w:color="auto" w:fill="F2F2F2"/>
            <w:noWrap/>
            <w:vAlign w:val="center"/>
          </w:tcPr>
          <w:p w14:paraId="4710C15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728</w:t>
            </w:r>
          </w:p>
        </w:tc>
        <w:tc>
          <w:tcPr>
            <w:tcW w:w="1154" w:type="dxa"/>
            <w:shd w:val="clear" w:color="auto" w:fill="F2F2F2"/>
            <w:noWrap/>
            <w:vAlign w:val="center"/>
          </w:tcPr>
          <w:p w14:paraId="68D6F44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-3,8</w:t>
            </w:r>
          </w:p>
        </w:tc>
        <w:tc>
          <w:tcPr>
            <w:tcW w:w="1247" w:type="dxa"/>
            <w:shd w:val="clear" w:color="auto" w:fill="F2F2F2"/>
            <w:noWrap/>
            <w:vAlign w:val="center"/>
          </w:tcPr>
          <w:p w14:paraId="1965824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37,6</w:t>
            </w:r>
          </w:p>
        </w:tc>
      </w:tr>
      <w:tr w:rsidR="00A74088" w:rsidRPr="002A7673" w14:paraId="07330995" w14:textId="77777777" w:rsidTr="0048334E">
        <w:trPr>
          <w:trHeight w:val="300"/>
          <w:jc w:val="center"/>
        </w:trPr>
        <w:tc>
          <w:tcPr>
            <w:tcW w:w="1801" w:type="dxa"/>
            <w:shd w:val="clear" w:color="auto" w:fill="auto"/>
            <w:noWrap/>
            <w:vAlign w:val="center"/>
            <w:hideMark/>
          </w:tcPr>
          <w:p w14:paraId="34ADC1A1"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Batán</w:t>
            </w:r>
          </w:p>
        </w:tc>
        <w:tc>
          <w:tcPr>
            <w:tcW w:w="1155" w:type="dxa"/>
            <w:shd w:val="clear" w:color="auto" w:fill="auto"/>
            <w:noWrap/>
            <w:vAlign w:val="center"/>
          </w:tcPr>
          <w:p w14:paraId="08EA147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1 046</w:t>
            </w:r>
          </w:p>
        </w:tc>
        <w:tc>
          <w:tcPr>
            <w:tcW w:w="1234" w:type="dxa"/>
            <w:shd w:val="clear" w:color="auto" w:fill="auto"/>
            <w:noWrap/>
            <w:vAlign w:val="center"/>
          </w:tcPr>
          <w:p w14:paraId="1720881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386</w:t>
            </w:r>
          </w:p>
        </w:tc>
        <w:tc>
          <w:tcPr>
            <w:tcW w:w="1154" w:type="dxa"/>
            <w:shd w:val="clear" w:color="auto" w:fill="auto"/>
            <w:noWrap/>
            <w:vAlign w:val="center"/>
          </w:tcPr>
          <w:p w14:paraId="561229F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916</w:t>
            </w:r>
          </w:p>
        </w:tc>
        <w:tc>
          <w:tcPr>
            <w:tcW w:w="1233" w:type="dxa"/>
            <w:shd w:val="clear" w:color="auto" w:fill="auto"/>
            <w:noWrap/>
            <w:vAlign w:val="center"/>
          </w:tcPr>
          <w:p w14:paraId="11E1688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326</w:t>
            </w:r>
          </w:p>
        </w:tc>
        <w:tc>
          <w:tcPr>
            <w:tcW w:w="1154" w:type="dxa"/>
            <w:shd w:val="clear" w:color="auto" w:fill="auto"/>
            <w:noWrap/>
            <w:vAlign w:val="center"/>
          </w:tcPr>
          <w:p w14:paraId="0F742E4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-12,4</w:t>
            </w:r>
          </w:p>
        </w:tc>
        <w:tc>
          <w:tcPr>
            <w:tcW w:w="1247" w:type="dxa"/>
            <w:shd w:val="clear" w:color="auto" w:fill="auto"/>
            <w:noWrap/>
            <w:vAlign w:val="center"/>
          </w:tcPr>
          <w:p w14:paraId="771F4F5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-15,5</w:t>
            </w:r>
          </w:p>
        </w:tc>
      </w:tr>
      <w:tr w:rsidR="00A74088" w:rsidRPr="002A7673" w14:paraId="78EC6ADD" w14:textId="77777777" w:rsidTr="0048334E">
        <w:trPr>
          <w:trHeight w:val="300"/>
          <w:jc w:val="center"/>
        </w:trPr>
        <w:tc>
          <w:tcPr>
            <w:tcW w:w="1801" w:type="dxa"/>
            <w:shd w:val="clear" w:color="auto" w:fill="F2F2F2"/>
            <w:noWrap/>
            <w:vAlign w:val="center"/>
            <w:hideMark/>
          </w:tcPr>
          <w:p w14:paraId="4C03584B" w14:textId="77777777" w:rsidR="00A74088" w:rsidRPr="002A7673" w:rsidRDefault="00A74088" w:rsidP="0048334E">
            <w:pPr>
              <w:rPr>
                <w:rFonts w:ascii="Times New Roman" w:hAnsi="Times New Roman" w:cs="Times New Roman"/>
                <w:color w:val="000000"/>
                <w:sz w:val="20"/>
                <w:szCs w:val="20"/>
              </w:rPr>
            </w:pPr>
            <w:proofErr w:type="spellStart"/>
            <w:r w:rsidRPr="002A7673">
              <w:rPr>
                <w:rFonts w:ascii="Times New Roman" w:hAnsi="Times New Roman" w:cs="Times New Roman"/>
                <w:color w:val="000000"/>
                <w:sz w:val="20"/>
                <w:szCs w:val="20"/>
              </w:rPr>
              <w:t>Bribrí</w:t>
            </w:r>
            <w:proofErr w:type="spellEnd"/>
          </w:p>
        </w:tc>
        <w:tc>
          <w:tcPr>
            <w:tcW w:w="1155" w:type="dxa"/>
            <w:shd w:val="clear" w:color="auto" w:fill="F2F2F2"/>
            <w:noWrap/>
            <w:vAlign w:val="center"/>
          </w:tcPr>
          <w:p w14:paraId="375F13C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952</w:t>
            </w:r>
          </w:p>
        </w:tc>
        <w:tc>
          <w:tcPr>
            <w:tcW w:w="1234" w:type="dxa"/>
            <w:shd w:val="clear" w:color="auto" w:fill="F2F2F2"/>
            <w:noWrap/>
            <w:vAlign w:val="center"/>
          </w:tcPr>
          <w:p w14:paraId="5587A88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322</w:t>
            </w:r>
          </w:p>
        </w:tc>
        <w:tc>
          <w:tcPr>
            <w:tcW w:w="1154" w:type="dxa"/>
            <w:shd w:val="clear" w:color="auto" w:fill="F2F2F2"/>
            <w:noWrap/>
            <w:vAlign w:val="center"/>
          </w:tcPr>
          <w:p w14:paraId="5058B24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774</w:t>
            </w:r>
          </w:p>
        </w:tc>
        <w:tc>
          <w:tcPr>
            <w:tcW w:w="1233" w:type="dxa"/>
            <w:shd w:val="clear" w:color="auto" w:fill="F2F2F2"/>
            <w:noWrap/>
            <w:vAlign w:val="center"/>
          </w:tcPr>
          <w:p w14:paraId="75BB73C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299</w:t>
            </w:r>
          </w:p>
        </w:tc>
        <w:tc>
          <w:tcPr>
            <w:tcW w:w="1154" w:type="dxa"/>
            <w:shd w:val="clear" w:color="auto" w:fill="F2F2F2"/>
            <w:noWrap/>
            <w:vAlign w:val="center"/>
          </w:tcPr>
          <w:p w14:paraId="335679E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-18,7</w:t>
            </w:r>
          </w:p>
        </w:tc>
        <w:tc>
          <w:tcPr>
            <w:tcW w:w="1247" w:type="dxa"/>
            <w:shd w:val="clear" w:color="auto" w:fill="F2F2F2"/>
            <w:noWrap/>
            <w:vAlign w:val="center"/>
          </w:tcPr>
          <w:p w14:paraId="178F8BA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-7,1</w:t>
            </w:r>
          </w:p>
        </w:tc>
      </w:tr>
      <w:tr w:rsidR="00A74088" w:rsidRPr="002A7673" w14:paraId="7861736C" w14:textId="77777777" w:rsidTr="0048334E">
        <w:trPr>
          <w:trHeight w:val="300"/>
          <w:jc w:val="center"/>
        </w:trPr>
        <w:tc>
          <w:tcPr>
            <w:tcW w:w="1801" w:type="dxa"/>
            <w:shd w:val="clear" w:color="auto" w:fill="auto"/>
            <w:noWrap/>
            <w:vAlign w:val="center"/>
            <w:hideMark/>
          </w:tcPr>
          <w:p w14:paraId="20CC9626"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Cóbano</w:t>
            </w:r>
          </w:p>
        </w:tc>
        <w:tc>
          <w:tcPr>
            <w:tcW w:w="1155" w:type="dxa"/>
            <w:shd w:val="clear" w:color="auto" w:fill="auto"/>
            <w:noWrap/>
            <w:vAlign w:val="center"/>
          </w:tcPr>
          <w:p w14:paraId="63A8FF0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543</w:t>
            </w:r>
          </w:p>
        </w:tc>
        <w:tc>
          <w:tcPr>
            <w:tcW w:w="1234" w:type="dxa"/>
            <w:shd w:val="clear" w:color="auto" w:fill="auto"/>
            <w:noWrap/>
            <w:vAlign w:val="center"/>
          </w:tcPr>
          <w:p w14:paraId="654BA2F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138</w:t>
            </w:r>
          </w:p>
        </w:tc>
        <w:tc>
          <w:tcPr>
            <w:tcW w:w="1154" w:type="dxa"/>
            <w:shd w:val="clear" w:color="auto" w:fill="auto"/>
            <w:noWrap/>
            <w:vAlign w:val="center"/>
          </w:tcPr>
          <w:p w14:paraId="21B833F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472</w:t>
            </w:r>
          </w:p>
        </w:tc>
        <w:tc>
          <w:tcPr>
            <w:tcW w:w="1233" w:type="dxa"/>
            <w:shd w:val="clear" w:color="auto" w:fill="auto"/>
            <w:noWrap/>
            <w:vAlign w:val="center"/>
          </w:tcPr>
          <w:p w14:paraId="32ADD70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238</w:t>
            </w:r>
          </w:p>
        </w:tc>
        <w:tc>
          <w:tcPr>
            <w:tcW w:w="1154" w:type="dxa"/>
            <w:shd w:val="clear" w:color="auto" w:fill="auto"/>
            <w:noWrap/>
            <w:vAlign w:val="center"/>
          </w:tcPr>
          <w:p w14:paraId="521F1B0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-13,1</w:t>
            </w:r>
          </w:p>
        </w:tc>
        <w:tc>
          <w:tcPr>
            <w:tcW w:w="1247" w:type="dxa"/>
            <w:shd w:val="clear" w:color="auto" w:fill="auto"/>
            <w:noWrap/>
            <w:vAlign w:val="center"/>
          </w:tcPr>
          <w:p w14:paraId="0E5BF20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72,5</w:t>
            </w:r>
          </w:p>
        </w:tc>
      </w:tr>
      <w:tr w:rsidR="00A74088" w:rsidRPr="002A7673" w14:paraId="2E9D4A71" w14:textId="77777777" w:rsidTr="0048334E">
        <w:trPr>
          <w:trHeight w:val="300"/>
          <w:jc w:val="center"/>
        </w:trPr>
        <w:tc>
          <w:tcPr>
            <w:tcW w:w="1801" w:type="dxa"/>
            <w:shd w:val="clear" w:color="auto" w:fill="F2F2F2"/>
            <w:noWrap/>
            <w:vAlign w:val="center"/>
            <w:hideMark/>
          </w:tcPr>
          <w:p w14:paraId="4D95F7DC"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Grecia</w:t>
            </w:r>
          </w:p>
        </w:tc>
        <w:tc>
          <w:tcPr>
            <w:tcW w:w="1155" w:type="dxa"/>
            <w:shd w:val="clear" w:color="auto" w:fill="F2F2F2"/>
            <w:noWrap/>
            <w:vAlign w:val="center"/>
          </w:tcPr>
          <w:p w14:paraId="0D52960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1 069</w:t>
            </w:r>
          </w:p>
        </w:tc>
        <w:tc>
          <w:tcPr>
            <w:tcW w:w="1234" w:type="dxa"/>
            <w:shd w:val="clear" w:color="auto" w:fill="F2F2F2"/>
            <w:noWrap/>
            <w:vAlign w:val="center"/>
          </w:tcPr>
          <w:p w14:paraId="3453567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451</w:t>
            </w:r>
          </w:p>
        </w:tc>
        <w:tc>
          <w:tcPr>
            <w:tcW w:w="1154" w:type="dxa"/>
            <w:shd w:val="clear" w:color="auto" w:fill="F2F2F2"/>
            <w:noWrap/>
            <w:vAlign w:val="center"/>
          </w:tcPr>
          <w:p w14:paraId="7C29536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897</w:t>
            </w:r>
          </w:p>
        </w:tc>
        <w:tc>
          <w:tcPr>
            <w:tcW w:w="1233" w:type="dxa"/>
            <w:shd w:val="clear" w:color="auto" w:fill="F2F2F2"/>
            <w:noWrap/>
            <w:vAlign w:val="center"/>
          </w:tcPr>
          <w:p w14:paraId="58722C8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467</w:t>
            </w:r>
          </w:p>
        </w:tc>
        <w:tc>
          <w:tcPr>
            <w:tcW w:w="1154" w:type="dxa"/>
            <w:shd w:val="clear" w:color="auto" w:fill="F2F2F2"/>
            <w:noWrap/>
            <w:vAlign w:val="center"/>
          </w:tcPr>
          <w:p w14:paraId="2F2400A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-16,1</w:t>
            </w:r>
          </w:p>
        </w:tc>
        <w:tc>
          <w:tcPr>
            <w:tcW w:w="1247" w:type="dxa"/>
            <w:shd w:val="clear" w:color="auto" w:fill="F2F2F2"/>
            <w:noWrap/>
            <w:vAlign w:val="center"/>
          </w:tcPr>
          <w:p w14:paraId="1339E1E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3,5</w:t>
            </w:r>
          </w:p>
        </w:tc>
      </w:tr>
      <w:tr w:rsidR="00A74088" w:rsidRPr="002A7673" w14:paraId="11173122" w14:textId="77777777" w:rsidTr="0048334E">
        <w:trPr>
          <w:trHeight w:val="300"/>
          <w:jc w:val="center"/>
        </w:trPr>
        <w:tc>
          <w:tcPr>
            <w:tcW w:w="1801" w:type="dxa"/>
            <w:shd w:val="clear" w:color="auto" w:fill="auto"/>
            <w:noWrap/>
            <w:vAlign w:val="center"/>
            <w:hideMark/>
          </w:tcPr>
          <w:p w14:paraId="633DA8DD"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La Fortuna</w:t>
            </w:r>
          </w:p>
        </w:tc>
        <w:tc>
          <w:tcPr>
            <w:tcW w:w="1155" w:type="dxa"/>
            <w:shd w:val="clear" w:color="auto" w:fill="auto"/>
            <w:noWrap/>
            <w:vAlign w:val="center"/>
          </w:tcPr>
          <w:p w14:paraId="4F8421F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1 062</w:t>
            </w:r>
          </w:p>
        </w:tc>
        <w:tc>
          <w:tcPr>
            <w:tcW w:w="1234" w:type="dxa"/>
            <w:shd w:val="clear" w:color="auto" w:fill="auto"/>
            <w:noWrap/>
            <w:vAlign w:val="center"/>
          </w:tcPr>
          <w:p w14:paraId="1B18E2D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385</w:t>
            </w:r>
          </w:p>
        </w:tc>
        <w:tc>
          <w:tcPr>
            <w:tcW w:w="1154" w:type="dxa"/>
            <w:shd w:val="clear" w:color="auto" w:fill="auto"/>
            <w:noWrap/>
            <w:vAlign w:val="center"/>
          </w:tcPr>
          <w:p w14:paraId="24C33C9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875</w:t>
            </w:r>
          </w:p>
        </w:tc>
        <w:tc>
          <w:tcPr>
            <w:tcW w:w="1233" w:type="dxa"/>
            <w:shd w:val="clear" w:color="auto" w:fill="auto"/>
            <w:noWrap/>
            <w:vAlign w:val="center"/>
          </w:tcPr>
          <w:p w14:paraId="70F7D7D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399</w:t>
            </w:r>
          </w:p>
        </w:tc>
        <w:tc>
          <w:tcPr>
            <w:tcW w:w="1154" w:type="dxa"/>
            <w:shd w:val="clear" w:color="auto" w:fill="auto"/>
            <w:noWrap/>
            <w:vAlign w:val="center"/>
          </w:tcPr>
          <w:p w14:paraId="6F218B9B"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-17,6</w:t>
            </w:r>
          </w:p>
        </w:tc>
        <w:tc>
          <w:tcPr>
            <w:tcW w:w="1247" w:type="dxa"/>
            <w:shd w:val="clear" w:color="auto" w:fill="auto"/>
            <w:noWrap/>
            <w:vAlign w:val="center"/>
          </w:tcPr>
          <w:p w14:paraId="74F5B46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3,6</w:t>
            </w:r>
          </w:p>
        </w:tc>
      </w:tr>
      <w:tr w:rsidR="00A74088" w:rsidRPr="002A7673" w14:paraId="532AF408" w14:textId="77777777" w:rsidTr="0048334E">
        <w:trPr>
          <w:trHeight w:val="300"/>
          <w:jc w:val="center"/>
        </w:trPr>
        <w:tc>
          <w:tcPr>
            <w:tcW w:w="1801" w:type="dxa"/>
            <w:shd w:val="clear" w:color="auto" w:fill="F2F2F2"/>
            <w:noWrap/>
            <w:vAlign w:val="center"/>
            <w:hideMark/>
          </w:tcPr>
          <w:p w14:paraId="41C4AB1C"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Osa</w:t>
            </w:r>
          </w:p>
        </w:tc>
        <w:tc>
          <w:tcPr>
            <w:tcW w:w="1155" w:type="dxa"/>
            <w:shd w:val="clear" w:color="auto" w:fill="F2F2F2"/>
            <w:noWrap/>
            <w:vAlign w:val="center"/>
          </w:tcPr>
          <w:p w14:paraId="30E52F2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940</w:t>
            </w:r>
          </w:p>
        </w:tc>
        <w:tc>
          <w:tcPr>
            <w:tcW w:w="1234" w:type="dxa"/>
            <w:shd w:val="clear" w:color="auto" w:fill="F2F2F2"/>
            <w:noWrap/>
            <w:vAlign w:val="center"/>
          </w:tcPr>
          <w:p w14:paraId="634DFCA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255</w:t>
            </w:r>
          </w:p>
        </w:tc>
        <w:tc>
          <w:tcPr>
            <w:tcW w:w="1154" w:type="dxa"/>
            <w:shd w:val="clear" w:color="auto" w:fill="F2F2F2"/>
            <w:noWrap/>
            <w:vAlign w:val="center"/>
          </w:tcPr>
          <w:p w14:paraId="41E2493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877</w:t>
            </w:r>
          </w:p>
        </w:tc>
        <w:tc>
          <w:tcPr>
            <w:tcW w:w="1233" w:type="dxa"/>
            <w:shd w:val="clear" w:color="auto" w:fill="F2F2F2"/>
            <w:noWrap/>
            <w:vAlign w:val="center"/>
          </w:tcPr>
          <w:p w14:paraId="211FA5D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346</w:t>
            </w:r>
          </w:p>
        </w:tc>
        <w:tc>
          <w:tcPr>
            <w:tcW w:w="1154" w:type="dxa"/>
            <w:shd w:val="clear" w:color="auto" w:fill="F2F2F2"/>
            <w:noWrap/>
            <w:vAlign w:val="center"/>
          </w:tcPr>
          <w:p w14:paraId="5628E67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-6,7</w:t>
            </w:r>
          </w:p>
        </w:tc>
        <w:tc>
          <w:tcPr>
            <w:tcW w:w="1247" w:type="dxa"/>
            <w:shd w:val="clear" w:color="auto" w:fill="F2F2F2"/>
            <w:noWrap/>
            <w:vAlign w:val="center"/>
          </w:tcPr>
          <w:p w14:paraId="7A1D5AA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35,7</w:t>
            </w:r>
          </w:p>
        </w:tc>
      </w:tr>
      <w:tr w:rsidR="00A74088" w:rsidRPr="002A7673" w14:paraId="65C311C6" w14:textId="77777777" w:rsidTr="0048334E">
        <w:trPr>
          <w:trHeight w:val="300"/>
          <w:jc w:val="center"/>
        </w:trPr>
        <w:tc>
          <w:tcPr>
            <w:tcW w:w="1801" w:type="dxa"/>
            <w:shd w:val="clear" w:color="auto" w:fill="auto"/>
            <w:noWrap/>
            <w:vAlign w:val="center"/>
            <w:hideMark/>
          </w:tcPr>
          <w:p w14:paraId="31E0C86C"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Puriscal</w:t>
            </w:r>
          </w:p>
        </w:tc>
        <w:tc>
          <w:tcPr>
            <w:tcW w:w="1155" w:type="dxa"/>
            <w:shd w:val="clear" w:color="auto" w:fill="auto"/>
            <w:noWrap/>
            <w:vAlign w:val="center"/>
          </w:tcPr>
          <w:p w14:paraId="1775B83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863</w:t>
            </w:r>
          </w:p>
        </w:tc>
        <w:tc>
          <w:tcPr>
            <w:tcW w:w="1234" w:type="dxa"/>
            <w:shd w:val="clear" w:color="auto" w:fill="auto"/>
            <w:noWrap/>
            <w:vAlign w:val="center"/>
          </w:tcPr>
          <w:p w14:paraId="1A280B4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335</w:t>
            </w:r>
          </w:p>
        </w:tc>
        <w:tc>
          <w:tcPr>
            <w:tcW w:w="1154" w:type="dxa"/>
            <w:shd w:val="clear" w:color="auto" w:fill="auto"/>
            <w:noWrap/>
            <w:vAlign w:val="center"/>
          </w:tcPr>
          <w:p w14:paraId="0D45E769"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817</w:t>
            </w:r>
          </w:p>
        </w:tc>
        <w:tc>
          <w:tcPr>
            <w:tcW w:w="1233" w:type="dxa"/>
            <w:shd w:val="clear" w:color="auto" w:fill="auto"/>
            <w:noWrap/>
            <w:vAlign w:val="center"/>
          </w:tcPr>
          <w:p w14:paraId="4DCB4C3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261</w:t>
            </w:r>
          </w:p>
        </w:tc>
        <w:tc>
          <w:tcPr>
            <w:tcW w:w="1154" w:type="dxa"/>
            <w:shd w:val="clear" w:color="auto" w:fill="auto"/>
            <w:noWrap/>
            <w:vAlign w:val="center"/>
          </w:tcPr>
          <w:p w14:paraId="0B38704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-5,3</w:t>
            </w:r>
          </w:p>
        </w:tc>
        <w:tc>
          <w:tcPr>
            <w:tcW w:w="1247" w:type="dxa"/>
            <w:shd w:val="clear" w:color="auto" w:fill="auto"/>
            <w:noWrap/>
            <w:vAlign w:val="center"/>
          </w:tcPr>
          <w:p w14:paraId="0F37ABB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-22,1</w:t>
            </w:r>
          </w:p>
        </w:tc>
      </w:tr>
      <w:tr w:rsidR="00A74088" w:rsidRPr="002A7673" w14:paraId="4499162D" w14:textId="77777777" w:rsidTr="0048334E">
        <w:trPr>
          <w:trHeight w:val="300"/>
          <w:jc w:val="center"/>
        </w:trPr>
        <w:tc>
          <w:tcPr>
            <w:tcW w:w="1801" w:type="dxa"/>
            <w:shd w:val="clear" w:color="auto" w:fill="F2F2F2"/>
            <w:noWrap/>
            <w:vAlign w:val="center"/>
            <w:hideMark/>
          </w:tcPr>
          <w:p w14:paraId="078DBCAA"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lastRenderedPageBreak/>
              <w:t>Atenas</w:t>
            </w:r>
          </w:p>
        </w:tc>
        <w:tc>
          <w:tcPr>
            <w:tcW w:w="1155" w:type="dxa"/>
            <w:shd w:val="clear" w:color="auto" w:fill="F2F2F2"/>
            <w:noWrap/>
            <w:vAlign w:val="center"/>
          </w:tcPr>
          <w:p w14:paraId="638B702A"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369</w:t>
            </w:r>
          </w:p>
        </w:tc>
        <w:tc>
          <w:tcPr>
            <w:tcW w:w="1234" w:type="dxa"/>
            <w:shd w:val="clear" w:color="auto" w:fill="F2F2F2"/>
            <w:noWrap/>
            <w:vAlign w:val="center"/>
          </w:tcPr>
          <w:p w14:paraId="775AF41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115</w:t>
            </w:r>
          </w:p>
        </w:tc>
        <w:tc>
          <w:tcPr>
            <w:tcW w:w="1154" w:type="dxa"/>
            <w:shd w:val="clear" w:color="auto" w:fill="F2F2F2"/>
            <w:noWrap/>
            <w:vAlign w:val="center"/>
          </w:tcPr>
          <w:p w14:paraId="7753FC36"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321</w:t>
            </w:r>
          </w:p>
        </w:tc>
        <w:tc>
          <w:tcPr>
            <w:tcW w:w="1233" w:type="dxa"/>
            <w:shd w:val="clear" w:color="auto" w:fill="F2F2F2"/>
            <w:noWrap/>
            <w:vAlign w:val="center"/>
          </w:tcPr>
          <w:p w14:paraId="6BFF913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179</w:t>
            </w:r>
          </w:p>
        </w:tc>
        <w:tc>
          <w:tcPr>
            <w:tcW w:w="1154" w:type="dxa"/>
            <w:shd w:val="clear" w:color="auto" w:fill="F2F2F2"/>
            <w:noWrap/>
            <w:vAlign w:val="center"/>
          </w:tcPr>
          <w:p w14:paraId="4673A11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-13,0</w:t>
            </w:r>
          </w:p>
        </w:tc>
        <w:tc>
          <w:tcPr>
            <w:tcW w:w="1247" w:type="dxa"/>
            <w:shd w:val="clear" w:color="auto" w:fill="F2F2F2"/>
            <w:noWrap/>
            <w:vAlign w:val="center"/>
          </w:tcPr>
          <w:p w14:paraId="5CF881D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55,7</w:t>
            </w:r>
          </w:p>
        </w:tc>
      </w:tr>
      <w:tr w:rsidR="00A74088" w:rsidRPr="002A7673" w14:paraId="095FF5EA" w14:textId="77777777" w:rsidTr="0048334E">
        <w:trPr>
          <w:trHeight w:val="300"/>
          <w:jc w:val="center"/>
        </w:trPr>
        <w:tc>
          <w:tcPr>
            <w:tcW w:w="1801" w:type="dxa"/>
            <w:shd w:val="clear" w:color="auto" w:fill="auto"/>
            <w:noWrap/>
            <w:vAlign w:val="center"/>
            <w:hideMark/>
          </w:tcPr>
          <w:p w14:paraId="3FF4A1BA"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Buenos Aires</w:t>
            </w:r>
          </w:p>
        </w:tc>
        <w:tc>
          <w:tcPr>
            <w:tcW w:w="1155" w:type="dxa"/>
            <w:shd w:val="clear" w:color="auto" w:fill="auto"/>
            <w:noWrap/>
            <w:vAlign w:val="center"/>
          </w:tcPr>
          <w:p w14:paraId="26ED2D3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924</w:t>
            </w:r>
          </w:p>
        </w:tc>
        <w:tc>
          <w:tcPr>
            <w:tcW w:w="1234" w:type="dxa"/>
            <w:shd w:val="clear" w:color="auto" w:fill="auto"/>
            <w:noWrap/>
            <w:vAlign w:val="center"/>
          </w:tcPr>
          <w:p w14:paraId="73EB9BB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253</w:t>
            </w:r>
          </w:p>
        </w:tc>
        <w:tc>
          <w:tcPr>
            <w:tcW w:w="1154" w:type="dxa"/>
            <w:shd w:val="clear" w:color="auto" w:fill="auto"/>
            <w:noWrap/>
            <w:vAlign w:val="center"/>
          </w:tcPr>
          <w:p w14:paraId="30C1E9C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644</w:t>
            </w:r>
          </w:p>
        </w:tc>
        <w:tc>
          <w:tcPr>
            <w:tcW w:w="1233" w:type="dxa"/>
            <w:shd w:val="clear" w:color="auto" w:fill="auto"/>
            <w:noWrap/>
            <w:vAlign w:val="center"/>
          </w:tcPr>
          <w:p w14:paraId="1A31CADD"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262</w:t>
            </w:r>
          </w:p>
        </w:tc>
        <w:tc>
          <w:tcPr>
            <w:tcW w:w="1154" w:type="dxa"/>
            <w:shd w:val="clear" w:color="auto" w:fill="auto"/>
            <w:noWrap/>
            <w:vAlign w:val="center"/>
          </w:tcPr>
          <w:p w14:paraId="03403EC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-30,3</w:t>
            </w:r>
          </w:p>
        </w:tc>
        <w:tc>
          <w:tcPr>
            <w:tcW w:w="1247" w:type="dxa"/>
            <w:shd w:val="clear" w:color="auto" w:fill="auto"/>
            <w:noWrap/>
            <w:vAlign w:val="center"/>
          </w:tcPr>
          <w:p w14:paraId="52B51E8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3,6</w:t>
            </w:r>
          </w:p>
        </w:tc>
      </w:tr>
      <w:tr w:rsidR="00A74088" w:rsidRPr="002A7673" w14:paraId="4A2B1A1D" w14:textId="77777777" w:rsidTr="0048334E">
        <w:trPr>
          <w:trHeight w:val="300"/>
          <w:jc w:val="center"/>
        </w:trPr>
        <w:tc>
          <w:tcPr>
            <w:tcW w:w="1801" w:type="dxa"/>
            <w:shd w:val="clear" w:color="auto" w:fill="F2F2F2"/>
            <w:noWrap/>
            <w:vAlign w:val="center"/>
            <w:hideMark/>
          </w:tcPr>
          <w:p w14:paraId="4169BB38"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Los Chiles</w:t>
            </w:r>
          </w:p>
        </w:tc>
        <w:tc>
          <w:tcPr>
            <w:tcW w:w="1155" w:type="dxa"/>
            <w:shd w:val="clear" w:color="auto" w:fill="F2F2F2"/>
            <w:noWrap/>
            <w:vAlign w:val="center"/>
          </w:tcPr>
          <w:p w14:paraId="1040297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896</w:t>
            </w:r>
          </w:p>
        </w:tc>
        <w:tc>
          <w:tcPr>
            <w:tcW w:w="1234" w:type="dxa"/>
            <w:shd w:val="clear" w:color="auto" w:fill="F2F2F2"/>
            <w:noWrap/>
            <w:vAlign w:val="center"/>
          </w:tcPr>
          <w:p w14:paraId="08827C3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301</w:t>
            </w:r>
          </w:p>
        </w:tc>
        <w:tc>
          <w:tcPr>
            <w:tcW w:w="1154" w:type="dxa"/>
            <w:shd w:val="clear" w:color="auto" w:fill="F2F2F2"/>
            <w:noWrap/>
            <w:vAlign w:val="center"/>
          </w:tcPr>
          <w:p w14:paraId="10E40B3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675</w:t>
            </w:r>
          </w:p>
        </w:tc>
        <w:tc>
          <w:tcPr>
            <w:tcW w:w="1233" w:type="dxa"/>
            <w:shd w:val="clear" w:color="auto" w:fill="F2F2F2"/>
            <w:noWrap/>
            <w:vAlign w:val="center"/>
          </w:tcPr>
          <w:p w14:paraId="17902B6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314</w:t>
            </w:r>
          </w:p>
        </w:tc>
        <w:tc>
          <w:tcPr>
            <w:tcW w:w="1154" w:type="dxa"/>
            <w:shd w:val="clear" w:color="auto" w:fill="F2F2F2"/>
            <w:noWrap/>
            <w:vAlign w:val="center"/>
          </w:tcPr>
          <w:p w14:paraId="10DD0A9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-24,7</w:t>
            </w:r>
          </w:p>
        </w:tc>
        <w:tc>
          <w:tcPr>
            <w:tcW w:w="1247" w:type="dxa"/>
            <w:shd w:val="clear" w:color="auto" w:fill="F2F2F2"/>
            <w:noWrap/>
            <w:vAlign w:val="center"/>
          </w:tcPr>
          <w:p w14:paraId="0AED3C3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4,3</w:t>
            </w:r>
          </w:p>
        </w:tc>
      </w:tr>
      <w:tr w:rsidR="00A74088" w:rsidRPr="002A7673" w14:paraId="1A77DA87" w14:textId="77777777" w:rsidTr="0048334E">
        <w:trPr>
          <w:trHeight w:val="300"/>
          <w:jc w:val="center"/>
        </w:trPr>
        <w:tc>
          <w:tcPr>
            <w:tcW w:w="1801" w:type="dxa"/>
            <w:shd w:val="clear" w:color="auto" w:fill="auto"/>
            <w:noWrap/>
            <w:vAlign w:val="center"/>
            <w:hideMark/>
          </w:tcPr>
          <w:p w14:paraId="72959D1A"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Los Santos</w:t>
            </w:r>
          </w:p>
        </w:tc>
        <w:tc>
          <w:tcPr>
            <w:tcW w:w="1155" w:type="dxa"/>
            <w:shd w:val="clear" w:color="auto" w:fill="auto"/>
            <w:noWrap/>
            <w:vAlign w:val="center"/>
          </w:tcPr>
          <w:p w14:paraId="70B8F517"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479</w:t>
            </w:r>
          </w:p>
        </w:tc>
        <w:tc>
          <w:tcPr>
            <w:tcW w:w="1234" w:type="dxa"/>
            <w:shd w:val="clear" w:color="auto" w:fill="auto"/>
            <w:noWrap/>
            <w:vAlign w:val="center"/>
          </w:tcPr>
          <w:p w14:paraId="029F5CE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214</w:t>
            </w:r>
          </w:p>
        </w:tc>
        <w:tc>
          <w:tcPr>
            <w:tcW w:w="1154" w:type="dxa"/>
            <w:shd w:val="clear" w:color="auto" w:fill="auto"/>
            <w:noWrap/>
            <w:vAlign w:val="center"/>
          </w:tcPr>
          <w:p w14:paraId="36BCEDC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464</w:t>
            </w:r>
          </w:p>
        </w:tc>
        <w:tc>
          <w:tcPr>
            <w:tcW w:w="1233" w:type="dxa"/>
            <w:shd w:val="clear" w:color="auto" w:fill="auto"/>
            <w:noWrap/>
            <w:vAlign w:val="center"/>
          </w:tcPr>
          <w:p w14:paraId="08F9D00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256</w:t>
            </w:r>
          </w:p>
        </w:tc>
        <w:tc>
          <w:tcPr>
            <w:tcW w:w="1154" w:type="dxa"/>
            <w:shd w:val="clear" w:color="auto" w:fill="auto"/>
            <w:noWrap/>
            <w:vAlign w:val="center"/>
          </w:tcPr>
          <w:p w14:paraId="72AF190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-3,1</w:t>
            </w:r>
          </w:p>
        </w:tc>
        <w:tc>
          <w:tcPr>
            <w:tcW w:w="1247" w:type="dxa"/>
            <w:shd w:val="clear" w:color="auto" w:fill="auto"/>
            <w:noWrap/>
            <w:vAlign w:val="center"/>
          </w:tcPr>
          <w:p w14:paraId="4260E68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19,6</w:t>
            </w:r>
          </w:p>
        </w:tc>
      </w:tr>
      <w:tr w:rsidR="00A74088" w:rsidRPr="002A7673" w14:paraId="5473DB72" w14:textId="77777777" w:rsidTr="0048334E">
        <w:trPr>
          <w:trHeight w:val="300"/>
          <w:jc w:val="center"/>
        </w:trPr>
        <w:tc>
          <w:tcPr>
            <w:tcW w:w="1801" w:type="dxa"/>
            <w:shd w:val="clear" w:color="auto" w:fill="F2F2F2"/>
            <w:noWrap/>
            <w:vAlign w:val="center"/>
            <w:hideMark/>
          </w:tcPr>
          <w:p w14:paraId="03072398"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Monteverde</w:t>
            </w:r>
          </w:p>
        </w:tc>
        <w:tc>
          <w:tcPr>
            <w:tcW w:w="1155" w:type="dxa"/>
            <w:shd w:val="clear" w:color="auto" w:fill="F2F2F2"/>
            <w:noWrap/>
            <w:vAlign w:val="center"/>
          </w:tcPr>
          <w:p w14:paraId="43ED3AB0"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313</w:t>
            </w:r>
          </w:p>
        </w:tc>
        <w:tc>
          <w:tcPr>
            <w:tcW w:w="1234" w:type="dxa"/>
            <w:shd w:val="clear" w:color="auto" w:fill="F2F2F2"/>
            <w:noWrap/>
            <w:vAlign w:val="center"/>
          </w:tcPr>
          <w:p w14:paraId="7EF13BD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101</w:t>
            </w:r>
          </w:p>
        </w:tc>
        <w:tc>
          <w:tcPr>
            <w:tcW w:w="1154" w:type="dxa"/>
            <w:shd w:val="clear" w:color="auto" w:fill="F2F2F2"/>
            <w:noWrap/>
            <w:vAlign w:val="center"/>
          </w:tcPr>
          <w:p w14:paraId="0790B58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258</w:t>
            </w:r>
          </w:p>
        </w:tc>
        <w:tc>
          <w:tcPr>
            <w:tcW w:w="1233" w:type="dxa"/>
            <w:shd w:val="clear" w:color="auto" w:fill="F2F2F2"/>
            <w:noWrap/>
            <w:vAlign w:val="center"/>
          </w:tcPr>
          <w:p w14:paraId="559054B4"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139</w:t>
            </w:r>
          </w:p>
        </w:tc>
        <w:tc>
          <w:tcPr>
            <w:tcW w:w="1154" w:type="dxa"/>
            <w:shd w:val="clear" w:color="auto" w:fill="F2F2F2"/>
            <w:noWrap/>
            <w:vAlign w:val="center"/>
          </w:tcPr>
          <w:p w14:paraId="1D0E6FBC"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-17,6</w:t>
            </w:r>
          </w:p>
        </w:tc>
        <w:tc>
          <w:tcPr>
            <w:tcW w:w="1247" w:type="dxa"/>
            <w:shd w:val="clear" w:color="auto" w:fill="F2F2F2"/>
            <w:noWrap/>
            <w:vAlign w:val="center"/>
          </w:tcPr>
          <w:p w14:paraId="4DE139D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37,6</w:t>
            </w:r>
          </w:p>
        </w:tc>
      </w:tr>
      <w:tr w:rsidR="00A74088" w:rsidRPr="002A7673" w14:paraId="7FBD49EE" w14:textId="77777777" w:rsidTr="0048334E">
        <w:trPr>
          <w:trHeight w:val="300"/>
          <w:jc w:val="center"/>
        </w:trPr>
        <w:tc>
          <w:tcPr>
            <w:tcW w:w="1801" w:type="dxa"/>
            <w:tcBorders>
              <w:bottom w:val="nil"/>
            </w:tcBorders>
            <w:shd w:val="clear" w:color="auto" w:fill="auto"/>
            <w:noWrap/>
            <w:vAlign w:val="center"/>
            <w:hideMark/>
          </w:tcPr>
          <w:p w14:paraId="7BB67A0E"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Orotina</w:t>
            </w:r>
          </w:p>
        </w:tc>
        <w:tc>
          <w:tcPr>
            <w:tcW w:w="1155" w:type="dxa"/>
            <w:tcBorders>
              <w:bottom w:val="nil"/>
            </w:tcBorders>
            <w:shd w:val="clear" w:color="auto" w:fill="auto"/>
            <w:noWrap/>
            <w:vAlign w:val="center"/>
          </w:tcPr>
          <w:p w14:paraId="22755C8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855</w:t>
            </w:r>
          </w:p>
        </w:tc>
        <w:tc>
          <w:tcPr>
            <w:tcW w:w="1234" w:type="dxa"/>
            <w:tcBorders>
              <w:bottom w:val="nil"/>
            </w:tcBorders>
            <w:shd w:val="clear" w:color="auto" w:fill="auto"/>
            <w:noWrap/>
            <w:vAlign w:val="center"/>
          </w:tcPr>
          <w:p w14:paraId="0B6B812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266</w:t>
            </w:r>
          </w:p>
        </w:tc>
        <w:tc>
          <w:tcPr>
            <w:tcW w:w="1154" w:type="dxa"/>
            <w:tcBorders>
              <w:bottom w:val="nil"/>
            </w:tcBorders>
            <w:shd w:val="clear" w:color="auto" w:fill="auto"/>
            <w:noWrap/>
            <w:vAlign w:val="center"/>
          </w:tcPr>
          <w:p w14:paraId="3647AF42"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696</w:t>
            </w:r>
          </w:p>
        </w:tc>
        <w:tc>
          <w:tcPr>
            <w:tcW w:w="1233" w:type="dxa"/>
            <w:tcBorders>
              <w:bottom w:val="nil"/>
            </w:tcBorders>
            <w:shd w:val="clear" w:color="auto" w:fill="auto"/>
            <w:noWrap/>
            <w:vAlign w:val="center"/>
          </w:tcPr>
          <w:p w14:paraId="771B3FE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316</w:t>
            </w:r>
          </w:p>
        </w:tc>
        <w:tc>
          <w:tcPr>
            <w:tcW w:w="1154" w:type="dxa"/>
            <w:tcBorders>
              <w:bottom w:val="nil"/>
            </w:tcBorders>
            <w:shd w:val="clear" w:color="auto" w:fill="auto"/>
            <w:noWrap/>
            <w:vAlign w:val="center"/>
          </w:tcPr>
          <w:p w14:paraId="6B6E90D3"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-18,6</w:t>
            </w:r>
          </w:p>
        </w:tc>
        <w:tc>
          <w:tcPr>
            <w:tcW w:w="1247" w:type="dxa"/>
            <w:tcBorders>
              <w:bottom w:val="nil"/>
            </w:tcBorders>
            <w:shd w:val="clear" w:color="auto" w:fill="auto"/>
            <w:noWrap/>
            <w:vAlign w:val="center"/>
          </w:tcPr>
          <w:p w14:paraId="0BB6D2A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18,8</w:t>
            </w:r>
          </w:p>
        </w:tc>
      </w:tr>
      <w:tr w:rsidR="00A74088" w:rsidRPr="002A7673" w14:paraId="129E10F7" w14:textId="77777777" w:rsidTr="0048334E">
        <w:trPr>
          <w:trHeight w:val="300"/>
          <w:jc w:val="center"/>
        </w:trPr>
        <w:tc>
          <w:tcPr>
            <w:tcW w:w="1801" w:type="dxa"/>
            <w:tcBorders>
              <w:top w:val="nil"/>
              <w:bottom w:val="single" w:sz="4" w:space="0" w:color="auto"/>
            </w:tcBorders>
            <w:shd w:val="clear" w:color="auto" w:fill="F2F2F2"/>
            <w:noWrap/>
            <w:vAlign w:val="center"/>
            <w:hideMark/>
          </w:tcPr>
          <w:p w14:paraId="1BCA1ECF" w14:textId="77777777" w:rsidR="00A74088" w:rsidRPr="002A7673" w:rsidRDefault="00A74088" w:rsidP="0048334E">
            <w:pPr>
              <w:rPr>
                <w:rFonts w:ascii="Times New Roman" w:hAnsi="Times New Roman" w:cs="Times New Roman"/>
                <w:color w:val="000000"/>
                <w:sz w:val="20"/>
                <w:szCs w:val="20"/>
              </w:rPr>
            </w:pPr>
            <w:r w:rsidRPr="002A7673">
              <w:rPr>
                <w:rFonts w:ascii="Times New Roman" w:hAnsi="Times New Roman" w:cs="Times New Roman"/>
                <w:color w:val="000000"/>
                <w:sz w:val="20"/>
                <w:szCs w:val="20"/>
              </w:rPr>
              <w:t>Upala</w:t>
            </w:r>
          </w:p>
        </w:tc>
        <w:tc>
          <w:tcPr>
            <w:tcW w:w="1155" w:type="dxa"/>
            <w:tcBorders>
              <w:top w:val="nil"/>
              <w:bottom w:val="single" w:sz="4" w:space="0" w:color="auto"/>
            </w:tcBorders>
            <w:shd w:val="clear" w:color="auto" w:fill="F2F2F2"/>
            <w:noWrap/>
            <w:vAlign w:val="center"/>
          </w:tcPr>
          <w:p w14:paraId="340C9BA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1 031</w:t>
            </w:r>
          </w:p>
        </w:tc>
        <w:tc>
          <w:tcPr>
            <w:tcW w:w="1234" w:type="dxa"/>
            <w:tcBorders>
              <w:top w:val="nil"/>
              <w:bottom w:val="single" w:sz="4" w:space="0" w:color="auto"/>
            </w:tcBorders>
            <w:shd w:val="clear" w:color="auto" w:fill="F2F2F2"/>
            <w:noWrap/>
            <w:vAlign w:val="center"/>
          </w:tcPr>
          <w:p w14:paraId="62BD29B1"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278</w:t>
            </w:r>
          </w:p>
        </w:tc>
        <w:tc>
          <w:tcPr>
            <w:tcW w:w="1154" w:type="dxa"/>
            <w:tcBorders>
              <w:top w:val="nil"/>
              <w:bottom w:val="single" w:sz="4" w:space="0" w:color="auto"/>
            </w:tcBorders>
            <w:shd w:val="clear" w:color="auto" w:fill="F2F2F2"/>
            <w:noWrap/>
            <w:vAlign w:val="center"/>
          </w:tcPr>
          <w:p w14:paraId="0DF55015"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761</w:t>
            </w:r>
          </w:p>
        </w:tc>
        <w:tc>
          <w:tcPr>
            <w:tcW w:w="1233" w:type="dxa"/>
            <w:tcBorders>
              <w:top w:val="nil"/>
              <w:bottom w:val="single" w:sz="4" w:space="0" w:color="auto"/>
            </w:tcBorders>
            <w:shd w:val="clear" w:color="auto" w:fill="F2F2F2"/>
            <w:noWrap/>
            <w:vAlign w:val="center"/>
          </w:tcPr>
          <w:p w14:paraId="170DF4DF"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383</w:t>
            </w:r>
          </w:p>
        </w:tc>
        <w:tc>
          <w:tcPr>
            <w:tcW w:w="1154" w:type="dxa"/>
            <w:tcBorders>
              <w:top w:val="nil"/>
              <w:bottom w:val="single" w:sz="4" w:space="0" w:color="auto"/>
            </w:tcBorders>
            <w:shd w:val="clear" w:color="auto" w:fill="F2F2F2"/>
            <w:noWrap/>
            <w:vAlign w:val="center"/>
          </w:tcPr>
          <w:p w14:paraId="0D77CE2E"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-26,2</w:t>
            </w:r>
          </w:p>
        </w:tc>
        <w:tc>
          <w:tcPr>
            <w:tcW w:w="1247" w:type="dxa"/>
            <w:tcBorders>
              <w:top w:val="nil"/>
              <w:bottom w:val="single" w:sz="4" w:space="0" w:color="auto"/>
            </w:tcBorders>
            <w:shd w:val="clear" w:color="auto" w:fill="F2F2F2"/>
            <w:noWrap/>
            <w:vAlign w:val="center"/>
          </w:tcPr>
          <w:p w14:paraId="482D72E8" w14:textId="77777777" w:rsidR="00A74088" w:rsidRPr="002A7673" w:rsidRDefault="00A74088" w:rsidP="0048334E">
            <w:pPr>
              <w:jc w:val="center"/>
              <w:rPr>
                <w:rFonts w:ascii="Times New Roman" w:hAnsi="Times New Roman" w:cs="Times New Roman"/>
                <w:color w:val="000000"/>
                <w:sz w:val="20"/>
                <w:szCs w:val="20"/>
              </w:rPr>
            </w:pPr>
            <w:r w:rsidRPr="002A7673">
              <w:rPr>
                <w:rFonts w:ascii="Times New Roman" w:hAnsi="Times New Roman" w:cs="Times New Roman"/>
                <w:color w:val="000000"/>
                <w:sz w:val="20"/>
                <w:szCs w:val="20"/>
              </w:rPr>
              <w:t>37,8</w:t>
            </w:r>
          </w:p>
        </w:tc>
      </w:tr>
      <w:tr w:rsidR="00A74088" w:rsidRPr="002A7673" w14:paraId="48E3D3EF" w14:textId="77777777" w:rsidTr="0048334E">
        <w:trPr>
          <w:trHeight w:val="300"/>
          <w:jc w:val="center"/>
        </w:trPr>
        <w:tc>
          <w:tcPr>
            <w:tcW w:w="1801" w:type="dxa"/>
            <w:tcBorders>
              <w:top w:val="single" w:sz="4" w:space="0" w:color="auto"/>
            </w:tcBorders>
            <w:shd w:val="clear" w:color="auto" w:fill="auto"/>
            <w:noWrap/>
            <w:vAlign w:val="center"/>
            <w:hideMark/>
          </w:tcPr>
          <w:p w14:paraId="54FD8FAC" w14:textId="77777777" w:rsidR="00A74088" w:rsidRPr="002A7673" w:rsidRDefault="00A74088" w:rsidP="0048334E">
            <w:pP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Total</w:t>
            </w:r>
          </w:p>
        </w:tc>
        <w:tc>
          <w:tcPr>
            <w:tcW w:w="1155" w:type="dxa"/>
            <w:tcBorders>
              <w:top w:val="single" w:sz="4" w:space="0" w:color="auto"/>
            </w:tcBorders>
            <w:shd w:val="clear" w:color="auto" w:fill="auto"/>
            <w:noWrap/>
            <w:vAlign w:val="center"/>
          </w:tcPr>
          <w:p w14:paraId="1E7D9F50"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65 646</w:t>
            </w:r>
          </w:p>
        </w:tc>
        <w:tc>
          <w:tcPr>
            <w:tcW w:w="1234" w:type="dxa"/>
            <w:tcBorders>
              <w:top w:val="single" w:sz="4" w:space="0" w:color="auto"/>
            </w:tcBorders>
            <w:shd w:val="clear" w:color="auto" w:fill="auto"/>
            <w:noWrap/>
            <w:vAlign w:val="center"/>
          </w:tcPr>
          <w:p w14:paraId="54559422"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20 857</w:t>
            </w:r>
          </w:p>
        </w:tc>
        <w:tc>
          <w:tcPr>
            <w:tcW w:w="1154" w:type="dxa"/>
            <w:tcBorders>
              <w:top w:val="single" w:sz="4" w:space="0" w:color="auto"/>
            </w:tcBorders>
            <w:shd w:val="clear" w:color="auto" w:fill="auto"/>
            <w:noWrap/>
            <w:vAlign w:val="center"/>
          </w:tcPr>
          <w:p w14:paraId="7220AE8C"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57 108</w:t>
            </w:r>
          </w:p>
        </w:tc>
        <w:tc>
          <w:tcPr>
            <w:tcW w:w="1233" w:type="dxa"/>
            <w:tcBorders>
              <w:top w:val="single" w:sz="4" w:space="0" w:color="auto"/>
            </w:tcBorders>
            <w:shd w:val="clear" w:color="auto" w:fill="auto"/>
            <w:noWrap/>
            <w:vAlign w:val="center"/>
          </w:tcPr>
          <w:p w14:paraId="6AD514A9"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23 087</w:t>
            </w:r>
          </w:p>
        </w:tc>
        <w:tc>
          <w:tcPr>
            <w:tcW w:w="1154" w:type="dxa"/>
            <w:tcBorders>
              <w:top w:val="single" w:sz="4" w:space="0" w:color="auto"/>
            </w:tcBorders>
            <w:shd w:val="clear" w:color="auto" w:fill="auto"/>
            <w:noWrap/>
            <w:vAlign w:val="center"/>
          </w:tcPr>
          <w:p w14:paraId="0B869581"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-13,0</w:t>
            </w:r>
          </w:p>
        </w:tc>
        <w:tc>
          <w:tcPr>
            <w:tcW w:w="1247" w:type="dxa"/>
            <w:tcBorders>
              <w:top w:val="single" w:sz="4" w:space="0" w:color="auto"/>
            </w:tcBorders>
            <w:shd w:val="clear" w:color="auto" w:fill="auto"/>
            <w:noWrap/>
            <w:vAlign w:val="center"/>
          </w:tcPr>
          <w:p w14:paraId="45221DF3" w14:textId="77777777" w:rsidR="00A74088" w:rsidRPr="002A7673" w:rsidRDefault="00A74088" w:rsidP="0048334E">
            <w:pPr>
              <w:jc w:val="center"/>
              <w:rPr>
                <w:rFonts w:ascii="Times New Roman" w:hAnsi="Times New Roman" w:cs="Times New Roman"/>
                <w:b/>
                <w:bCs/>
                <w:color w:val="000000"/>
                <w:sz w:val="20"/>
                <w:szCs w:val="20"/>
              </w:rPr>
            </w:pPr>
            <w:r w:rsidRPr="002A7673">
              <w:rPr>
                <w:rFonts w:ascii="Times New Roman" w:hAnsi="Times New Roman" w:cs="Times New Roman"/>
                <w:b/>
                <w:bCs/>
                <w:color w:val="000000"/>
                <w:sz w:val="20"/>
                <w:szCs w:val="20"/>
              </w:rPr>
              <w:t>10,7</w:t>
            </w:r>
          </w:p>
        </w:tc>
      </w:tr>
    </w:tbl>
    <w:p w14:paraId="67465DCD" w14:textId="77777777" w:rsidR="00A74088" w:rsidRPr="002A7673" w:rsidRDefault="00A74088" w:rsidP="00A74088">
      <w:pPr>
        <w:rPr>
          <w:rFonts w:ascii="Times New Roman" w:hAnsi="Times New Roman" w:cs="Times New Roman"/>
          <w:sz w:val="18"/>
          <w:szCs w:val="18"/>
        </w:rPr>
      </w:pPr>
      <w:r w:rsidRPr="002A7673">
        <w:rPr>
          <w:rFonts w:ascii="Times New Roman" w:hAnsi="Times New Roman" w:cs="Times New Roman"/>
          <w:sz w:val="18"/>
          <w:szCs w:val="18"/>
        </w:rPr>
        <w:t>Fuente: Información suministrada por la Oficina de Planes y Operaciones.</w:t>
      </w:r>
    </w:p>
    <w:p w14:paraId="5EBA2FA3" w14:textId="77777777" w:rsidR="00A74088" w:rsidRPr="002A7673" w:rsidRDefault="00A74088" w:rsidP="00D266FC">
      <w:pPr>
        <w:spacing w:line="360" w:lineRule="auto"/>
        <w:jc w:val="both"/>
        <w:rPr>
          <w:rFonts w:ascii="Times New Roman" w:hAnsi="Times New Roman" w:cs="Times New Roman"/>
          <w:sz w:val="28"/>
          <w:szCs w:val="28"/>
        </w:rPr>
      </w:pPr>
    </w:p>
    <w:p w14:paraId="27C264C5" w14:textId="77777777" w:rsidR="00A74088" w:rsidRPr="002A7673" w:rsidRDefault="00A74088" w:rsidP="00FF3FAC">
      <w:pPr>
        <w:numPr>
          <w:ilvl w:val="0"/>
          <w:numId w:val="66"/>
        </w:numPr>
        <w:spacing w:after="0" w:line="36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t>Ejecución Presupuestaria</w:t>
      </w:r>
    </w:p>
    <w:p w14:paraId="67A0AA43" w14:textId="77777777" w:rsidR="00A74088" w:rsidRPr="002A7673" w:rsidRDefault="00A74088" w:rsidP="00A74088">
      <w:pPr>
        <w:spacing w:line="360" w:lineRule="auto"/>
        <w:ind w:left="284"/>
        <w:jc w:val="both"/>
        <w:rPr>
          <w:rFonts w:ascii="Times New Roman" w:hAnsi="Times New Roman" w:cs="Times New Roman"/>
          <w:sz w:val="28"/>
          <w:szCs w:val="28"/>
        </w:rPr>
      </w:pPr>
    </w:p>
    <w:p w14:paraId="19B0BE3C" w14:textId="0C174231" w:rsidR="00A74088" w:rsidRPr="002A7673" w:rsidRDefault="00A74088" w:rsidP="00B67880">
      <w:pPr>
        <w:spacing w:line="240" w:lineRule="auto"/>
        <w:ind w:firstLine="141"/>
        <w:jc w:val="both"/>
        <w:rPr>
          <w:rFonts w:ascii="Times New Roman" w:hAnsi="Times New Roman" w:cs="Times New Roman"/>
          <w:sz w:val="28"/>
          <w:szCs w:val="28"/>
        </w:rPr>
      </w:pPr>
      <w:r w:rsidRPr="002A7673">
        <w:rPr>
          <w:rFonts w:ascii="Times New Roman" w:hAnsi="Times New Roman" w:cs="Times New Roman"/>
          <w:sz w:val="28"/>
          <w:szCs w:val="28"/>
        </w:rPr>
        <w:t xml:space="preserve">En la siguiente tabla se muestra la información de la ejecución presupuestaria del Organismo de Investigación Judicial que fue del 93%, lo que significa que estuvo por encima del mínimo del 90% que establece como parámetro el Ministerio de Hacienda para calificar el cumplimiento como alto. </w:t>
      </w:r>
    </w:p>
    <w:p w14:paraId="2C7EBADF" w14:textId="77777777" w:rsidR="00A74088" w:rsidRPr="002A7673" w:rsidRDefault="00A74088" w:rsidP="00A74088">
      <w:pPr>
        <w:spacing w:line="360" w:lineRule="auto"/>
        <w:ind w:left="284"/>
        <w:jc w:val="both"/>
        <w:rPr>
          <w:rFonts w:ascii="Times New Roman" w:hAnsi="Times New Roman" w:cs="Times New Roman"/>
          <w:sz w:val="28"/>
          <w:szCs w:val="28"/>
        </w:rPr>
      </w:pPr>
    </w:p>
    <w:tbl>
      <w:tblPr>
        <w:tblW w:w="9492" w:type="dxa"/>
        <w:jc w:val="right"/>
        <w:tblCellMar>
          <w:left w:w="70" w:type="dxa"/>
          <w:right w:w="70" w:type="dxa"/>
        </w:tblCellMar>
        <w:tblLook w:val="04A0" w:firstRow="1" w:lastRow="0" w:firstColumn="1" w:lastColumn="0" w:noHBand="0" w:noVBand="1"/>
      </w:tblPr>
      <w:tblGrid>
        <w:gridCol w:w="2850"/>
        <w:gridCol w:w="1479"/>
        <w:gridCol w:w="1400"/>
        <w:gridCol w:w="1401"/>
        <w:gridCol w:w="1312"/>
        <w:gridCol w:w="1062"/>
      </w:tblGrid>
      <w:tr w:rsidR="00A74088" w:rsidRPr="002A7673" w14:paraId="06D43C76" w14:textId="77777777" w:rsidTr="0048334E">
        <w:trPr>
          <w:trHeight w:val="860"/>
          <w:jc w:val="right"/>
        </w:trPr>
        <w:tc>
          <w:tcPr>
            <w:tcW w:w="2850"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14D3C3E6"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Centro Gestor / Rubro</w:t>
            </w:r>
          </w:p>
        </w:tc>
        <w:tc>
          <w:tcPr>
            <w:tcW w:w="1479"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1B0EFB97"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Presupuesto Inicial</w:t>
            </w:r>
          </w:p>
        </w:tc>
        <w:tc>
          <w:tcPr>
            <w:tcW w:w="1400"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28D689B4"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Presupuesto Actual</w:t>
            </w:r>
          </w:p>
        </w:tc>
        <w:tc>
          <w:tcPr>
            <w:tcW w:w="1401"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496D7A8F"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Monto Ejecutado</w:t>
            </w:r>
          </w:p>
        </w:tc>
        <w:tc>
          <w:tcPr>
            <w:tcW w:w="1312"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8039452"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Pendiente de Ejecutar</w:t>
            </w:r>
          </w:p>
        </w:tc>
        <w:tc>
          <w:tcPr>
            <w:tcW w:w="1050"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C5DD580" w14:textId="77777777" w:rsidR="00A74088" w:rsidRPr="002A7673" w:rsidRDefault="00A74088" w:rsidP="0048334E">
            <w:pPr>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Porcentaje de Ejecución</w:t>
            </w:r>
          </w:p>
        </w:tc>
      </w:tr>
      <w:tr w:rsidR="00A74088" w:rsidRPr="002A7673" w14:paraId="6EB10DC0" w14:textId="77777777" w:rsidTr="0048334E">
        <w:trPr>
          <w:trHeight w:val="280"/>
          <w:jc w:val="right"/>
        </w:trPr>
        <w:tc>
          <w:tcPr>
            <w:tcW w:w="28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202DBF" w14:textId="77777777" w:rsidR="00A74088" w:rsidRPr="002A7673" w:rsidRDefault="00A74088" w:rsidP="0048334E">
            <w:pPr>
              <w:rPr>
                <w:rFonts w:ascii="Times New Roman" w:hAnsi="Times New Roman" w:cs="Times New Roman"/>
                <w:sz w:val="20"/>
                <w:szCs w:val="20"/>
                <w:lang w:eastAsia="es-CR"/>
              </w:rPr>
            </w:pPr>
            <w:r w:rsidRPr="002A7673">
              <w:rPr>
                <w:rFonts w:ascii="Times New Roman" w:hAnsi="Times New Roman" w:cs="Times New Roman"/>
                <w:sz w:val="20"/>
                <w:szCs w:val="20"/>
                <w:lang w:eastAsia="es-CR"/>
              </w:rPr>
              <w:t>ORGANISMO DE INVESTIGACIÓN JUDICIAL</w:t>
            </w:r>
          </w:p>
        </w:tc>
        <w:tc>
          <w:tcPr>
            <w:tcW w:w="1479" w:type="dxa"/>
            <w:tcBorders>
              <w:top w:val="single" w:sz="4" w:space="0" w:color="auto"/>
              <w:left w:val="nil"/>
              <w:bottom w:val="single" w:sz="4" w:space="0" w:color="auto"/>
              <w:right w:val="single" w:sz="4" w:space="0" w:color="auto"/>
            </w:tcBorders>
            <w:shd w:val="clear" w:color="000000" w:fill="FFFFFF"/>
            <w:noWrap/>
            <w:vAlign w:val="center"/>
          </w:tcPr>
          <w:p w14:paraId="4887B8AD" w14:textId="77777777" w:rsidR="00A74088" w:rsidRPr="002A7673" w:rsidRDefault="00A74088" w:rsidP="0048334E">
            <w:pPr>
              <w:rPr>
                <w:rFonts w:ascii="Times New Roman" w:hAnsi="Times New Roman" w:cs="Times New Roman"/>
                <w:sz w:val="20"/>
                <w:szCs w:val="20"/>
                <w:lang w:eastAsia="es-CR"/>
              </w:rPr>
            </w:pPr>
            <w:r w:rsidRPr="002A7673">
              <w:rPr>
                <w:rFonts w:ascii="Times New Roman" w:hAnsi="Times New Roman" w:cs="Times New Roman"/>
                <w:sz w:val="20"/>
                <w:szCs w:val="20"/>
                <w:lang w:eastAsia="es-CR"/>
              </w:rPr>
              <w:t>20.557.552.000</w:t>
            </w:r>
          </w:p>
        </w:tc>
        <w:tc>
          <w:tcPr>
            <w:tcW w:w="1400" w:type="dxa"/>
            <w:tcBorders>
              <w:top w:val="single" w:sz="4" w:space="0" w:color="auto"/>
              <w:left w:val="nil"/>
              <w:bottom w:val="single" w:sz="4" w:space="0" w:color="auto"/>
              <w:right w:val="single" w:sz="4" w:space="0" w:color="auto"/>
            </w:tcBorders>
            <w:shd w:val="clear" w:color="000000" w:fill="FFFFFF"/>
            <w:noWrap/>
            <w:vAlign w:val="center"/>
          </w:tcPr>
          <w:p w14:paraId="19C498D8" w14:textId="77777777" w:rsidR="00A74088" w:rsidRPr="002A7673" w:rsidRDefault="00A74088" w:rsidP="0048334E">
            <w:pPr>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20.077.831.985</w:t>
            </w:r>
          </w:p>
        </w:tc>
        <w:tc>
          <w:tcPr>
            <w:tcW w:w="1401" w:type="dxa"/>
            <w:tcBorders>
              <w:top w:val="single" w:sz="4" w:space="0" w:color="auto"/>
              <w:left w:val="nil"/>
              <w:bottom w:val="single" w:sz="4" w:space="0" w:color="auto"/>
              <w:right w:val="single" w:sz="4" w:space="0" w:color="auto"/>
            </w:tcBorders>
            <w:shd w:val="clear" w:color="000000" w:fill="FFFFFF"/>
            <w:noWrap/>
            <w:vAlign w:val="center"/>
          </w:tcPr>
          <w:p w14:paraId="262861B3" w14:textId="77777777" w:rsidR="00A74088" w:rsidRPr="002A7673" w:rsidRDefault="00A74088" w:rsidP="0048334E">
            <w:pPr>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18.722.422.877</w:t>
            </w:r>
          </w:p>
        </w:tc>
        <w:tc>
          <w:tcPr>
            <w:tcW w:w="1312" w:type="dxa"/>
            <w:tcBorders>
              <w:top w:val="single" w:sz="4" w:space="0" w:color="auto"/>
              <w:left w:val="nil"/>
              <w:bottom w:val="single" w:sz="4" w:space="0" w:color="auto"/>
              <w:right w:val="single" w:sz="4" w:space="0" w:color="auto"/>
            </w:tcBorders>
            <w:shd w:val="clear" w:color="000000" w:fill="FFFFFF"/>
            <w:noWrap/>
            <w:vAlign w:val="center"/>
          </w:tcPr>
          <w:p w14:paraId="7638D196" w14:textId="77777777" w:rsidR="00A74088" w:rsidRPr="002A7673" w:rsidRDefault="00A74088" w:rsidP="0048334E">
            <w:pPr>
              <w:jc w:val="right"/>
              <w:rPr>
                <w:rFonts w:ascii="Times New Roman" w:hAnsi="Times New Roman" w:cs="Times New Roman"/>
                <w:sz w:val="20"/>
                <w:szCs w:val="20"/>
                <w:lang w:eastAsia="es-CR"/>
              </w:rPr>
            </w:pPr>
            <w:r w:rsidRPr="002A7673">
              <w:rPr>
                <w:rFonts w:ascii="Times New Roman" w:hAnsi="Times New Roman" w:cs="Times New Roman"/>
                <w:sz w:val="20"/>
                <w:szCs w:val="20"/>
                <w:lang w:eastAsia="es-CR"/>
              </w:rPr>
              <w:t>1.355.409.109</w:t>
            </w:r>
          </w:p>
        </w:tc>
        <w:tc>
          <w:tcPr>
            <w:tcW w:w="1050" w:type="dxa"/>
            <w:tcBorders>
              <w:top w:val="single" w:sz="4" w:space="0" w:color="auto"/>
              <w:left w:val="nil"/>
              <w:bottom w:val="single" w:sz="4" w:space="0" w:color="auto"/>
              <w:right w:val="single" w:sz="4" w:space="0" w:color="auto"/>
            </w:tcBorders>
            <w:shd w:val="clear" w:color="000000" w:fill="FFFFFF"/>
            <w:noWrap/>
            <w:vAlign w:val="center"/>
          </w:tcPr>
          <w:p w14:paraId="7CCD6538" w14:textId="77777777" w:rsidR="00A74088" w:rsidRPr="002A7673" w:rsidRDefault="00A74088" w:rsidP="0048334E">
            <w:pPr>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93%</w:t>
            </w:r>
          </w:p>
        </w:tc>
      </w:tr>
    </w:tbl>
    <w:p w14:paraId="19697B0F" w14:textId="77777777" w:rsidR="00A74088" w:rsidRPr="002A7673" w:rsidRDefault="00A74088" w:rsidP="00A74088">
      <w:pPr>
        <w:spacing w:line="360" w:lineRule="auto"/>
        <w:ind w:left="284"/>
        <w:jc w:val="both"/>
        <w:rPr>
          <w:rFonts w:ascii="Times New Roman" w:hAnsi="Times New Roman" w:cs="Times New Roman"/>
          <w:sz w:val="28"/>
          <w:szCs w:val="28"/>
        </w:rPr>
      </w:pPr>
    </w:p>
    <w:p w14:paraId="7EA2AF1C" w14:textId="77777777" w:rsidR="00A74088" w:rsidRPr="002A7673" w:rsidRDefault="00A74088" w:rsidP="00A74088">
      <w:pPr>
        <w:spacing w:line="360" w:lineRule="auto"/>
        <w:ind w:left="284"/>
        <w:rPr>
          <w:rFonts w:ascii="Times New Roman" w:hAnsi="Times New Roman" w:cs="Times New Roman"/>
          <w:noProof/>
          <w:szCs w:val="28"/>
          <w:lang w:eastAsia="es-CR"/>
        </w:rPr>
      </w:pPr>
      <w:r w:rsidRPr="002A7673">
        <w:rPr>
          <w:rFonts w:ascii="Times New Roman" w:hAnsi="Times New Roman" w:cs="Times New Roman"/>
          <w:noProof/>
        </w:rPr>
        <w:lastRenderedPageBreak/>
        <w:drawing>
          <wp:inline distT="0" distB="0" distL="0" distR="0" wp14:anchorId="23F123FB" wp14:editId="74FE0E06">
            <wp:extent cx="6400800" cy="8858250"/>
            <wp:effectExtent l="0" t="0" r="0" b="0"/>
            <wp:docPr id="1263269115" name="Imagen 126326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6400800" cy="8858250"/>
                    </a:xfrm>
                    <a:prstGeom prst="rect">
                      <a:avLst/>
                    </a:prstGeom>
                    <a:noFill/>
                    <a:ln>
                      <a:noFill/>
                    </a:ln>
                  </pic:spPr>
                </pic:pic>
              </a:graphicData>
            </a:graphic>
          </wp:inline>
        </w:drawing>
      </w:r>
    </w:p>
    <w:p w14:paraId="4224BC02" w14:textId="77777777" w:rsidR="00A74088" w:rsidRPr="002A7673" w:rsidRDefault="00A74088" w:rsidP="00FF3FAC">
      <w:pPr>
        <w:numPr>
          <w:ilvl w:val="0"/>
          <w:numId w:val="66"/>
        </w:numPr>
        <w:spacing w:after="0" w:line="36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lastRenderedPageBreak/>
        <w:t>Plan Anual Operativo</w:t>
      </w:r>
    </w:p>
    <w:p w14:paraId="164D75DE" w14:textId="77777777" w:rsidR="00A74088" w:rsidRPr="002A7673" w:rsidRDefault="00A74088" w:rsidP="00A74088">
      <w:pPr>
        <w:ind w:left="357"/>
        <w:jc w:val="both"/>
        <w:rPr>
          <w:rFonts w:ascii="Times New Roman" w:hAnsi="Times New Roman" w:cs="Times New Roman"/>
          <w:b/>
          <w:sz w:val="28"/>
          <w:szCs w:val="28"/>
        </w:rPr>
      </w:pPr>
    </w:p>
    <w:p w14:paraId="34AF70A9" w14:textId="77777777" w:rsidR="00A74088" w:rsidRPr="002A7673" w:rsidRDefault="00A74088" w:rsidP="00A74088">
      <w:pPr>
        <w:ind w:firstLine="357"/>
        <w:jc w:val="both"/>
        <w:rPr>
          <w:rFonts w:ascii="Times New Roman" w:hAnsi="Times New Roman" w:cs="Times New Roman"/>
          <w:b/>
          <w:sz w:val="28"/>
          <w:szCs w:val="28"/>
        </w:rPr>
      </w:pPr>
      <w:r w:rsidRPr="002A7673">
        <w:rPr>
          <w:rFonts w:ascii="Times New Roman" w:hAnsi="Times New Roman" w:cs="Times New Roman"/>
          <w:b/>
          <w:sz w:val="28"/>
          <w:szCs w:val="28"/>
        </w:rPr>
        <w:t>Cumplimiento del Plan Anual Operativo 2020</w:t>
      </w:r>
    </w:p>
    <w:p w14:paraId="4981C0E9" w14:textId="77777777" w:rsidR="00A74088" w:rsidRPr="002A7673" w:rsidRDefault="00A74088" w:rsidP="00B67880">
      <w:pPr>
        <w:spacing w:line="240" w:lineRule="auto"/>
        <w:jc w:val="both"/>
        <w:rPr>
          <w:rFonts w:ascii="Times New Roman" w:hAnsi="Times New Roman" w:cs="Times New Roman"/>
          <w:b/>
          <w:sz w:val="28"/>
          <w:szCs w:val="28"/>
        </w:rPr>
      </w:pPr>
    </w:p>
    <w:p w14:paraId="11D2895B" w14:textId="77777777" w:rsidR="00A74088" w:rsidRPr="002A7673" w:rsidRDefault="00A74088" w:rsidP="00B67880">
      <w:pPr>
        <w:spacing w:line="240" w:lineRule="auto"/>
        <w:ind w:left="357" w:firstLine="351"/>
        <w:jc w:val="both"/>
        <w:rPr>
          <w:rFonts w:ascii="Times New Roman" w:hAnsi="Times New Roman" w:cs="Times New Roman"/>
          <w:sz w:val="28"/>
          <w:szCs w:val="28"/>
        </w:rPr>
      </w:pPr>
      <w:r w:rsidRPr="002A7673">
        <w:rPr>
          <w:rFonts w:ascii="Times New Roman" w:hAnsi="Times New Roman" w:cs="Times New Roman"/>
          <w:sz w:val="28"/>
          <w:szCs w:val="28"/>
        </w:rPr>
        <w:t>El siguiente gráfico permite observar el porcentaje de cumplimiento de las metas propuestas en los Planes Anuales Operativos del Programa durante el 2020.</w:t>
      </w:r>
      <w:r w:rsidRPr="002A7673">
        <w:rPr>
          <w:rFonts w:ascii="Times New Roman" w:hAnsi="Times New Roman" w:cs="Times New Roman"/>
          <w:b/>
          <w:sz w:val="28"/>
          <w:szCs w:val="28"/>
        </w:rPr>
        <w:t xml:space="preserve">  </w:t>
      </w:r>
      <w:r w:rsidRPr="002A7673">
        <w:rPr>
          <w:rFonts w:ascii="Times New Roman" w:hAnsi="Times New Roman" w:cs="Times New Roman"/>
          <w:sz w:val="28"/>
          <w:szCs w:val="28"/>
        </w:rPr>
        <w:t>Según se visualiza en el siguiente gráfico, se logró un alto porcentaje de cumplimiento con un 99,81%, resultado aún superior al del 2019, cuando se logró un 98,68%.</w:t>
      </w:r>
    </w:p>
    <w:p w14:paraId="54EC3250" w14:textId="77777777" w:rsidR="00A74088" w:rsidRPr="002A7673" w:rsidRDefault="00A74088" w:rsidP="00A74088">
      <w:pPr>
        <w:ind w:left="357"/>
        <w:jc w:val="both"/>
        <w:rPr>
          <w:rFonts w:ascii="Times New Roman" w:hAnsi="Times New Roman" w:cs="Times New Roman"/>
          <w:b/>
          <w:sz w:val="28"/>
          <w:szCs w:val="28"/>
        </w:rPr>
      </w:pPr>
    </w:p>
    <w:p w14:paraId="04530121" w14:textId="77777777" w:rsidR="00A74088" w:rsidRPr="002A7673" w:rsidRDefault="00A74088" w:rsidP="00A74088">
      <w:pPr>
        <w:spacing w:line="360" w:lineRule="auto"/>
        <w:ind w:left="284"/>
        <w:jc w:val="center"/>
        <w:rPr>
          <w:rFonts w:ascii="Times New Roman" w:hAnsi="Times New Roman" w:cs="Times New Roman"/>
          <w:b/>
          <w:sz w:val="28"/>
          <w:szCs w:val="28"/>
        </w:rPr>
      </w:pPr>
      <w:r w:rsidRPr="002A7673">
        <w:rPr>
          <w:rFonts w:ascii="Times New Roman" w:hAnsi="Times New Roman" w:cs="Times New Roman"/>
          <w:noProof/>
        </w:rPr>
        <w:drawing>
          <wp:inline distT="0" distB="0" distL="0" distR="0" wp14:anchorId="516D0513" wp14:editId="5E687E58">
            <wp:extent cx="5428614" cy="2533650"/>
            <wp:effectExtent l="0" t="0" r="635" b="0"/>
            <wp:docPr id="1263269116" name="Imagen 1263269116"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116"/>
                    <pic:cNvPicPr/>
                  </pic:nvPicPr>
                  <pic:blipFill>
                    <a:blip r:embed="rId335">
                      <a:extLst>
                        <a:ext uri="{28A0092B-C50C-407E-A947-70E740481C1C}">
                          <a14:useLocalDpi xmlns:a14="http://schemas.microsoft.com/office/drawing/2010/main" val="0"/>
                        </a:ext>
                      </a:extLst>
                    </a:blip>
                    <a:stretch>
                      <a:fillRect/>
                    </a:stretch>
                  </pic:blipFill>
                  <pic:spPr>
                    <a:xfrm>
                      <a:off x="0" y="0"/>
                      <a:ext cx="5428614" cy="2533650"/>
                    </a:xfrm>
                    <a:prstGeom prst="rect">
                      <a:avLst/>
                    </a:prstGeom>
                  </pic:spPr>
                </pic:pic>
              </a:graphicData>
            </a:graphic>
          </wp:inline>
        </w:drawing>
      </w:r>
    </w:p>
    <w:p w14:paraId="7F5F0F33" w14:textId="77777777" w:rsidR="00A74088" w:rsidRPr="002A7673" w:rsidRDefault="00A74088" w:rsidP="00B67880">
      <w:pPr>
        <w:spacing w:line="480" w:lineRule="auto"/>
        <w:ind w:left="1416"/>
        <w:jc w:val="both"/>
        <w:rPr>
          <w:rFonts w:ascii="Times New Roman" w:hAnsi="Times New Roman" w:cs="Times New Roman"/>
          <w:b/>
          <w:sz w:val="28"/>
          <w:szCs w:val="28"/>
        </w:rPr>
      </w:pPr>
    </w:p>
    <w:p w14:paraId="60CAA8B8" w14:textId="4582A622" w:rsidR="00A74088" w:rsidRPr="002A7673" w:rsidRDefault="00A74088" w:rsidP="00B67880">
      <w:pPr>
        <w:spacing w:line="240" w:lineRule="auto"/>
        <w:ind w:left="284"/>
        <w:jc w:val="both"/>
        <w:rPr>
          <w:rFonts w:ascii="Times New Roman" w:hAnsi="Times New Roman" w:cs="Times New Roman"/>
          <w:sz w:val="28"/>
          <w:szCs w:val="28"/>
        </w:rPr>
      </w:pPr>
      <w:r w:rsidRPr="002A7673">
        <w:rPr>
          <w:rFonts w:ascii="Times New Roman" w:hAnsi="Times New Roman" w:cs="Times New Roman"/>
          <w:sz w:val="28"/>
          <w:szCs w:val="28"/>
        </w:rPr>
        <w:t>Seguidamente, en el archivo inserto se puede observar el porcentaje de cumplimiento de cada una de las oficinas que integran el Organismo de Investigación Judicial.</w:t>
      </w:r>
    </w:p>
    <w:p w14:paraId="59B78278" w14:textId="77777777" w:rsidR="00A74088" w:rsidRPr="002A7673" w:rsidRDefault="00A74088" w:rsidP="00A74088">
      <w:pPr>
        <w:jc w:val="center"/>
        <w:rPr>
          <w:rFonts w:ascii="Times New Roman" w:hAnsi="Times New Roman" w:cs="Times New Roman"/>
          <w:b/>
          <w:sz w:val="28"/>
          <w:szCs w:val="28"/>
        </w:rPr>
      </w:pPr>
      <w:r w:rsidRPr="002A7673">
        <w:rPr>
          <w:rFonts w:ascii="Times New Roman" w:hAnsi="Times New Roman" w:cs="Times New Roman"/>
          <w:b/>
          <w:sz w:val="28"/>
          <w:szCs w:val="28"/>
        </w:rPr>
        <w:object w:dxaOrig="1508" w:dyaOrig="983" w14:anchorId="0E731BAF">
          <v:shape id="_x0000_i1150" type="#_x0000_t75" style="width:77.5pt;height:52pt" o:ole="">
            <v:imagedata r:id="rId336" o:title=""/>
          </v:shape>
          <o:OLEObject Type="Embed" ProgID="Excel.Sheet.12" ShapeID="_x0000_i1150" DrawAspect="Icon" ObjectID="_1684067093" r:id="rId337"/>
        </w:object>
      </w:r>
    </w:p>
    <w:p w14:paraId="480AA669" w14:textId="77777777" w:rsidR="00A74088" w:rsidRPr="002A7673" w:rsidRDefault="00A74088" w:rsidP="00B67880">
      <w:pPr>
        <w:rPr>
          <w:rFonts w:ascii="Times New Roman" w:hAnsi="Times New Roman" w:cs="Times New Roman"/>
          <w:b/>
          <w:sz w:val="28"/>
          <w:szCs w:val="28"/>
        </w:rPr>
      </w:pPr>
    </w:p>
    <w:p w14:paraId="5B9EDF90" w14:textId="77777777" w:rsidR="00A74088" w:rsidRPr="002A7673" w:rsidRDefault="00A74088" w:rsidP="00FF3FAC">
      <w:pPr>
        <w:numPr>
          <w:ilvl w:val="0"/>
          <w:numId w:val="66"/>
        </w:numPr>
        <w:spacing w:after="0" w:line="36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t>Programación Presupuestaria</w:t>
      </w:r>
    </w:p>
    <w:p w14:paraId="2EB0322F" w14:textId="77777777" w:rsidR="00A74088" w:rsidRPr="002A7673" w:rsidRDefault="00A74088" w:rsidP="00A74088">
      <w:pPr>
        <w:jc w:val="both"/>
        <w:rPr>
          <w:rFonts w:ascii="Times New Roman" w:hAnsi="Times New Roman" w:cs="Times New Roman"/>
          <w:b/>
          <w:sz w:val="28"/>
          <w:szCs w:val="28"/>
        </w:rPr>
      </w:pPr>
    </w:p>
    <w:p w14:paraId="713AF066" w14:textId="5610669F" w:rsidR="00A74088" w:rsidRPr="002A7673" w:rsidRDefault="00A74088" w:rsidP="00B67880">
      <w:pPr>
        <w:spacing w:line="240" w:lineRule="auto"/>
        <w:ind w:left="284" w:firstLine="217"/>
        <w:jc w:val="both"/>
        <w:rPr>
          <w:rFonts w:ascii="Times New Roman" w:hAnsi="Times New Roman" w:cs="Times New Roman"/>
          <w:sz w:val="28"/>
          <w:szCs w:val="28"/>
        </w:rPr>
      </w:pPr>
      <w:r w:rsidRPr="002A7673">
        <w:rPr>
          <w:rFonts w:ascii="Times New Roman" w:hAnsi="Times New Roman" w:cs="Times New Roman"/>
          <w:sz w:val="28"/>
          <w:szCs w:val="28"/>
        </w:rPr>
        <w:t xml:space="preserve">La programación presupuestaria del Programa 928, está respaldada por los planes anuales operativos elaborados en concordancia con el plan estratégico 2019-2024, por las oficinas del Organismo de Investigación Judicial. </w:t>
      </w:r>
    </w:p>
    <w:bookmarkStart w:id="218" w:name="_MON_1681121449"/>
    <w:bookmarkEnd w:id="218"/>
    <w:bookmarkStart w:id="219" w:name="_MON_1681131493"/>
    <w:bookmarkEnd w:id="219"/>
    <w:p w14:paraId="7D257D99" w14:textId="77777777" w:rsidR="00A74088" w:rsidRPr="002A7673" w:rsidRDefault="00A74088" w:rsidP="00A74088">
      <w:pPr>
        <w:jc w:val="center"/>
        <w:rPr>
          <w:rFonts w:ascii="Times New Roman" w:hAnsi="Times New Roman" w:cs="Times New Roman"/>
          <w:b/>
          <w:sz w:val="28"/>
          <w:szCs w:val="28"/>
        </w:rPr>
      </w:pPr>
      <w:r w:rsidRPr="002A7673">
        <w:rPr>
          <w:rFonts w:ascii="Times New Roman" w:hAnsi="Times New Roman" w:cs="Times New Roman"/>
          <w:b/>
          <w:sz w:val="28"/>
          <w:szCs w:val="28"/>
        </w:rPr>
        <w:object w:dxaOrig="1508" w:dyaOrig="983" w14:anchorId="70F9B275">
          <v:shape id="_x0000_i1151" type="#_x0000_t75" style="width:77.5pt;height:52pt" o:ole="">
            <v:imagedata r:id="rId338" o:title=""/>
          </v:shape>
          <o:OLEObject Type="Embed" ProgID="Excel.Sheet.12" ShapeID="_x0000_i1151" DrawAspect="Icon" ObjectID="_1684067094" r:id="rId339"/>
        </w:object>
      </w:r>
    </w:p>
    <w:p w14:paraId="00FB594D" w14:textId="77777777" w:rsidR="00A74088" w:rsidRPr="002A7673" w:rsidRDefault="00A74088" w:rsidP="00A74088">
      <w:pPr>
        <w:jc w:val="both"/>
        <w:rPr>
          <w:rFonts w:ascii="Times New Roman" w:hAnsi="Times New Roman" w:cs="Times New Roman"/>
          <w:b/>
          <w:sz w:val="28"/>
          <w:szCs w:val="28"/>
        </w:rPr>
      </w:pPr>
    </w:p>
    <w:p w14:paraId="459D9F69" w14:textId="77777777" w:rsidR="00A74088" w:rsidRPr="002A7673" w:rsidRDefault="00A74088" w:rsidP="00FF3FAC">
      <w:pPr>
        <w:numPr>
          <w:ilvl w:val="0"/>
          <w:numId w:val="66"/>
        </w:numPr>
        <w:spacing w:after="0" w:line="360" w:lineRule="auto"/>
        <w:ind w:left="501"/>
        <w:jc w:val="both"/>
        <w:rPr>
          <w:rFonts w:ascii="Times New Roman" w:hAnsi="Times New Roman" w:cs="Times New Roman"/>
          <w:b/>
          <w:sz w:val="28"/>
          <w:szCs w:val="28"/>
        </w:rPr>
      </w:pPr>
      <w:r w:rsidRPr="002A7673">
        <w:rPr>
          <w:rFonts w:ascii="Times New Roman" w:hAnsi="Times New Roman" w:cs="Times New Roman"/>
          <w:b/>
          <w:sz w:val="28"/>
          <w:szCs w:val="28"/>
        </w:rPr>
        <w:t>Afectación PEI</w:t>
      </w:r>
    </w:p>
    <w:p w14:paraId="4AF96114" w14:textId="77777777" w:rsidR="00A74088" w:rsidRPr="002A7673" w:rsidRDefault="00A74088" w:rsidP="00B67880">
      <w:pPr>
        <w:spacing w:line="240" w:lineRule="auto"/>
        <w:ind w:firstLine="709"/>
        <w:jc w:val="both"/>
        <w:rPr>
          <w:rFonts w:ascii="Times New Roman" w:hAnsi="Times New Roman" w:cs="Times New Roman"/>
          <w:bCs/>
          <w:i/>
          <w:iCs/>
          <w:sz w:val="28"/>
          <w:szCs w:val="28"/>
        </w:rPr>
      </w:pPr>
      <w:r w:rsidRPr="002A7673">
        <w:rPr>
          <w:rFonts w:ascii="Times New Roman" w:hAnsi="Times New Roman" w:cs="Times New Roman"/>
          <w:bCs/>
          <w:sz w:val="28"/>
          <w:szCs w:val="28"/>
        </w:rPr>
        <w:t xml:space="preserve">En relación con el tema de si con el presupuesto reducido del menos 4% aprobado por Corte Plena para el 2022, considera este Programa que se puede ver afectado el cumplimiento del PEI para ese año, la respuesta brindada fue la siguiente: </w:t>
      </w:r>
      <w:r w:rsidRPr="002A7673">
        <w:rPr>
          <w:rFonts w:ascii="Times New Roman" w:hAnsi="Times New Roman" w:cs="Times New Roman"/>
          <w:bCs/>
          <w:i/>
          <w:iCs/>
          <w:sz w:val="28"/>
          <w:szCs w:val="28"/>
        </w:rPr>
        <w:t>“con respecto al tema del recorte del 4%, si bien es cierto se tuvo que sacrificar varias líneas, entre estas lo que refiere a equipo e indumentaria policial, es importante indicar que la Policía Judicial cuenta con equipos, herramientas e insumos que le permiten llevar a cabo la labor de una manera adecuada y segura. Ahora, se trató de no afectar equipos médicos y científicos que permitan llevar a cabo las investigaciones con la mayor trazabilidad y transparencia. Además, se están cubriendo todos los contratos existentes, desde alimentación de detenidos hasta alquileres que permitan la operatividad de las diferentes oficinas que conforman este Organismo. Por último, se trabajó en cubrir todo lo referente a mantenimiento de vehículos, combustible, viáticos, extradiciones, repuestos, que son fundamentales en la labor investigativa y que se traducen en un servicio a la ciudadanía efectivo. Igualmente, ya propiamente en la ejecución se podrán valorar verdaderamente los efectos de los recortes, pero en línea con el planteamiento que se hizo en el PEI, se está procurando atender los compromisos adquiridos en el mismo”.</w:t>
      </w:r>
    </w:p>
    <w:p w14:paraId="5C0E0AB7" w14:textId="7037EADE" w:rsidR="00A74088" w:rsidRPr="002A7673" w:rsidRDefault="00B67880" w:rsidP="00B67880">
      <w:pPr>
        <w:spacing w:line="360" w:lineRule="auto"/>
        <w:ind w:left="501"/>
        <w:jc w:val="center"/>
        <w:rPr>
          <w:rFonts w:ascii="Times New Roman" w:hAnsi="Times New Roman" w:cs="Times New Roman"/>
          <w:bCs/>
          <w:sz w:val="28"/>
          <w:szCs w:val="28"/>
        </w:rPr>
      </w:pPr>
      <w:r w:rsidRPr="002A7673">
        <w:rPr>
          <w:rFonts w:ascii="Times New Roman" w:hAnsi="Times New Roman" w:cs="Times New Roman"/>
          <w:bCs/>
          <w:sz w:val="28"/>
          <w:szCs w:val="28"/>
        </w:rPr>
        <w:t>-0-</w:t>
      </w:r>
    </w:p>
    <w:p w14:paraId="21BDEF24" w14:textId="77777777" w:rsidR="00A74088" w:rsidRPr="002A7673" w:rsidRDefault="00A74088" w:rsidP="00A74088">
      <w:pPr>
        <w:spacing w:line="480" w:lineRule="auto"/>
        <w:jc w:val="both"/>
        <w:rPr>
          <w:rFonts w:ascii="Times New Roman" w:eastAsiaTheme="majorEastAsia" w:hAnsi="Times New Roman" w:cs="Times New Roman"/>
          <w:bCs/>
          <w:sz w:val="28"/>
          <w:szCs w:val="28"/>
        </w:rPr>
      </w:pPr>
      <w:r w:rsidRPr="002A7673">
        <w:rPr>
          <w:rFonts w:ascii="Times New Roman" w:eastAsiaTheme="majorEastAsia" w:hAnsi="Times New Roman" w:cs="Times New Roman"/>
          <w:b/>
          <w:sz w:val="28"/>
          <w:szCs w:val="28"/>
        </w:rPr>
        <w:t>Se acordó</w:t>
      </w:r>
      <w:r w:rsidRPr="002A7673">
        <w:rPr>
          <w:rFonts w:ascii="Times New Roman" w:eastAsiaTheme="majorEastAsia" w:hAnsi="Times New Roman" w:cs="Times New Roman"/>
          <w:bCs/>
          <w:sz w:val="28"/>
          <w:szCs w:val="28"/>
        </w:rPr>
        <w:t xml:space="preserve">: </w:t>
      </w:r>
      <w:r w:rsidRPr="002A7673">
        <w:rPr>
          <w:rFonts w:ascii="Times New Roman" w:eastAsiaTheme="majorEastAsia" w:hAnsi="Times New Roman" w:cs="Times New Roman"/>
          <w:b/>
          <w:sz w:val="28"/>
          <w:szCs w:val="28"/>
        </w:rPr>
        <w:t>1)</w:t>
      </w:r>
      <w:r w:rsidRPr="002A7673">
        <w:rPr>
          <w:rFonts w:ascii="Times New Roman" w:eastAsiaTheme="majorEastAsia" w:hAnsi="Times New Roman" w:cs="Times New Roman"/>
          <w:bCs/>
          <w:sz w:val="28"/>
          <w:szCs w:val="28"/>
        </w:rPr>
        <w:t xml:space="preserve"> Dar por conocido el presupuesto y la programación presupuestaria del Programa 928 Organismo de Investigación Judicial para el 2022; sin embargo, se estará a la espera del análisis global del presupuesto 2022, para presentar una propuesta </w:t>
      </w:r>
      <w:r w:rsidRPr="002A7673">
        <w:rPr>
          <w:rFonts w:ascii="Times New Roman" w:eastAsiaTheme="majorEastAsia" w:hAnsi="Times New Roman" w:cs="Times New Roman"/>
          <w:bCs/>
          <w:sz w:val="28"/>
          <w:szCs w:val="28"/>
        </w:rPr>
        <w:lastRenderedPageBreak/>
        <w:t xml:space="preserve">general que integre todas las necesidades institucionales. </w:t>
      </w:r>
      <w:r w:rsidRPr="002A7673">
        <w:rPr>
          <w:rFonts w:ascii="Times New Roman" w:eastAsiaTheme="majorEastAsia" w:hAnsi="Times New Roman" w:cs="Times New Roman"/>
          <w:b/>
          <w:sz w:val="28"/>
          <w:szCs w:val="28"/>
        </w:rPr>
        <w:t>2)</w:t>
      </w:r>
      <w:r w:rsidRPr="002A7673">
        <w:rPr>
          <w:rFonts w:ascii="Times New Roman" w:eastAsiaTheme="majorEastAsia" w:hAnsi="Times New Roman" w:cs="Times New Roman"/>
          <w:bCs/>
          <w:sz w:val="28"/>
          <w:szCs w:val="28"/>
        </w:rPr>
        <w:t xml:space="preserve"> Aprobar los requerimientos adicionales y operativos solicitados por un total de ¢173.563.641, de los cuales ¢157.944.380 son para la actualización del Sistema Integrado de Identificación Balística (IBIS), ¢10.619.261 para la contratación de horas de consultoría para el Proyecto 1167-OIJ-P22 “Sistema de Análisis de Crímenes Violentos” y los restantes ¢5.000.000 para el servicio de limpieza de la Unidad Canina. 3) Instar a todas las oficinas del Organismo de Investigación Judicial a continuar con el alto cumplimiento de las metas propuestas en sus Planes Anuales Operativos.  </w:t>
      </w:r>
    </w:p>
    <w:p w14:paraId="08EF186F" w14:textId="77777777" w:rsidR="0085505C" w:rsidRPr="002A7673" w:rsidRDefault="0085505C" w:rsidP="0085505C">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XV</w:t>
      </w:r>
    </w:p>
    <w:p w14:paraId="68C4CEAA" w14:textId="77777777" w:rsidR="0085505C" w:rsidRPr="002A7673" w:rsidRDefault="0085505C" w:rsidP="00CB2D90">
      <w:pPr>
        <w:autoSpaceDE w:val="0"/>
        <w:autoSpaceDN w:val="0"/>
        <w:adjustRightInd w:val="0"/>
        <w:spacing w:after="0" w:line="480" w:lineRule="auto"/>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4419-2021</w:t>
      </w:r>
    </w:p>
    <w:p w14:paraId="61394372" w14:textId="77777777" w:rsidR="0085505C" w:rsidRPr="002A7673" w:rsidRDefault="0085505C" w:rsidP="0085505C">
      <w:pPr>
        <w:spacing w:after="0" w:line="480" w:lineRule="auto"/>
        <w:jc w:val="both"/>
        <w:rPr>
          <w:rFonts w:ascii="Times New Roman" w:hAnsi="Times New Roman" w:cs="Times New Roman"/>
          <w:b/>
          <w:bCs/>
          <w:sz w:val="28"/>
          <w:szCs w:val="28"/>
        </w:rPr>
      </w:pPr>
      <w:r w:rsidRPr="002A7673">
        <w:rPr>
          <w:rFonts w:ascii="Times New Roman" w:hAnsi="Times New Roman" w:cs="Times New Roman"/>
          <w:sz w:val="28"/>
          <w:szCs w:val="28"/>
        </w:rPr>
        <w:t>En reunión de trabajo del pasado 23 de abril, la licenciada Nacira Valverde Bermúdez,</w:t>
      </w:r>
      <w:r w:rsidRPr="002A7673">
        <w:rPr>
          <w:rFonts w:ascii="Times New Roman" w:hAnsi="Times New Roman" w:cs="Times New Roman"/>
          <w:color w:val="000000"/>
          <w:sz w:val="28"/>
          <w:szCs w:val="28"/>
          <w:shd w:val="clear" w:color="auto" w:fill="FFFFFF"/>
        </w:rPr>
        <w:t xml:space="preserve"> </w:t>
      </w:r>
      <w:r w:rsidRPr="002A7673">
        <w:rPr>
          <w:rFonts w:ascii="Times New Roman" w:hAnsi="Times New Roman" w:cs="Times New Roman"/>
          <w:sz w:val="28"/>
          <w:szCs w:val="28"/>
        </w:rPr>
        <w:t xml:space="preserve">Directora de Planificación presentó el proyecto de presupuesto para el 2022 del </w:t>
      </w:r>
      <w:r w:rsidRPr="002A7673">
        <w:rPr>
          <w:rFonts w:ascii="Times New Roman" w:hAnsi="Times New Roman" w:cs="Times New Roman"/>
          <w:b/>
          <w:bCs/>
          <w:sz w:val="28"/>
          <w:szCs w:val="28"/>
        </w:rPr>
        <w:t>Programa 929 Ministerio Público.</w:t>
      </w:r>
    </w:p>
    <w:p w14:paraId="6CDD57A2" w14:textId="77777777" w:rsidR="0085505C" w:rsidRPr="002A7673" w:rsidRDefault="0085505C" w:rsidP="00FF3FAC">
      <w:pPr>
        <w:keepNext/>
        <w:widowControl w:val="0"/>
        <w:numPr>
          <w:ilvl w:val="0"/>
          <w:numId w:val="75"/>
        </w:numPr>
        <w:autoSpaceDE w:val="0"/>
        <w:autoSpaceDN w:val="0"/>
        <w:adjustRightInd w:val="0"/>
        <w:spacing w:before="120" w:after="120" w:line="240" w:lineRule="auto"/>
        <w:ind w:left="851" w:right="851" w:firstLine="709"/>
        <w:jc w:val="both"/>
        <w:outlineLvl w:val="0"/>
        <w:rPr>
          <w:rFonts w:ascii="Times New Roman" w:hAnsi="Times New Roman" w:cs="Times New Roman"/>
          <w:b/>
          <w:bCs/>
          <w:kern w:val="32"/>
          <w:sz w:val="26"/>
          <w:szCs w:val="26"/>
          <w:lang w:eastAsia="es-ES"/>
        </w:rPr>
      </w:pPr>
      <w:r w:rsidRPr="002A7673">
        <w:rPr>
          <w:rFonts w:ascii="Times New Roman" w:hAnsi="Times New Roman" w:cs="Times New Roman"/>
          <w:b/>
          <w:bCs/>
          <w:kern w:val="32"/>
          <w:sz w:val="26"/>
          <w:szCs w:val="26"/>
          <w:lang w:eastAsia="es-ES"/>
        </w:rPr>
        <w:t xml:space="preserve">Información General </w:t>
      </w:r>
    </w:p>
    <w:p w14:paraId="0277DF49" w14:textId="77777777" w:rsidR="0085505C" w:rsidRPr="002A7673" w:rsidRDefault="0085505C" w:rsidP="0085505C">
      <w:pPr>
        <w:keepNext/>
        <w:widowControl w:val="0"/>
        <w:autoSpaceDE w:val="0"/>
        <w:autoSpaceDN w:val="0"/>
        <w:adjustRightInd w:val="0"/>
        <w:spacing w:before="120" w:after="120" w:line="240" w:lineRule="auto"/>
        <w:ind w:left="851" w:right="851" w:firstLine="709"/>
        <w:jc w:val="both"/>
        <w:outlineLvl w:val="0"/>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A nivel de Programa, en el caso del Programa 929 Ministerio Público, al consolidar el presupuesto de Remuneraciones con el Gasto Variable, se tiene al 23 de abril del 2021, una variación total del 0,36%, y de forma específica de un 0,31% en Remuneraciones y de un -6,3% en Gasto Variable.  </w:t>
      </w:r>
    </w:p>
    <w:p w14:paraId="4BBDA9B1" w14:textId="77777777" w:rsidR="0085505C" w:rsidRPr="002A7673" w:rsidRDefault="0085505C" w:rsidP="0085505C">
      <w:pPr>
        <w:keepNext/>
        <w:widowControl w:val="0"/>
        <w:autoSpaceDE w:val="0"/>
        <w:autoSpaceDN w:val="0"/>
        <w:adjustRightInd w:val="0"/>
        <w:spacing w:before="120" w:after="120" w:line="240" w:lineRule="auto"/>
        <w:ind w:left="851" w:right="851" w:firstLine="709"/>
        <w:jc w:val="both"/>
        <w:outlineLvl w:val="0"/>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Las cifras anteriores, reflejan el esfuerzo institucional del Programa para cumplir con el acuerdo de Corte Plena de ajustar la solicitud presupuestaria del 2022 en un -4%, siendo que al consolidarse con la previsión presupuestaria de Remuneraciones se logra un comportamiento muy controlado del gasto institucional, dentro de los límites establecidos por </w:t>
      </w:r>
      <w:r w:rsidRPr="002A7673">
        <w:rPr>
          <w:rFonts w:ascii="Times New Roman" w:hAnsi="Times New Roman" w:cs="Times New Roman"/>
          <w:kern w:val="32"/>
          <w:sz w:val="26"/>
          <w:szCs w:val="26"/>
          <w:lang w:eastAsia="es-ES"/>
        </w:rPr>
        <w:lastRenderedPageBreak/>
        <w:t xml:space="preserve">el Ministerio de Hacienda. </w:t>
      </w:r>
    </w:p>
    <w:p w14:paraId="4623D1A8" w14:textId="77777777" w:rsidR="0085505C" w:rsidRPr="002A7673" w:rsidRDefault="0085505C" w:rsidP="0085505C">
      <w:pPr>
        <w:keepNext/>
        <w:widowControl w:val="0"/>
        <w:autoSpaceDE w:val="0"/>
        <w:autoSpaceDN w:val="0"/>
        <w:adjustRightInd w:val="0"/>
        <w:spacing w:before="120" w:after="120" w:line="240" w:lineRule="auto"/>
        <w:ind w:left="851" w:right="851" w:firstLine="709"/>
        <w:jc w:val="both"/>
        <w:outlineLvl w:val="0"/>
        <w:rPr>
          <w:rFonts w:ascii="Times New Roman" w:hAnsi="Times New Roman" w:cs="Times New Roman"/>
          <w:b/>
          <w:bCs/>
          <w:kern w:val="32"/>
          <w:sz w:val="26"/>
          <w:szCs w:val="26"/>
          <w:lang w:eastAsia="es-ES"/>
        </w:rPr>
      </w:pPr>
      <w:r w:rsidRPr="002A7673">
        <w:rPr>
          <w:rFonts w:ascii="Times New Roman" w:hAnsi="Times New Roman" w:cs="Times New Roman"/>
          <w:kern w:val="32"/>
          <w:sz w:val="26"/>
          <w:szCs w:val="26"/>
          <w:lang w:eastAsia="es-ES"/>
        </w:rPr>
        <w:t xml:space="preserve">De no haberse adoptado esta medida, posiblemente al consolidarse la petición de necesidades de gasto variable con las de remuneraciones, el monto total habría sido muy superior al tope presupuestario establecido para el Poder Judicial, tanto en gasto corriente como en gasto de capital.  </w:t>
      </w:r>
    </w:p>
    <w:p w14:paraId="672EE927" w14:textId="77777777" w:rsidR="0085505C" w:rsidRPr="002A7673" w:rsidRDefault="0085505C" w:rsidP="0085505C">
      <w:pPr>
        <w:keepNext/>
        <w:widowControl w:val="0"/>
        <w:autoSpaceDE w:val="0"/>
        <w:autoSpaceDN w:val="0"/>
        <w:adjustRightInd w:val="0"/>
        <w:spacing w:before="120" w:after="120" w:line="240" w:lineRule="auto"/>
        <w:ind w:left="851" w:right="851" w:firstLine="709"/>
        <w:jc w:val="both"/>
        <w:outlineLvl w:val="0"/>
        <w:rPr>
          <w:rFonts w:ascii="Times New Roman" w:hAnsi="Times New Roman" w:cs="Times New Roman"/>
          <w:b/>
          <w:bCs/>
          <w:kern w:val="32"/>
          <w:sz w:val="26"/>
          <w:szCs w:val="26"/>
          <w:highlight w:val="lightGray"/>
          <w:lang w:eastAsia="es-ES"/>
        </w:rPr>
      </w:pPr>
    </w:p>
    <w:p w14:paraId="0DB3762E" w14:textId="77777777" w:rsidR="0085505C" w:rsidRPr="002A7673" w:rsidRDefault="0085505C" w:rsidP="00FF3FAC">
      <w:pPr>
        <w:keepNext/>
        <w:widowControl w:val="0"/>
        <w:numPr>
          <w:ilvl w:val="0"/>
          <w:numId w:val="56"/>
        </w:numPr>
        <w:autoSpaceDE w:val="0"/>
        <w:autoSpaceDN w:val="0"/>
        <w:adjustRightInd w:val="0"/>
        <w:spacing w:before="120" w:after="120" w:line="240" w:lineRule="auto"/>
        <w:ind w:left="851" w:right="851" w:firstLine="709"/>
        <w:jc w:val="both"/>
        <w:outlineLvl w:val="0"/>
        <w:rPr>
          <w:rFonts w:ascii="Times New Roman" w:hAnsi="Times New Roman" w:cs="Times New Roman"/>
          <w:b/>
          <w:bCs/>
          <w:kern w:val="32"/>
          <w:sz w:val="26"/>
          <w:szCs w:val="26"/>
          <w:highlight w:val="lightGray"/>
          <w:lang w:eastAsia="es-ES"/>
        </w:rPr>
      </w:pPr>
      <w:r w:rsidRPr="002A7673">
        <w:rPr>
          <w:rFonts w:ascii="Times New Roman" w:hAnsi="Times New Roman" w:cs="Times New Roman"/>
          <w:b/>
          <w:bCs/>
          <w:kern w:val="32"/>
          <w:sz w:val="26"/>
          <w:szCs w:val="26"/>
          <w:highlight w:val="lightGray"/>
          <w:lang w:eastAsia="es-ES"/>
        </w:rPr>
        <w:t>Comportamiento específico del Gasto Variable</w:t>
      </w:r>
    </w:p>
    <w:p w14:paraId="38C98399"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sz w:val="26"/>
          <w:szCs w:val="26"/>
          <w:highlight w:val="lightGray"/>
        </w:rPr>
      </w:pPr>
    </w:p>
    <w:p w14:paraId="25CA69F6" w14:textId="77777777" w:rsidR="0085505C" w:rsidRPr="002A7673" w:rsidRDefault="0085505C" w:rsidP="0085505C">
      <w:pPr>
        <w:spacing w:before="120" w:after="120" w:line="240" w:lineRule="auto"/>
        <w:ind w:left="851" w:right="851" w:firstLine="709"/>
        <w:jc w:val="both"/>
        <w:rPr>
          <w:rFonts w:ascii="Times New Roman" w:hAnsi="Times New Roman" w:cs="Times New Roman"/>
          <w:kern w:val="32"/>
          <w:sz w:val="26"/>
          <w:szCs w:val="26"/>
          <w:lang w:eastAsia="es-ES"/>
        </w:rPr>
      </w:pPr>
      <w:r w:rsidRPr="002A7673">
        <w:rPr>
          <w:rFonts w:ascii="Times New Roman" w:hAnsi="Times New Roman" w:cs="Times New Roman"/>
          <w:kern w:val="32"/>
          <w:sz w:val="26"/>
          <w:szCs w:val="26"/>
          <w:highlight w:val="lightGray"/>
          <w:lang w:eastAsia="es-ES"/>
        </w:rPr>
        <w:t xml:space="preserve">Al igual que en años anteriores, a </w:t>
      </w:r>
      <w:proofErr w:type="gramStart"/>
      <w:r w:rsidRPr="002A7673">
        <w:rPr>
          <w:rFonts w:ascii="Times New Roman" w:hAnsi="Times New Roman" w:cs="Times New Roman"/>
          <w:kern w:val="32"/>
          <w:sz w:val="26"/>
          <w:szCs w:val="26"/>
          <w:highlight w:val="lightGray"/>
          <w:lang w:eastAsia="es-ES"/>
        </w:rPr>
        <w:t>continuación</w:t>
      </w:r>
      <w:proofErr w:type="gramEnd"/>
      <w:r w:rsidRPr="002A7673">
        <w:rPr>
          <w:rFonts w:ascii="Times New Roman" w:hAnsi="Times New Roman" w:cs="Times New Roman"/>
          <w:kern w:val="32"/>
          <w:sz w:val="26"/>
          <w:szCs w:val="26"/>
          <w:highlight w:val="lightGray"/>
          <w:lang w:eastAsia="es-ES"/>
        </w:rPr>
        <w:t xml:space="preserve"> se presenta el comportamiento específico del presupuesto solicitado para necesidades de gasto variable:</w:t>
      </w:r>
    </w:p>
    <w:p w14:paraId="614FD2FD" w14:textId="77777777" w:rsidR="0085505C" w:rsidRPr="002A7673" w:rsidRDefault="0085505C" w:rsidP="0085505C">
      <w:pPr>
        <w:spacing w:after="0" w:line="360" w:lineRule="auto"/>
        <w:ind w:left="360"/>
        <w:jc w:val="both"/>
        <w:rPr>
          <w:rFonts w:ascii="Times New Roman" w:hAnsi="Times New Roman" w:cs="Times New Roman"/>
          <w:b/>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2407"/>
        <w:gridCol w:w="2415"/>
        <w:gridCol w:w="2413"/>
      </w:tblGrid>
      <w:tr w:rsidR="0085505C" w:rsidRPr="002A7673" w14:paraId="101B466D" w14:textId="77777777" w:rsidTr="0048334E">
        <w:trPr>
          <w:jc w:val="center"/>
        </w:trPr>
        <w:tc>
          <w:tcPr>
            <w:tcW w:w="1255" w:type="pct"/>
            <w:vAlign w:val="center"/>
          </w:tcPr>
          <w:p w14:paraId="4E5E1ED5"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Presupuesto</w:t>
            </w:r>
          </w:p>
          <w:p w14:paraId="0BD1B2F0"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Aprobado 2021</w:t>
            </w:r>
          </w:p>
        </w:tc>
        <w:tc>
          <w:tcPr>
            <w:tcW w:w="1246" w:type="pct"/>
            <w:vAlign w:val="center"/>
          </w:tcPr>
          <w:p w14:paraId="06CA67B3"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Presupuesto Formulado 2022</w:t>
            </w:r>
          </w:p>
        </w:tc>
        <w:tc>
          <w:tcPr>
            <w:tcW w:w="1250" w:type="pct"/>
            <w:vAlign w:val="center"/>
          </w:tcPr>
          <w:p w14:paraId="1DF8EE95"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Diferencia Absoluta</w:t>
            </w:r>
          </w:p>
        </w:tc>
        <w:tc>
          <w:tcPr>
            <w:tcW w:w="1250" w:type="pct"/>
            <w:vAlign w:val="center"/>
          </w:tcPr>
          <w:p w14:paraId="71E59893"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Porcentaje de Variación</w:t>
            </w:r>
          </w:p>
        </w:tc>
      </w:tr>
      <w:tr w:rsidR="0085505C" w:rsidRPr="002A7673" w14:paraId="2AF8EEF1" w14:textId="77777777" w:rsidTr="0048334E">
        <w:trPr>
          <w:jc w:val="center"/>
        </w:trPr>
        <w:tc>
          <w:tcPr>
            <w:tcW w:w="1255" w:type="pct"/>
            <w:vAlign w:val="center"/>
          </w:tcPr>
          <w:p w14:paraId="0169835E"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¢3.767.343.922</w:t>
            </w:r>
          </w:p>
        </w:tc>
        <w:tc>
          <w:tcPr>
            <w:tcW w:w="1246" w:type="pct"/>
            <w:shd w:val="clear" w:color="auto" w:fill="auto"/>
            <w:vAlign w:val="center"/>
          </w:tcPr>
          <w:p w14:paraId="47E1505D"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¢3.529.133.210</w:t>
            </w:r>
          </w:p>
        </w:tc>
        <w:tc>
          <w:tcPr>
            <w:tcW w:w="1250" w:type="pct"/>
            <w:vAlign w:val="center"/>
          </w:tcPr>
          <w:p w14:paraId="29D4E7DD"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¢238.210.713</w:t>
            </w:r>
          </w:p>
        </w:tc>
        <w:tc>
          <w:tcPr>
            <w:tcW w:w="1250" w:type="pct"/>
            <w:vAlign w:val="center"/>
          </w:tcPr>
          <w:p w14:paraId="67CFD3B0"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-6.3%</w:t>
            </w:r>
          </w:p>
        </w:tc>
      </w:tr>
    </w:tbl>
    <w:p w14:paraId="2AF34B86" w14:textId="77777777" w:rsidR="0085505C" w:rsidRPr="002A7673" w:rsidRDefault="0085505C" w:rsidP="0085505C">
      <w:pPr>
        <w:spacing w:after="0" w:line="240" w:lineRule="auto"/>
        <w:ind w:left="1324" w:right="964"/>
        <w:jc w:val="both"/>
        <w:rPr>
          <w:rFonts w:ascii="Times New Roman" w:hAnsi="Times New Roman" w:cs="Times New Roman"/>
        </w:rPr>
      </w:pPr>
    </w:p>
    <w:p w14:paraId="52A52174"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8"/>
          <w:szCs w:val="28"/>
          <w:lang w:val="es-ES" w:eastAsia="es-ES"/>
        </w:rPr>
        <w:t xml:space="preserve">2. </w:t>
      </w:r>
      <w:r w:rsidRPr="002A7673">
        <w:rPr>
          <w:rFonts w:ascii="Times New Roman" w:eastAsia="Times New Roman" w:hAnsi="Times New Roman" w:cs="Times New Roman"/>
          <w:b/>
          <w:sz w:val="26"/>
          <w:szCs w:val="26"/>
          <w:lang w:val="es-ES" w:eastAsia="es-ES"/>
        </w:rPr>
        <w:t xml:space="preserve">Aspectos Relevantes </w:t>
      </w:r>
    </w:p>
    <w:p w14:paraId="24014DD0" w14:textId="77777777" w:rsidR="0085505C" w:rsidRPr="002A7673" w:rsidRDefault="0085505C" w:rsidP="0085505C">
      <w:pPr>
        <w:spacing w:before="120" w:after="120" w:line="240" w:lineRule="auto"/>
        <w:ind w:left="851" w:right="851" w:firstLine="709"/>
        <w:jc w:val="both"/>
        <w:rPr>
          <w:rFonts w:ascii="Times New Roman" w:hAnsi="Times New Roman" w:cs="Times New Roman"/>
          <w:b/>
          <w:sz w:val="26"/>
          <w:szCs w:val="26"/>
        </w:rPr>
      </w:pPr>
    </w:p>
    <w:p w14:paraId="6112E2E7" w14:textId="77777777" w:rsidR="0085505C" w:rsidRPr="002A7673" w:rsidRDefault="0085505C" w:rsidP="00FF3FAC">
      <w:pPr>
        <w:numPr>
          <w:ilvl w:val="1"/>
          <w:numId w:val="76"/>
        </w:numPr>
        <w:spacing w:before="120" w:after="120" w:line="240" w:lineRule="auto"/>
        <w:ind w:left="851" w:right="851" w:firstLine="709"/>
        <w:jc w:val="both"/>
        <w:rPr>
          <w:rFonts w:ascii="Times New Roman" w:eastAsia="Times New Roman" w:hAnsi="Times New Roman" w:cs="Times New Roman"/>
          <w:b/>
          <w:i/>
          <w:sz w:val="26"/>
          <w:szCs w:val="26"/>
          <w:lang w:val="es-ES" w:eastAsia="es-ES"/>
        </w:rPr>
      </w:pPr>
      <w:r w:rsidRPr="002A7673">
        <w:rPr>
          <w:rFonts w:ascii="Times New Roman" w:eastAsia="Times New Roman" w:hAnsi="Times New Roman" w:cs="Times New Roman"/>
          <w:b/>
          <w:i/>
          <w:sz w:val="26"/>
          <w:szCs w:val="26"/>
          <w:lang w:val="es-ES" w:eastAsia="es-ES"/>
        </w:rPr>
        <w:t>Variación 2021-2022</w:t>
      </w:r>
    </w:p>
    <w:p w14:paraId="2C97968E"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El presupuesto solicitado presenta un decrecimiento del 6.3% respecto al aprobado para el 2021.</w:t>
      </w:r>
    </w:p>
    <w:p w14:paraId="4E7788DF" w14:textId="77777777" w:rsidR="0085505C" w:rsidRPr="002A7673" w:rsidRDefault="0085505C" w:rsidP="0085505C">
      <w:pPr>
        <w:spacing w:after="0" w:line="360" w:lineRule="auto"/>
        <w:ind w:left="432" w:firstLine="276"/>
        <w:rPr>
          <w:rFonts w:ascii="Times New Roman" w:eastAsia="Times New Roman" w:hAnsi="Times New Roman" w:cs="Times New Roman"/>
          <w:sz w:val="28"/>
          <w:szCs w:val="28"/>
          <w:lang w:val="es-ES" w:eastAsia="es-ES"/>
        </w:rPr>
      </w:pPr>
    </w:p>
    <w:tbl>
      <w:tblPr>
        <w:tblW w:w="5000" w:type="pct"/>
        <w:tblCellMar>
          <w:left w:w="70" w:type="dxa"/>
          <w:right w:w="70" w:type="dxa"/>
        </w:tblCellMar>
        <w:tblLook w:val="04A0" w:firstRow="1" w:lastRow="0" w:firstColumn="1" w:lastColumn="0" w:noHBand="0" w:noVBand="1"/>
      </w:tblPr>
      <w:tblGrid>
        <w:gridCol w:w="4448"/>
        <w:gridCol w:w="2264"/>
        <w:gridCol w:w="2173"/>
        <w:gridCol w:w="763"/>
      </w:tblGrid>
      <w:tr w:rsidR="0085505C" w:rsidRPr="002A7673" w14:paraId="2CFCB15E" w14:textId="77777777" w:rsidTr="0048334E">
        <w:trPr>
          <w:trHeight w:val="360"/>
        </w:trPr>
        <w:tc>
          <w:tcPr>
            <w:tcW w:w="5000" w:type="pct"/>
            <w:gridSpan w:val="4"/>
            <w:tcBorders>
              <w:top w:val="single" w:sz="8" w:space="0" w:color="auto"/>
              <w:left w:val="single" w:sz="8" w:space="0" w:color="auto"/>
              <w:bottom w:val="single" w:sz="8" w:space="0" w:color="auto"/>
              <w:right w:val="single" w:sz="8" w:space="0" w:color="000000"/>
            </w:tcBorders>
            <w:shd w:val="clear" w:color="000000" w:fill="203764"/>
            <w:noWrap/>
            <w:vAlign w:val="center"/>
            <w:hideMark/>
          </w:tcPr>
          <w:p w14:paraId="5ACAB132" w14:textId="77777777" w:rsidR="0085505C" w:rsidRPr="002A7673" w:rsidRDefault="0085505C" w:rsidP="0048334E">
            <w:pPr>
              <w:spacing w:after="0" w:line="24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color w:val="FFFFFF"/>
                <w:sz w:val="24"/>
                <w:szCs w:val="24"/>
              </w:rPr>
              <w:t>PRESUPUESTO 2021 - 2022</w:t>
            </w:r>
          </w:p>
        </w:tc>
      </w:tr>
      <w:tr w:rsidR="0085505C" w:rsidRPr="002A7673" w14:paraId="7A916645"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752D33B2"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w:t>
            </w:r>
          </w:p>
        </w:tc>
        <w:tc>
          <w:tcPr>
            <w:tcW w:w="1001" w:type="pct"/>
            <w:tcBorders>
              <w:top w:val="nil"/>
              <w:left w:val="nil"/>
              <w:bottom w:val="single" w:sz="8" w:space="0" w:color="auto"/>
              <w:right w:val="single" w:sz="8" w:space="0" w:color="auto"/>
            </w:tcBorders>
            <w:shd w:val="clear" w:color="000000" w:fill="FFFFFF"/>
            <w:vAlign w:val="center"/>
            <w:hideMark/>
          </w:tcPr>
          <w:p w14:paraId="6225179E"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Presupuesto 2021</w:t>
            </w:r>
          </w:p>
        </w:tc>
        <w:tc>
          <w:tcPr>
            <w:tcW w:w="960" w:type="pct"/>
            <w:tcBorders>
              <w:top w:val="nil"/>
              <w:left w:val="nil"/>
              <w:bottom w:val="single" w:sz="8" w:space="0" w:color="auto"/>
              <w:right w:val="single" w:sz="8" w:space="0" w:color="auto"/>
            </w:tcBorders>
            <w:shd w:val="clear" w:color="000000" w:fill="FFFFFF"/>
            <w:vAlign w:val="center"/>
            <w:hideMark/>
          </w:tcPr>
          <w:p w14:paraId="4407EE3A"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Presupuesto 2022</w:t>
            </w:r>
          </w:p>
        </w:tc>
        <w:tc>
          <w:tcPr>
            <w:tcW w:w="1047" w:type="pct"/>
            <w:tcBorders>
              <w:top w:val="nil"/>
              <w:left w:val="nil"/>
              <w:bottom w:val="single" w:sz="8" w:space="0" w:color="auto"/>
              <w:right w:val="single" w:sz="8" w:space="0" w:color="auto"/>
            </w:tcBorders>
            <w:shd w:val="clear" w:color="000000" w:fill="FFFFFF"/>
            <w:vAlign w:val="center"/>
            <w:hideMark/>
          </w:tcPr>
          <w:p w14:paraId="7F4AFB23"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Diferencia Absoluta</w:t>
            </w:r>
          </w:p>
        </w:tc>
      </w:tr>
      <w:tr w:rsidR="0085505C" w:rsidRPr="002A7673" w14:paraId="349FCAAE"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370D6F4F"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Presupuesto Gasto Variable:</w:t>
            </w:r>
          </w:p>
        </w:tc>
        <w:tc>
          <w:tcPr>
            <w:tcW w:w="1001" w:type="pct"/>
            <w:tcBorders>
              <w:top w:val="nil"/>
              <w:left w:val="nil"/>
              <w:bottom w:val="single" w:sz="8" w:space="0" w:color="auto"/>
              <w:right w:val="single" w:sz="8" w:space="0" w:color="auto"/>
            </w:tcBorders>
            <w:shd w:val="clear" w:color="000000" w:fill="FFFFFF"/>
            <w:vAlign w:val="center"/>
            <w:hideMark/>
          </w:tcPr>
          <w:p w14:paraId="1974087C"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3 135 612 955 </w:t>
            </w:r>
          </w:p>
        </w:tc>
        <w:tc>
          <w:tcPr>
            <w:tcW w:w="960" w:type="pct"/>
            <w:tcBorders>
              <w:top w:val="nil"/>
              <w:left w:val="nil"/>
              <w:bottom w:val="single" w:sz="8" w:space="0" w:color="auto"/>
              <w:right w:val="single" w:sz="8" w:space="0" w:color="auto"/>
            </w:tcBorders>
            <w:shd w:val="clear" w:color="000000" w:fill="FFFFFF"/>
            <w:vAlign w:val="center"/>
            <w:hideMark/>
          </w:tcPr>
          <w:p w14:paraId="13764E46"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3 123 696 193 </w:t>
            </w:r>
          </w:p>
        </w:tc>
        <w:tc>
          <w:tcPr>
            <w:tcW w:w="1047" w:type="pct"/>
            <w:tcBorders>
              <w:top w:val="nil"/>
              <w:left w:val="nil"/>
              <w:bottom w:val="single" w:sz="8" w:space="0" w:color="auto"/>
              <w:right w:val="single" w:sz="8" w:space="0" w:color="auto"/>
            </w:tcBorders>
            <w:shd w:val="clear" w:color="000000" w:fill="FFFFFF"/>
            <w:vAlign w:val="center"/>
            <w:hideMark/>
          </w:tcPr>
          <w:p w14:paraId="3CA58302"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11 916 762 </w:t>
            </w:r>
          </w:p>
        </w:tc>
      </w:tr>
      <w:tr w:rsidR="0085505C" w:rsidRPr="002A7673" w14:paraId="0BEAAD06"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712F3EB7" w14:textId="77777777" w:rsidR="0085505C" w:rsidRPr="002A7673" w:rsidRDefault="0085505C" w:rsidP="0048334E">
            <w:pPr>
              <w:spacing w:after="0" w:line="240" w:lineRule="auto"/>
              <w:rPr>
                <w:rFonts w:ascii="Times New Roman" w:hAnsi="Times New Roman" w:cs="Times New Roman"/>
                <w:b/>
                <w:bCs/>
                <w:i/>
                <w:iCs/>
                <w:color w:val="000000"/>
                <w:sz w:val="24"/>
                <w:szCs w:val="24"/>
                <w:u w:val="single"/>
              </w:rPr>
            </w:pPr>
            <w:r w:rsidRPr="002A7673">
              <w:rPr>
                <w:rFonts w:ascii="Times New Roman" w:hAnsi="Times New Roman" w:cs="Times New Roman"/>
                <w:b/>
                <w:bCs/>
                <w:i/>
                <w:iCs/>
                <w:color w:val="000000"/>
                <w:sz w:val="24"/>
                <w:szCs w:val="24"/>
                <w:u w:val="single"/>
              </w:rPr>
              <w:t>Más:</w:t>
            </w:r>
          </w:p>
        </w:tc>
        <w:tc>
          <w:tcPr>
            <w:tcW w:w="1001" w:type="pct"/>
            <w:tcBorders>
              <w:top w:val="nil"/>
              <w:left w:val="nil"/>
              <w:bottom w:val="single" w:sz="8" w:space="0" w:color="auto"/>
              <w:right w:val="single" w:sz="8" w:space="0" w:color="auto"/>
            </w:tcBorders>
            <w:shd w:val="clear" w:color="000000" w:fill="FFFFFF"/>
            <w:vAlign w:val="center"/>
            <w:hideMark/>
          </w:tcPr>
          <w:p w14:paraId="3C85D397"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w:t>
            </w:r>
          </w:p>
        </w:tc>
        <w:tc>
          <w:tcPr>
            <w:tcW w:w="960" w:type="pct"/>
            <w:tcBorders>
              <w:top w:val="nil"/>
              <w:left w:val="nil"/>
              <w:bottom w:val="single" w:sz="8" w:space="0" w:color="auto"/>
              <w:right w:val="single" w:sz="8" w:space="0" w:color="auto"/>
            </w:tcBorders>
            <w:shd w:val="clear" w:color="000000" w:fill="FFFFFF"/>
            <w:vAlign w:val="center"/>
            <w:hideMark/>
          </w:tcPr>
          <w:p w14:paraId="75130AEA"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   </w:t>
            </w:r>
          </w:p>
        </w:tc>
        <w:tc>
          <w:tcPr>
            <w:tcW w:w="1047" w:type="pct"/>
            <w:tcBorders>
              <w:top w:val="nil"/>
              <w:left w:val="nil"/>
              <w:bottom w:val="single" w:sz="8" w:space="0" w:color="auto"/>
              <w:right w:val="single" w:sz="8" w:space="0" w:color="auto"/>
            </w:tcBorders>
            <w:shd w:val="clear" w:color="000000" w:fill="FFFFFF"/>
            <w:vAlign w:val="center"/>
            <w:hideMark/>
          </w:tcPr>
          <w:p w14:paraId="7696A2A6"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   </w:t>
            </w:r>
          </w:p>
        </w:tc>
      </w:tr>
      <w:tr w:rsidR="0085505C" w:rsidRPr="002A7673" w14:paraId="2BB7E391"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44FC7641"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lastRenderedPageBreak/>
              <w:t>Área de Informática</w:t>
            </w:r>
          </w:p>
        </w:tc>
        <w:tc>
          <w:tcPr>
            <w:tcW w:w="1001" w:type="pct"/>
            <w:tcBorders>
              <w:top w:val="nil"/>
              <w:left w:val="nil"/>
              <w:bottom w:val="single" w:sz="8" w:space="0" w:color="auto"/>
              <w:right w:val="single" w:sz="8" w:space="0" w:color="auto"/>
            </w:tcBorders>
            <w:shd w:val="clear" w:color="000000" w:fill="FFFFFF"/>
            <w:vAlign w:val="center"/>
            <w:hideMark/>
          </w:tcPr>
          <w:p w14:paraId="2451627F"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36 380 377 </w:t>
            </w:r>
          </w:p>
        </w:tc>
        <w:tc>
          <w:tcPr>
            <w:tcW w:w="960" w:type="pct"/>
            <w:tcBorders>
              <w:top w:val="nil"/>
              <w:left w:val="nil"/>
              <w:bottom w:val="single" w:sz="8" w:space="0" w:color="auto"/>
              <w:right w:val="single" w:sz="8" w:space="0" w:color="auto"/>
            </w:tcBorders>
            <w:shd w:val="clear" w:color="000000" w:fill="FFFFFF"/>
            <w:vAlign w:val="center"/>
            <w:hideMark/>
          </w:tcPr>
          <w:p w14:paraId="613C7588"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51 891 783 </w:t>
            </w:r>
          </w:p>
        </w:tc>
        <w:tc>
          <w:tcPr>
            <w:tcW w:w="1047" w:type="pct"/>
            <w:tcBorders>
              <w:top w:val="nil"/>
              <w:left w:val="nil"/>
              <w:bottom w:val="single" w:sz="8" w:space="0" w:color="auto"/>
              <w:right w:val="single" w:sz="8" w:space="0" w:color="auto"/>
            </w:tcBorders>
            <w:shd w:val="clear" w:color="000000" w:fill="FFFFFF"/>
            <w:vAlign w:val="center"/>
            <w:hideMark/>
          </w:tcPr>
          <w:p w14:paraId="6775C29D"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15 511 406 </w:t>
            </w:r>
          </w:p>
        </w:tc>
      </w:tr>
      <w:tr w:rsidR="0085505C" w:rsidRPr="002A7673" w14:paraId="4DE46787"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48A2060B"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Área de Vehículos</w:t>
            </w:r>
          </w:p>
        </w:tc>
        <w:tc>
          <w:tcPr>
            <w:tcW w:w="1001" w:type="pct"/>
            <w:tcBorders>
              <w:top w:val="nil"/>
              <w:left w:val="nil"/>
              <w:bottom w:val="single" w:sz="8" w:space="0" w:color="auto"/>
              <w:right w:val="single" w:sz="8" w:space="0" w:color="auto"/>
            </w:tcBorders>
            <w:shd w:val="clear" w:color="000000" w:fill="FFFFFF"/>
            <w:vAlign w:val="center"/>
            <w:hideMark/>
          </w:tcPr>
          <w:p w14:paraId="0ACEC212"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135 975 344 </w:t>
            </w:r>
          </w:p>
        </w:tc>
        <w:tc>
          <w:tcPr>
            <w:tcW w:w="960" w:type="pct"/>
            <w:tcBorders>
              <w:top w:val="nil"/>
              <w:left w:val="nil"/>
              <w:bottom w:val="single" w:sz="8" w:space="0" w:color="auto"/>
              <w:right w:val="single" w:sz="8" w:space="0" w:color="auto"/>
            </w:tcBorders>
            <w:shd w:val="clear" w:color="000000" w:fill="FFFFFF"/>
            <w:vAlign w:val="center"/>
            <w:hideMark/>
          </w:tcPr>
          <w:p w14:paraId="38F7D97F"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45 002 508 </w:t>
            </w:r>
          </w:p>
        </w:tc>
        <w:tc>
          <w:tcPr>
            <w:tcW w:w="1047" w:type="pct"/>
            <w:tcBorders>
              <w:top w:val="nil"/>
              <w:left w:val="nil"/>
              <w:bottom w:val="single" w:sz="8" w:space="0" w:color="auto"/>
              <w:right w:val="single" w:sz="8" w:space="0" w:color="auto"/>
            </w:tcBorders>
            <w:shd w:val="clear" w:color="000000" w:fill="FFFFFF"/>
            <w:vAlign w:val="center"/>
            <w:hideMark/>
          </w:tcPr>
          <w:p w14:paraId="175FB661"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90 972 836 </w:t>
            </w:r>
          </w:p>
        </w:tc>
      </w:tr>
      <w:tr w:rsidR="0085505C" w:rsidRPr="002A7673" w14:paraId="2815E54C"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4E647A09"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Área de Construcciones </w:t>
            </w:r>
          </w:p>
        </w:tc>
        <w:tc>
          <w:tcPr>
            <w:tcW w:w="1001" w:type="pct"/>
            <w:tcBorders>
              <w:top w:val="nil"/>
              <w:left w:val="nil"/>
              <w:bottom w:val="single" w:sz="8" w:space="0" w:color="auto"/>
              <w:right w:val="single" w:sz="8" w:space="0" w:color="auto"/>
            </w:tcBorders>
            <w:shd w:val="clear" w:color="000000" w:fill="FFFFFF"/>
            <w:vAlign w:val="center"/>
            <w:hideMark/>
          </w:tcPr>
          <w:p w14:paraId="7FAA9CDB"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   </w:t>
            </w:r>
          </w:p>
        </w:tc>
        <w:tc>
          <w:tcPr>
            <w:tcW w:w="960" w:type="pct"/>
            <w:tcBorders>
              <w:top w:val="nil"/>
              <w:left w:val="nil"/>
              <w:bottom w:val="single" w:sz="8" w:space="0" w:color="auto"/>
              <w:right w:val="single" w:sz="8" w:space="0" w:color="auto"/>
            </w:tcBorders>
            <w:shd w:val="clear" w:color="000000" w:fill="FFFFFF"/>
            <w:vAlign w:val="center"/>
            <w:hideMark/>
          </w:tcPr>
          <w:p w14:paraId="4F508BD9"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115 000 000 </w:t>
            </w:r>
          </w:p>
        </w:tc>
        <w:tc>
          <w:tcPr>
            <w:tcW w:w="1047" w:type="pct"/>
            <w:tcBorders>
              <w:top w:val="nil"/>
              <w:left w:val="nil"/>
              <w:bottom w:val="single" w:sz="8" w:space="0" w:color="auto"/>
              <w:right w:val="single" w:sz="8" w:space="0" w:color="auto"/>
            </w:tcBorders>
            <w:shd w:val="clear" w:color="000000" w:fill="FFFFFF"/>
            <w:vAlign w:val="center"/>
            <w:hideMark/>
          </w:tcPr>
          <w:p w14:paraId="6011DB46"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115 000 000 </w:t>
            </w:r>
          </w:p>
        </w:tc>
      </w:tr>
      <w:tr w:rsidR="0085505C" w:rsidRPr="002A7673" w14:paraId="69716919"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6B0A586B"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Becas</w:t>
            </w:r>
          </w:p>
        </w:tc>
        <w:tc>
          <w:tcPr>
            <w:tcW w:w="1001" w:type="pct"/>
            <w:tcBorders>
              <w:top w:val="nil"/>
              <w:left w:val="nil"/>
              <w:bottom w:val="single" w:sz="8" w:space="0" w:color="auto"/>
              <w:right w:val="single" w:sz="8" w:space="0" w:color="auto"/>
            </w:tcBorders>
            <w:shd w:val="clear" w:color="000000" w:fill="FFFFFF"/>
            <w:vAlign w:val="center"/>
            <w:hideMark/>
          </w:tcPr>
          <w:p w14:paraId="06EEE97A"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6 582 892 </w:t>
            </w:r>
          </w:p>
        </w:tc>
        <w:tc>
          <w:tcPr>
            <w:tcW w:w="960" w:type="pct"/>
            <w:tcBorders>
              <w:top w:val="nil"/>
              <w:left w:val="nil"/>
              <w:bottom w:val="single" w:sz="8" w:space="0" w:color="auto"/>
              <w:right w:val="single" w:sz="8" w:space="0" w:color="auto"/>
            </w:tcBorders>
            <w:shd w:val="clear" w:color="000000" w:fill="FFFFFF"/>
            <w:vAlign w:val="center"/>
            <w:hideMark/>
          </w:tcPr>
          <w:p w14:paraId="167F9051"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4 569 354 </w:t>
            </w:r>
          </w:p>
        </w:tc>
        <w:tc>
          <w:tcPr>
            <w:tcW w:w="1047" w:type="pct"/>
            <w:tcBorders>
              <w:top w:val="nil"/>
              <w:left w:val="nil"/>
              <w:bottom w:val="single" w:sz="8" w:space="0" w:color="auto"/>
              <w:right w:val="single" w:sz="8" w:space="0" w:color="auto"/>
            </w:tcBorders>
            <w:shd w:val="clear" w:color="000000" w:fill="FFFFFF"/>
            <w:vAlign w:val="center"/>
            <w:hideMark/>
          </w:tcPr>
          <w:p w14:paraId="36D0203C"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2 013 539 </w:t>
            </w:r>
          </w:p>
        </w:tc>
      </w:tr>
      <w:tr w:rsidR="0085505C" w:rsidRPr="002A7673" w14:paraId="258EB70F"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3ED9D2FA"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Prestaciones Legales</w:t>
            </w:r>
          </w:p>
        </w:tc>
        <w:tc>
          <w:tcPr>
            <w:tcW w:w="1001" w:type="pct"/>
            <w:tcBorders>
              <w:top w:val="nil"/>
              <w:left w:val="nil"/>
              <w:bottom w:val="single" w:sz="8" w:space="0" w:color="auto"/>
              <w:right w:val="single" w:sz="8" w:space="0" w:color="auto"/>
            </w:tcBorders>
            <w:shd w:val="clear" w:color="000000" w:fill="FFFFFF"/>
            <w:vAlign w:val="center"/>
            <w:hideMark/>
          </w:tcPr>
          <w:p w14:paraId="457F9411"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156 742 996 </w:t>
            </w:r>
          </w:p>
        </w:tc>
        <w:tc>
          <w:tcPr>
            <w:tcW w:w="960" w:type="pct"/>
            <w:tcBorders>
              <w:top w:val="nil"/>
              <w:left w:val="nil"/>
              <w:bottom w:val="single" w:sz="8" w:space="0" w:color="auto"/>
              <w:right w:val="single" w:sz="8" w:space="0" w:color="auto"/>
            </w:tcBorders>
            <w:shd w:val="clear" w:color="000000" w:fill="FFFFFF"/>
            <w:vAlign w:val="center"/>
            <w:hideMark/>
          </w:tcPr>
          <w:p w14:paraId="4A602272"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105 000 000 </w:t>
            </w:r>
          </w:p>
        </w:tc>
        <w:tc>
          <w:tcPr>
            <w:tcW w:w="1047" w:type="pct"/>
            <w:tcBorders>
              <w:top w:val="nil"/>
              <w:left w:val="nil"/>
              <w:bottom w:val="single" w:sz="8" w:space="0" w:color="auto"/>
              <w:right w:val="single" w:sz="8" w:space="0" w:color="auto"/>
            </w:tcBorders>
            <w:shd w:val="clear" w:color="000000" w:fill="FFFFFF"/>
            <w:vAlign w:val="center"/>
            <w:hideMark/>
          </w:tcPr>
          <w:p w14:paraId="65165A2F"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51 742 996 </w:t>
            </w:r>
          </w:p>
        </w:tc>
      </w:tr>
      <w:tr w:rsidR="0085505C" w:rsidRPr="002A7673" w14:paraId="06287649"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6F118932"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Otros Rebajos </w:t>
            </w:r>
          </w:p>
        </w:tc>
        <w:tc>
          <w:tcPr>
            <w:tcW w:w="1001" w:type="pct"/>
            <w:tcBorders>
              <w:top w:val="nil"/>
              <w:left w:val="nil"/>
              <w:bottom w:val="single" w:sz="8" w:space="0" w:color="auto"/>
              <w:right w:val="single" w:sz="8" w:space="0" w:color="auto"/>
            </w:tcBorders>
            <w:shd w:val="clear" w:color="000000" w:fill="FFFFFF"/>
            <w:vAlign w:val="center"/>
            <w:hideMark/>
          </w:tcPr>
          <w:p w14:paraId="0EC93FB3"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198 926 889 </w:t>
            </w:r>
          </w:p>
        </w:tc>
        <w:tc>
          <w:tcPr>
            <w:tcW w:w="960" w:type="pct"/>
            <w:tcBorders>
              <w:top w:val="nil"/>
              <w:left w:val="nil"/>
              <w:bottom w:val="single" w:sz="8" w:space="0" w:color="auto"/>
              <w:right w:val="single" w:sz="8" w:space="0" w:color="auto"/>
            </w:tcBorders>
            <w:shd w:val="clear" w:color="000000" w:fill="FFFFFF"/>
            <w:vAlign w:val="center"/>
            <w:hideMark/>
          </w:tcPr>
          <w:p w14:paraId="599D654E"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   </w:t>
            </w:r>
          </w:p>
        </w:tc>
        <w:tc>
          <w:tcPr>
            <w:tcW w:w="1047" w:type="pct"/>
            <w:tcBorders>
              <w:top w:val="nil"/>
              <w:left w:val="nil"/>
              <w:bottom w:val="single" w:sz="8" w:space="0" w:color="auto"/>
              <w:right w:val="single" w:sz="8" w:space="0" w:color="auto"/>
            </w:tcBorders>
            <w:shd w:val="clear" w:color="000000" w:fill="FFFFFF"/>
            <w:vAlign w:val="center"/>
            <w:hideMark/>
          </w:tcPr>
          <w:p w14:paraId="064452C8"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198 926 889 </w:t>
            </w:r>
          </w:p>
        </w:tc>
      </w:tr>
      <w:tr w:rsidR="0085505C" w:rsidRPr="002A7673" w14:paraId="457AD04B"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noWrap/>
            <w:vAlign w:val="center"/>
            <w:hideMark/>
          </w:tcPr>
          <w:p w14:paraId="594E87C3"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Oficina Defensa Civil de la Víctima </w:t>
            </w:r>
          </w:p>
        </w:tc>
        <w:tc>
          <w:tcPr>
            <w:tcW w:w="1001" w:type="pct"/>
            <w:tcBorders>
              <w:top w:val="nil"/>
              <w:left w:val="nil"/>
              <w:bottom w:val="single" w:sz="8" w:space="0" w:color="auto"/>
              <w:right w:val="single" w:sz="8" w:space="0" w:color="auto"/>
            </w:tcBorders>
            <w:shd w:val="clear" w:color="000000" w:fill="FFFFFF"/>
            <w:vAlign w:val="center"/>
            <w:hideMark/>
          </w:tcPr>
          <w:p w14:paraId="34BB3B5A"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97 122 469 </w:t>
            </w:r>
          </w:p>
        </w:tc>
        <w:tc>
          <w:tcPr>
            <w:tcW w:w="960" w:type="pct"/>
            <w:tcBorders>
              <w:top w:val="nil"/>
              <w:left w:val="nil"/>
              <w:bottom w:val="single" w:sz="8" w:space="0" w:color="auto"/>
              <w:right w:val="single" w:sz="8" w:space="0" w:color="auto"/>
            </w:tcBorders>
            <w:shd w:val="clear" w:color="000000" w:fill="FFFFFF"/>
            <w:vAlign w:val="center"/>
            <w:hideMark/>
          </w:tcPr>
          <w:p w14:paraId="0DE0BAAC"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83 973 372 </w:t>
            </w:r>
          </w:p>
        </w:tc>
        <w:tc>
          <w:tcPr>
            <w:tcW w:w="1047" w:type="pct"/>
            <w:tcBorders>
              <w:top w:val="nil"/>
              <w:left w:val="nil"/>
              <w:bottom w:val="single" w:sz="8" w:space="0" w:color="auto"/>
              <w:right w:val="single" w:sz="8" w:space="0" w:color="auto"/>
            </w:tcBorders>
            <w:shd w:val="clear" w:color="000000" w:fill="FFFFFF"/>
            <w:vAlign w:val="center"/>
            <w:hideMark/>
          </w:tcPr>
          <w:p w14:paraId="01661D33"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13 149 097 </w:t>
            </w:r>
          </w:p>
        </w:tc>
      </w:tr>
      <w:tr w:rsidR="0085505C" w:rsidRPr="002A7673" w14:paraId="04966590" w14:textId="77777777" w:rsidTr="0048334E">
        <w:trPr>
          <w:trHeight w:val="300"/>
        </w:trPr>
        <w:tc>
          <w:tcPr>
            <w:tcW w:w="1992" w:type="pct"/>
            <w:tcBorders>
              <w:top w:val="nil"/>
              <w:left w:val="single" w:sz="8" w:space="0" w:color="auto"/>
              <w:bottom w:val="single" w:sz="8" w:space="0" w:color="auto"/>
              <w:right w:val="single" w:sz="8" w:space="0" w:color="auto"/>
            </w:tcBorders>
            <w:shd w:val="clear" w:color="000000" w:fill="FFFFFF"/>
            <w:vAlign w:val="center"/>
            <w:hideMark/>
          </w:tcPr>
          <w:p w14:paraId="1395B1E1"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Total:</w:t>
            </w:r>
          </w:p>
        </w:tc>
        <w:tc>
          <w:tcPr>
            <w:tcW w:w="1001" w:type="pct"/>
            <w:tcBorders>
              <w:top w:val="nil"/>
              <w:left w:val="nil"/>
              <w:bottom w:val="single" w:sz="8" w:space="0" w:color="auto"/>
              <w:right w:val="single" w:sz="8" w:space="0" w:color="auto"/>
            </w:tcBorders>
            <w:shd w:val="clear" w:color="000000" w:fill="FFFFFF"/>
            <w:noWrap/>
            <w:vAlign w:val="center"/>
            <w:hideMark/>
          </w:tcPr>
          <w:p w14:paraId="70D5C181" w14:textId="77777777" w:rsidR="0085505C" w:rsidRPr="002A7673" w:rsidRDefault="0085505C" w:rsidP="0048334E">
            <w:pPr>
              <w:spacing w:after="0" w:line="240" w:lineRule="auto"/>
              <w:jc w:val="right"/>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 xml:space="preserve">         3 767 343 922 </w:t>
            </w:r>
          </w:p>
        </w:tc>
        <w:tc>
          <w:tcPr>
            <w:tcW w:w="960" w:type="pct"/>
            <w:tcBorders>
              <w:top w:val="nil"/>
              <w:left w:val="nil"/>
              <w:bottom w:val="single" w:sz="8" w:space="0" w:color="auto"/>
              <w:right w:val="single" w:sz="8" w:space="0" w:color="auto"/>
            </w:tcBorders>
            <w:shd w:val="clear" w:color="000000" w:fill="FFFFFF"/>
            <w:noWrap/>
            <w:vAlign w:val="center"/>
            <w:hideMark/>
          </w:tcPr>
          <w:p w14:paraId="536D579D" w14:textId="77777777" w:rsidR="0085505C" w:rsidRPr="002A7673" w:rsidRDefault="0085505C" w:rsidP="0048334E">
            <w:pPr>
              <w:spacing w:after="0" w:line="240" w:lineRule="auto"/>
              <w:jc w:val="right"/>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 xml:space="preserve">        3 529 133 210 </w:t>
            </w:r>
          </w:p>
        </w:tc>
        <w:tc>
          <w:tcPr>
            <w:tcW w:w="1047" w:type="pct"/>
            <w:tcBorders>
              <w:top w:val="nil"/>
              <w:left w:val="nil"/>
              <w:bottom w:val="single" w:sz="8" w:space="0" w:color="auto"/>
              <w:right w:val="single" w:sz="8" w:space="0" w:color="auto"/>
            </w:tcBorders>
            <w:shd w:val="clear" w:color="000000" w:fill="FFFFFF"/>
            <w:vAlign w:val="center"/>
            <w:hideMark/>
          </w:tcPr>
          <w:p w14:paraId="24C715A7" w14:textId="77777777" w:rsidR="0085505C" w:rsidRPr="002A7673" w:rsidRDefault="0085505C" w:rsidP="0048334E">
            <w:pPr>
              <w:spacing w:after="0" w:line="240" w:lineRule="auto"/>
              <w:jc w:val="right"/>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 xml:space="preserve">-             238 210 713 </w:t>
            </w:r>
          </w:p>
        </w:tc>
      </w:tr>
      <w:tr w:rsidR="0085505C" w:rsidRPr="002A7673" w14:paraId="66358B31" w14:textId="77777777" w:rsidTr="0048334E">
        <w:trPr>
          <w:trHeight w:val="290"/>
        </w:trPr>
        <w:tc>
          <w:tcPr>
            <w:tcW w:w="3953" w:type="pct"/>
            <w:gridSpan w:val="3"/>
            <w:tcBorders>
              <w:top w:val="nil"/>
              <w:left w:val="nil"/>
              <w:bottom w:val="nil"/>
              <w:right w:val="nil"/>
            </w:tcBorders>
            <w:shd w:val="clear" w:color="auto" w:fill="auto"/>
            <w:noWrap/>
            <w:vAlign w:val="center"/>
            <w:hideMark/>
          </w:tcPr>
          <w:p w14:paraId="18C2FA24" w14:textId="77777777" w:rsidR="0085505C" w:rsidRPr="002A7673" w:rsidRDefault="0085505C" w:rsidP="0048334E">
            <w:pPr>
              <w:spacing w:after="0" w:line="240" w:lineRule="auto"/>
              <w:ind w:left="851" w:right="851" w:firstLine="709"/>
              <w:jc w:val="both"/>
              <w:rPr>
                <w:rFonts w:ascii="Times New Roman" w:hAnsi="Times New Roman" w:cs="Times New Roman"/>
                <w:color w:val="000000"/>
                <w:sz w:val="26"/>
                <w:szCs w:val="26"/>
              </w:rPr>
            </w:pPr>
          </w:p>
          <w:p w14:paraId="0B02ECBB" w14:textId="77777777" w:rsidR="0085505C" w:rsidRPr="002A7673" w:rsidRDefault="0085505C" w:rsidP="0048334E">
            <w:pPr>
              <w:spacing w:after="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 xml:space="preserve">1. Par el monto de Becas 2022 se considera un preliminar, debido a que aún no se tiene un monto definitivo aprobado.  </w:t>
            </w:r>
          </w:p>
        </w:tc>
        <w:tc>
          <w:tcPr>
            <w:tcW w:w="1047" w:type="pct"/>
            <w:tcBorders>
              <w:top w:val="nil"/>
              <w:left w:val="nil"/>
              <w:bottom w:val="nil"/>
              <w:right w:val="nil"/>
            </w:tcBorders>
            <w:shd w:val="clear" w:color="auto" w:fill="auto"/>
            <w:noWrap/>
            <w:vAlign w:val="bottom"/>
            <w:hideMark/>
          </w:tcPr>
          <w:p w14:paraId="0A407783" w14:textId="77777777" w:rsidR="0085505C" w:rsidRPr="002A7673" w:rsidRDefault="0085505C" w:rsidP="0048334E">
            <w:pPr>
              <w:spacing w:after="0" w:line="240" w:lineRule="auto"/>
              <w:ind w:left="851" w:right="851" w:firstLine="709"/>
              <w:jc w:val="both"/>
              <w:rPr>
                <w:rFonts w:ascii="Times New Roman" w:hAnsi="Times New Roman" w:cs="Times New Roman"/>
                <w:color w:val="000000"/>
                <w:sz w:val="26"/>
                <w:szCs w:val="26"/>
              </w:rPr>
            </w:pPr>
          </w:p>
        </w:tc>
      </w:tr>
      <w:tr w:rsidR="0085505C" w:rsidRPr="002A7673" w14:paraId="730D5453" w14:textId="77777777" w:rsidTr="0048334E">
        <w:trPr>
          <w:trHeight w:val="410"/>
        </w:trPr>
        <w:tc>
          <w:tcPr>
            <w:tcW w:w="5000" w:type="pct"/>
            <w:gridSpan w:val="4"/>
            <w:tcBorders>
              <w:top w:val="nil"/>
              <w:left w:val="nil"/>
              <w:bottom w:val="nil"/>
              <w:right w:val="nil"/>
            </w:tcBorders>
            <w:shd w:val="clear" w:color="auto" w:fill="auto"/>
            <w:vAlign w:val="bottom"/>
            <w:hideMark/>
          </w:tcPr>
          <w:p w14:paraId="2F29D641" w14:textId="77777777" w:rsidR="0085505C" w:rsidRPr="002A7673" w:rsidRDefault="0085505C" w:rsidP="0048334E">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2. Incluye ¢17,402,442 Gastos no continuados de Anticorrupción, ¢3,099,909 Unidad de Localizadores de Canas, ¢43,997,618 Alquiler de Equipo de</w:t>
            </w:r>
            <w:r w:rsidRPr="002A7673">
              <w:rPr>
                <w:rFonts w:ascii="Times New Roman" w:hAnsi="Times New Roman" w:cs="Times New Roman"/>
                <w:sz w:val="26"/>
                <w:szCs w:val="26"/>
              </w:rPr>
              <w:br/>
              <w:t xml:space="preserve"> Cómputo, ¢132,956,920, recursos Alquiler, Seguridad y Vigilancia de la Fiscalía de Anticorrupción y ¢1,470,000, Ayudas a Pueblos indígenas. </w:t>
            </w:r>
          </w:p>
        </w:tc>
      </w:tr>
    </w:tbl>
    <w:p w14:paraId="6168F6C0"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sz w:val="26"/>
          <w:szCs w:val="26"/>
          <w:lang w:val="es-ES" w:eastAsia="es-ES"/>
        </w:rPr>
      </w:pPr>
    </w:p>
    <w:p w14:paraId="12CF14AC" w14:textId="77777777" w:rsidR="0085505C" w:rsidRPr="002A7673" w:rsidRDefault="0085505C" w:rsidP="00FF3FAC">
      <w:pPr>
        <w:numPr>
          <w:ilvl w:val="1"/>
          <w:numId w:val="76"/>
        </w:numPr>
        <w:spacing w:before="120" w:after="120" w:line="240" w:lineRule="auto"/>
        <w:ind w:left="851" w:right="851" w:firstLine="709"/>
        <w:jc w:val="both"/>
        <w:rPr>
          <w:rFonts w:ascii="Times New Roman" w:eastAsia="Times New Roman" w:hAnsi="Times New Roman" w:cs="Times New Roman"/>
          <w:b/>
          <w:i/>
          <w:sz w:val="26"/>
          <w:szCs w:val="26"/>
          <w:lang w:val="es-ES" w:eastAsia="es-ES"/>
        </w:rPr>
      </w:pPr>
      <w:bookmarkStart w:id="220" w:name="_Hlk36908289"/>
      <w:r w:rsidRPr="002A7673">
        <w:rPr>
          <w:rFonts w:ascii="Times New Roman" w:eastAsia="Times New Roman" w:hAnsi="Times New Roman" w:cs="Times New Roman"/>
          <w:b/>
          <w:i/>
          <w:sz w:val="26"/>
          <w:szCs w:val="26"/>
          <w:lang w:val="es-ES" w:eastAsia="es-ES"/>
        </w:rPr>
        <w:lastRenderedPageBreak/>
        <w:t>Presupuesto total 2021 – 2022 Gasto Corriente y Gasto de Capital</w:t>
      </w:r>
    </w:p>
    <w:p w14:paraId="2D58B3B2" w14:textId="77777777" w:rsidR="0085505C" w:rsidRPr="002A7673" w:rsidRDefault="0085505C" w:rsidP="0085505C">
      <w:pPr>
        <w:spacing w:after="0" w:line="360" w:lineRule="auto"/>
        <w:rPr>
          <w:rFonts w:ascii="Times New Roman" w:hAnsi="Times New Roman" w:cs="Times New Roman"/>
          <w:b/>
          <w:i/>
          <w:sz w:val="28"/>
          <w:szCs w:val="28"/>
        </w:rPr>
      </w:pPr>
    </w:p>
    <w:tbl>
      <w:tblPr>
        <w:tblW w:w="5000" w:type="pct"/>
        <w:tblCellMar>
          <w:left w:w="70" w:type="dxa"/>
          <w:right w:w="70" w:type="dxa"/>
        </w:tblCellMar>
        <w:tblLook w:val="04A0" w:firstRow="1" w:lastRow="0" w:firstColumn="1" w:lastColumn="0" w:noHBand="0" w:noVBand="1"/>
      </w:tblPr>
      <w:tblGrid>
        <w:gridCol w:w="3729"/>
        <w:gridCol w:w="2030"/>
        <w:gridCol w:w="1878"/>
        <w:gridCol w:w="2011"/>
      </w:tblGrid>
      <w:tr w:rsidR="0085505C" w:rsidRPr="002A7673" w14:paraId="58818B6F" w14:textId="77777777" w:rsidTr="0048334E">
        <w:trPr>
          <w:trHeight w:val="334"/>
        </w:trPr>
        <w:tc>
          <w:tcPr>
            <w:tcW w:w="1932" w:type="pct"/>
            <w:tcBorders>
              <w:top w:val="single" w:sz="8" w:space="0" w:color="auto"/>
              <w:left w:val="single" w:sz="8" w:space="0" w:color="auto"/>
              <w:bottom w:val="single" w:sz="8" w:space="0" w:color="auto"/>
              <w:right w:val="single" w:sz="8" w:space="0" w:color="auto"/>
            </w:tcBorders>
            <w:shd w:val="clear" w:color="000000" w:fill="44546A"/>
            <w:vAlign w:val="center"/>
            <w:hideMark/>
          </w:tcPr>
          <w:p w14:paraId="3EF289C2" w14:textId="77777777" w:rsidR="0085505C" w:rsidRPr="002A7673" w:rsidRDefault="0085505C" w:rsidP="0048334E">
            <w:pPr>
              <w:spacing w:after="0" w:line="24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color w:val="FFFFFF"/>
                <w:sz w:val="24"/>
                <w:szCs w:val="24"/>
              </w:rPr>
              <w:t>Detalle</w:t>
            </w:r>
          </w:p>
        </w:tc>
        <w:tc>
          <w:tcPr>
            <w:tcW w:w="1052" w:type="pct"/>
            <w:tcBorders>
              <w:top w:val="single" w:sz="8" w:space="0" w:color="auto"/>
              <w:left w:val="nil"/>
              <w:bottom w:val="single" w:sz="8" w:space="0" w:color="auto"/>
              <w:right w:val="single" w:sz="8" w:space="0" w:color="auto"/>
            </w:tcBorders>
            <w:shd w:val="clear" w:color="000000" w:fill="44546A"/>
            <w:vAlign w:val="center"/>
            <w:hideMark/>
          </w:tcPr>
          <w:p w14:paraId="799BA600"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2021</w:t>
            </w:r>
          </w:p>
        </w:tc>
        <w:tc>
          <w:tcPr>
            <w:tcW w:w="973" w:type="pct"/>
            <w:tcBorders>
              <w:top w:val="single" w:sz="8" w:space="0" w:color="auto"/>
              <w:left w:val="nil"/>
              <w:bottom w:val="single" w:sz="8" w:space="0" w:color="auto"/>
              <w:right w:val="single" w:sz="8" w:space="0" w:color="auto"/>
            </w:tcBorders>
            <w:shd w:val="clear" w:color="000000" w:fill="44546A"/>
            <w:vAlign w:val="center"/>
            <w:hideMark/>
          </w:tcPr>
          <w:p w14:paraId="633C35A0"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2022</w:t>
            </w:r>
          </w:p>
        </w:tc>
        <w:tc>
          <w:tcPr>
            <w:tcW w:w="1042" w:type="pct"/>
            <w:tcBorders>
              <w:top w:val="single" w:sz="8" w:space="0" w:color="auto"/>
              <w:left w:val="nil"/>
              <w:bottom w:val="single" w:sz="8" w:space="0" w:color="auto"/>
              <w:right w:val="single" w:sz="8" w:space="0" w:color="auto"/>
            </w:tcBorders>
            <w:shd w:val="clear" w:color="000000" w:fill="44546A"/>
            <w:vAlign w:val="center"/>
            <w:hideMark/>
          </w:tcPr>
          <w:p w14:paraId="17E21D0F"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Diferencia Absoluta</w:t>
            </w:r>
          </w:p>
        </w:tc>
      </w:tr>
      <w:tr w:rsidR="0085505C" w:rsidRPr="002A7673" w14:paraId="5703D50C" w14:textId="77777777" w:rsidTr="0048334E">
        <w:trPr>
          <w:trHeight w:val="334"/>
        </w:trPr>
        <w:tc>
          <w:tcPr>
            <w:tcW w:w="1932" w:type="pct"/>
            <w:tcBorders>
              <w:top w:val="nil"/>
              <w:left w:val="single" w:sz="8" w:space="0" w:color="auto"/>
              <w:bottom w:val="single" w:sz="8" w:space="0" w:color="auto"/>
              <w:right w:val="single" w:sz="8" w:space="0" w:color="auto"/>
            </w:tcBorders>
            <w:shd w:val="clear" w:color="000000" w:fill="FFFFFF"/>
            <w:vAlign w:val="center"/>
            <w:hideMark/>
          </w:tcPr>
          <w:p w14:paraId="7CCF09FF"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Gasto Corriente </w:t>
            </w:r>
          </w:p>
        </w:tc>
        <w:tc>
          <w:tcPr>
            <w:tcW w:w="1052" w:type="pct"/>
            <w:tcBorders>
              <w:top w:val="nil"/>
              <w:left w:val="nil"/>
              <w:bottom w:val="single" w:sz="8" w:space="0" w:color="auto"/>
              <w:right w:val="single" w:sz="8" w:space="0" w:color="auto"/>
            </w:tcBorders>
            <w:shd w:val="clear" w:color="000000" w:fill="FFFFFF"/>
            <w:vAlign w:val="center"/>
            <w:hideMark/>
          </w:tcPr>
          <w:p w14:paraId="2DBF7253"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3 505 219 592 </w:t>
            </w:r>
          </w:p>
        </w:tc>
        <w:tc>
          <w:tcPr>
            <w:tcW w:w="973" w:type="pct"/>
            <w:tcBorders>
              <w:top w:val="nil"/>
              <w:left w:val="nil"/>
              <w:bottom w:val="single" w:sz="8" w:space="0" w:color="auto"/>
              <w:right w:val="single" w:sz="8" w:space="0" w:color="auto"/>
            </w:tcBorders>
            <w:shd w:val="clear" w:color="000000" w:fill="FFFFFF"/>
            <w:vAlign w:val="center"/>
            <w:hideMark/>
          </w:tcPr>
          <w:p w14:paraId="2491A934"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3 249 069 149 </w:t>
            </w:r>
          </w:p>
        </w:tc>
        <w:tc>
          <w:tcPr>
            <w:tcW w:w="1042" w:type="pct"/>
            <w:tcBorders>
              <w:top w:val="nil"/>
              <w:left w:val="nil"/>
              <w:bottom w:val="single" w:sz="8" w:space="0" w:color="auto"/>
              <w:right w:val="single" w:sz="8" w:space="0" w:color="auto"/>
            </w:tcBorders>
            <w:shd w:val="clear" w:color="000000" w:fill="FFFFFF"/>
            <w:vAlign w:val="center"/>
            <w:hideMark/>
          </w:tcPr>
          <w:p w14:paraId="0314FB92"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256 150 443 </w:t>
            </w:r>
          </w:p>
        </w:tc>
      </w:tr>
      <w:tr w:rsidR="0085505C" w:rsidRPr="002A7673" w14:paraId="39223C91" w14:textId="77777777" w:rsidTr="0048334E">
        <w:trPr>
          <w:trHeight w:val="334"/>
        </w:trPr>
        <w:tc>
          <w:tcPr>
            <w:tcW w:w="1932" w:type="pct"/>
            <w:tcBorders>
              <w:top w:val="nil"/>
              <w:left w:val="single" w:sz="8" w:space="0" w:color="auto"/>
              <w:bottom w:val="single" w:sz="8" w:space="0" w:color="auto"/>
              <w:right w:val="single" w:sz="8" w:space="0" w:color="auto"/>
            </w:tcBorders>
            <w:shd w:val="clear" w:color="000000" w:fill="FFFFFF"/>
            <w:vAlign w:val="center"/>
            <w:hideMark/>
          </w:tcPr>
          <w:p w14:paraId="4911125D"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Gasto de Capital </w:t>
            </w:r>
          </w:p>
        </w:tc>
        <w:tc>
          <w:tcPr>
            <w:tcW w:w="1052" w:type="pct"/>
            <w:tcBorders>
              <w:top w:val="nil"/>
              <w:left w:val="nil"/>
              <w:bottom w:val="single" w:sz="8" w:space="0" w:color="auto"/>
              <w:right w:val="single" w:sz="8" w:space="0" w:color="auto"/>
            </w:tcBorders>
            <w:shd w:val="clear" w:color="000000" w:fill="FFFFFF"/>
            <w:vAlign w:val="center"/>
            <w:hideMark/>
          </w:tcPr>
          <w:p w14:paraId="2EFA64EF"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262 124 330 </w:t>
            </w:r>
          </w:p>
        </w:tc>
        <w:tc>
          <w:tcPr>
            <w:tcW w:w="973" w:type="pct"/>
            <w:tcBorders>
              <w:top w:val="nil"/>
              <w:left w:val="nil"/>
              <w:bottom w:val="single" w:sz="8" w:space="0" w:color="auto"/>
              <w:right w:val="single" w:sz="8" w:space="0" w:color="auto"/>
            </w:tcBorders>
            <w:shd w:val="clear" w:color="000000" w:fill="FFFFFF"/>
            <w:vAlign w:val="center"/>
            <w:hideMark/>
          </w:tcPr>
          <w:p w14:paraId="56FEF4EC"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280 064 060 </w:t>
            </w:r>
          </w:p>
        </w:tc>
        <w:tc>
          <w:tcPr>
            <w:tcW w:w="1042" w:type="pct"/>
            <w:tcBorders>
              <w:top w:val="nil"/>
              <w:left w:val="nil"/>
              <w:bottom w:val="single" w:sz="8" w:space="0" w:color="auto"/>
              <w:right w:val="single" w:sz="8" w:space="0" w:color="auto"/>
            </w:tcBorders>
            <w:shd w:val="clear" w:color="000000" w:fill="FFFFFF"/>
            <w:vAlign w:val="center"/>
            <w:hideMark/>
          </w:tcPr>
          <w:p w14:paraId="0E06E23F"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17 939 730 </w:t>
            </w:r>
          </w:p>
        </w:tc>
      </w:tr>
      <w:tr w:rsidR="0085505C" w:rsidRPr="002A7673" w14:paraId="0CC5011D" w14:textId="77777777" w:rsidTr="0048334E">
        <w:trPr>
          <w:trHeight w:val="334"/>
        </w:trPr>
        <w:tc>
          <w:tcPr>
            <w:tcW w:w="1932" w:type="pct"/>
            <w:tcBorders>
              <w:top w:val="nil"/>
              <w:left w:val="single" w:sz="8" w:space="0" w:color="auto"/>
              <w:bottom w:val="single" w:sz="8" w:space="0" w:color="auto"/>
              <w:right w:val="single" w:sz="8" w:space="0" w:color="auto"/>
            </w:tcBorders>
            <w:shd w:val="clear" w:color="000000" w:fill="44546A"/>
            <w:vAlign w:val="center"/>
            <w:hideMark/>
          </w:tcPr>
          <w:p w14:paraId="717A4A8F" w14:textId="77777777" w:rsidR="0085505C" w:rsidRPr="002A7673" w:rsidRDefault="0085505C" w:rsidP="0048334E">
            <w:pPr>
              <w:spacing w:after="0" w:line="240" w:lineRule="auto"/>
              <w:jc w:val="right"/>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 Total </w:t>
            </w:r>
          </w:p>
        </w:tc>
        <w:tc>
          <w:tcPr>
            <w:tcW w:w="1052" w:type="pct"/>
            <w:tcBorders>
              <w:top w:val="nil"/>
              <w:left w:val="nil"/>
              <w:bottom w:val="single" w:sz="8" w:space="0" w:color="auto"/>
              <w:right w:val="single" w:sz="8" w:space="0" w:color="auto"/>
            </w:tcBorders>
            <w:shd w:val="clear" w:color="000000" w:fill="44546A"/>
            <w:vAlign w:val="center"/>
            <w:hideMark/>
          </w:tcPr>
          <w:p w14:paraId="7B8B3F84" w14:textId="77777777" w:rsidR="0085505C" w:rsidRPr="002A7673" w:rsidRDefault="0085505C" w:rsidP="0048334E">
            <w:pPr>
              <w:spacing w:after="0" w:line="240" w:lineRule="auto"/>
              <w:jc w:val="right"/>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              3 767 343 922 </w:t>
            </w:r>
          </w:p>
        </w:tc>
        <w:tc>
          <w:tcPr>
            <w:tcW w:w="973" w:type="pct"/>
            <w:tcBorders>
              <w:top w:val="nil"/>
              <w:left w:val="nil"/>
              <w:bottom w:val="single" w:sz="8" w:space="0" w:color="auto"/>
              <w:right w:val="single" w:sz="8" w:space="0" w:color="auto"/>
            </w:tcBorders>
            <w:shd w:val="clear" w:color="000000" w:fill="44546A"/>
            <w:vAlign w:val="center"/>
            <w:hideMark/>
          </w:tcPr>
          <w:p w14:paraId="281096A0" w14:textId="77777777" w:rsidR="0085505C" w:rsidRPr="002A7673" w:rsidRDefault="0085505C" w:rsidP="0048334E">
            <w:pPr>
              <w:spacing w:after="0" w:line="240" w:lineRule="auto"/>
              <w:jc w:val="right"/>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            3 529 133 210 </w:t>
            </w:r>
          </w:p>
        </w:tc>
        <w:tc>
          <w:tcPr>
            <w:tcW w:w="1042" w:type="pct"/>
            <w:tcBorders>
              <w:top w:val="nil"/>
              <w:left w:val="nil"/>
              <w:bottom w:val="single" w:sz="8" w:space="0" w:color="auto"/>
              <w:right w:val="single" w:sz="8" w:space="0" w:color="auto"/>
            </w:tcBorders>
            <w:shd w:val="clear" w:color="000000" w:fill="44546A"/>
            <w:vAlign w:val="center"/>
            <w:hideMark/>
          </w:tcPr>
          <w:p w14:paraId="1F6F52B7" w14:textId="77777777" w:rsidR="0085505C" w:rsidRPr="002A7673" w:rsidRDefault="0085505C" w:rsidP="0048334E">
            <w:pPr>
              <w:spacing w:after="0" w:line="240" w:lineRule="auto"/>
              <w:jc w:val="right"/>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                  238 210 713 </w:t>
            </w:r>
          </w:p>
        </w:tc>
      </w:tr>
    </w:tbl>
    <w:p w14:paraId="7CC865B6" w14:textId="77777777" w:rsidR="0085505C" w:rsidRPr="002A7673" w:rsidRDefault="0085505C" w:rsidP="0085505C">
      <w:pPr>
        <w:spacing w:after="0" w:line="360" w:lineRule="auto"/>
        <w:rPr>
          <w:rFonts w:ascii="Times New Roman" w:hAnsi="Times New Roman" w:cs="Times New Roman"/>
          <w:b/>
          <w:i/>
          <w:sz w:val="28"/>
          <w:szCs w:val="28"/>
        </w:rPr>
      </w:pPr>
    </w:p>
    <w:bookmarkEnd w:id="220"/>
    <w:p w14:paraId="2EF2EF74"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Sin considerar los rubros indicados en el apartado 2.1 Variación 2021 - 2022, es posible afirmar que el 86% del presupuesto de gasto variable del Ministerio Público para el 2022 se concentra en 7 subpartidas, tal como se aprecia a continuación:</w:t>
      </w:r>
    </w:p>
    <w:p w14:paraId="38D90431" w14:textId="77777777" w:rsidR="0085505C" w:rsidRPr="002A7673" w:rsidRDefault="0085505C" w:rsidP="0085505C">
      <w:pPr>
        <w:spacing w:after="0" w:line="360" w:lineRule="auto"/>
        <w:ind w:left="432" w:firstLine="276"/>
        <w:jc w:val="both"/>
        <w:rPr>
          <w:rFonts w:ascii="Times New Roman" w:eastAsia="Times New Roman" w:hAnsi="Times New Roman" w:cs="Times New Roman"/>
          <w:sz w:val="28"/>
          <w:szCs w:val="28"/>
          <w:lang w:val="es-ES" w:eastAsia="es-ES"/>
        </w:rPr>
      </w:pPr>
    </w:p>
    <w:p w14:paraId="7882977A" w14:textId="77777777" w:rsidR="0085505C" w:rsidRPr="002A7673" w:rsidRDefault="0085505C" w:rsidP="0085505C">
      <w:pPr>
        <w:spacing w:after="0" w:line="360" w:lineRule="auto"/>
        <w:ind w:left="432" w:firstLine="276"/>
        <w:jc w:val="center"/>
        <w:rPr>
          <w:rFonts w:ascii="Times New Roman" w:eastAsia="Times New Roman" w:hAnsi="Times New Roman" w:cs="Times New Roman"/>
          <w:b/>
          <w:bCs/>
          <w:color w:val="000000"/>
          <w:sz w:val="26"/>
          <w:szCs w:val="26"/>
          <w:lang w:val="es-ES" w:eastAsia="es-ES"/>
        </w:rPr>
      </w:pPr>
      <w:r w:rsidRPr="002A7673">
        <w:rPr>
          <w:rFonts w:ascii="Times New Roman" w:eastAsia="Times New Roman" w:hAnsi="Times New Roman" w:cs="Times New Roman"/>
          <w:b/>
          <w:bCs/>
          <w:color w:val="000000"/>
          <w:sz w:val="26"/>
          <w:szCs w:val="26"/>
          <w:lang w:val="es-ES" w:eastAsia="es-ES"/>
        </w:rPr>
        <w:t>Subpartidas más Representativas del Anteproyecto de Presupuesto 2022 del Programa 929 Ministerio Público</w:t>
      </w:r>
    </w:p>
    <w:p w14:paraId="44FA0EB1" w14:textId="77777777" w:rsidR="0085505C" w:rsidRPr="002A7673" w:rsidRDefault="0085505C" w:rsidP="0085505C">
      <w:pPr>
        <w:spacing w:after="0" w:line="360" w:lineRule="auto"/>
        <w:ind w:left="432" w:firstLine="276"/>
        <w:jc w:val="center"/>
        <w:rPr>
          <w:rFonts w:ascii="Times New Roman" w:eastAsia="Times New Roman" w:hAnsi="Times New Roman" w:cs="Times New Roman"/>
          <w:b/>
          <w:bCs/>
          <w:sz w:val="28"/>
          <w:szCs w:val="28"/>
          <w:lang w:val="es-ES" w:eastAsia="es-ES"/>
        </w:rPr>
      </w:pPr>
    </w:p>
    <w:p w14:paraId="48128161" w14:textId="77777777" w:rsidR="0085505C" w:rsidRPr="002A7673" w:rsidRDefault="0085505C" w:rsidP="0085505C">
      <w:pPr>
        <w:spacing w:after="0" w:line="360" w:lineRule="auto"/>
        <w:jc w:val="center"/>
        <w:rPr>
          <w:rFonts w:ascii="Times New Roman" w:hAnsi="Times New Roman" w:cs="Times New Roman"/>
          <w:noProof/>
        </w:rPr>
      </w:pPr>
      <w:r w:rsidRPr="002A7673">
        <w:rPr>
          <w:rFonts w:ascii="Times New Roman" w:hAnsi="Times New Roman" w:cs="Times New Roman"/>
          <w:noProof/>
        </w:rPr>
        <w:lastRenderedPageBreak/>
        <w:drawing>
          <wp:inline distT="0" distB="0" distL="0" distR="0" wp14:anchorId="13E163A7" wp14:editId="48B8A96D">
            <wp:extent cx="6675756" cy="4590416"/>
            <wp:effectExtent l="0" t="0" r="0" b="635"/>
            <wp:docPr id="1263269108" name="Imagen 1263269108"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108"/>
                    <pic:cNvPicPr/>
                  </pic:nvPicPr>
                  <pic:blipFill>
                    <a:blip r:embed="rId340">
                      <a:extLst>
                        <a:ext uri="{28A0092B-C50C-407E-A947-70E740481C1C}">
                          <a14:useLocalDpi xmlns:a14="http://schemas.microsoft.com/office/drawing/2010/main" val="0"/>
                        </a:ext>
                      </a:extLst>
                    </a:blip>
                    <a:stretch>
                      <a:fillRect/>
                    </a:stretch>
                  </pic:blipFill>
                  <pic:spPr>
                    <a:xfrm>
                      <a:off x="0" y="0"/>
                      <a:ext cx="6675756" cy="4590416"/>
                    </a:xfrm>
                    <a:prstGeom prst="rect">
                      <a:avLst/>
                    </a:prstGeom>
                  </pic:spPr>
                </pic:pic>
              </a:graphicData>
            </a:graphic>
          </wp:inline>
        </w:drawing>
      </w:r>
    </w:p>
    <w:p w14:paraId="08FA415B" w14:textId="77777777" w:rsidR="0085505C" w:rsidRPr="002A7673" w:rsidRDefault="0085505C" w:rsidP="0085505C">
      <w:pPr>
        <w:spacing w:after="0" w:line="360" w:lineRule="auto"/>
        <w:jc w:val="center"/>
        <w:rPr>
          <w:rFonts w:ascii="Times New Roman" w:hAnsi="Times New Roman" w:cs="Times New Roman"/>
          <w:noProof/>
        </w:rPr>
      </w:pPr>
    </w:p>
    <w:p w14:paraId="03A9EEBE" w14:textId="77777777" w:rsidR="0085505C" w:rsidRPr="002A7673" w:rsidRDefault="0085505C" w:rsidP="00FF3FAC">
      <w:pPr>
        <w:numPr>
          <w:ilvl w:val="1"/>
          <w:numId w:val="76"/>
        </w:numPr>
        <w:spacing w:after="0" w:line="240" w:lineRule="auto"/>
        <w:ind w:left="851" w:right="851" w:firstLine="720"/>
        <w:jc w:val="both"/>
        <w:rPr>
          <w:rFonts w:ascii="Times New Roman" w:hAnsi="Times New Roman" w:cs="Times New Roman"/>
          <w:b/>
          <w:i/>
          <w:sz w:val="26"/>
          <w:szCs w:val="26"/>
        </w:rPr>
      </w:pPr>
      <w:bookmarkStart w:id="221" w:name="_Hlk36908322"/>
      <w:r w:rsidRPr="002A7673">
        <w:rPr>
          <w:rFonts w:ascii="Times New Roman" w:hAnsi="Times New Roman" w:cs="Times New Roman"/>
          <w:b/>
          <w:i/>
          <w:sz w:val="26"/>
          <w:szCs w:val="26"/>
        </w:rPr>
        <w:t>Justificación crecimiento del presupuesto que supera el límite del gasto corriente</w:t>
      </w:r>
    </w:p>
    <w:p w14:paraId="2938A8B8" w14:textId="77777777" w:rsidR="0085505C" w:rsidRPr="002A7673" w:rsidRDefault="0085505C" w:rsidP="0085505C">
      <w:pPr>
        <w:spacing w:after="0" w:line="360" w:lineRule="auto"/>
        <w:ind w:left="708"/>
        <w:jc w:val="both"/>
        <w:rPr>
          <w:rFonts w:ascii="Times New Roman" w:eastAsia="Times New Roman" w:hAnsi="Times New Roman" w:cs="Times New Roman"/>
          <w:sz w:val="28"/>
          <w:szCs w:val="28"/>
          <w:lang w:val="es-ES" w:eastAsia="es-ES"/>
        </w:rPr>
      </w:pPr>
    </w:p>
    <w:bookmarkEnd w:id="221"/>
    <w:p w14:paraId="7DAD6F6F"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La Corte Plena en sesión del pasado 11 de enero del año en curso, aprobó que para el Anteproyecto de Presupuesto del 2022 se formulará un -4% del monto aprobado para el 2021, respetando los montos asignados de gasto corriente (partidas 0, 1, 2, 6 y 9) y gasto de capital (partidas 5 y 7), es importante indicar que el Ministerio Público se ajustó a lo establecido en Corte Plena y conforme al Oficio 34-TR-2021, donde se comunicó el límite de crecimiento permitido. </w:t>
      </w:r>
    </w:p>
    <w:p w14:paraId="0198F84E"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647A68EE" w14:textId="77777777" w:rsidR="0085505C" w:rsidRPr="002A7673" w:rsidRDefault="0085505C" w:rsidP="00FF3FAC">
      <w:pPr>
        <w:numPr>
          <w:ilvl w:val="1"/>
          <w:numId w:val="76"/>
        </w:numPr>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i/>
          <w:sz w:val="26"/>
          <w:szCs w:val="26"/>
          <w:lang w:val="es-ES" w:eastAsia="es-ES"/>
        </w:rPr>
        <w:t xml:space="preserve">Aspectos relevantes de algunas subpartidas </w:t>
      </w:r>
    </w:p>
    <w:p w14:paraId="47184CD3"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sz w:val="26"/>
          <w:szCs w:val="26"/>
          <w:lang w:val="es-ES" w:eastAsia="es-ES"/>
        </w:rPr>
      </w:pPr>
    </w:p>
    <w:p w14:paraId="0A482235"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Como se indicó en el punto 2.3 el Ministerio Público se ajustó al límite de crecimiento establecido para el 2022; sin embargo, las siguientes subpartidas mostraron un crecimiento importante. </w:t>
      </w:r>
    </w:p>
    <w:p w14:paraId="0C54FFC8"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sz w:val="26"/>
          <w:szCs w:val="26"/>
          <w:lang w:val="es-ES" w:eastAsia="es-ES"/>
        </w:rPr>
      </w:pPr>
    </w:p>
    <w:p w14:paraId="33E55BCC"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Subpartida</w:t>
      </w:r>
      <w:r w:rsidRPr="002A7673" w:rsidDel="000A7E55">
        <w:rPr>
          <w:rFonts w:ascii="Times New Roman" w:hAnsi="Times New Roman" w:cs="Times New Roman"/>
          <w:b/>
          <w:bCs/>
          <w:sz w:val="26"/>
          <w:szCs w:val="26"/>
        </w:rPr>
        <w:t xml:space="preserve"> </w:t>
      </w:r>
      <w:r w:rsidRPr="002A7673">
        <w:rPr>
          <w:rFonts w:ascii="Times New Roman" w:hAnsi="Times New Roman" w:cs="Times New Roman"/>
          <w:b/>
          <w:bCs/>
          <w:sz w:val="26"/>
          <w:szCs w:val="26"/>
        </w:rPr>
        <w:t xml:space="preserve">10807 Mantenimiento y reparación de Equipo y Mobiliario de Oficina </w:t>
      </w:r>
    </w:p>
    <w:p w14:paraId="00FF672C"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el caso de la subpartida incremento en un 169.63% en comparación con el año anterior, lo que se traduce en un monto de ¢12.151.539 en términos absolutos. El crecimiento lo ocasiona principalmente la inclusión de recursos para atender el mantenimiento de los aires acondicionados ubicados en las Fiscalías de la Zona Sur, San Joaquín de Flores, Guanacaste, Cañas, Sarapiquí y Guatuso, para lo cual se incorporó la suma de ¢10.657.983.</w:t>
      </w:r>
    </w:p>
    <w:p w14:paraId="6125B017"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7DE14988"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Subpartida</w:t>
      </w:r>
      <w:r w:rsidRPr="002A7673" w:rsidDel="000A7E55">
        <w:rPr>
          <w:rFonts w:ascii="Times New Roman" w:hAnsi="Times New Roman" w:cs="Times New Roman"/>
          <w:b/>
          <w:bCs/>
          <w:sz w:val="26"/>
          <w:szCs w:val="26"/>
        </w:rPr>
        <w:t xml:space="preserve"> </w:t>
      </w:r>
      <w:proofErr w:type="gramStart"/>
      <w:r w:rsidRPr="002A7673">
        <w:rPr>
          <w:rFonts w:ascii="Times New Roman" w:hAnsi="Times New Roman" w:cs="Times New Roman"/>
          <w:b/>
          <w:bCs/>
          <w:sz w:val="26"/>
          <w:szCs w:val="26"/>
        </w:rPr>
        <w:t>20102  Productos</w:t>
      </w:r>
      <w:proofErr w:type="gramEnd"/>
      <w:r w:rsidRPr="002A7673">
        <w:rPr>
          <w:rFonts w:ascii="Times New Roman" w:hAnsi="Times New Roman" w:cs="Times New Roman"/>
          <w:b/>
          <w:bCs/>
          <w:sz w:val="26"/>
          <w:szCs w:val="26"/>
        </w:rPr>
        <w:t xml:space="preserve"> Farmacéuticos y Médicos </w:t>
      </w:r>
    </w:p>
    <w:p w14:paraId="46CED048"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071926F6"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Para el 2021, </w:t>
      </w:r>
      <w:proofErr w:type="spellStart"/>
      <w:r w:rsidRPr="002A7673">
        <w:rPr>
          <w:rFonts w:ascii="Times New Roman" w:hAnsi="Times New Roman" w:cs="Times New Roman"/>
          <w:sz w:val="26"/>
          <w:szCs w:val="26"/>
        </w:rPr>
        <w:t>esta</w:t>
      </w:r>
      <w:proofErr w:type="spellEnd"/>
      <w:r w:rsidRPr="002A7673">
        <w:rPr>
          <w:rFonts w:ascii="Times New Roman" w:hAnsi="Times New Roman" w:cs="Times New Roman"/>
          <w:sz w:val="26"/>
          <w:szCs w:val="26"/>
        </w:rPr>
        <w:t xml:space="preserve"> subpartida no formuló recursos, para el 2022 la Proveeduría le cargo automáticamente la suma de ¢8.794.488 (100%) para la compra de alcohol en diferentes presentaciones para atender los protocolos de desinfección necesarios debido a la pandemia del COVID 19.</w:t>
      </w:r>
    </w:p>
    <w:p w14:paraId="6AF865CF"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5666AA1D"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Subpartida</w:t>
      </w:r>
      <w:r w:rsidRPr="002A7673" w:rsidDel="000A7E55">
        <w:rPr>
          <w:rFonts w:ascii="Times New Roman" w:hAnsi="Times New Roman" w:cs="Times New Roman"/>
          <w:b/>
          <w:bCs/>
          <w:sz w:val="26"/>
          <w:szCs w:val="26"/>
        </w:rPr>
        <w:t xml:space="preserve"> </w:t>
      </w:r>
      <w:proofErr w:type="gramStart"/>
      <w:r w:rsidRPr="002A7673">
        <w:rPr>
          <w:rFonts w:ascii="Times New Roman" w:hAnsi="Times New Roman" w:cs="Times New Roman"/>
          <w:b/>
          <w:bCs/>
          <w:sz w:val="26"/>
          <w:szCs w:val="26"/>
        </w:rPr>
        <w:t>29903  Productos</w:t>
      </w:r>
      <w:proofErr w:type="gramEnd"/>
      <w:r w:rsidRPr="002A7673">
        <w:rPr>
          <w:rFonts w:ascii="Times New Roman" w:hAnsi="Times New Roman" w:cs="Times New Roman"/>
          <w:b/>
          <w:bCs/>
          <w:sz w:val="26"/>
          <w:szCs w:val="26"/>
        </w:rPr>
        <w:t xml:space="preserve"> de Papel Cartón e Impresos</w:t>
      </w:r>
    </w:p>
    <w:p w14:paraId="3B98F460"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75E3D88B"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Esta subpartida muestra un crecimiento del 18.99% </w:t>
      </w:r>
      <w:proofErr w:type="gramStart"/>
      <w:r w:rsidRPr="002A7673">
        <w:rPr>
          <w:rFonts w:ascii="Times New Roman" w:hAnsi="Times New Roman" w:cs="Times New Roman"/>
          <w:sz w:val="26"/>
          <w:szCs w:val="26"/>
        </w:rPr>
        <w:t>en relación al</w:t>
      </w:r>
      <w:proofErr w:type="gramEnd"/>
      <w:r w:rsidRPr="002A7673">
        <w:rPr>
          <w:rFonts w:ascii="Times New Roman" w:hAnsi="Times New Roman" w:cs="Times New Roman"/>
          <w:sz w:val="26"/>
          <w:szCs w:val="26"/>
        </w:rPr>
        <w:t xml:space="preserve"> monto aprobado en el 2021, y en términos absolutos de ¢6.001.050. Este incremento lo ocasiona principalmente el Artículo 00074 “Papel de Oficio”, el cual no fue posible ajustarlo debido a que el Departamento de </w:t>
      </w:r>
      <w:proofErr w:type="gramStart"/>
      <w:r w:rsidRPr="002A7673">
        <w:rPr>
          <w:rFonts w:ascii="Times New Roman" w:hAnsi="Times New Roman" w:cs="Times New Roman"/>
          <w:sz w:val="26"/>
          <w:szCs w:val="26"/>
        </w:rPr>
        <w:t>Proveeduría  en</w:t>
      </w:r>
      <w:proofErr w:type="gramEnd"/>
      <w:r w:rsidRPr="002A7673">
        <w:rPr>
          <w:rFonts w:ascii="Times New Roman" w:hAnsi="Times New Roman" w:cs="Times New Roman"/>
          <w:sz w:val="26"/>
          <w:szCs w:val="26"/>
        </w:rPr>
        <w:t xml:space="preserve"> correo del 12-02-2021 comunico al Ministerio Público que los recursos formulados en esta línea resultaron insuficientes para atender las necesidades del Programa. </w:t>
      </w:r>
    </w:p>
    <w:p w14:paraId="40F74C40"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6A35018C"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Por otra parte, en la Directrices de Formulación Presupuestaria 2022 en el ítem 32 se indica:</w:t>
      </w:r>
    </w:p>
    <w:p w14:paraId="0E8950F2" w14:textId="77777777" w:rsidR="0085505C" w:rsidRPr="002A7673" w:rsidRDefault="0085505C" w:rsidP="0085505C">
      <w:pPr>
        <w:tabs>
          <w:tab w:val="left" w:pos="360"/>
        </w:tabs>
        <w:spacing w:before="120" w:after="120" w:line="240" w:lineRule="auto"/>
        <w:ind w:left="851" w:right="851" w:firstLine="709"/>
        <w:jc w:val="both"/>
        <w:rPr>
          <w:rFonts w:ascii="Times New Roman" w:hAnsi="Times New Roman" w:cs="Times New Roman"/>
          <w:sz w:val="26"/>
          <w:szCs w:val="26"/>
          <w:lang w:val="es-ES"/>
        </w:rPr>
      </w:pPr>
      <w:r w:rsidRPr="002A7673">
        <w:rPr>
          <w:rFonts w:ascii="Times New Roman" w:hAnsi="Times New Roman" w:cs="Times New Roman"/>
          <w:sz w:val="26"/>
          <w:szCs w:val="26"/>
          <w:lang w:val="es-ES"/>
        </w:rPr>
        <w:lastRenderedPageBreak/>
        <w:t xml:space="preserve">En el caso del </w:t>
      </w:r>
      <w:r w:rsidRPr="002A7673">
        <w:rPr>
          <w:rFonts w:ascii="Times New Roman" w:hAnsi="Times New Roman" w:cs="Times New Roman"/>
          <w:b/>
          <w:sz w:val="26"/>
          <w:szCs w:val="26"/>
          <w:lang w:val="es-ES"/>
        </w:rPr>
        <w:t>Papel (Subpartida 29903 Productos de Papel, Cartón e Impresos)</w:t>
      </w:r>
      <w:r w:rsidRPr="002A7673">
        <w:rPr>
          <w:rFonts w:ascii="Times New Roman" w:hAnsi="Times New Roman" w:cs="Times New Roman"/>
          <w:sz w:val="26"/>
          <w:szCs w:val="26"/>
          <w:lang w:val="es-ES"/>
        </w:rPr>
        <w:t xml:space="preserve"> se recomienda revisar el Banco de Buenas Prácticas e intentar replicar las experiencias exitosas que han desarrollado otras oficinas. </w:t>
      </w:r>
      <w:r w:rsidRPr="002A7673">
        <w:rPr>
          <w:rFonts w:ascii="Times New Roman" w:hAnsi="Times New Roman" w:cs="Times New Roman"/>
          <w:b/>
          <w:bCs/>
          <w:sz w:val="26"/>
          <w:szCs w:val="26"/>
          <w:lang w:val="es-ES"/>
        </w:rPr>
        <w:t>Sin embargo, se debe considerar lo estipulado en la Circular N</w:t>
      </w:r>
      <w:r w:rsidRPr="002A7673">
        <w:rPr>
          <w:rFonts w:ascii="Times New Roman" w:hAnsi="Times New Roman" w:cs="Times New Roman"/>
          <w:b/>
          <w:bCs/>
          <w:sz w:val="26"/>
          <w:szCs w:val="26"/>
          <w:lang w:val="es-ES_tradnl"/>
        </w:rPr>
        <w:t>º</w:t>
      </w:r>
      <w:r w:rsidRPr="002A7673">
        <w:rPr>
          <w:rFonts w:ascii="Times New Roman" w:hAnsi="Times New Roman" w:cs="Times New Roman"/>
          <w:b/>
          <w:bCs/>
          <w:sz w:val="26"/>
          <w:szCs w:val="26"/>
          <w:lang w:val="es-ES"/>
        </w:rPr>
        <w:t>70-2014 de la Dirección Ejecutiva, y si el monto formulado resulta insuficiente para cubrir el consumo real de la oficina, se permitirá presupuestar lo estrictamente necesario para que no se presenten faltante</w:t>
      </w:r>
      <w:r w:rsidRPr="002A7673">
        <w:rPr>
          <w:rFonts w:ascii="Times New Roman" w:hAnsi="Times New Roman" w:cs="Times New Roman"/>
          <w:sz w:val="26"/>
          <w:szCs w:val="26"/>
          <w:lang w:val="es-ES"/>
        </w:rPr>
        <w:t>s, pero, con el compromiso de adoptar un plan para disminuir el consumo de esos artículos. Igual caso aplica para la subpartida 20104 correspondiente a Tintas, Pinturas y Diluyentes, para la cual las oficinas deben considerar su consumo real a la hora de formular los recursos.</w:t>
      </w:r>
    </w:p>
    <w:p w14:paraId="44F31BC5"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3D7D35D3"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Es importante indicar que en las restantes líneas con autorización de la Administración se procedió a ajustar la subpartida en un monto de ¢4.441.797, en relación con el monto originalmente solicitado. </w:t>
      </w:r>
    </w:p>
    <w:p w14:paraId="0786B0A7"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Subpartida</w:t>
      </w:r>
      <w:r w:rsidRPr="002A7673" w:rsidDel="000A7E55">
        <w:rPr>
          <w:rFonts w:ascii="Times New Roman" w:hAnsi="Times New Roman" w:cs="Times New Roman"/>
          <w:b/>
          <w:bCs/>
          <w:sz w:val="26"/>
          <w:szCs w:val="26"/>
        </w:rPr>
        <w:t xml:space="preserve"> </w:t>
      </w:r>
      <w:proofErr w:type="gramStart"/>
      <w:r w:rsidRPr="002A7673">
        <w:rPr>
          <w:rFonts w:ascii="Times New Roman" w:hAnsi="Times New Roman" w:cs="Times New Roman"/>
          <w:b/>
          <w:bCs/>
          <w:sz w:val="26"/>
          <w:szCs w:val="26"/>
        </w:rPr>
        <w:t>29905  Útiles</w:t>
      </w:r>
      <w:proofErr w:type="gramEnd"/>
      <w:r w:rsidRPr="002A7673">
        <w:rPr>
          <w:rFonts w:ascii="Times New Roman" w:hAnsi="Times New Roman" w:cs="Times New Roman"/>
          <w:b/>
          <w:bCs/>
          <w:sz w:val="26"/>
          <w:szCs w:val="26"/>
        </w:rPr>
        <w:t xml:space="preserve"> y Materiales de Limpieza</w:t>
      </w:r>
    </w:p>
    <w:p w14:paraId="5533B7B4"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Esta Subpartida presenta un crecimiento de ¢11.496.326 (96.86%) en relación con los recursos solicitados para el 2021, ocasionado por el aumento en el consumo de artículo 20465 “Jabón de Manos Liquido en </w:t>
      </w:r>
      <w:proofErr w:type="gramStart"/>
      <w:r w:rsidRPr="002A7673">
        <w:rPr>
          <w:rFonts w:ascii="Times New Roman" w:hAnsi="Times New Roman" w:cs="Times New Roman"/>
          <w:sz w:val="26"/>
          <w:szCs w:val="26"/>
        </w:rPr>
        <w:t>Spray</w:t>
      </w:r>
      <w:proofErr w:type="gramEnd"/>
      <w:r w:rsidRPr="002A7673">
        <w:rPr>
          <w:rFonts w:ascii="Times New Roman" w:hAnsi="Times New Roman" w:cs="Times New Roman"/>
          <w:sz w:val="26"/>
          <w:szCs w:val="26"/>
        </w:rPr>
        <w:t xml:space="preserve"> p/Dispensador” por ¢4.581.456 y artículo 25222 “Toallas para Dispensador” por ¢7.674.288, para atender los protocolos de emergencia ocasionados por el COVID-19.</w:t>
      </w:r>
    </w:p>
    <w:p w14:paraId="3C1B67B5"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 </w:t>
      </w:r>
    </w:p>
    <w:p w14:paraId="02665324"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En esta subpartida a solicitud de la Administración se realizó un ajuste de ¢2.356.523, en el artículo 24933 “Papel Higiénico sin Envoltura” para cubrir las necesidades en el artículo 25222 “Toallas para Dispensador”. </w:t>
      </w:r>
    </w:p>
    <w:p w14:paraId="2A902B06"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sz w:val="26"/>
          <w:szCs w:val="26"/>
        </w:rPr>
      </w:pPr>
    </w:p>
    <w:p w14:paraId="77CF5FB1"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Subpartida</w:t>
      </w:r>
      <w:r w:rsidRPr="002A7673" w:rsidDel="000A7E55">
        <w:rPr>
          <w:rFonts w:ascii="Times New Roman" w:hAnsi="Times New Roman" w:cs="Times New Roman"/>
          <w:b/>
          <w:bCs/>
          <w:sz w:val="26"/>
          <w:szCs w:val="26"/>
        </w:rPr>
        <w:t xml:space="preserve"> </w:t>
      </w:r>
      <w:proofErr w:type="gramStart"/>
      <w:r w:rsidRPr="002A7673">
        <w:rPr>
          <w:rFonts w:ascii="Times New Roman" w:hAnsi="Times New Roman" w:cs="Times New Roman"/>
          <w:b/>
          <w:bCs/>
          <w:sz w:val="26"/>
          <w:szCs w:val="26"/>
        </w:rPr>
        <w:t>29906  Útiles</w:t>
      </w:r>
      <w:proofErr w:type="gramEnd"/>
      <w:r w:rsidRPr="002A7673">
        <w:rPr>
          <w:rFonts w:ascii="Times New Roman" w:hAnsi="Times New Roman" w:cs="Times New Roman"/>
          <w:b/>
          <w:bCs/>
          <w:sz w:val="26"/>
          <w:szCs w:val="26"/>
        </w:rPr>
        <w:t xml:space="preserve"> y Materiales de Resguardo y Seguridad</w:t>
      </w:r>
    </w:p>
    <w:p w14:paraId="69970A53"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 Esta Subpartida presenta un crecimiento de ¢13.541.259 (1.840%) en relación con los recursos solicitados en el 2021(¢735.585), debido a que la Administración solicita ¢12.176.568 para la compra de “Mascarillas de Tela Antifluido Talla L, ¢1.522.751, para la compra de guantes descartables varias tallas. </w:t>
      </w:r>
    </w:p>
    <w:p w14:paraId="62740A43"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En consulta realizada a la licenciada Johan Vallecillo Canales, Administradora del Ministerio Público, manifestó que son artículos que se requieren para proteger al personal del COVID-19  y que actualmente se están </w:t>
      </w:r>
      <w:r w:rsidRPr="002A7673">
        <w:rPr>
          <w:rFonts w:ascii="Times New Roman" w:hAnsi="Times New Roman" w:cs="Times New Roman"/>
          <w:sz w:val="26"/>
          <w:szCs w:val="26"/>
        </w:rPr>
        <w:lastRenderedPageBreak/>
        <w:t>realizando a la Proveeduría 3 pedidos por año para uso de todo el personal del Ministerio Público, ya que entregan 2 por persona trimestralmente, debido a que se deben sustituir  cada 55 lavadas y que la única opción que ve factible para disminuir este monto es que se adquieran por medio del Fondo de Emergencia,  como se realizó para el 2020.</w:t>
      </w:r>
    </w:p>
    <w:p w14:paraId="18BA8CB3" w14:textId="77777777" w:rsidR="0085505C" w:rsidRPr="002A7673" w:rsidRDefault="0085505C" w:rsidP="00FF3FAC">
      <w:pPr>
        <w:numPr>
          <w:ilvl w:val="1"/>
          <w:numId w:val="67"/>
        </w:numPr>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i/>
          <w:sz w:val="26"/>
          <w:szCs w:val="26"/>
          <w:lang w:val="es-ES" w:eastAsia="es-ES"/>
        </w:rPr>
        <w:t xml:space="preserve">Aspectos relevantes en Inversión </w:t>
      </w:r>
    </w:p>
    <w:p w14:paraId="47B47922"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 xml:space="preserve">Subpartida </w:t>
      </w:r>
      <w:proofErr w:type="gramStart"/>
      <w:r w:rsidRPr="002A7673">
        <w:rPr>
          <w:rFonts w:ascii="Times New Roman" w:hAnsi="Times New Roman" w:cs="Times New Roman"/>
          <w:b/>
          <w:bCs/>
          <w:sz w:val="26"/>
          <w:szCs w:val="26"/>
        </w:rPr>
        <w:t>50104  Equipo</w:t>
      </w:r>
      <w:proofErr w:type="gramEnd"/>
      <w:r w:rsidRPr="002A7673">
        <w:rPr>
          <w:rFonts w:ascii="Times New Roman" w:hAnsi="Times New Roman" w:cs="Times New Roman"/>
          <w:b/>
          <w:bCs/>
          <w:sz w:val="26"/>
          <w:szCs w:val="26"/>
        </w:rPr>
        <w:t xml:space="preserve"> y Mobiliario de Oficina</w:t>
      </w:r>
    </w:p>
    <w:p w14:paraId="7197D97A"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Se formulan recursos por un monto de ¢20.108.464 de los cuales ¢8.031.852 se requieren para la adquisición de aires acondicionados para las fiscalías que por su ubicación geográfica manejan altas temperaturas, como lo son la zona de </w:t>
      </w:r>
      <w:proofErr w:type="spellStart"/>
      <w:r w:rsidRPr="002A7673">
        <w:rPr>
          <w:rFonts w:ascii="Times New Roman" w:hAnsi="Times New Roman" w:cs="Times New Roman"/>
          <w:sz w:val="26"/>
          <w:szCs w:val="26"/>
        </w:rPr>
        <w:t>Bribrí</w:t>
      </w:r>
      <w:proofErr w:type="spellEnd"/>
      <w:r w:rsidRPr="002A7673">
        <w:rPr>
          <w:rFonts w:ascii="Times New Roman" w:hAnsi="Times New Roman" w:cs="Times New Roman"/>
          <w:sz w:val="26"/>
          <w:szCs w:val="26"/>
        </w:rPr>
        <w:t xml:space="preserve">, Cóbano, Puerto Jiménez, y el II Circuito Judicial de la Zona Sur. Además, se formularon recursos por la suma de ¢12.076.612, para la sustitución de los siguientes artículos: 3 archivadores de metal, 11 escritorios ejecutivos, 4 sillones ejecutivos, 36 abanicos de pared, 12 sillas de espera, 13 sillas giratorias, 20 estantes de metal, 5 bibliotecas de metal, 2 mesa redonda para reuniones, 1 estación de servicio con teclado, 1 grabadora tipo periodista, 1 afiladora eléctrica para lápiz, 8 estanterías y finalmente 1 destructora de papel pequeña. </w:t>
      </w:r>
    </w:p>
    <w:p w14:paraId="697F0C23"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Es importante indicar que entre otros </w:t>
      </w:r>
      <w:proofErr w:type="gramStart"/>
      <w:r w:rsidRPr="002A7673">
        <w:rPr>
          <w:rFonts w:ascii="Times New Roman" w:hAnsi="Times New Roman" w:cs="Times New Roman"/>
          <w:sz w:val="26"/>
          <w:szCs w:val="26"/>
        </w:rPr>
        <w:t>aspectos,  la</w:t>
      </w:r>
      <w:proofErr w:type="gramEnd"/>
      <w:r w:rsidRPr="002A7673">
        <w:rPr>
          <w:rFonts w:ascii="Times New Roman" w:hAnsi="Times New Roman" w:cs="Times New Roman"/>
          <w:sz w:val="26"/>
          <w:szCs w:val="26"/>
        </w:rPr>
        <w:t xml:space="preserve"> disminución que presenta esta subpartida obedece a que por directriz fue necesario eliminar la suma de ¢14.000.000, solicitados para la  elaboración de cubículos en la Fiscalía de Bribri, debido  a que no contaba con el aval técnico  del Departamento de Servicios Generales.</w:t>
      </w:r>
    </w:p>
    <w:p w14:paraId="4A018D6E"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Subpartida</w:t>
      </w:r>
      <w:r w:rsidRPr="002A7673" w:rsidDel="00E104E2">
        <w:rPr>
          <w:rFonts w:ascii="Times New Roman" w:hAnsi="Times New Roman" w:cs="Times New Roman"/>
          <w:b/>
          <w:bCs/>
          <w:sz w:val="26"/>
          <w:szCs w:val="26"/>
        </w:rPr>
        <w:t xml:space="preserve"> </w:t>
      </w:r>
      <w:r w:rsidRPr="002A7673">
        <w:rPr>
          <w:rFonts w:ascii="Times New Roman" w:hAnsi="Times New Roman" w:cs="Times New Roman"/>
          <w:b/>
          <w:bCs/>
          <w:sz w:val="26"/>
          <w:szCs w:val="26"/>
        </w:rPr>
        <w:t>50199 Maquinaria y Equipo Diverso</w:t>
      </w:r>
    </w:p>
    <w:p w14:paraId="389B9253"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Se formulan recursos por ¢7.772.443, de los cuales ¢5.274.840 se requieren para la compra de 2 cámaras fotográficas profesionales y 1 lente para cámara fotográfica para la oficina </w:t>
      </w:r>
      <w:proofErr w:type="gramStart"/>
      <w:r w:rsidRPr="002A7673">
        <w:rPr>
          <w:rFonts w:ascii="Times New Roman" w:hAnsi="Times New Roman" w:cs="Times New Roman"/>
          <w:sz w:val="26"/>
          <w:szCs w:val="26"/>
        </w:rPr>
        <w:t>de  Prensa</w:t>
      </w:r>
      <w:proofErr w:type="gramEnd"/>
      <w:r w:rsidRPr="002A7673">
        <w:rPr>
          <w:rFonts w:ascii="Times New Roman" w:hAnsi="Times New Roman" w:cs="Times New Roman"/>
          <w:sz w:val="26"/>
          <w:szCs w:val="26"/>
        </w:rPr>
        <w:t xml:space="preserve"> del Ministerio Público. Además, se </w:t>
      </w:r>
      <w:proofErr w:type="gramStart"/>
      <w:r w:rsidRPr="002A7673">
        <w:rPr>
          <w:rFonts w:ascii="Times New Roman" w:hAnsi="Times New Roman" w:cs="Times New Roman"/>
          <w:sz w:val="26"/>
          <w:szCs w:val="26"/>
        </w:rPr>
        <w:t>solicitó  para</w:t>
      </w:r>
      <w:proofErr w:type="gramEnd"/>
      <w:r w:rsidRPr="002A7673">
        <w:rPr>
          <w:rFonts w:ascii="Times New Roman" w:hAnsi="Times New Roman" w:cs="Times New Roman"/>
          <w:sz w:val="26"/>
          <w:szCs w:val="26"/>
        </w:rPr>
        <w:t xml:space="preserve"> la Fiscalía Adjunta de Atención de Hechos de Violencia de Niños, Niñas y Adolescentes, una cámara fotográfica digital, 1 Caja fuerte y un archivador con caja de seguridad por la suma de ¢ 1.391.560, es importante indicar que ambas  oficinas son  nuevas. Además, se adquieren recursos para dotar a la Fiscalía </w:t>
      </w:r>
      <w:proofErr w:type="gramStart"/>
      <w:r w:rsidRPr="002A7673">
        <w:rPr>
          <w:rFonts w:ascii="Times New Roman" w:hAnsi="Times New Roman" w:cs="Times New Roman"/>
          <w:sz w:val="26"/>
          <w:szCs w:val="26"/>
        </w:rPr>
        <w:t>de  Bribri</w:t>
      </w:r>
      <w:proofErr w:type="gramEnd"/>
      <w:r w:rsidRPr="002A7673">
        <w:rPr>
          <w:rFonts w:ascii="Times New Roman" w:hAnsi="Times New Roman" w:cs="Times New Roman"/>
          <w:sz w:val="26"/>
          <w:szCs w:val="26"/>
        </w:rPr>
        <w:t xml:space="preserve"> con una Silla, 1 refrigeradora y una mesa para la Sala de lactancia, por la suma de ¢1.016.999. Es importante indicar que para la compra de los artículos de la sala de lactancia se cuenta con autorización por parte de la Dirección Ejecutiva.  </w:t>
      </w:r>
    </w:p>
    <w:p w14:paraId="43493A11" w14:textId="77777777" w:rsidR="0085505C" w:rsidRPr="002A7673" w:rsidRDefault="0085505C" w:rsidP="00FF3FAC">
      <w:pPr>
        <w:numPr>
          <w:ilvl w:val="0"/>
          <w:numId w:val="76"/>
        </w:numPr>
        <w:spacing w:before="120" w:after="120" w:line="240" w:lineRule="auto"/>
        <w:ind w:left="851" w:right="851" w:firstLine="709"/>
        <w:jc w:val="both"/>
        <w:rPr>
          <w:rFonts w:ascii="Times New Roman" w:eastAsia="Times New Roman" w:hAnsi="Times New Roman" w:cs="Times New Roman"/>
          <w:b/>
          <w:i/>
          <w:sz w:val="26"/>
          <w:szCs w:val="26"/>
          <w:lang w:val="es-ES" w:eastAsia="es-ES"/>
        </w:rPr>
      </w:pPr>
      <w:r w:rsidRPr="002A7673">
        <w:rPr>
          <w:rFonts w:ascii="Times New Roman" w:eastAsia="Times New Roman" w:hAnsi="Times New Roman" w:cs="Times New Roman"/>
          <w:b/>
          <w:i/>
          <w:sz w:val="26"/>
          <w:szCs w:val="26"/>
          <w:lang w:val="es-ES" w:eastAsia="es-ES"/>
        </w:rPr>
        <w:t xml:space="preserve">Detalle de nuevos contratos </w:t>
      </w:r>
    </w:p>
    <w:p w14:paraId="6B4575B1"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lastRenderedPageBreak/>
        <w:t xml:space="preserve">No se presentan contratos nuevos para este periodo. </w:t>
      </w:r>
    </w:p>
    <w:p w14:paraId="62C0E722" w14:textId="77777777" w:rsidR="0085505C" w:rsidRPr="002A7673" w:rsidRDefault="0085505C" w:rsidP="00FF3FAC">
      <w:pPr>
        <w:keepNext/>
        <w:widowControl w:val="0"/>
        <w:numPr>
          <w:ilvl w:val="0"/>
          <w:numId w:val="76"/>
        </w:numPr>
        <w:autoSpaceDE w:val="0"/>
        <w:autoSpaceDN w:val="0"/>
        <w:adjustRightInd w:val="0"/>
        <w:spacing w:before="120" w:after="120" w:line="240" w:lineRule="auto"/>
        <w:ind w:left="851" w:right="851" w:firstLine="709"/>
        <w:jc w:val="both"/>
        <w:outlineLvl w:val="0"/>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Análisis del presupuesto asociado a la ejecución de Proyectos Estratégicos</w:t>
      </w:r>
    </w:p>
    <w:p w14:paraId="1D6FE97B"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Como parte de la implementación del Sistema de Proyección Plurianual, a partir del mes de octubre del año 2020 se les solicitó a las oficinas realizar la inclusión de recursos en el citado sistema. De esta forma, en el caso específico el Ministerio Publico a continuación se tiene el detalle por estado de los proyectos estratégicos a cargo de este Programa Presupuestario:</w:t>
      </w:r>
    </w:p>
    <w:p w14:paraId="695CDD43" w14:textId="77777777" w:rsidR="0085505C" w:rsidRPr="002A7673" w:rsidRDefault="0085505C" w:rsidP="0085505C">
      <w:pPr>
        <w:spacing w:after="0" w:line="360" w:lineRule="auto"/>
        <w:jc w:val="center"/>
        <w:rPr>
          <w:rFonts w:ascii="Times New Roman" w:hAnsi="Times New Roman" w:cs="Times New Roman"/>
          <w:color w:val="000000" w:themeColor="text1"/>
          <w:sz w:val="26"/>
          <w:szCs w:val="26"/>
        </w:rPr>
      </w:pPr>
      <w:r w:rsidRPr="002A7673">
        <w:rPr>
          <w:rFonts w:ascii="Times New Roman" w:hAnsi="Times New Roman" w:cs="Times New Roman"/>
          <w:color w:val="000000" w:themeColor="text1"/>
          <w:sz w:val="26"/>
          <w:szCs w:val="26"/>
        </w:rPr>
        <w:t>Detalle de los proyectos estratégicos según estado</w:t>
      </w:r>
    </w:p>
    <w:p w14:paraId="2AA13B6B" w14:textId="77777777" w:rsidR="0085505C" w:rsidRPr="002A7673" w:rsidRDefault="0085505C" w:rsidP="0085505C">
      <w:pPr>
        <w:spacing w:after="0" w:line="360" w:lineRule="auto"/>
        <w:jc w:val="center"/>
        <w:rPr>
          <w:rFonts w:ascii="Times New Roman" w:hAnsi="Times New Roman" w:cs="Times New Roman"/>
          <w:color w:val="000000" w:themeColor="text1"/>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45"/>
        <w:gridCol w:w="3413"/>
      </w:tblGrid>
      <w:tr w:rsidR="0085505C" w:rsidRPr="002A7673" w14:paraId="6E2C9406" w14:textId="77777777" w:rsidTr="0048334E">
        <w:trPr>
          <w:trHeight w:val="300"/>
          <w:jc w:val="center"/>
        </w:trPr>
        <w:tc>
          <w:tcPr>
            <w:tcW w:w="3233" w:type="pct"/>
            <w:shd w:val="clear" w:color="D9E1F2" w:fill="D9E1F2"/>
            <w:noWrap/>
            <w:vAlign w:val="center"/>
            <w:hideMark/>
          </w:tcPr>
          <w:p w14:paraId="067136D1"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rPr>
              <w:t>Estado</w:t>
            </w:r>
          </w:p>
        </w:tc>
        <w:tc>
          <w:tcPr>
            <w:tcW w:w="1767" w:type="pct"/>
            <w:shd w:val="clear" w:color="D9E1F2" w:fill="D9E1F2"/>
            <w:noWrap/>
            <w:vAlign w:val="center"/>
            <w:hideMark/>
          </w:tcPr>
          <w:p w14:paraId="40509338"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Cantidad de Proyectos</w:t>
            </w:r>
          </w:p>
        </w:tc>
      </w:tr>
      <w:tr w:rsidR="0085505C" w:rsidRPr="002A7673" w14:paraId="44954EF5" w14:textId="77777777" w:rsidTr="0048334E">
        <w:trPr>
          <w:trHeight w:val="300"/>
          <w:jc w:val="center"/>
        </w:trPr>
        <w:tc>
          <w:tcPr>
            <w:tcW w:w="3233" w:type="pct"/>
            <w:shd w:val="clear" w:color="auto" w:fill="auto"/>
            <w:noWrap/>
            <w:vAlign w:val="bottom"/>
            <w:hideMark/>
          </w:tcPr>
          <w:p w14:paraId="3F378B5D"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Aprobado - No iniciado</w:t>
            </w:r>
          </w:p>
        </w:tc>
        <w:tc>
          <w:tcPr>
            <w:tcW w:w="1767" w:type="pct"/>
            <w:shd w:val="clear" w:color="auto" w:fill="auto"/>
            <w:noWrap/>
            <w:vAlign w:val="center"/>
            <w:hideMark/>
          </w:tcPr>
          <w:p w14:paraId="50EA38E3"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0</w:t>
            </w:r>
          </w:p>
        </w:tc>
      </w:tr>
      <w:tr w:rsidR="0085505C" w:rsidRPr="002A7673" w14:paraId="66E14DD5" w14:textId="77777777" w:rsidTr="0048334E">
        <w:trPr>
          <w:trHeight w:val="300"/>
          <w:jc w:val="center"/>
        </w:trPr>
        <w:tc>
          <w:tcPr>
            <w:tcW w:w="3233" w:type="pct"/>
            <w:shd w:val="clear" w:color="auto" w:fill="auto"/>
            <w:noWrap/>
            <w:vAlign w:val="bottom"/>
            <w:hideMark/>
          </w:tcPr>
          <w:p w14:paraId="2F02D576"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En progreso</w:t>
            </w:r>
          </w:p>
        </w:tc>
        <w:tc>
          <w:tcPr>
            <w:tcW w:w="1767" w:type="pct"/>
            <w:shd w:val="clear" w:color="auto" w:fill="auto"/>
            <w:noWrap/>
            <w:vAlign w:val="center"/>
            <w:hideMark/>
          </w:tcPr>
          <w:p w14:paraId="1AC3DC26"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9</w:t>
            </w:r>
          </w:p>
        </w:tc>
      </w:tr>
      <w:tr w:rsidR="0085505C" w:rsidRPr="002A7673" w14:paraId="26B5A8C2" w14:textId="77777777" w:rsidTr="0048334E">
        <w:trPr>
          <w:trHeight w:val="300"/>
          <w:jc w:val="center"/>
        </w:trPr>
        <w:tc>
          <w:tcPr>
            <w:tcW w:w="3233" w:type="pct"/>
            <w:shd w:val="clear" w:color="auto" w:fill="auto"/>
            <w:noWrap/>
            <w:vAlign w:val="bottom"/>
            <w:hideMark/>
          </w:tcPr>
          <w:p w14:paraId="6C73CEC6"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No aprobado</w:t>
            </w:r>
          </w:p>
        </w:tc>
        <w:tc>
          <w:tcPr>
            <w:tcW w:w="1767" w:type="pct"/>
            <w:shd w:val="clear" w:color="auto" w:fill="auto"/>
            <w:noWrap/>
            <w:vAlign w:val="center"/>
            <w:hideMark/>
          </w:tcPr>
          <w:p w14:paraId="31D07F70"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0</w:t>
            </w:r>
          </w:p>
        </w:tc>
      </w:tr>
      <w:tr w:rsidR="0085505C" w:rsidRPr="002A7673" w14:paraId="49D84160" w14:textId="77777777" w:rsidTr="0048334E">
        <w:trPr>
          <w:trHeight w:val="300"/>
          <w:jc w:val="center"/>
        </w:trPr>
        <w:tc>
          <w:tcPr>
            <w:tcW w:w="3233" w:type="pct"/>
            <w:shd w:val="clear" w:color="auto" w:fill="auto"/>
            <w:noWrap/>
            <w:vAlign w:val="bottom"/>
            <w:hideMark/>
          </w:tcPr>
          <w:p w14:paraId="2217CF61"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Pendiente Evaluación de Beneficios</w:t>
            </w:r>
          </w:p>
        </w:tc>
        <w:tc>
          <w:tcPr>
            <w:tcW w:w="1767" w:type="pct"/>
            <w:shd w:val="clear" w:color="auto" w:fill="auto"/>
            <w:noWrap/>
            <w:vAlign w:val="center"/>
            <w:hideMark/>
          </w:tcPr>
          <w:p w14:paraId="067B78DC"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w:t>
            </w:r>
          </w:p>
        </w:tc>
      </w:tr>
      <w:tr w:rsidR="0085505C" w:rsidRPr="002A7673" w14:paraId="3813C71E" w14:textId="77777777" w:rsidTr="0048334E">
        <w:trPr>
          <w:trHeight w:val="300"/>
          <w:jc w:val="center"/>
        </w:trPr>
        <w:tc>
          <w:tcPr>
            <w:tcW w:w="3233" w:type="pct"/>
            <w:shd w:val="clear" w:color="D9E1F2" w:fill="D9E1F2"/>
            <w:noWrap/>
            <w:vAlign w:val="bottom"/>
            <w:hideMark/>
          </w:tcPr>
          <w:p w14:paraId="0850D539" w14:textId="77777777" w:rsidR="0085505C" w:rsidRPr="002A7673" w:rsidRDefault="0085505C" w:rsidP="0048334E">
            <w:pPr>
              <w:spacing w:after="0" w:line="240" w:lineRule="auto"/>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Total, general</w:t>
            </w:r>
          </w:p>
        </w:tc>
        <w:tc>
          <w:tcPr>
            <w:tcW w:w="1767" w:type="pct"/>
            <w:shd w:val="clear" w:color="D9E1F2" w:fill="D9E1F2"/>
            <w:noWrap/>
            <w:vAlign w:val="center"/>
            <w:hideMark/>
          </w:tcPr>
          <w:p w14:paraId="20109AEA"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10</w:t>
            </w:r>
          </w:p>
        </w:tc>
      </w:tr>
    </w:tbl>
    <w:p w14:paraId="69CAA802" w14:textId="77777777" w:rsidR="0085505C" w:rsidRPr="002A7673" w:rsidRDefault="0085505C" w:rsidP="0085505C">
      <w:pPr>
        <w:spacing w:before="120" w:after="120" w:line="240" w:lineRule="auto"/>
        <w:ind w:left="851" w:right="851" w:firstLine="709"/>
        <w:jc w:val="both"/>
        <w:rPr>
          <w:rFonts w:ascii="Times New Roman" w:hAnsi="Times New Roman" w:cs="Times New Roman"/>
          <w:b/>
          <w:bCs/>
          <w:color w:val="538135" w:themeColor="accent6" w:themeShade="BF"/>
          <w:sz w:val="26"/>
          <w:szCs w:val="26"/>
        </w:rPr>
      </w:pPr>
      <w:r w:rsidRPr="002A7673">
        <w:rPr>
          <w:rFonts w:ascii="Times New Roman" w:hAnsi="Times New Roman" w:cs="Times New Roman"/>
          <w:b/>
          <w:bCs/>
          <w:color w:val="000000" w:themeColor="text1"/>
          <w:sz w:val="26"/>
          <w:szCs w:val="26"/>
        </w:rPr>
        <w:t>Fuente: Reporte generado del MS Project Online al 23-02-2021.</w:t>
      </w:r>
    </w:p>
    <w:p w14:paraId="1E9C33F6"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Del detalle de proyectos actualmente incorporados en el portafolio, se tiene que sólo 6 proyectos tienen previsto estar en ejecución durante el año 2022, de acuerdo con la programación y cronogramas que actualmente se encuentran cargados en la plataforma de MS Project Online. A continuación, se muestra la cantidad de proyectos agrupados por año de acuerdo con el período previsto de finalización de cada uno:</w:t>
      </w:r>
    </w:p>
    <w:p w14:paraId="69823909" w14:textId="77777777" w:rsidR="0085505C" w:rsidRPr="002A7673" w:rsidRDefault="0085505C" w:rsidP="0085505C">
      <w:pPr>
        <w:spacing w:before="120" w:after="120" w:line="240" w:lineRule="auto"/>
        <w:ind w:left="851" w:right="851" w:firstLine="709"/>
        <w:jc w:val="both"/>
        <w:rPr>
          <w:rFonts w:ascii="Times New Roman" w:hAnsi="Times New Roman" w:cs="Times New Roman"/>
          <w:color w:val="000000" w:themeColor="text1"/>
          <w:sz w:val="26"/>
          <w:szCs w:val="26"/>
        </w:rPr>
      </w:pPr>
    </w:p>
    <w:p w14:paraId="43D2F1D9"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Años de proyección de finalización de los Proyectos Estratégicos</w:t>
      </w:r>
    </w:p>
    <w:p w14:paraId="0E94FB09" w14:textId="77777777" w:rsidR="0085505C" w:rsidRPr="002A7673" w:rsidRDefault="0085505C" w:rsidP="0085505C">
      <w:pPr>
        <w:spacing w:after="0" w:line="360" w:lineRule="auto"/>
        <w:jc w:val="center"/>
        <w:rPr>
          <w:rFonts w:ascii="Times New Roman" w:hAnsi="Times New Roman" w:cs="Times New Roman"/>
          <w:sz w:val="28"/>
        </w:rPr>
      </w:pPr>
    </w:p>
    <w:tbl>
      <w:tblPr>
        <w:tblW w:w="5000" w:type="pct"/>
        <w:jc w:val="center"/>
        <w:tblCellMar>
          <w:left w:w="70" w:type="dxa"/>
          <w:right w:w="70" w:type="dxa"/>
        </w:tblCellMar>
        <w:tblLook w:val="04A0" w:firstRow="1" w:lastRow="0" w:firstColumn="1" w:lastColumn="0" w:noHBand="0" w:noVBand="1"/>
      </w:tblPr>
      <w:tblGrid>
        <w:gridCol w:w="2684"/>
        <w:gridCol w:w="1152"/>
        <w:gridCol w:w="1060"/>
        <w:gridCol w:w="876"/>
        <w:gridCol w:w="783"/>
        <w:gridCol w:w="876"/>
        <w:gridCol w:w="715"/>
        <w:gridCol w:w="1522"/>
      </w:tblGrid>
      <w:tr w:rsidR="0085505C" w:rsidRPr="002A7673" w14:paraId="2D0760C4" w14:textId="77777777" w:rsidTr="0048334E">
        <w:trPr>
          <w:trHeight w:val="300"/>
          <w:jc w:val="center"/>
        </w:trPr>
        <w:tc>
          <w:tcPr>
            <w:tcW w:w="1388" w:type="pct"/>
            <w:vMerge w:val="restart"/>
            <w:tcBorders>
              <w:top w:val="nil"/>
              <w:left w:val="nil"/>
              <w:right w:val="nil"/>
            </w:tcBorders>
            <w:shd w:val="clear" w:color="D9E1F2" w:fill="D9E1F2"/>
            <w:noWrap/>
            <w:vAlign w:val="center"/>
          </w:tcPr>
          <w:p w14:paraId="046F3CA6" w14:textId="77777777" w:rsidR="0085505C" w:rsidRPr="002A7673" w:rsidRDefault="0085505C" w:rsidP="0048334E">
            <w:pPr>
              <w:spacing w:after="0" w:line="240" w:lineRule="auto"/>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Categoría del proyecto</w:t>
            </w:r>
          </w:p>
        </w:tc>
        <w:tc>
          <w:tcPr>
            <w:tcW w:w="2825" w:type="pct"/>
            <w:gridSpan w:val="6"/>
            <w:tcBorders>
              <w:top w:val="nil"/>
              <w:left w:val="nil"/>
              <w:bottom w:val="single" w:sz="4" w:space="0" w:color="8EA9DB"/>
              <w:right w:val="nil"/>
            </w:tcBorders>
            <w:shd w:val="clear" w:color="D9E1F2" w:fill="D9E1F2"/>
            <w:noWrap/>
            <w:vAlign w:val="center"/>
          </w:tcPr>
          <w:p w14:paraId="3A765E82"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Cantidad de proyectos que finalizan en el año</w:t>
            </w:r>
          </w:p>
        </w:tc>
        <w:tc>
          <w:tcPr>
            <w:tcW w:w="787" w:type="pct"/>
            <w:tcBorders>
              <w:top w:val="nil"/>
              <w:left w:val="nil"/>
              <w:bottom w:val="single" w:sz="4" w:space="0" w:color="8EA9DB"/>
              <w:right w:val="nil"/>
            </w:tcBorders>
            <w:shd w:val="clear" w:color="D9E1F2" w:fill="D9E1F2"/>
            <w:noWrap/>
            <w:vAlign w:val="bottom"/>
          </w:tcPr>
          <w:p w14:paraId="6A146F86" w14:textId="77777777" w:rsidR="0085505C" w:rsidRPr="002A7673" w:rsidRDefault="0085505C" w:rsidP="0048334E">
            <w:pPr>
              <w:spacing w:after="0" w:line="240" w:lineRule="auto"/>
              <w:rPr>
                <w:rFonts w:ascii="Times New Roman" w:hAnsi="Times New Roman" w:cs="Times New Roman"/>
                <w:b/>
                <w:bCs/>
                <w:color w:val="000000"/>
                <w:sz w:val="24"/>
                <w:szCs w:val="24"/>
              </w:rPr>
            </w:pPr>
          </w:p>
        </w:tc>
      </w:tr>
      <w:tr w:rsidR="0085505C" w:rsidRPr="002A7673" w14:paraId="74123CBB" w14:textId="77777777" w:rsidTr="0048334E">
        <w:trPr>
          <w:trHeight w:val="300"/>
          <w:jc w:val="center"/>
        </w:trPr>
        <w:tc>
          <w:tcPr>
            <w:tcW w:w="1388" w:type="pct"/>
            <w:vMerge/>
            <w:tcBorders>
              <w:left w:val="nil"/>
              <w:bottom w:val="single" w:sz="4" w:space="0" w:color="8EA9DB"/>
              <w:right w:val="nil"/>
            </w:tcBorders>
            <w:shd w:val="clear" w:color="D9E1F2" w:fill="D9E1F2"/>
            <w:noWrap/>
            <w:vAlign w:val="bottom"/>
            <w:hideMark/>
          </w:tcPr>
          <w:p w14:paraId="0F180710" w14:textId="77777777" w:rsidR="0085505C" w:rsidRPr="002A7673" w:rsidRDefault="0085505C" w:rsidP="0048334E">
            <w:pPr>
              <w:spacing w:after="0" w:line="240" w:lineRule="auto"/>
              <w:rPr>
                <w:rFonts w:ascii="Times New Roman" w:hAnsi="Times New Roman" w:cs="Times New Roman"/>
                <w:b/>
                <w:bCs/>
                <w:color w:val="000000"/>
                <w:sz w:val="24"/>
                <w:szCs w:val="24"/>
                <w:lang w:eastAsia="es-CR"/>
              </w:rPr>
            </w:pPr>
          </w:p>
        </w:tc>
        <w:tc>
          <w:tcPr>
            <w:tcW w:w="596" w:type="pct"/>
            <w:tcBorders>
              <w:top w:val="nil"/>
              <w:left w:val="nil"/>
              <w:bottom w:val="single" w:sz="4" w:space="0" w:color="8EA9DB"/>
              <w:right w:val="nil"/>
            </w:tcBorders>
            <w:shd w:val="clear" w:color="D9E1F2" w:fill="D9E1F2"/>
            <w:noWrap/>
            <w:vAlign w:val="center"/>
            <w:hideMark/>
          </w:tcPr>
          <w:p w14:paraId="27D3ABB5"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2019</w:t>
            </w:r>
          </w:p>
        </w:tc>
        <w:tc>
          <w:tcPr>
            <w:tcW w:w="548" w:type="pct"/>
            <w:tcBorders>
              <w:top w:val="nil"/>
              <w:left w:val="nil"/>
              <w:bottom w:val="single" w:sz="4" w:space="0" w:color="8EA9DB"/>
              <w:right w:val="nil"/>
            </w:tcBorders>
            <w:shd w:val="clear" w:color="D9E1F2" w:fill="D9E1F2"/>
            <w:noWrap/>
            <w:vAlign w:val="center"/>
            <w:hideMark/>
          </w:tcPr>
          <w:p w14:paraId="7E6F0FBF"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2021</w:t>
            </w:r>
          </w:p>
        </w:tc>
        <w:tc>
          <w:tcPr>
            <w:tcW w:w="453" w:type="pct"/>
            <w:tcBorders>
              <w:top w:val="nil"/>
              <w:left w:val="nil"/>
              <w:bottom w:val="single" w:sz="4" w:space="0" w:color="8EA9DB"/>
              <w:right w:val="nil"/>
            </w:tcBorders>
            <w:shd w:val="clear" w:color="D9E1F2" w:fill="D9E1F2"/>
            <w:noWrap/>
            <w:vAlign w:val="center"/>
            <w:hideMark/>
          </w:tcPr>
          <w:p w14:paraId="05BC2028"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2022</w:t>
            </w:r>
          </w:p>
        </w:tc>
        <w:tc>
          <w:tcPr>
            <w:tcW w:w="405" w:type="pct"/>
            <w:tcBorders>
              <w:top w:val="nil"/>
              <w:left w:val="nil"/>
              <w:bottom w:val="single" w:sz="4" w:space="0" w:color="8EA9DB"/>
              <w:right w:val="nil"/>
            </w:tcBorders>
            <w:shd w:val="clear" w:color="D9E1F2" w:fill="D9E1F2"/>
            <w:noWrap/>
            <w:vAlign w:val="center"/>
            <w:hideMark/>
          </w:tcPr>
          <w:p w14:paraId="1D2A451F"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2023</w:t>
            </w:r>
          </w:p>
        </w:tc>
        <w:tc>
          <w:tcPr>
            <w:tcW w:w="453" w:type="pct"/>
            <w:tcBorders>
              <w:top w:val="nil"/>
              <w:left w:val="nil"/>
              <w:bottom w:val="single" w:sz="4" w:space="0" w:color="8EA9DB"/>
              <w:right w:val="nil"/>
            </w:tcBorders>
            <w:shd w:val="clear" w:color="D9E1F2" w:fill="D9E1F2"/>
            <w:noWrap/>
            <w:vAlign w:val="center"/>
            <w:hideMark/>
          </w:tcPr>
          <w:p w14:paraId="79AA7EA4"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2024</w:t>
            </w:r>
          </w:p>
        </w:tc>
        <w:tc>
          <w:tcPr>
            <w:tcW w:w="370" w:type="pct"/>
            <w:tcBorders>
              <w:top w:val="nil"/>
              <w:left w:val="nil"/>
              <w:bottom w:val="single" w:sz="4" w:space="0" w:color="8EA9DB"/>
              <w:right w:val="nil"/>
            </w:tcBorders>
            <w:shd w:val="clear" w:color="D9E1F2" w:fill="D9E1F2"/>
            <w:noWrap/>
            <w:vAlign w:val="center"/>
            <w:hideMark/>
          </w:tcPr>
          <w:p w14:paraId="1CC94541"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2025</w:t>
            </w:r>
          </w:p>
        </w:tc>
        <w:tc>
          <w:tcPr>
            <w:tcW w:w="787" w:type="pct"/>
            <w:tcBorders>
              <w:top w:val="nil"/>
              <w:left w:val="nil"/>
              <w:bottom w:val="single" w:sz="4" w:space="0" w:color="8EA9DB"/>
              <w:right w:val="nil"/>
            </w:tcBorders>
            <w:shd w:val="clear" w:color="D9E1F2" w:fill="D9E1F2"/>
            <w:noWrap/>
            <w:vAlign w:val="center"/>
            <w:hideMark/>
          </w:tcPr>
          <w:p w14:paraId="707282D6"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Total</w:t>
            </w:r>
          </w:p>
        </w:tc>
      </w:tr>
      <w:tr w:rsidR="0085505C" w:rsidRPr="002A7673" w14:paraId="724AA550" w14:textId="77777777" w:rsidTr="0048334E">
        <w:trPr>
          <w:trHeight w:val="300"/>
          <w:jc w:val="center"/>
        </w:trPr>
        <w:tc>
          <w:tcPr>
            <w:tcW w:w="1388" w:type="pct"/>
            <w:tcBorders>
              <w:top w:val="nil"/>
              <w:left w:val="nil"/>
              <w:bottom w:val="nil"/>
              <w:right w:val="nil"/>
            </w:tcBorders>
            <w:shd w:val="clear" w:color="auto" w:fill="auto"/>
            <w:noWrap/>
            <w:vAlign w:val="bottom"/>
            <w:hideMark/>
          </w:tcPr>
          <w:p w14:paraId="7AB0CED6"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Estratégico</w:t>
            </w:r>
          </w:p>
        </w:tc>
        <w:tc>
          <w:tcPr>
            <w:tcW w:w="596" w:type="pct"/>
            <w:tcBorders>
              <w:top w:val="nil"/>
              <w:left w:val="nil"/>
              <w:bottom w:val="nil"/>
              <w:right w:val="nil"/>
            </w:tcBorders>
            <w:shd w:val="clear" w:color="auto" w:fill="auto"/>
            <w:noWrap/>
            <w:vAlign w:val="center"/>
          </w:tcPr>
          <w:p w14:paraId="6BFBE026"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w:t>
            </w:r>
          </w:p>
        </w:tc>
        <w:tc>
          <w:tcPr>
            <w:tcW w:w="548" w:type="pct"/>
            <w:tcBorders>
              <w:top w:val="nil"/>
              <w:left w:val="nil"/>
              <w:bottom w:val="nil"/>
              <w:right w:val="nil"/>
            </w:tcBorders>
            <w:shd w:val="clear" w:color="auto" w:fill="auto"/>
            <w:noWrap/>
            <w:vAlign w:val="center"/>
          </w:tcPr>
          <w:p w14:paraId="38D30E1D"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3</w:t>
            </w:r>
          </w:p>
        </w:tc>
        <w:tc>
          <w:tcPr>
            <w:tcW w:w="453" w:type="pct"/>
            <w:tcBorders>
              <w:top w:val="nil"/>
              <w:left w:val="nil"/>
              <w:bottom w:val="nil"/>
              <w:right w:val="nil"/>
            </w:tcBorders>
            <w:shd w:val="clear" w:color="auto" w:fill="auto"/>
            <w:noWrap/>
            <w:vAlign w:val="center"/>
          </w:tcPr>
          <w:p w14:paraId="13D12F34"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w:t>
            </w:r>
          </w:p>
        </w:tc>
        <w:tc>
          <w:tcPr>
            <w:tcW w:w="405" w:type="pct"/>
            <w:tcBorders>
              <w:top w:val="nil"/>
              <w:left w:val="nil"/>
              <w:bottom w:val="nil"/>
              <w:right w:val="nil"/>
            </w:tcBorders>
            <w:shd w:val="clear" w:color="auto" w:fill="auto"/>
            <w:noWrap/>
            <w:vAlign w:val="center"/>
          </w:tcPr>
          <w:p w14:paraId="5B0C8800"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w:t>
            </w:r>
          </w:p>
        </w:tc>
        <w:tc>
          <w:tcPr>
            <w:tcW w:w="453" w:type="pct"/>
            <w:tcBorders>
              <w:top w:val="nil"/>
              <w:left w:val="nil"/>
              <w:bottom w:val="nil"/>
              <w:right w:val="nil"/>
            </w:tcBorders>
            <w:shd w:val="clear" w:color="auto" w:fill="auto"/>
            <w:noWrap/>
            <w:vAlign w:val="center"/>
          </w:tcPr>
          <w:p w14:paraId="0ACA44FD"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w:t>
            </w:r>
          </w:p>
        </w:tc>
        <w:tc>
          <w:tcPr>
            <w:tcW w:w="370" w:type="pct"/>
            <w:tcBorders>
              <w:top w:val="nil"/>
              <w:left w:val="nil"/>
              <w:bottom w:val="nil"/>
              <w:right w:val="nil"/>
            </w:tcBorders>
            <w:shd w:val="clear" w:color="auto" w:fill="auto"/>
            <w:noWrap/>
            <w:vAlign w:val="center"/>
          </w:tcPr>
          <w:p w14:paraId="0CC56159"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w:t>
            </w:r>
          </w:p>
        </w:tc>
        <w:tc>
          <w:tcPr>
            <w:tcW w:w="787" w:type="pct"/>
            <w:tcBorders>
              <w:top w:val="nil"/>
              <w:left w:val="nil"/>
              <w:bottom w:val="nil"/>
              <w:right w:val="nil"/>
            </w:tcBorders>
            <w:shd w:val="clear" w:color="auto" w:fill="auto"/>
            <w:noWrap/>
            <w:vAlign w:val="center"/>
          </w:tcPr>
          <w:p w14:paraId="0B345918" w14:textId="77777777" w:rsidR="0085505C" w:rsidRPr="002A7673" w:rsidRDefault="0085505C" w:rsidP="0048334E">
            <w:pPr>
              <w:spacing w:after="0" w:line="240" w:lineRule="auto"/>
              <w:jc w:val="center"/>
              <w:rPr>
                <w:rFonts w:ascii="Times New Roman" w:hAnsi="Times New Roman" w:cs="Times New Roman"/>
                <w:color w:val="000000"/>
                <w:sz w:val="24"/>
                <w:szCs w:val="24"/>
              </w:rPr>
            </w:pPr>
          </w:p>
        </w:tc>
      </w:tr>
      <w:tr w:rsidR="0085505C" w:rsidRPr="002A7673" w14:paraId="40335529" w14:textId="77777777" w:rsidTr="0048334E">
        <w:trPr>
          <w:trHeight w:val="300"/>
          <w:jc w:val="center"/>
        </w:trPr>
        <w:tc>
          <w:tcPr>
            <w:tcW w:w="1388" w:type="pct"/>
            <w:tcBorders>
              <w:top w:val="single" w:sz="4" w:space="0" w:color="8EA9DB"/>
              <w:left w:val="nil"/>
              <w:bottom w:val="nil"/>
              <w:right w:val="nil"/>
            </w:tcBorders>
            <w:shd w:val="clear" w:color="D9E1F2" w:fill="D9E1F2"/>
            <w:noWrap/>
            <w:vAlign w:val="bottom"/>
            <w:hideMark/>
          </w:tcPr>
          <w:p w14:paraId="34B4E5B9" w14:textId="77777777" w:rsidR="0085505C" w:rsidRPr="002A7673" w:rsidRDefault="0085505C" w:rsidP="0048334E">
            <w:pPr>
              <w:spacing w:after="0" w:line="240" w:lineRule="auto"/>
              <w:rPr>
                <w:rFonts w:ascii="Times New Roman" w:hAnsi="Times New Roman" w:cs="Times New Roman"/>
                <w:b/>
                <w:bCs/>
                <w:color w:val="000000"/>
                <w:sz w:val="24"/>
                <w:szCs w:val="24"/>
              </w:rPr>
            </w:pPr>
            <w:proofErr w:type="gramStart"/>
            <w:r w:rsidRPr="002A7673">
              <w:rPr>
                <w:rFonts w:ascii="Times New Roman" w:hAnsi="Times New Roman" w:cs="Times New Roman"/>
                <w:b/>
                <w:bCs/>
                <w:color w:val="000000"/>
                <w:sz w:val="24"/>
                <w:szCs w:val="24"/>
              </w:rPr>
              <w:t>Total</w:t>
            </w:r>
            <w:proofErr w:type="gramEnd"/>
            <w:r w:rsidRPr="002A7673">
              <w:rPr>
                <w:rFonts w:ascii="Times New Roman" w:hAnsi="Times New Roman" w:cs="Times New Roman"/>
                <w:b/>
                <w:bCs/>
                <w:color w:val="000000"/>
                <w:sz w:val="24"/>
                <w:szCs w:val="24"/>
              </w:rPr>
              <w:t xml:space="preserve"> general</w:t>
            </w:r>
          </w:p>
        </w:tc>
        <w:tc>
          <w:tcPr>
            <w:tcW w:w="596" w:type="pct"/>
            <w:tcBorders>
              <w:top w:val="single" w:sz="4" w:space="0" w:color="8EA9DB"/>
              <w:left w:val="nil"/>
              <w:bottom w:val="nil"/>
              <w:right w:val="nil"/>
            </w:tcBorders>
            <w:shd w:val="clear" w:color="D9E1F2" w:fill="D9E1F2"/>
            <w:noWrap/>
            <w:vAlign w:val="bottom"/>
            <w:hideMark/>
          </w:tcPr>
          <w:p w14:paraId="1ADDC732"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w:t>
            </w:r>
          </w:p>
        </w:tc>
        <w:tc>
          <w:tcPr>
            <w:tcW w:w="548" w:type="pct"/>
            <w:tcBorders>
              <w:top w:val="single" w:sz="4" w:space="0" w:color="8EA9DB"/>
              <w:left w:val="nil"/>
              <w:bottom w:val="nil"/>
              <w:right w:val="nil"/>
            </w:tcBorders>
            <w:shd w:val="clear" w:color="D9E1F2" w:fill="D9E1F2"/>
            <w:noWrap/>
            <w:vAlign w:val="bottom"/>
            <w:hideMark/>
          </w:tcPr>
          <w:p w14:paraId="492F8C99"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3</w:t>
            </w:r>
          </w:p>
        </w:tc>
        <w:tc>
          <w:tcPr>
            <w:tcW w:w="453" w:type="pct"/>
            <w:tcBorders>
              <w:top w:val="single" w:sz="4" w:space="0" w:color="8EA9DB"/>
              <w:left w:val="nil"/>
              <w:bottom w:val="nil"/>
              <w:right w:val="nil"/>
            </w:tcBorders>
            <w:shd w:val="clear" w:color="D9E1F2" w:fill="D9E1F2"/>
            <w:noWrap/>
            <w:vAlign w:val="bottom"/>
            <w:hideMark/>
          </w:tcPr>
          <w:p w14:paraId="4031B5B4"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w:t>
            </w:r>
          </w:p>
        </w:tc>
        <w:tc>
          <w:tcPr>
            <w:tcW w:w="405" w:type="pct"/>
            <w:tcBorders>
              <w:top w:val="single" w:sz="4" w:space="0" w:color="8EA9DB"/>
              <w:left w:val="nil"/>
              <w:bottom w:val="nil"/>
              <w:right w:val="nil"/>
            </w:tcBorders>
            <w:shd w:val="clear" w:color="D9E1F2" w:fill="D9E1F2"/>
            <w:noWrap/>
            <w:vAlign w:val="bottom"/>
            <w:hideMark/>
          </w:tcPr>
          <w:p w14:paraId="4E14985A"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w:t>
            </w:r>
          </w:p>
        </w:tc>
        <w:tc>
          <w:tcPr>
            <w:tcW w:w="453" w:type="pct"/>
            <w:tcBorders>
              <w:top w:val="single" w:sz="4" w:space="0" w:color="8EA9DB"/>
              <w:left w:val="nil"/>
              <w:bottom w:val="nil"/>
              <w:right w:val="nil"/>
            </w:tcBorders>
            <w:shd w:val="clear" w:color="D9E1F2" w:fill="D9E1F2"/>
            <w:noWrap/>
            <w:vAlign w:val="bottom"/>
            <w:hideMark/>
          </w:tcPr>
          <w:p w14:paraId="072585FF"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w:t>
            </w:r>
          </w:p>
        </w:tc>
        <w:tc>
          <w:tcPr>
            <w:tcW w:w="370" w:type="pct"/>
            <w:tcBorders>
              <w:top w:val="single" w:sz="4" w:space="0" w:color="8EA9DB"/>
              <w:left w:val="nil"/>
              <w:bottom w:val="nil"/>
              <w:right w:val="nil"/>
            </w:tcBorders>
            <w:shd w:val="clear" w:color="D9E1F2" w:fill="D9E1F2"/>
            <w:noWrap/>
            <w:vAlign w:val="bottom"/>
            <w:hideMark/>
          </w:tcPr>
          <w:p w14:paraId="45923E2F"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w:t>
            </w:r>
          </w:p>
        </w:tc>
        <w:tc>
          <w:tcPr>
            <w:tcW w:w="787" w:type="pct"/>
            <w:tcBorders>
              <w:top w:val="single" w:sz="4" w:space="0" w:color="8EA9DB"/>
              <w:left w:val="nil"/>
              <w:bottom w:val="nil"/>
              <w:right w:val="nil"/>
            </w:tcBorders>
            <w:shd w:val="clear" w:color="D9E1F2" w:fill="D9E1F2"/>
            <w:noWrap/>
            <w:vAlign w:val="center"/>
            <w:hideMark/>
          </w:tcPr>
          <w:p w14:paraId="166873E8"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10</w:t>
            </w:r>
          </w:p>
        </w:tc>
      </w:tr>
    </w:tbl>
    <w:p w14:paraId="0C56E37C" w14:textId="77777777" w:rsidR="0085505C" w:rsidRPr="002A7673" w:rsidRDefault="0085505C" w:rsidP="0085505C">
      <w:pPr>
        <w:spacing w:after="0" w:line="240" w:lineRule="auto"/>
        <w:ind w:left="851" w:right="851" w:firstLine="709"/>
        <w:jc w:val="both"/>
        <w:rPr>
          <w:rFonts w:ascii="Times New Roman" w:hAnsi="Times New Roman" w:cs="Times New Roman"/>
          <w:color w:val="538135" w:themeColor="accent6" w:themeShade="BF"/>
          <w:sz w:val="26"/>
          <w:szCs w:val="26"/>
        </w:rPr>
      </w:pPr>
      <w:r w:rsidRPr="002A7673">
        <w:rPr>
          <w:rFonts w:ascii="Times New Roman" w:hAnsi="Times New Roman" w:cs="Times New Roman"/>
          <w:color w:val="538135" w:themeColor="accent6" w:themeShade="BF"/>
          <w:sz w:val="16"/>
          <w:szCs w:val="16"/>
        </w:rPr>
        <w:t xml:space="preserve">            </w:t>
      </w:r>
      <w:r w:rsidRPr="002A7673">
        <w:rPr>
          <w:rFonts w:ascii="Times New Roman" w:hAnsi="Times New Roman" w:cs="Times New Roman"/>
          <w:color w:val="000000" w:themeColor="text1"/>
          <w:sz w:val="26"/>
          <w:szCs w:val="26"/>
        </w:rPr>
        <w:t>Fuente: Elaboración propia a partir del reporte generado del MS Project Online al 23-02-2021.</w:t>
      </w:r>
    </w:p>
    <w:p w14:paraId="7C61BA80"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4C3CB20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lastRenderedPageBreak/>
        <w:t>Como se muestra, para el 2022 contemplando los proyectos que finalizan ese año como los que finalizan en años posteriores se tendrían un total de 6 proyectos activos.</w:t>
      </w:r>
    </w:p>
    <w:p w14:paraId="4F86247C" w14:textId="77777777" w:rsidR="0085505C" w:rsidRPr="002A7673" w:rsidRDefault="0085505C" w:rsidP="0085505C">
      <w:pPr>
        <w:spacing w:after="0" w:line="240" w:lineRule="auto"/>
        <w:ind w:left="851" w:right="851" w:firstLine="709"/>
        <w:jc w:val="both"/>
        <w:rPr>
          <w:rFonts w:ascii="Times New Roman" w:hAnsi="Times New Roman" w:cs="Times New Roman"/>
          <w:color w:val="000000" w:themeColor="text1"/>
          <w:sz w:val="26"/>
          <w:szCs w:val="26"/>
        </w:rPr>
      </w:pPr>
      <w:r w:rsidRPr="002A7673">
        <w:rPr>
          <w:rFonts w:ascii="Times New Roman" w:hAnsi="Times New Roman" w:cs="Times New Roman"/>
          <w:color w:val="000000" w:themeColor="text1"/>
          <w:sz w:val="26"/>
          <w:szCs w:val="26"/>
        </w:rPr>
        <w:t xml:space="preserve"> </w:t>
      </w:r>
    </w:p>
    <w:p w14:paraId="68328B80" w14:textId="77777777" w:rsidR="0085505C" w:rsidRPr="002A7673" w:rsidRDefault="0085505C" w:rsidP="00FF3FAC">
      <w:pPr>
        <w:keepNext/>
        <w:keepLines/>
        <w:numPr>
          <w:ilvl w:val="1"/>
          <w:numId w:val="76"/>
        </w:numPr>
        <w:spacing w:after="0" w:line="240" w:lineRule="auto"/>
        <w:ind w:left="851" w:right="851" w:firstLine="709"/>
        <w:jc w:val="both"/>
        <w:outlineLvl w:val="1"/>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Proyectos que formularon recursos en el SPP:</w:t>
      </w:r>
    </w:p>
    <w:p w14:paraId="761EA14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Dentro de las proyecciones de recursos incluidas en el Sistemas de Proyección Plurianual, se tiene que sólo 3 proyectos tienen contemplados recursos presupuestarios para el año 2022, según lo que se muestra a continuación: </w:t>
      </w:r>
    </w:p>
    <w:p w14:paraId="101D7989" w14:textId="77777777" w:rsidR="0085505C" w:rsidRPr="002A7673" w:rsidRDefault="0085505C" w:rsidP="0085505C">
      <w:pPr>
        <w:spacing w:after="0" w:line="240" w:lineRule="auto"/>
        <w:ind w:left="851" w:right="851" w:firstLine="709"/>
        <w:jc w:val="both"/>
        <w:rPr>
          <w:rFonts w:ascii="Times New Roman" w:hAnsi="Times New Roman" w:cs="Times New Roman"/>
          <w:b/>
          <w:bCs/>
          <w:color w:val="000000" w:themeColor="text1"/>
          <w:sz w:val="26"/>
          <w:szCs w:val="26"/>
        </w:rPr>
      </w:pPr>
    </w:p>
    <w:p w14:paraId="55CC295A" w14:textId="77777777" w:rsidR="0085505C" w:rsidRPr="002A7673" w:rsidRDefault="0085505C" w:rsidP="0085505C">
      <w:pPr>
        <w:spacing w:after="0" w:line="240" w:lineRule="auto"/>
        <w:ind w:left="851" w:right="851" w:firstLine="709"/>
        <w:jc w:val="both"/>
        <w:rPr>
          <w:rFonts w:ascii="Times New Roman" w:hAnsi="Times New Roman" w:cs="Times New Roman"/>
          <w:b/>
          <w:bCs/>
          <w:color w:val="000000" w:themeColor="text1"/>
          <w:sz w:val="26"/>
          <w:szCs w:val="26"/>
        </w:rPr>
      </w:pPr>
      <w:r w:rsidRPr="002A7673">
        <w:rPr>
          <w:rFonts w:ascii="Times New Roman" w:hAnsi="Times New Roman" w:cs="Times New Roman"/>
          <w:b/>
          <w:bCs/>
          <w:color w:val="000000" w:themeColor="text1"/>
          <w:sz w:val="26"/>
          <w:szCs w:val="26"/>
        </w:rPr>
        <w:t>Detalle de los recursos presupuestarios anuales para le ejecución de los Proyectos Estratégicos del Ministerio Público</w:t>
      </w:r>
    </w:p>
    <w:p w14:paraId="145B3E76" w14:textId="77777777" w:rsidR="0085505C" w:rsidRPr="002A7673" w:rsidRDefault="0085505C" w:rsidP="0085505C">
      <w:pPr>
        <w:spacing w:after="0" w:line="240" w:lineRule="auto"/>
        <w:ind w:left="851" w:right="851" w:firstLine="709"/>
        <w:jc w:val="both"/>
        <w:rPr>
          <w:rFonts w:ascii="Times New Roman" w:hAnsi="Times New Roman" w:cs="Times New Roman"/>
          <w:b/>
          <w:bCs/>
          <w:color w:val="000000" w:themeColor="text1"/>
          <w:sz w:val="26"/>
          <w:szCs w:val="26"/>
        </w:rPr>
      </w:pPr>
    </w:p>
    <w:tbl>
      <w:tblPr>
        <w:tblW w:w="5000" w:type="pct"/>
        <w:jc w:val="center"/>
        <w:tblCellMar>
          <w:left w:w="70" w:type="dxa"/>
          <w:right w:w="70" w:type="dxa"/>
        </w:tblCellMar>
        <w:tblLook w:val="04A0" w:firstRow="1" w:lastRow="0" w:firstColumn="1" w:lastColumn="0" w:noHBand="0" w:noVBand="1"/>
      </w:tblPr>
      <w:tblGrid>
        <w:gridCol w:w="977"/>
        <w:gridCol w:w="1367"/>
        <w:gridCol w:w="1139"/>
        <w:gridCol w:w="1080"/>
        <w:gridCol w:w="904"/>
        <w:gridCol w:w="904"/>
        <w:gridCol w:w="904"/>
        <w:gridCol w:w="904"/>
        <w:gridCol w:w="1479"/>
      </w:tblGrid>
      <w:tr w:rsidR="0085505C" w:rsidRPr="002A7673" w14:paraId="62CB3F02" w14:textId="77777777" w:rsidTr="0048334E">
        <w:trPr>
          <w:trHeight w:val="923"/>
          <w:jc w:val="center"/>
        </w:trPr>
        <w:tc>
          <w:tcPr>
            <w:tcW w:w="509"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0B77E367" w14:textId="77777777" w:rsidR="0085505C" w:rsidRPr="002A7673" w:rsidRDefault="0085505C" w:rsidP="0048334E">
            <w:pPr>
              <w:spacing w:after="0" w:line="240" w:lineRule="auto"/>
              <w:jc w:val="center"/>
              <w:rPr>
                <w:rFonts w:ascii="Times New Roman" w:hAnsi="Times New Roman" w:cs="Times New Roman"/>
                <w:color w:val="FFFFFF" w:themeColor="background1"/>
                <w:sz w:val="24"/>
                <w:szCs w:val="24"/>
                <w:lang w:eastAsia="es-CR"/>
              </w:rPr>
            </w:pPr>
            <w:r w:rsidRPr="002A7673">
              <w:rPr>
                <w:rFonts w:ascii="Times New Roman" w:hAnsi="Times New Roman" w:cs="Times New Roman"/>
                <w:color w:val="FFFFFF" w:themeColor="background1"/>
                <w:sz w:val="24"/>
                <w:szCs w:val="24"/>
              </w:rPr>
              <w:t>Cod Proyecto</w:t>
            </w:r>
          </w:p>
        </w:tc>
        <w:tc>
          <w:tcPr>
            <w:tcW w:w="709" w:type="pct"/>
            <w:tcBorders>
              <w:top w:val="single" w:sz="4" w:space="0" w:color="auto"/>
              <w:left w:val="nil"/>
              <w:bottom w:val="single" w:sz="4" w:space="0" w:color="auto"/>
              <w:right w:val="single" w:sz="4" w:space="0" w:color="auto"/>
            </w:tcBorders>
            <w:shd w:val="clear" w:color="auto" w:fill="1F3864" w:themeFill="accent5" w:themeFillShade="80"/>
            <w:vAlign w:val="center"/>
            <w:hideMark/>
          </w:tcPr>
          <w:p w14:paraId="115B922E"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Nombre del Proyecto</w:t>
            </w:r>
          </w:p>
        </w:tc>
        <w:tc>
          <w:tcPr>
            <w:tcW w:w="592" w:type="pct"/>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0103A530"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2019</w:t>
            </w:r>
          </w:p>
        </w:tc>
        <w:tc>
          <w:tcPr>
            <w:tcW w:w="562" w:type="pct"/>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03E4D7F1"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2020</w:t>
            </w:r>
          </w:p>
        </w:tc>
        <w:tc>
          <w:tcPr>
            <w:tcW w:w="582" w:type="pct"/>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7D3CE030"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2021</w:t>
            </w:r>
          </w:p>
        </w:tc>
        <w:tc>
          <w:tcPr>
            <w:tcW w:w="481" w:type="pct"/>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23717A26"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2022</w:t>
            </w:r>
          </w:p>
        </w:tc>
        <w:tc>
          <w:tcPr>
            <w:tcW w:w="471" w:type="pct"/>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5367BCD3"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2023</w:t>
            </w:r>
          </w:p>
        </w:tc>
        <w:tc>
          <w:tcPr>
            <w:tcW w:w="471" w:type="pct"/>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4DC3CD42"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2024</w:t>
            </w:r>
          </w:p>
        </w:tc>
        <w:tc>
          <w:tcPr>
            <w:tcW w:w="622" w:type="pct"/>
            <w:tcBorders>
              <w:top w:val="single" w:sz="4" w:space="0" w:color="auto"/>
              <w:left w:val="nil"/>
              <w:bottom w:val="single" w:sz="4" w:space="0" w:color="auto"/>
              <w:right w:val="single" w:sz="4" w:space="0" w:color="auto"/>
            </w:tcBorders>
            <w:shd w:val="clear" w:color="auto" w:fill="1F3864" w:themeFill="accent5" w:themeFillShade="80"/>
            <w:noWrap/>
            <w:vAlign w:val="center"/>
            <w:hideMark/>
          </w:tcPr>
          <w:p w14:paraId="6BA63850"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proofErr w:type="gramStart"/>
            <w:r w:rsidRPr="002A7673">
              <w:rPr>
                <w:rFonts w:ascii="Times New Roman" w:hAnsi="Times New Roman" w:cs="Times New Roman"/>
                <w:b/>
                <w:bCs/>
                <w:color w:val="FFFFFF" w:themeColor="background1"/>
                <w:sz w:val="24"/>
                <w:szCs w:val="24"/>
              </w:rPr>
              <w:t>Total</w:t>
            </w:r>
            <w:proofErr w:type="gramEnd"/>
            <w:r w:rsidRPr="002A7673">
              <w:rPr>
                <w:rFonts w:ascii="Times New Roman" w:hAnsi="Times New Roman" w:cs="Times New Roman"/>
                <w:b/>
                <w:bCs/>
                <w:color w:val="FFFFFF" w:themeColor="background1"/>
                <w:sz w:val="24"/>
                <w:szCs w:val="24"/>
              </w:rPr>
              <w:t xml:space="preserve"> general</w:t>
            </w:r>
          </w:p>
        </w:tc>
      </w:tr>
      <w:tr w:rsidR="0085505C" w:rsidRPr="002A7673" w14:paraId="7416C642" w14:textId="77777777" w:rsidTr="0048334E">
        <w:trPr>
          <w:trHeight w:val="451"/>
          <w:jc w:val="center"/>
        </w:trPr>
        <w:tc>
          <w:tcPr>
            <w:tcW w:w="509" w:type="pct"/>
            <w:tcBorders>
              <w:top w:val="nil"/>
              <w:left w:val="single" w:sz="4" w:space="0" w:color="auto"/>
              <w:bottom w:val="single" w:sz="4" w:space="0" w:color="auto"/>
              <w:right w:val="single" w:sz="4" w:space="0" w:color="auto"/>
            </w:tcBorders>
            <w:shd w:val="clear" w:color="auto" w:fill="auto"/>
            <w:vAlign w:val="center"/>
            <w:hideMark/>
          </w:tcPr>
          <w:p w14:paraId="2A3D29F0" w14:textId="77777777" w:rsidR="0085505C" w:rsidRPr="002A7673" w:rsidRDefault="0085505C" w:rsidP="0048334E">
            <w:pPr>
              <w:spacing w:after="0" w:line="240" w:lineRule="auto"/>
              <w:rPr>
                <w:rFonts w:ascii="Times New Roman" w:hAnsi="Times New Roman" w:cs="Times New Roman"/>
                <w:b/>
                <w:bCs/>
                <w:sz w:val="24"/>
                <w:szCs w:val="24"/>
              </w:rPr>
            </w:pPr>
            <w:r w:rsidRPr="002A7673">
              <w:rPr>
                <w:rFonts w:ascii="Times New Roman" w:hAnsi="Times New Roman" w:cs="Times New Roman"/>
                <w:b/>
                <w:bCs/>
                <w:sz w:val="24"/>
                <w:szCs w:val="24"/>
              </w:rPr>
              <w:t>0717-MP-P05</w:t>
            </w:r>
          </w:p>
        </w:tc>
        <w:tc>
          <w:tcPr>
            <w:tcW w:w="709" w:type="pct"/>
            <w:tcBorders>
              <w:top w:val="nil"/>
              <w:left w:val="nil"/>
              <w:bottom w:val="single" w:sz="4" w:space="0" w:color="auto"/>
              <w:right w:val="single" w:sz="4" w:space="0" w:color="auto"/>
            </w:tcBorders>
            <w:shd w:val="clear" w:color="auto" w:fill="auto"/>
            <w:vAlign w:val="center"/>
          </w:tcPr>
          <w:p w14:paraId="077E997C"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Estrategia de Capacitación del Ministerio Público</w:t>
            </w:r>
          </w:p>
        </w:tc>
        <w:tc>
          <w:tcPr>
            <w:tcW w:w="592" w:type="pct"/>
            <w:tcBorders>
              <w:top w:val="nil"/>
              <w:left w:val="nil"/>
              <w:bottom w:val="single" w:sz="4" w:space="0" w:color="auto"/>
              <w:right w:val="single" w:sz="4" w:space="0" w:color="auto"/>
            </w:tcBorders>
            <w:shd w:val="clear" w:color="auto" w:fill="auto"/>
            <w:noWrap/>
            <w:vAlign w:val="center"/>
            <w:hideMark/>
          </w:tcPr>
          <w:p w14:paraId="1ED2CD7E" w14:textId="77777777" w:rsidR="0085505C" w:rsidRPr="002A7673" w:rsidRDefault="0085505C"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2.425.489</w:t>
            </w:r>
          </w:p>
        </w:tc>
        <w:tc>
          <w:tcPr>
            <w:tcW w:w="562" w:type="pct"/>
            <w:tcBorders>
              <w:top w:val="nil"/>
              <w:left w:val="nil"/>
              <w:bottom w:val="single" w:sz="4" w:space="0" w:color="auto"/>
              <w:right w:val="single" w:sz="4" w:space="0" w:color="auto"/>
            </w:tcBorders>
            <w:shd w:val="clear" w:color="auto" w:fill="auto"/>
            <w:noWrap/>
            <w:vAlign w:val="center"/>
          </w:tcPr>
          <w:p w14:paraId="18220B08"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37.254</w:t>
            </w:r>
          </w:p>
        </w:tc>
        <w:tc>
          <w:tcPr>
            <w:tcW w:w="582" w:type="pct"/>
            <w:tcBorders>
              <w:top w:val="nil"/>
              <w:left w:val="nil"/>
              <w:bottom w:val="single" w:sz="4" w:space="0" w:color="auto"/>
              <w:right w:val="single" w:sz="4" w:space="0" w:color="auto"/>
            </w:tcBorders>
            <w:shd w:val="clear" w:color="auto" w:fill="auto"/>
            <w:noWrap/>
            <w:vAlign w:val="center"/>
          </w:tcPr>
          <w:p w14:paraId="6D0DE47B"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37.254</w:t>
            </w:r>
          </w:p>
        </w:tc>
        <w:tc>
          <w:tcPr>
            <w:tcW w:w="481" w:type="pct"/>
            <w:tcBorders>
              <w:top w:val="nil"/>
              <w:left w:val="nil"/>
              <w:bottom w:val="single" w:sz="4" w:space="0" w:color="auto"/>
              <w:right w:val="single" w:sz="4" w:space="0" w:color="auto"/>
            </w:tcBorders>
            <w:shd w:val="clear" w:color="auto" w:fill="EDEDED" w:themeFill="accent3" w:themeFillTint="33"/>
            <w:noWrap/>
            <w:vAlign w:val="center"/>
          </w:tcPr>
          <w:p w14:paraId="490333D3" w14:textId="77777777" w:rsidR="0085505C" w:rsidRPr="002A7673" w:rsidRDefault="0085505C" w:rsidP="0048334E">
            <w:pPr>
              <w:spacing w:after="0" w:line="240" w:lineRule="auto"/>
              <w:jc w:val="right"/>
              <w:rPr>
                <w:rFonts w:ascii="Times New Roman" w:hAnsi="Times New Roman" w:cs="Times New Roman"/>
                <w:b/>
                <w:bCs/>
                <w:color w:val="1F3864" w:themeColor="accent5" w:themeShade="80"/>
                <w:sz w:val="24"/>
                <w:szCs w:val="24"/>
              </w:rPr>
            </w:pPr>
            <w:r w:rsidRPr="002A7673">
              <w:rPr>
                <w:rFonts w:ascii="Times New Roman" w:hAnsi="Times New Roman" w:cs="Times New Roman"/>
                <w:b/>
                <w:bCs/>
                <w:color w:val="1F3864" w:themeColor="accent5" w:themeShade="80"/>
                <w:sz w:val="24"/>
                <w:szCs w:val="24"/>
              </w:rPr>
              <w:t>37.254</w:t>
            </w:r>
          </w:p>
        </w:tc>
        <w:tc>
          <w:tcPr>
            <w:tcW w:w="471" w:type="pct"/>
            <w:tcBorders>
              <w:top w:val="nil"/>
              <w:left w:val="nil"/>
              <w:bottom w:val="single" w:sz="4" w:space="0" w:color="auto"/>
              <w:right w:val="single" w:sz="4" w:space="0" w:color="auto"/>
            </w:tcBorders>
            <w:shd w:val="clear" w:color="auto" w:fill="auto"/>
            <w:noWrap/>
            <w:vAlign w:val="center"/>
            <w:hideMark/>
          </w:tcPr>
          <w:p w14:paraId="1AE80A49"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 0</w:t>
            </w:r>
          </w:p>
        </w:tc>
        <w:tc>
          <w:tcPr>
            <w:tcW w:w="471" w:type="pct"/>
            <w:tcBorders>
              <w:top w:val="nil"/>
              <w:left w:val="nil"/>
              <w:bottom w:val="single" w:sz="4" w:space="0" w:color="auto"/>
              <w:right w:val="single" w:sz="4" w:space="0" w:color="auto"/>
            </w:tcBorders>
            <w:shd w:val="clear" w:color="auto" w:fill="auto"/>
            <w:noWrap/>
            <w:vAlign w:val="center"/>
            <w:hideMark/>
          </w:tcPr>
          <w:p w14:paraId="52DF43D2"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 0</w:t>
            </w:r>
          </w:p>
        </w:tc>
        <w:tc>
          <w:tcPr>
            <w:tcW w:w="622" w:type="pct"/>
            <w:tcBorders>
              <w:top w:val="nil"/>
              <w:left w:val="nil"/>
              <w:bottom w:val="single" w:sz="4" w:space="0" w:color="auto"/>
              <w:right w:val="single" w:sz="4" w:space="0" w:color="auto"/>
            </w:tcBorders>
            <w:shd w:val="clear" w:color="000000" w:fill="F2F2F2"/>
            <w:noWrap/>
            <w:vAlign w:val="center"/>
            <w:hideMark/>
          </w:tcPr>
          <w:p w14:paraId="5A39BD0F"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2.537.251</w:t>
            </w:r>
          </w:p>
        </w:tc>
      </w:tr>
      <w:tr w:rsidR="0085505C" w:rsidRPr="002A7673" w14:paraId="0C538C51" w14:textId="77777777" w:rsidTr="0048334E">
        <w:trPr>
          <w:trHeight w:val="451"/>
          <w:jc w:val="center"/>
        </w:trPr>
        <w:tc>
          <w:tcPr>
            <w:tcW w:w="509" w:type="pct"/>
            <w:tcBorders>
              <w:top w:val="nil"/>
              <w:left w:val="single" w:sz="4" w:space="0" w:color="auto"/>
              <w:bottom w:val="single" w:sz="4" w:space="0" w:color="auto"/>
              <w:right w:val="single" w:sz="4" w:space="0" w:color="auto"/>
            </w:tcBorders>
            <w:shd w:val="clear" w:color="auto" w:fill="auto"/>
            <w:vAlign w:val="center"/>
            <w:hideMark/>
          </w:tcPr>
          <w:p w14:paraId="28C0BBB4" w14:textId="77777777" w:rsidR="0085505C" w:rsidRPr="002A7673" w:rsidRDefault="0085505C" w:rsidP="0048334E">
            <w:pPr>
              <w:spacing w:after="0" w:line="240" w:lineRule="auto"/>
              <w:rPr>
                <w:rFonts w:ascii="Times New Roman" w:hAnsi="Times New Roman" w:cs="Times New Roman"/>
                <w:b/>
                <w:bCs/>
                <w:sz w:val="24"/>
                <w:szCs w:val="24"/>
              </w:rPr>
            </w:pPr>
            <w:r w:rsidRPr="002A7673">
              <w:rPr>
                <w:rFonts w:ascii="Times New Roman" w:hAnsi="Times New Roman" w:cs="Times New Roman"/>
                <w:b/>
                <w:bCs/>
                <w:sz w:val="24"/>
                <w:szCs w:val="24"/>
              </w:rPr>
              <w:t>0717-MP-P06</w:t>
            </w:r>
          </w:p>
        </w:tc>
        <w:tc>
          <w:tcPr>
            <w:tcW w:w="709" w:type="pct"/>
            <w:tcBorders>
              <w:top w:val="nil"/>
              <w:left w:val="nil"/>
              <w:bottom w:val="single" w:sz="4" w:space="0" w:color="auto"/>
              <w:right w:val="single" w:sz="4" w:space="0" w:color="auto"/>
            </w:tcBorders>
            <w:shd w:val="clear" w:color="auto" w:fill="auto"/>
            <w:vAlign w:val="center"/>
          </w:tcPr>
          <w:p w14:paraId="04EDA742"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Programa de capacitación en Justicia Restaurativa</w:t>
            </w:r>
          </w:p>
        </w:tc>
        <w:tc>
          <w:tcPr>
            <w:tcW w:w="592" w:type="pct"/>
            <w:tcBorders>
              <w:top w:val="nil"/>
              <w:left w:val="nil"/>
              <w:bottom w:val="single" w:sz="4" w:space="0" w:color="auto"/>
              <w:right w:val="single" w:sz="4" w:space="0" w:color="auto"/>
            </w:tcBorders>
            <w:shd w:val="clear" w:color="auto" w:fill="auto"/>
            <w:noWrap/>
            <w:vAlign w:val="center"/>
            <w:hideMark/>
          </w:tcPr>
          <w:p w14:paraId="2C3651AA"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 4.870.182</w:t>
            </w:r>
          </w:p>
        </w:tc>
        <w:tc>
          <w:tcPr>
            <w:tcW w:w="562" w:type="pct"/>
            <w:tcBorders>
              <w:top w:val="nil"/>
              <w:left w:val="nil"/>
              <w:bottom w:val="single" w:sz="4" w:space="0" w:color="auto"/>
              <w:right w:val="single" w:sz="4" w:space="0" w:color="auto"/>
            </w:tcBorders>
            <w:shd w:val="clear" w:color="auto" w:fill="auto"/>
            <w:noWrap/>
            <w:vAlign w:val="center"/>
          </w:tcPr>
          <w:p w14:paraId="3AE7B38F"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93.713</w:t>
            </w:r>
          </w:p>
        </w:tc>
        <w:tc>
          <w:tcPr>
            <w:tcW w:w="582" w:type="pct"/>
            <w:tcBorders>
              <w:top w:val="nil"/>
              <w:left w:val="nil"/>
              <w:bottom w:val="single" w:sz="4" w:space="0" w:color="auto"/>
              <w:right w:val="single" w:sz="4" w:space="0" w:color="auto"/>
            </w:tcBorders>
            <w:shd w:val="clear" w:color="auto" w:fill="auto"/>
            <w:noWrap/>
            <w:vAlign w:val="center"/>
          </w:tcPr>
          <w:p w14:paraId="65E055C1"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93.713</w:t>
            </w:r>
          </w:p>
        </w:tc>
        <w:tc>
          <w:tcPr>
            <w:tcW w:w="481" w:type="pct"/>
            <w:tcBorders>
              <w:top w:val="nil"/>
              <w:left w:val="nil"/>
              <w:bottom w:val="single" w:sz="4" w:space="0" w:color="auto"/>
              <w:right w:val="single" w:sz="4" w:space="0" w:color="auto"/>
            </w:tcBorders>
            <w:shd w:val="clear" w:color="auto" w:fill="EDEDED" w:themeFill="accent3" w:themeFillTint="33"/>
            <w:noWrap/>
            <w:vAlign w:val="center"/>
          </w:tcPr>
          <w:p w14:paraId="6A46C106" w14:textId="77777777" w:rsidR="0085505C" w:rsidRPr="002A7673" w:rsidRDefault="0085505C" w:rsidP="0048334E">
            <w:pPr>
              <w:spacing w:after="0" w:line="240" w:lineRule="auto"/>
              <w:jc w:val="right"/>
              <w:rPr>
                <w:rFonts w:ascii="Times New Roman" w:hAnsi="Times New Roman" w:cs="Times New Roman"/>
                <w:b/>
                <w:bCs/>
                <w:color w:val="1F3864" w:themeColor="accent5" w:themeShade="80"/>
                <w:sz w:val="24"/>
                <w:szCs w:val="24"/>
              </w:rPr>
            </w:pPr>
            <w:r w:rsidRPr="002A7673">
              <w:rPr>
                <w:rFonts w:ascii="Times New Roman" w:hAnsi="Times New Roman" w:cs="Times New Roman"/>
                <w:b/>
                <w:bCs/>
                <w:color w:val="1F3864" w:themeColor="accent5" w:themeShade="80"/>
                <w:sz w:val="24"/>
                <w:szCs w:val="24"/>
              </w:rPr>
              <w:t>93.713</w:t>
            </w:r>
          </w:p>
        </w:tc>
        <w:tc>
          <w:tcPr>
            <w:tcW w:w="471" w:type="pct"/>
            <w:tcBorders>
              <w:top w:val="nil"/>
              <w:left w:val="nil"/>
              <w:bottom w:val="single" w:sz="4" w:space="0" w:color="auto"/>
              <w:right w:val="single" w:sz="4" w:space="0" w:color="auto"/>
            </w:tcBorders>
            <w:shd w:val="clear" w:color="auto" w:fill="auto"/>
            <w:noWrap/>
            <w:vAlign w:val="center"/>
          </w:tcPr>
          <w:p w14:paraId="3768034F"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0</w:t>
            </w:r>
          </w:p>
        </w:tc>
        <w:tc>
          <w:tcPr>
            <w:tcW w:w="471" w:type="pct"/>
            <w:tcBorders>
              <w:top w:val="nil"/>
              <w:left w:val="nil"/>
              <w:bottom w:val="single" w:sz="4" w:space="0" w:color="auto"/>
              <w:right w:val="single" w:sz="4" w:space="0" w:color="auto"/>
            </w:tcBorders>
            <w:shd w:val="clear" w:color="auto" w:fill="auto"/>
            <w:noWrap/>
            <w:vAlign w:val="center"/>
          </w:tcPr>
          <w:p w14:paraId="2C53B867"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0</w:t>
            </w:r>
          </w:p>
        </w:tc>
        <w:tc>
          <w:tcPr>
            <w:tcW w:w="622" w:type="pct"/>
            <w:tcBorders>
              <w:top w:val="nil"/>
              <w:left w:val="nil"/>
              <w:bottom w:val="single" w:sz="4" w:space="0" w:color="auto"/>
              <w:right w:val="single" w:sz="4" w:space="0" w:color="auto"/>
            </w:tcBorders>
            <w:shd w:val="clear" w:color="000000" w:fill="F2F2F2"/>
            <w:noWrap/>
            <w:vAlign w:val="center"/>
            <w:hideMark/>
          </w:tcPr>
          <w:p w14:paraId="22D624EE"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5.151.321</w:t>
            </w:r>
          </w:p>
        </w:tc>
      </w:tr>
      <w:tr w:rsidR="0085505C" w:rsidRPr="002A7673" w14:paraId="4BA8E86B" w14:textId="77777777" w:rsidTr="0048334E">
        <w:trPr>
          <w:trHeight w:val="451"/>
          <w:jc w:val="center"/>
        </w:trPr>
        <w:tc>
          <w:tcPr>
            <w:tcW w:w="509" w:type="pct"/>
            <w:tcBorders>
              <w:top w:val="nil"/>
              <w:left w:val="single" w:sz="4" w:space="0" w:color="auto"/>
              <w:bottom w:val="single" w:sz="4" w:space="0" w:color="auto"/>
              <w:right w:val="single" w:sz="4" w:space="0" w:color="auto"/>
            </w:tcBorders>
            <w:shd w:val="clear" w:color="auto" w:fill="auto"/>
            <w:vAlign w:val="center"/>
            <w:hideMark/>
          </w:tcPr>
          <w:p w14:paraId="7C3AA855" w14:textId="77777777" w:rsidR="0085505C" w:rsidRPr="002A7673" w:rsidRDefault="0085505C" w:rsidP="0048334E">
            <w:pPr>
              <w:spacing w:after="0" w:line="240" w:lineRule="auto"/>
              <w:rPr>
                <w:rFonts w:ascii="Times New Roman" w:hAnsi="Times New Roman" w:cs="Times New Roman"/>
                <w:b/>
                <w:bCs/>
                <w:sz w:val="24"/>
                <w:szCs w:val="24"/>
              </w:rPr>
            </w:pPr>
            <w:r w:rsidRPr="002A7673">
              <w:rPr>
                <w:rFonts w:ascii="Times New Roman" w:hAnsi="Times New Roman" w:cs="Times New Roman"/>
                <w:b/>
                <w:bCs/>
                <w:sz w:val="24"/>
                <w:szCs w:val="24"/>
              </w:rPr>
              <w:t>0717-MP-P09</w:t>
            </w:r>
          </w:p>
        </w:tc>
        <w:tc>
          <w:tcPr>
            <w:tcW w:w="709" w:type="pct"/>
            <w:tcBorders>
              <w:top w:val="nil"/>
              <w:left w:val="nil"/>
              <w:bottom w:val="single" w:sz="4" w:space="0" w:color="auto"/>
              <w:right w:val="single" w:sz="4" w:space="0" w:color="auto"/>
            </w:tcBorders>
            <w:shd w:val="clear" w:color="auto" w:fill="auto"/>
            <w:vAlign w:val="center"/>
            <w:hideMark/>
          </w:tcPr>
          <w:p w14:paraId="7158CBD2"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Rezago y Archivos Fiscales</w:t>
            </w:r>
          </w:p>
        </w:tc>
        <w:tc>
          <w:tcPr>
            <w:tcW w:w="592" w:type="pct"/>
            <w:tcBorders>
              <w:top w:val="nil"/>
              <w:left w:val="nil"/>
              <w:bottom w:val="single" w:sz="4" w:space="0" w:color="auto"/>
              <w:right w:val="single" w:sz="4" w:space="0" w:color="auto"/>
            </w:tcBorders>
            <w:shd w:val="clear" w:color="auto" w:fill="auto"/>
            <w:noWrap/>
            <w:vAlign w:val="center"/>
            <w:hideMark/>
          </w:tcPr>
          <w:p w14:paraId="76903CBC"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 0</w:t>
            </w:r>
          </w:p>
        </w:tc>
        <w:tc>
          <w:tcPr>
            <w:tcW w:w="562" w:type="pct"/>
            <w:tcBorders>
              <w:top w:val="nil"/>
              <w:left w:val="nil"/>
              <w:bottom w:val="single" w:sz="4" w:space="0" w:color="auto"/>
              <w:right w:val="single" w:sz="4" w:space="0" w:color="auto"/>
            </w:tcBorders>
            <w:shd w:val="clear" w:color="auto" w:fill="auto"/>
            <w:noWrap/>
            <w:vAlign w:val="center"/>
            <w:hideMark/>
          </w:tcPr>
          <w:p w14:paraId="1676E578"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7.466.977</w:t>
            </w:r>
          </w:p>
        </w:tc>
        <w:tc>
          <w:tcPr>
            <w:tcW w:w="582" w:type="pct"/>
            <w:tcBorders>
              <w:top w:val="nil"/>
              <w:left w:val="nil"/>
              <w:bottom w:val="single" w:sz="4" w:space="0" w:color="auto"/>
              <w:right w:val="single" w:sz="4" w:space="0" w:color="auto"/>
            </w:tcBorders>
            <w:shd w:val="clear" w:color="auto" w:fill="auto"/>
            <w:noWrap/>
            <w:vAlign w:val="center"/>
          </w:tcPr>
          <w:p w14:paraId="6A4DF918"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302.453</w:t>
            </w:r>
          </w:p>
        </w:tc>
        <w:tc>
          <w:tcPr>
            <w:tcW w:w="481" w:type="pct"/>
            <w:tcBorders>
              <w:top w:val="nil"/>
              <w:left w:val="nil"/>
              <w:bottom w:val="single" w:sz="4" w:space="0" w:color="auto"/>
              <w:right w:val="single" w:sz="4" w:space="0" w:color="auto"/>
            </w:tcBorders>
            <w:shd w:val="clear" w:color="auto" w:fill="EDEDED" w:themeFill="accent3" w:themeFillTint="33"/>
            <w:noWrap/>
            <w:vAlign w:val="center"/>
          </w:tcPr>
          <w:p w14:paraId="4C59F904" w14:textId="77777777" w:rsidR="0085505C" w:rsidRPr="002A7673" w:rsidRDefault="0085505C" w:rsidP="0048334E">
            <w:pPr>
              <w:spacing w:after="0" w:line="240" w:lineRule="auto"/>
              <w:jc w:val="right"/>
              <w:rPr>
                <w:rFonts w:ascii="Times New Roman" w:hAnsi="Times New Roman" w:cs="Times New Roman"/>
                <w:b/>
                <w:bCs/>
                <w:color w:val="1F3864" w:themeColor="accent5" w:themeShade="80"/>
                <w:sz w:val="24"/>
                <w:szCs w:val="24"/>
              </w:rPr>
            </w:pPr>
            <w:r w:rsidRPr="002A7673">
              <w:rPr>
                <w:rFonts w:ascii="Times New Roman" w:hAnsi="Times New Roman" w:cs="Times New Roman"/>
                <w:b/>
                <w:bCs/>
                <w:color w:val="1F3864" w:themeColor="accent5" w:themeShade="80"/>
                <w:sz w:val="24"/>
                <w:szCs w:val="24"/>
              </w:rPr>
              <w:t>302.453</w:t>
            </w:r>
          </w:p>
        </w:tc>
        <w:tc>
          <w:tcPr>
            <w:tcW w:w="471" w:type="pct"/>
            <w:tcBorders>
              <w:top w:val="nil"/>
              <w:left w:val="nil"/>
              <w:bottom w:val="single" w:sz="4" w:space="0" w:color="auto"/>
              <w:right w:val="single" w:sz="4" w:space="0" w:color="auto"/>
            </w:tcBorders>
            <w:shd w:val="clear" w:color="auto" w:fill="auto"/>
            <w:noWrap/>
            <w:vAlign w:val="center"/>
          </w:tcPr>
          <w:p w14:paraId="32B2EC7D"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302.453</w:t>
            </w:r>
          </w:p>
        </w:tc>
        <w:tc>
          <w:tcPr>
            <w:tcW w:w="471" w:type="pct"/>
            <w:tcBorders>
              <w:top w:val="nil"/>
              <w:left w:val="nil"/>
              <w:bottom w:val="single" w:sz="4" w:space="0" w:color="auto"/>
              <w:right w:val="single" w:sz="4" w:space="0" w:color="auto"/>
            </w:tcBorders>
            <w:shd w:val="clear" w:color="auto" w:fill="auto"/>
            <w:noWrap/>
            <w:vAlign w:val="center"/>
          </w:tcPr>
          <w:p w14:paraId="15274FAE"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302.453</w:t>
            </w:r>
          </w:p>
        </w:tc>
        <w:tc>
          <w:tcPr>
            <w:tcW w:w="622" w:type="pct"/>
            <w:tcBorders>
              <w:top w:val="nil"/>
              <w:left w:val="nil"/>
              <w:bottom w:val="single" w:sz="4" w:space="0" w:color="auto"/>
              <w:right w:val="single" w:sz="4" w:space="0" w:color="auto"/>
            </w:tcBorders>
            <w:shd w:val="clear" w:color="000000" w:fill="F2F2F2"/>
            <w:noWrap/>
            <w:vAlign w:val="center"/>
          </w:tcPr>
          <w:p w14:paraId="202878A4"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8.676.789</w:t>
            </w:r>
          </w:p>
        </w:tc>
      </w:tr>
      <w:tr w:rsidR="0085505C" w:rsidRPr="002A7673" w14:paraId="1B1D12BD" w14:textId="77777777" w:rsidTr="0048334E">
        <w:trPr>
          <w:trHeight w:val="265"/>
          <w:jc w:val="center"/>
        </w:trPr>
        <w:tc>
          <w:tcPr>
            <w:tcW w:w="1218" w:type="pct"/>
            <w:gridSpan w:val="2"/>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29E93D98" w14:textId="77777777" w:rsidR="0085505C" w:rsidRPr="002A7673" w:rsidRDefault="0085505C" w:rsidP="0048334E">
            <w:pPr>
              <w:spacing w:after="0" w:line="240" w:lineRule="auto"/>
              <w:jc w:val="center"/>
              <w:rPr>
                <w:rFonts w:ascii="Times New Roman" w:hAnsi="Times New Roman" w:cs="Times New Roman"/>
                <w:b/>
                <w:bCs/>
                <w:sz w:val="24"/>
                <w:szCs w:val="24"/>
              </w:rPr>
            </w:pPr>
            <w:proofErr w:type="gramStart"/>
            <w:r w:rsidRPr="002A7673">
              <w:rPr>
                <w:rFonts w:ascii="Times New Roman" w:hAnsi="Times New Roman" w:cs="Times New Roman"/>
                <w:b/>
                <w:bCs/>
                <w:sz w:val="24"/>
                <w:szCs w:val="24"/>
              </w:rPr>
              <w:t>Total</w:t>
            </w:r>
            <w:proofErr w:type="gramEnd"/>
            <w:r w:rsidRPr="002A7673">
              <w:rPr>
                <w:rFonts w:ascii="Times New Roman" w:hAnsi="Times New Roman" w:cs="Times New Roman"/>
                <w:b/>
                <w:bCs/>
                <w:sz w:val="24"/>
                <w:szCs w:val="24"/>
              </w:rPr>
              <w:t xml:space="preserve"> proyecto por período</w:t>
            </w:r>
          </w:p>
        </w:tc>
        <w:tc>
          <w:tcPr>
            <w:tcW w:w="592" w:type="pct"/>
            <w:tcBorders>
              <w:top w:val="nil"/>
              <w:left w:val="nil"/>
              <w:bottom w:val="single" w:sz="4" w:space="0" w:color="auto"/>
              <w:right w:val="single" w:sz="4" w:space="0" w:color="auto"/>
            </w:tcBorders>
            <w:shd w:val="clear" w:color="auto" w:fill="D5DCE4" w:themeFill="text2" w:themeFillTint="33"/>
            <w:noWrap/>
            <w:vAlign w:val="center"/>
            <w:hideMark/>
          </w:tcPr>
          <w:p w14:paraId="73ECB932"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7.295.671</w:t>
            </w:r>
          </w:p>
        </w:tc>
        <w:tc>
          <w:tcPr>
            <w:tcW w:w="562" w:type="pct"/>
            <w:tcBorders>
              <w:top w:val="nil"/>
              <w:left w:val="nil"/>
              <w:bottom w:val="single" w:sz="4" w:space="0" w:color="auto"/>
              <w:right w:val="single" w:sz="4" w:space="0" w:color="auto"/>
            </w:tcBorders>
            <w:shd w:val="clear" w:color="auto" w:fill="D5DCE4" w:themeFill="text2" w:themeFillTint="33"/>
            <w:noWrap/>
            <w:vAlign w:val="center"/>
            <w:hideMark/>
          </w:tcPr>
          <w:p w14:paraId="5B89B038"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7.597.944</w:t>
            </w:r>
          </w:p>
        </w:tc>
        <w:tc>
          <w:tcPr>
            <w:tcW w:w="582" w:type="pct"/>
            <w:tcBorders>
              <w:top w:val="nil"/>
              <w:left w:val="nil"/>
              <w:bottom w:val="single" w:sz="4" w:space="0" w:color="auto"/>
              <w:right w:val="single" w:sz="4" w:space="0" w:color="auto"/>
            </w:tcBorders>
            <w:shd w:val="clear" w:color="auto" w:fill="D5DCE4" w:themeFill="text2" w:themeFillTint="33"/>
            <w:noWrap/>
            <w:vAlign w:val="center"/>
            <w:hideMark/>
          </w:tcPr>
          <w:p w14:paraId="4C3A3454"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433.420</w:t>
            </w:r>
          </w:p>
        </w:tc>
        <w:tc>
          <w:tcPr>
            <w:tcW w:w="481" w:type="pct"/>
            <w:tcBorders>
              <w:top w:val="nil"/>
              <w:left w:val="nil"/>
              <w:bottom w:val="single" w:sz="4" w:space="0" w:color="auto"/>
              <w:right w:val="single" w:sz="4" w:space="0" w:color="auto"/>
            </w:tcBorders>
            <w:shd w:val="clear" w:color="auto" w:fill="D5DCE4" w:themeFill="text2" w:themeFillTint="33"/>
            <w:noWrap/>
            <w:vAlign w:val="center"/>
            <w:hideMark/>
          </w:tcPr>
          <w:p w14:paraId="6FF64824" w14:textId="77777777" w:rsidR="0085505C" w:rsidRPr="002A7673" w:rsidRDefault="0085505C" w:rsidP="0048334E">
            <w:pPr>
              <w:spacing w:after="0" w:line="240" w:lineRule="auto"/>
              <w:jc w:val="center"/>
              <w:rPr>
                <w:rFonts w:ascii="Times New Roman" w:hAnsi="Times New Roman" w:cs="Times New Roman"/>
                <w:b/>
                <w:bCs/>
                <w:color w:val="1F3864" w:themeColor="accent5" w:themeShade="80"/>
                <w:sz w:val="24"/>
                <w:szCs w:val="24"/>
              </w:rPr>
            </w:pPr>
            <w:r w:rsidRPr="002A7673">
              <w:rPr>
                <w:rFonts w:ascii="Times New Roman" w:hAnsi="Times New Roman" w:cs="Times New Roman"/>
                <w:b/>
                <w:bCs/>
                <w:color w:val="1F3864" w:themeColor="accent5" w:themeShade="80"/>
                <w:sz w:val="24"/>
                <w:szCs w:val="24"/>
              </w:rPr>
              <w:t>433.420</w:t>
            </w:r>
          </w:p>
        </w:tc>
        <w:tc>
          <w:tcPr>
            <w:tcW w:w="471" w:type="pct"/>
            <w:tcBorders>
              <w:top w:val="nil"/>
              <w:left w:val="nil"/>
              <w:bottom w:val="single" w:sz="4" w:space="0" w:color="auto"/>
              <w:right w:val="single" w:sz="4" w:space="0" w:color="auto"/>
            </w:tcBorders>
            <w:shd w:val="clear" w:color="auto" w:fill="D5DCE4" w:themeFill="text2" w:themeFillTint="33"/>
            <w:noWrap/>
            <w:vAlign w:val="center"/>
          </w:tcPr>
          <w:p w14:paraId="563A6DCF"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302.453</w:t>
            </w:r>
          </w:p>
        </w:tc>
        <w:tc>
          <w:tcPr>
            <w:tcW w:w="471" w:type="pct"/>
            <w:tcBorders>
              <w:top w:val="nil"/>
              <w:left w:val="nil"/>
              <w:bottom w:val="single" w:sz="4" w:space="0" w:color="auto"/>
              <w:right w:val="single" w:sz="4" w:space="0" w:color="auto"/>
            </w:tcBorders>
            <w:shd w:val="clear" w:color="auto" w:fill="D5DCE4" w:themeFill="text2" w:themeFillTint="33"/>
            <w:noWrap/>
            <w:vAlign w:val="center"/>
          </w:tcPr>
          <w:p w14:paraId="1A938B39"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302.453</w:t>
            </w:r>
          </w:p>
        </w:tc>
        <w:tc>
          <w:tcPr>
            <w:tcW w:w="622" w:type="pct"/>
            <w:tcBorders>
              <w:top w:val="nil"/>
              <w:left w:val="nil"/>
              <w:bottom w:val="single" w:sz="4" w:space="0" w:color="auto"/>
              <w:right w:val="single" w:sz="4" w:space="0" w:color="auto"/>
            </w:tcBorders>
            <w:shd w:val="clear" w:color="auto" w:fill="D5DCE4" w:themeFill="text2" w:themeFillTint="33"/>
            <w:noWrap/>
            <w:vAlign w:val="center"/>
            <w:hideMark/>
          </w:tcPr>
          <w:p w14:paraId="2950C833"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16.365.361</w:t>
            </w:r>
          </w:p>
        </w:tc>
      </w:tr>
    </w:tbl>
    <w:p w14:paraId="456497B4" w14:textId="77777777" w:rsidR="0085505C" w:rsidRPr="002A7673" w:rsidRDefault="0085505C" w:rsidP="0085505C">
      <w:pPr>
        <w:spacing w:after="0" w:line="240" w:lineRule="auto"/>
        <w:ind w:left="851" w:right="851" w:firstLine="709"/>
        <w:jc w:val="both"/>
        <w:rPr>
          <w:rFonts w:ascii="Times New Roman" w:hAnsi="Times New Roman" w:cs="Times New Roman"/>
          <w:color w:val="00B050"/>
          <w:sz w:val="26"/>
          <w:szCs w:val="26"/>
        </w:rPr>
      </w:pPr>
      <w:r w:rsidRPr="002A7673">
        <w:rPr>
          <w:rFonts w:ascii="Times New Roman" w:hAnsi="Times New Roman" w:cs="Times New Roman"/>
          <w:color w:val="000000" w:themeColor="text1"/>
          <w:sz w:val="26"/>
          <w:szCs w:val="26"/>
        </w:rPr>
        <w:t xml:space="preserve">       Fuente: Elaboración propia a partir del reporte generado del Sistema de Proyección Plurianual.</w:t>
      </w:r>
    </w:p>
    <w:p w14:paraId="3F1CB353" w14:textId="77777777" w:rsidR="0085505C" w:rsidRPr="002A7673" w:rsidRDefault="0085505C" w:rsidP="0085505C">
      <w:pPr>
        <w:spacing w:after="0" w:line="240" w:lineRule="auto"/>
        <w:ind w:left="851" w:right="851" w:firstLine="709"/>
        <w:jc w:val="both"/>
        <w:rPr>
          <w:rFonts w:ascii="Times New Roman" w:hAnsi="Times New Roman" w:cs="Times New Roman"/>
          <w:color w:val="00B050"/>
          <w:sz w:val="26"/>
          <w:szCs w:val="26"/>
        </w:rPr>
      </w:pPr>
    </w:p>
    <w:p w14:paraId="4B185650" w14:textId="77777777" w:rsidR="0085505C" w:rsidRPr="002A7673" w:rsidRDefault="0085505C" w:rsidP="00FF3FAC">
      <w:pPr>
        <w:keepNext/>
        <w:keepLines/>
        <w:numPr>
          <w:ilvl w:val="1"/>
          <w:numId w:val="76"/>
        </w:numPr>
        <w:spacing w:after="0" w:line="240" w:lineRule="auto"/>
        <w:ind w:left="851" w:right="851" w:firstLine="709"/>
        <w:jc w:val="both"/>
        <w:outlineLvl w:val="1"/>
        <w:rPr>
          <w:rFonts w:ascii="Times New Roman" w:hAnsi="Times New Roman" w:cs="Times New Roman"/>
          <w:b/>
          <w:bCs/>
          <w:sz w:val="26"/>
          <w:szCs w:val="26"/>
        </w:rPr>
      </w:pPr>
      <w:r w:rsidRPr="002A7673">
        <w:rPr>
          <w:rFonts w:ascii="Times New Roman" w:hAnsi="Times New Roman" w:cs="Times New Roman"/>
          <w:b/>
          <w:bCs/>
          <w:sz w:val="26"/>
          <w:szCs w:val="26"/>
        </w:rPr>
        <w:t>Detalle de los Proyectos que NO formularon recursos en el SPP:</w:t>
      </w:r>
    </w:p>
    <w:p w14:paraId="7FB408C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 acuerdo con lo señalado en el punto anterior, se tiene que un total de 3 proyectos no realizaron la inclusión de recursos en el sistema, a pesar de tener previsto estar en ejecución durante el 2022. Por tal motivo, a </w:t>
      </w:r>
      <w:r w:rsidRPr="002A7673">
        <w:rPr>
          <w:rFonts w:ascii="Times New Roman" w:hAnsi="Times New Roman" w:cs="Times New Roman"/>
          <w:sz w:val="26"/>
          <w:szCs w:val="26"/>
        </w:rPr>
        <w:lastRenderedPageBreak/>
        <w:t xml:space="preserve">continuación, se incluyen las respectivas justificaciones brindadas por las oficinas por las cuales no fue necesaria la inclusión de recursos: </w:t>
      </w:r>
    </w:p>
    <w:p w14:paraId="38C1088B" w14:textId="77777777" w:rsidR="0085505C" w:rsidRPr="002A7673" w:rsidRDefault="0085505C" w:rsidP="0085505C">
      <w:pPr>
        <w:keepNext/>
        <w:keepLines/>
        <w:spacing w:after="0" w:line="240" w:lineRule="auto"/>
        <w:ind w:left="851" w:right="851" w:firstLine="709"/>
        <w:jc w:val="both"/>
        <w:outlineLvl w:val="1"/>
        <w:rPr>
          <w:rFonts w:ascii="Times New Roman" w:hAnsi="Times New Roman" w:cs="Times New Roman"/>
          <w:b/>
          <w:bCs/>
          <w:sz w:val="26"/>
          <w:szCs w:val="26"/>
        </w:rPr>
      </w:pPr>
      <w:r w:rsidRPr="002A7673">
        <w:rPr>
          <w:rFonts w:ascii="Times New Roman" w:hAnsi="Times New Roman" w:cs="Times New Roman"/>
          <w:b/>
          <w:bCs/>
          <w:sz w:val="26"/>
          <w:szCs w:val="26"/>
        </w:rPr>
        <w:t>Justificación de los proyectos que no contemplaron recursos para el 2022</w:t>
      </w:r>
    </w:p>
    <w:p w14:paraId="60717EF5" w14:textId="77777777" w:rsidR="0085505C" w:rsidRPr="002A7673" w:rsidRDefault="0085505C" w:rsidP="0085505C">
      <w:pPr>
        <w:spacing w:after="0" w:line="240" w:lineRule="auto"/>
        <w:jc w:val="center"/>
        <w:rPr>
          <w:rFonts w:ascii="Times New Roman" w:hAnsi="Times New Roman" w:cs="Times New Roman"/>
          <w:b/>
          <w:bCs/>
          <w:color w:val="000000" w:themeColor="text1"/>
        </w:rPr>
      </w:pPr>
    </w:p>
    <w:tbl>
      <w:tblPr>
        <w:tblW w:w="8977" w:type="dxa"/>
        <w:tblCellMar>
          <w:left w:w="70" w:type="dxa"/>
          <w:right w:w="70" w:type="dxa"/>
        </w:tblCellMar>
        <w:tblLook w:val="04A0" w:firstRow="1" w:lastRow="0" w:firstColumn="1" w:lastColumn="0" w:noHBand="0" w:noVBand="1"/>
      </w:tblPr>
      <w:tblGrid>
        <w:gridCol w:w="1135"/>
        <w:gridCol w:w="2693"/>
        <w:gridCol w:w="1134"/>
        <w:gridCol w:w="4015"/>
      </w:tblGrid>
      <w:tr w:rsidR="0085505C" w:rsidRPr="002A7673" w14:paraId="470429B4" w14:textId="77777777" w:rsidTr="0048334E">
        <w:trPr>
          <w:trHeight w:val="488"/>
        </w:trPr>
        <w:tc>
          <w:tcPr>
            <w:tcW w:w="1135" w:type="dxa"/>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7D205B43" w14:textId="77777777" w:rsidR="0085505C" w:rsidRPr="002A7673" w:rsidRDefault="0085505C" w:rsidP="0048334E">
            <w:pPr>
              <w:spacing w:after="0" w:line="240" w:lineRule="auto"/>
              <w:jc w:val="center"/>
              <w:rPr>
                <w:rFonts w:ascii="Times New Roman" w:hAnsi="Times New Roman" w:cs="Times New Roman"/>
                <w:color w:val="FFFFFF" w:themeColor="background1"/>
                <w:sz w:val="24"/>
                <w:szCs w:val="24"/>
                <w:lang w:eastAsia="es-CR"/>
              </w:rPr>
            </w:pPr>
            <w:r w:rsidRPr="002A7673">
              <w:rPr>
                <w:rFonts w:ascii="Times New Roman" w:hAnsi="Times New Roman" w:cs="Times New Roman"/>
                <w:color w:val="FFFFFF" w:themeColor="background1"/>
                <w:sz w:val="24"/>
                <w:szCs w:val="24"/>
              </w:rPr>
              <w:t>Cod Proyecto</w:t>
            </w:r>
          </w:p>
        </w:tc>
        <w:tc>
          <w:tcPr>
            <w:tcW w:w="2693" w:type="dxa"/>
            <w:tcBorders>
              <w:top w:val="single" w:sz="4" w:space="0" w:color="auto"/>
              <w:left w:val="nil"/>
              <w:bottom w:val="single" w:sz="4" w:space="0" w:color="auto"/>
              <w:right w:val="single" w:sz="4" w:space="0" w:color="auto"/>
            </w:tcBorders>
            <w:shd w:val="clear" w:color="auto" w:fill="1F3864" w:themeFill="accent5" w:themeFillShade="80"/>
            <w:vAlign w:val="center"/>
            <w:hideMark/>
          </w:tcPr>
          <w:p w14:paraId="5D5A0682"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Nombre del Proyecto</w:t>
            </w:r>
          </w:p>
        </w:tc>
        <w:tc>
          <w:tcPr>
            <w:tcW w:w="1134" w:type="dxa"/>
            <w:tcBorders>
              <w:top w:val="single" w:sz="4" w:space="0" w:color="auto"/>
              <w:left w:val="nil"/>
              <w:bottom w:val="single" w:sz="4" w:space="0" w:color="auto"/>
              <w:right w:val="single" w:sz="4" w:space="0" w:color="auto"/>
            </w:tcBorders>
            <w:shd w:val="clear" w:color="auto" w:fill="1F3864" w:themeFill="accent5" w:themeFillShade="80"/>
            <w:vAlign w:val="center"/>
            <w:hideMark/>
          </w:tcPr>
          <w:p w14:paraId="61B89C17"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Año de fin</w:t>
            </w:r>
          </w:p>
        </w:tc>
        <w:tc>
          <w:tcPr>
            <w:tcW w:w="4015" w:type="dxa"/>
            <w:tcBorders>
              <w:top w:val="single" w:sz="4" w:space="0" w:color="auto"/>
              <w:left w:val="nil"/>
              <w:bottom w:val="single" w:sz="4" w:space="0" w:color="auto"/>
              <w:right w:val="single" w:sz="4" w:space="0" w:color="auto"/>
            </w:tcBorders>
            <w:shd w:val="clear" w:color="auto" w:fill="1F3864" w:themeFill="accent5" w:themeFillShade="80"/>
            <w:vAlign w:val="center"/>
            <w:hideMark/>
          </w:tcPr>
          <w:p w14:paraId="024909A8"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Justificación de la no inclusión de recursos en el sistema</w:t>
            </w:r>
          </w:p>
        </w:tc>
      </w:tr>
      <w:tr w:rsidR="0085505C" w:rsidRPr="002A7673" w14:paraId="45EA6F0A" w14:textId="77777777" w:rsidTr="0048334E">
        <w:trPr>
          <w:trHeight w:val="300"/>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05C0B6AA"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b/>
                <w:bCs/>
                <w:sz w:val="24"/>
                <w:szCs w:val="24"/>
              </w:rPr>
              <w:t>0717-MP-P05</w:t>
            </w:r>
          </w:p>
        </w:tc>
        <w:tc>
          <w:tcPr>
            <w:tcW w:w="2693" w:type="dxa"/>
            <w:tcBorders>
              <w:top w:val="nil"/>
              <w:left w:val="nil"/>
              <w:bottom w:val="single" w:sz="4" w:space="0" w:color="auto"/>
              <w:right w:val="single" w:sz="4" w:space="0" w:color="auto"/>
            </w:tcBorders>
            <w:shd w:val="clear" w:color="auto" w:fill="auto"/>
            <w:noWrap/>
            <w:vAlign w:val="center"/>
            <w:hideMark/>
          </w:tcPr>
          <w:p w14:paraId="4D2C3AD3"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Modelo de abordaje de casos penales de corrupción</w:t>
            </w:r>
          </w:p>
        </w:tc>
        <w:tc>
          <w:tcPr>
            <w:tcW w:w="1134" w:type="dxa"/>
            <w:tcBorders>
              <w:top w:val="nil"/>
              <w:left w:val="nil"/>
              <w:bottom w:val="single" w:sz="4" w:space="0" w:color="auto"/>
              <w:right w:val="single" w:sz="4" w:space="0" w:color="auto"/>
            </w:tcBorders>
            <w:shd w:val="clear" w:color="auto" w:fill="auto"/>
            <w:noWrap/>
            <w:vAlign w:val="center"/>
            <w:hideMark/>
          </w:tcPr>
          <w:p w14:paraId="34D98ACB"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2023</w:t>
            </w:r>
          </w:p>
        </w:tc>
        <w:tc>
          <w:tcPr>
            <w:tcW w:w="4015" w:type="dxa"/>
            <w:vMerge w:val="restart"/>
            <w:tcBorders>
              <w:top w:val="nil"/>
              <w:left w:val="nil"/>
              <w:right w:val="single" w:sz="4" w:space="0" w:color="auto"/>
            </w:tcBorders>
            <w:shd w:val="clear" w:color="auto" w:fill="auto"/>
            <w:noWrap/>
            <w:vAlign w:val="center"/>
          </w:tcPr>
          <w:p w14:paraId="18AE54EE" w14:textId="77777777" w:rsidR="0085505C" w:rsidRPr="002A7673" w:rsidRDefault="0085505C" w:rsidP="0048334E">
            <w:pPr>
              <w:spacing w:after="0" w:line="240" w:lineRule="auto"/>
              <w:jc w:val="both"/>
              <w:rPr>
                <w:rFonts w:ascii="Times New Roman" w:hAnsi="Times New Roman" w:cs="Times New Roman"/>
                <w:i/>
                <w:iCs/>
                <w:color w:val="000000"/>
                <w:sz w:val="24"/>
                <w:szCs w:val="24"/>
              </w:rPr>
            </w:pPr>
            <w:r w:rsidRPr="002A7673">
              <w:rPr>
                <w:rFonts w:ascii="Times New Roman" w:hAnsi="Times New Roman" w:cs="Times New Roman"/>
                <w:i/>
                <w:iCs/>
                <w:color w:val="000000"/>
                <w:sz w:val="24"/>
                <w:szCs w:val="24"/>
              </w:rPr>
              <w:t xml:space="preserve">Según Oficio UCS-361-MP-2020 del 15 de octubre del 2020, se indica que estos proyectos no requieren recursos </w:t>
            </w:r>
            <w:proofErr w:type="gramStart"/>
            <w:r w:rsidRPr="002A7673">
              <w:rPr>
                <w:rFonts w:ascii="Times New Roman" w:hAnsi="Times New Roman" w:cs="Times New Roman"/>
                <w:i/>
                <w:iCs/>
                <w:color w:val="000000"/>
                <w:sz w:val="24"/>
                <w:szCs w:val="24"/>
              </w:rPr>
              <w:t>de acuerdo a</w:t>
            </w:r>
            <w:proofErr w:type="gramEnd"/>
            <w:r w:rsidRPr="002A7673">
              <w:rPr>
                <w:rFonts w:ascii="Times New Roman" w:hAnsi="Times New Roman" w:cs="Times New Roman"/>
                <w:i/>
                <w:iCs/>
                <w:color w:val="000000"/>
                <w:sz w:val="24"/>
                <w:szCs w:val="24"/>
              </w:rPr>
              <w:t xml:space="preserve"> la información suministrada por los líderes a cargo de los proyectos, ya que los mismos se han desarrollado con el presupuesto ordinario de la fiscalía, tanto en Gasto Variable como en Recurso Humano. </w:t>
            </w:r>
          </w:p>
          <w:p w14:paraId="72FCF75D"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w:t>
            </w:r>
          </w:p>
          <w:p w14:paraId="6DAAA0DF" w14:textId="77777777" w:rsidR="0085505C" w:rsidRPr="002A7673" w:rsidRDefault="0085505C" w:rsidP="0048334E">
            <w:pPr>
              <w:spacing w:after="0" w:line="240" w:lineRule="auto"/>
              <w:rPr>
                <w:rFonts w:ascii="Times New Roman" w:hAnsi="Times New Roman" w:cs="Times New Roman"/>
                <w:i/>
                <w:iCs/>
                <w:color w:val="000000"/>
                <w:sz w:val="24"/>
                <w:szCs w:val="24"/>
              </w:rPr>
            </w:pPr>
            <w:r w:rsidRPr="002A7673">
              <w:rPr>
                <w:rFonts w:ascii="Times New Roman" w:hAnsi="Times New Roman" w:cs="Times New Roman"/>
                <w:color w:val="000000"/>
                <w:sz w:val="24"/>
                <w:szCs w:val="24"/>
              </w:rPr>
              <w:t> </w:t>
            </w:r>
          </w:p>
        </w:tc>
      </w:tr>
      <w:tr w:rsidR="0085505C" w:rsidRPr="002A7673" w14:paraId="1C8BCD79" w14:textId="77777777" w:rsidTr="0048334E">
        <w:trPr>
          <w:trHeight w:val="300"/>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4DB2BF5A"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b/>
                <w:bCs/>
                <w:sz w:val="24"/>
                <w:szCs w:val="24"/>
              </w:rPr>
              <w:t>0717-MP-P06</w:t>
            </w:r>
          </w:p>
        </w:tc>
        <w:tc>
          <w:tcPr>
            <w:tcW w:w="2693" w:type="dxa"/>
            <w:tcBorders>
              <w:top w:val="nil"/>
              <w:left w:val="nil"/>
              <w:bottom w:val="single" w:sz="4" w:space="0" w:color="auto"/>
              <w:right w:val="single" w:sz="4" w:space="0" w:color="auto"/>
            </w:tcBorders>
            <w:shd w:val="clear" w:color="auto" w:fill="auto"/>
            <w:noWrap/>
            <w:vAlign w:val="center"/>
            <w:hideMark/>
          </w:tcPr>
          <w:p w14:paraId="5D63CF0A"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Modelo de abordaje en casos penales con poblaciones vulnerables y </w:t>
            </w:r>
            <w:proofErr w:type="spellStart"/>
            <w:r w:rsidRPr="002A7673">
              <w:rPr>
                <w:rFonts w:ascii="Times New Roman" w:hAnsi="Times New Roman" w:cs="Times New Roman"/>
                <w:color w:val="000000"/>
                <w:sz w:val="24"/>
                <w:szCs w:val="24"/>
              </w:rPr>
              <w:t>vulnerabilizadas</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590A8953"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2024</w:t>
            </w:r>
          </w:p>
        </w:tc>
        <w:tc>
          <w:tcPr>
            <w:tcW w:w="4015" w:type="dxa"/>
            <w:vMerge/>
            <w:tcBorders>
              <w:left w:val="nil"/>
              <w:right w:val="single" w:sz="4" w:space="0" w:color="auto"/>
            </w:tcBorders>
            <w:shd w:val="clear" w:color="auto" w:fill="auto"/>
            <w:noWrap/>
            <w:vAlign w:val="center"/>
            <w:hideMark/>
          </w:tcPr>
          <w:p w14:paraId="04431511"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3614AB90" w14:textId="77777777" w:rsidTr="0048334E">
        <w:trPr>
          <w:trHeight w:val="300"/>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14:paraId="3A565973"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b/>
                <w:bCs/>
                <w:sz w:val="24"/>
                <w:szCs w:val="24"/>
              </w:rPr>
              <w:t>0717-MP-P09</w:t>
            </w:r>
          </w:p>
        </w:tc>
        <w:tc>
          <w:tcPr>
            <w:tcW w:w="2693" w:type="dxa"/>
            <w:tcBorders>
              <w:top w:val="nil"/>
              <w:left w:val="nil"/>
              <w:bottom w:val="single" w:sz="4" w:space="0" w:color="auto"/>
              <w:right w:val="single" w:sz="4" w:space="0" w:color="auto"/>
            </w:tcBorders>
            <w:shd w:val="clear" w:color="auto" w:fill="auto"/>
            <w:noWrap/>
            <w:vAlign w:val="center"/>
            <w:hideMark/>
          </w:tcPr>
          <w:p w14:paraId="1DB256FD"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Modelo para el abordaje de la criminalidad no convencional</w:t>
            </w:r>
          </w:p>
        </w:tc>
        <w:tc>
          <w:tcPr>
            <w:tcW w:w="1134" w:type="dxa"/>
            <w:tcBorders>
              <w:top w:val="nil"/>
              <w:left w:val="nil"/>
              <w:bottom w:val="single" w:sz="4" w:space="0" w:color="auto"/>
              <w:right w:val="single" w:sz="4" w:space="0" w:color="auto"/>
            </w:tcBorders>
            <w:shd w:val="clear" w:color="auto" w:fill="auto"/>
            <w:noWrap/>
            <w:vAlign w:val="center"/>
            <w:hideMark/>
          </w:tcPr>
          <w:p w14:paraId="5DBFE2F4"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2024</w:t>
            </w:r>
          </w:p>
        </w:tc>
        <w:tc>
          <w:tcPr>
            <w:tcW w:w="4015" w:type="dxa"/>
            <w:vMerge/>
            <w:tcBorders>
              <w:left w:val="nil"/>
              <w:bottom w:val="single" w:sz="4" w:space="0" w:color="auto"/>
              <w:right w:val="single" w:sz="4" w:space="0" w:color="auto"/>
            </w:tcBorders>
            <w:shd w:val="clear" w:color="auto" w:fill="auto"/>
            <w:noWrap/>
            <w:vAlign w:val="center"/>
            <w:hideMark/>
          </w:tcPr>
          <w:p w14:paraId="25728994" w14:textId="77777777" w:rsidR="0085505C" w:rsidRPr="002A7673" w:rsidRDefault="0085505C" w:rsidP="0048334E">
            <w:pPr>
              <w:spacing w:after="0" w:line="240" w:lineRule="auto"/>
              <w:rPr>
                <w:rFonts w:ascii="Times New Roman" w:hAnsi="Times New Roman" w:cs="Times New Roman"/>
                <w:color w:val="000000"/>
                <w:sz w:val="24"/>
                <w:szCs w:val="24"/>
              </w:rPr>
            </w:pPr>
          </w:p>
        </w:tc>
      </w:tr>
    </w:tbl>
    <w:p w14:paraId="52068103" w14:textId="77777777" w:rsidR="0085505C" w:rsidRPr="002A7673" w:rsidRDefault="0085505C" w:rsidP="0085505C">
      <w:pPr>
        <w:spacing w:after="0" w:line="360" w:lineRule="auto"/>
        <w:jc w:val="both"/>
        <w:rPr>
          <w:rFonts w:ascii="Times New Roman" w:hAnsi="Times New Roman" w:cs="Times New Roman"/>
        </w:rPr>
      </w:pPr>
    </w:p>
    <w:p w14:paraId="5E9037CA" w14:textId="77777777" w:rsidR="0085505C" w:rsidRPr="002A7673" w:rsidRDefault="0085505C" w:rsidP="00FF3FAC">
      <w:pPr>
        <w:keepNext/>
        <w:keepLines/>
        <w:numPr>
          <w:ilvl w:val="1"/>
          <w:numId w:val="76"/>
        </w:numPr>
        <w:spacing w:before="120" w:after="120" w:line="240" w:lineRule="auto"/>
        <w:ind w:left="851" w:right="851" w:firstLine="709"/>
        <w:jc w:val="both"/>
        <w:outlineLvl w:val="1"/>
        <w:rPr>
          <w:rFonts w:ascii="Times New Roman" w:hAnsi="Times New Roman" w:cs="Times New Roman"/>
          <w:b/>
          <w:bCs/>
          <w:sz w:val="26"/>
          <w:szCs w:val="26"/>
        </w:rPr>
      </w:pPr>
      <w:r w:rsidRPr="002A7673">
        <w:rPr>
          <w:rFonts w:ascii="Times New Roman" w:hAnsi="Times New Roman" w:cs="Times New Roman"/>
          <w:b/>
          <w:bCs/>
          <w:sz w:val="26"/>
          <w:szCs w:val="26"/>
        </w:rPr>
        <w:t xml:space="preserve">Análisis de los recursos formulados para el 2022 relacionados con la ejecución de los proyectos estratégicos: </w:t>
      </w:r>
    </w:p>
    <w:p w14:paraId="5DB92935"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cuanto al análisis de los recursos formulados asociados a proyectos, a continuación, se incluye el detalle por subpartida de los montos proyectados para el 2022.</w:t>
      </w:r>
    </w:p>
    <w:tbl>
      <w:tblPr>
        <w:tblW w:w="8833" w:type="dxa"/>
        <w:jc w:val="center"/>
        <w:tblCellMar>
          <w:left w:w="70" w:type="dxa"/>
          <w:right w:w="70" w:type="dxa"/>
        </w:tblCellMar>
        <w:tblLook w:val="04A0" w:firstRow="1" w:lastRow="0" w:firstColumn="1" w:lastColumn="0" w:noHBand="0" w:noVBand="1"/>
      </w:tblPr>
      <w:tblGrid>
        <w:gridCol w:w="1129"/>
        <w:gridCol w:w="1393"/>
        <w:gridCol w:w="851"/>
        <w:gridCol w:w="1951"/>
        <w:gridCol w:w="1380"/>
        <w:gridCol w:w="2494"/>
      </w:tblGrid>
      <w:tr w:rsidR="0085505C" w:rsidRPr="002A7673" w14:paraId="6C0806B3" w14:textId="77777777" w:rsidTr="0048334E">
        <w:trPr>
          <w:trHeight w:val="747"/>
          <w:jc w:val="center"/>
        </w:trPr>
        <w:tc>
          <w:tcPr>
            <w:tcW w:w="1129" w:type="dxa"/>
            <w:tcBorders>
              <w:top w:val="single" w:sz="4" w:space="0" w:color="auto"/>
              <w:left w:val="single" w:sz="4" w:space="0" w:color="auto"/>
              <w:bottom w:val="nil"/>
              <w:right w:val="single" w:sz="4" w:space="0" w:color="auto"/>
            </w:tcBorders>
            <w:shd w:val="clear" w:color="000000" w:fill="1F4E78"/>
            <w:vAlign w:val="center"/>
            <w:hideMark/>
          </w:tcPr>
          <w:p w14:paraId="236EB484" w14:textId="77777777" w:rsidR="0085505C" w:rsidRPr="002A7673" w:rsidRDefault="0085505C" w:rsidP="0048334E">
            <w:pPr>
              <w:spacing w:after="0" w:line="24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color w:val="FFFFFF"/>
                <w:sz w:val="24"/>
                <w:szCs w:val="24"/>
              </w:rPr>
              <w:t>Cod Proyecto</w:t>
            </w:r>
          </w:p>
        </w:tc>
        <w:tc>
          <w:tcPr>
            <w:tcW w:w="1276" w:type="dxa"/>
            <w:tcBorders>
              <w:top w:val="single" w:sz="4" w:space="0" w:color="auto"/>
              <w:left w:val="nil"/>
              <w:bottom w:val="nil"/>
              <w:right w:val="single" w:sz="4" w:space="0" w:color="auto"/>
            </w:tcBorders>
            <w:shd w:val="clear" w:color="D9E1F2" w:fill="1F4E78"/>
            <w:vAlign w:val="center"/>
            <w:hideMark/>
          </w:tcPr>
          <w:p w14:paraId="690FF2C2"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Nombre del Proyecto</w:t>
            </w:r>
          </w:p>
        </w:tc>
        <w:tc>
          <w:tcPr>
            <w:tcW w:w="2802" w:type="dxa"/>
            <w:gridSpan w:val="2"/>
            <w:tcBorders>
              <w:top w:val="nil"/>
              <w:left w:val="nil"/>
              <w:bottom w:val="nil"/>
              <w:right w:val="nil"/>
            </w:tcBorders>
            <w:shd w:val="clear" w:color="000000" w:fill="1F4E78"/>
            <w:vAlign w:val="center"/>
            <w:hideMark/>
          </w:tcPr>
          <w:p w14:paraId="23E0EF45"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Subpartida</w:t>
            </w:r>
          </w:p>
        </w:tc>
        <w:tc>
          <w:tcPr>
            <w:tcW w:w="1132" w:type="dxa"/>
            <w:tcBorders>
              <w:top w:val="nil"/>
              <w:left w:val="nil"/>
              <w:bottom w:val="nil"/>
              <w:right w:val="nil"/>
            </w:tcBorders>
            <w:shd w:val="clear" w:color="000000" w:fill="1F4E78"/>
            <w:vAlign w:val="center"/>
            <w:hideMark/>
          </w:tcPr>
          <w:p w14:paraId="0747E809"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Recursos proyectados</w:t>
            </w:r>
          </w:p>
        </w:tc>
        <w:tc>
          <w:tcPr>
            <w:tcW w:w="2494" w:type="dxa"/>
            <w:tcBorders>
              <w:top w:val="nil"/>
              <w:left w:val="nil"/>
              <w:bottom w:val="nil"/>
              <w:right w:val="nil"/>
            </w:tcBorders>
            <w:shd w:val="clear" w:color="000000" w:fill="1F4E78"/>
            <w:vAlign w:val="center"/>
            <w:hideMark/>
          </w:tcPr>
          <w:p w14:paraId="6C9D5D0F"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Justificación de los recursos</w:t>
            </w:r>
          </w:p>
        </w:tc>
      </w:tr>
      <w:tr w:rsidR="0085505C" w:rsidRPr="002A7673" w14:paraId="67A7DF2A" w14:textId="77777777" w:rsidTr="0048334E">
        <w:trPr>
          <w:trHeight w:val="313"/>
          <w:jc w:val="center"/>
        </w:trPr>
        <w:tc>
          <w:tcPr>
            <w:tcW w:w="1129" w:type="dxa"/>
            <w:vMerge w:val="restart"/>
            <w:tcBorders>
              <w:top w:val="single" w:sz="4" w:space="0" w:color="auto"/>
              <w:left w:val="single" w:sz="4" w:space="0" w:color="auto"/>
              <w:right w:val="single" w:sz="4" w:space="0" w:color="auto"/>
            </w:tcBorders>
            <w:shd w:val="clear" w:color="auto" w:fill="auto"/>
            <w:vAlign w:val="center"/>
          </w:tcPr>
          <w:p w14:paraId="0AF603C8" w14:textId="77777777" w:rsidR="0085505C" w:rsidRPr="002A7673" w:rsidRDefault="0085505C" w:rsidP="0048334E">
            <w:pPr>
              <w:spacing w:after="0" w:line="240" w:lineRule="auto"/>
              <w:rPr>
                <w:rFonts w:ascii="Times New Roman" w:hAnsi="Times New Roman" w:cs="Times New Roman"/>
                <w:b/>
                <w:bCs/>
                <w:sz w:val="24"/>
                <w:szCs w:val="24"/>
              </w:rPr>
            </w:pPr>
            <w:r w:rsidRPr="002A7673">
              <w:rPr>
                <w:rFonts w:ascii="Times New Roman" w:hAnsi="Times New Roman" w:cs="Times New Roman"/>
                <w:b/>
                <w:bCs/>
                <w:sz w:val="24"/>
                <w:szCs w:val="24"/>
              </w:rPr>
              <w:t>0717-MP-P05</w:t>
            </w:r>
          </w:p>
        </w:tc>
        <w:tc>
          <w:tcPr>
            <w:tcW w:w="1276" w:type="dxa"/>
            <w:vMerge w:val="restart"/>
            <w:tcBorders>
              <w:top w:val="single" w:sz="4" w:space="0" w:color="auto"/>
              <w:left w:val="single" w:sz="4" w:space="0" w:color="auto"/>
              <w:right w:val="single" w:sz="4" w:space="0" w:color="auto"/>
            </w:tcBorders>
            <w:shd w:val="clear" w:color="auto" w:fill="auto"/>
            <w:vAlign w:val="center"/>
          </w:tcPr>
          <w:p w14:paraId="1AFBC1C9" w14:textId="77777777" w:rsidR="0085505C" w:rsidRPr="002A7673" w:rsidRDefault="0085505C"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Estrategia de Capacitación del Ministerio Público</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746035A"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20401</w:t>
            </w:r>
          </w:p>
        </w:tc>
        <w:tc>
          <w:tcPr>
            <w:tcW w:w="1951" w:type="dxa"/>
            <w:tcBorders>
              <w:top w:val="single" w:sz="4" w:space="0" w:color="auto"/>
              <w:left w:val="nil"/>
              <w:bottom w:val="single" w:sz="4" w:space="0" w:color="auto"/>
              <w:right w:val="single" w:sz="4" w:space="0" w:color="auto"/>
            </w:tcBorders>
            <w:shd w:val="clear" w:color="auto" w:fill="auto"/>
            <w:noWrap/>
            <w:vAlign w:val="center"/>
          </w:tcPr>
          <w:p w14:paraId="63FB6A89"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Herramientas e Instrumentos</w:t>
            </w:r>
          </w:p>
        </w:tc>
        <w:tc>
          <w:tcPr>
            <w:tcW w:w="1132" w:type="dxa"/>
            <w:tcBorders>
              <w:top w:val="single" w:sz="4" w:space="0" w:color="auto"/>
              <w:left w:val="nil"/>
              <w:bottom w:val="single" w:sz="4" w:space="0" w:color="auto"/>
              <w:right w:val="single" w:sz="4" w:space="0" w:color="auto"/>
            </w:tcBorders>
            <w:shd w:val="clear" w:color="auto" w:fill="auto"/>
            <w:noWrap/>
            <w:vAlign w:val="center"/>
          </w:tcPr>
          <w:p w14:paraId="3F32F79D"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24.553</w:t>
            </w:r>
          </w:p>
        </w:tc>
        <w:tc>
          <w:tcPr>
            <w:tcW w:w="2494" w:type="dxa"/>
            <w:vMerge w:val="restart"/>
            <w:tcBorders>
              <w:top w:val="single" w:sz="4" w:space="0" w:color="auto"/>
              <w:left w:val="nil"/>
              <w:right w:val="single" w:sz="4" w:space="0" w:color="auto"/>
            </w:tcBorders>
            <w:shd w:val="clear" w:color="auto" w:fill="auto"/>
            <w:noWrap/>
            <w:vAlign w:val="center"/>
          </w:tcPr>
          <w:p w14:paraId="215226D1" w14:textId="77777777" w:rsidR="0085505C" w:rsidRPr="002A7673" w:rsidRDefault="0085505C" w:rsidP="0048334E">
            <w:pPr>
              <w:spacing w:after="0" w:line="240" w:lineRule="auto"/>
              <w:rPr>
                <w:rFonts w:ascii="Times New Roman" w:hAnsi="Times New Roman" w:cs="Times New Roman"/>
                <w:i/>
                <w:iCs/>
                <w:color w:val="000000"/>
                <w:sz w:val="24"/>
                <w:szCs w:val="24"/>
                <w:highlight w:val="yellow"/>
              </w:rPr>
            </w:pPr>
            <w:r w:rsidRPr="002A7673">
              <w:rPr>
                <w:rFonts w:ascii="Times New Roman" w:hAnsi="Times New Roman" w:cs="Times New Roman"/>
                <w:color w:val="000000"/>
                <w:sz w:val="24"/>
                <w:szCs w:val="24"/>
              </w:rPr>
              <w:t> Estos recursos se requieren para atender los gastos previstos en la ejecución del proyecto en cuanto a gasto variable. Estos gastos se asumen con los recursos ordinarios asignados al Ministerio Público. </w:t>
            </w:r>
          </w:p>
        </w:tc>
      </w:tr>
      <w:tr w:rsidR="0085505C" w:rsidRPr="002A7673" w14:paraId="635AAAFC" w14:textId="77777777" w:rsidTr="0048334E">
        <w:trPr>
          <w:trHeight w:val="313"/>
          <w:jc w:val="center"/>
        </w:trPr>
        <w:tc>
          <w:tcPr>
            <w:tcW w:w="1129" w:type="dxa"/>
            <w:vMerge/>
            <w:tcBorders>
              <w:left w:val="single" w:sz="4" w:space="0" w:color="auto"/>
              <w:right w:val="single" w:sz="4" w:space="0" w:color="auto"/>
            </w:tcBorders>
            <w:shd w:val="clear" w:color="auto" w:fill="auto"/>
            <w:vAlign w:val="center"/>
          </w:tcPr>
          <w:p w14:paraId="2E2933C9" w14:textId="77777777" w:rsidR="0085505C" w:rsidRPr="002A7673" w:rsidRDefault="0085505C" w:rsidP="0048334E">
            <w:pPr>
              <w:spacing w:after="0" w:line="240" w:lineRule="auto"/>
              <w:rPr>
                <w:rFonts w:ascii="Times New Roman" w:hAnsi="Times New Roman" w:cs="Times New Roman"/>
                <w:b/>
                <w:bCs/>
                <w:sz w:val="24"/>
                <w:szCs w:val="24"/>
              </w:rPr>
            </w:pPr>
          </w:p>
        </w:tc>
        <w:tc>
          <w:tcPr>
            <w:tcW w:w="1276" w:type="dxa"/>
            <w:vMerge/>
            <w:tcBorders>
              <w:left w:val="single" w:sz="4" w:space="0" w:color="auto"/>
              <w:right w:val="single" w:sz="4" w:space="0" w:color="auto"/>
            </w:tcBorders>
            <w:shd w:val="clear" w:color="auto" w:fill="auto"/>
            <w:vAlign w:val="center"/>
          </w:tcPr>
          <w:p w14:paraId="7DB48493" w14:textId="77777777" w:rsidR="0085505C" w:rsidRPr="002A7673" w:rsidRDefault="0085505C" w:rsidP="0048334E">
            <w:pPr>
              <w:spacing w:after="0" w:line="240" w:lineRule="auto"/>
              <w:jc w:val="center"/>
              <w:rPr>
                <w:rFonts w:ascii="Times New Roman" w:hAnsi="Times New Roman" w:cs="Times New Roman"/>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114F0473"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29901</w:t>
            </w:r>
          </w:p>
        </w:tc>
        <w:tc>
          <w:tcPr>
            <w:tcW w:w="1951" w:type="dxa"/>
            <w:tcBorders>
              <w:top w:val="single" w:sz="4" w:space="0" w:color="auto"/>
              <w:left w:val="nil"/>
              <w:bottom w:val="single" w:sz="4" w:space="0" w:color="auto"/>
              <w:right w:val="single" w:sz="4" w:space="0" w:color="auto"/>
            </w:tcBorders>
            <w:shd w:val="clear" w:color="auto" w:fill="auto"/>
            <w:noWrap/>
            <w:vAlign w:val="center"/>
          </w:tcPr>
          <w:p w14:paraId="1F6A6BCC"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Útiles y materiales de Oficina y de Cómputo</w:t>
            </w:r>
          </w:p>
        </w:tc>
        <w:tc>
          <w:tcPr>
            <w:tcW w:w="1132" w:type="dxa"/>
            <w:tcBorders>
              <w:top w:val="single" w:sz="4" w:space="0" w:color="auto"/>
              <w:left w:val="nil"/>
              <w:bottom w:val="single" w:sz="4" w:space="0" w:color="auto"/>
              <w:right w:val="single" w:sz="4" w:space="0" w:color="auto"/>
            </w:tcBorders>
            <w:shd w:val="clear" w:color="auto" w:fill="auto"/>
            <w:noWrap/>
            <w:vAlign w:val="center"/>
          </w:tcPr>
          <w:p w14:paraId="50B6378B"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3.661</w:t>
            </w:r>
          </w:p>
        </w:tc>
        <w:tc>
          <w:tcPr>
            <w:tcW w:w="2494" w:type="dxa"/>
            <w:vMerge/>
            <w:tcBorders>
              <w:left w:val="nil"/>
              <w:right w:val="single" w:sz="4" w:space="0" w:color="auto"/>
            </w:tcBorders>
            <w:shd w:val="clear" w:color="auto" w:fill="auto"/>
            <w:noWrap/>
            <w:vAlign w:val="center"/>
          </w:tcPr>
          <w:p w14:paraId="797D9F71" w14:textId="77777777" w:rsidR="0085505C" w:rsidRPr="002A7673" w:rsidRDefault="0085505C" w:rsidP="0048334E">
            <w:pPr>
              <w:spacing w:after="0" w:line="240" w:lineRule="auto"/>
              <w:rPr>
                <w:rFonts w:ascii="Times New Roman" w:hAnsi="Times New Roman" w:cs="Times New Roman"/>
                <w:i/>
                <w:iCs/>
                <w:color w:val="000000"/>
                <w:sz w:val="24"/>
                <w:szCs w:val="24"/>
                <w:highlight w:val="yellow"/>
              </w:rPr>
            </w:pPr>
          </w:p>
        </w:tc>
      </w:tr>
      <w:tr w:rsidR="0085505C" w:rsidRPr="002A7673" w14:paraId="0C1BD682" w14:textId="77777777" w:rsidTr="0048334E">
        <w:trPr>
          <w:trHeight w:val="313"/>
          <w:jc w:val="center"/>
        </w:trPr>
        <w:tc>
          <w:tcPr>
            <w:tcW w:w="1129" w:type="dxa"/>
            <w:vMerge/>
            <w:tcBorders>
              <w:left w:val="single" w:sz="4" w:space="0" w:color="auto"/>
              <w:right w:val="single" w:sz="4" w:space="0" w:color="auto"/>
            </w:tcBorders>
            <w:shd w:val="clear" w:color="auto" w:fill="auto"/>
            <w:vAlign w:val="center"/>
          </w:tcPr>
          <w:p w14:paraId="285E65FB" w14:textId="77777777" w:rsidR="0085505C" w:rsidRPr="002A7673" w:rsidRDefault="0085505C" w:rsidP="0048334E">
            <w:pPr>
              <w:spacing w:after="0" w:line="240" w:lineRule="auto"/>
              <w:rPr>
                <w:rFonts w:ascii="Times New Roman" w:hAnsi="Times New Roman" w:cs="Times New Roman"/>
                <w:b/>
                <w:bCs/>
                <w:sz w:val="24"/>
                <w:szCs w:val="24"/>
              </w:rPr>
            </w:pPr>
          </w:p>
        </w:tc>
        <w:tc>
          <w:tcPr>
            <w:tcW w:w="1276" w:type="dxa"/>
            <w:vMerge/>
            <w:tcBorders>
              <w:left w:val="single" w:sz="4" w:space="0" w:color="auto"/>
              <w:right w:val="single" w:sz="4" w:space="0" w:color="auto"/>
            </w:tcBorders>
            <w:shd w:val="clear" w:color="auto" w:fill="auto"/>
            <w:vAlign w:val="center"/>
          </w:tcPr>
          <w:p w14:paraId="487B1F41" w14:textId="77777777" w:rsidR="0085505C" w:rsidRPr="002A7673" w:rsidRDefault="0085505C" w:rsidP="0048334E">
            <w:pPr>
              <w:spacing w:after="0" w:line="240" w:lineRule="auto"/>
              <w:jc w:val="center"/>
              <w:rPr>
                <w:rFonts w:ascii="Times New Roman" w:hAnsi="Times New Roman" w:cs="Times New Roman"/>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66AEEFC"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50103</w:t>
            </w:r>
          </w:p>
        </w:tc>
        <w:tc>
          <w:tcPr>
            <w:tcW w:w="1951" w:type="dxa"/>
            <w:tcBorders>
              <w:top w:val="single" w:sz="4" w:space="0" w:color="auto"/>
              <w:left w:val="nil"/>
              <w:bottom w:val="single" w:sz="4" w:space="0" w:color="auto"/>
              <w:right w:val="single" w:sz="4" w:space="0" w:color="auto"/>
            </w:tcBorders>
            <w:shd w:val="clear" w:color="auto" w:fill="auto"/>
            <w:noWrap/>
            <w:vAlign w:val="center"/>
          </w:tcPr>
          <w:p w14:paraId="3F5F0261"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 xml:space="preserve">Equipo de Comunicación </w:t>
            </w:r>
          </w:p>
        </w:tc>
        <w:tc>
          <w:tcPr>
            <w:tcW w:w="1132" w:type="dxa"/>
            <w:tcBorders>
              <w:top w:val="single" w:sz="4" w:space="0" w:color="auto"/>
              <w:left w:val="nil"/>
              <w:bottom w:val="single" w:sz="4" w:space="0" w:color="auto"/>
              <w:right w:val="single" w:sz="4" w:space="0" w:color="auto"/>
            </w:tcBorders>
            <w:shd w:val="clear" w:color="auto" w:fill="auto"/>
            <w:noWrap/>
            <w:vAlign w:val="center"/>
          </w:tcPr>
          <w:p w14:paraId="3AEB0BFF"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9.040</w:t>
            </w:r>
          </w:p>
        </w:tc>
        <w:tc>
          <w:tcPr>
            <w:tcW w:w="2494" w:type="dxa"/>
            <w:vMerge/>
            <w:tcBorders>
              <w:left w:val="nil"/>
              <w:right w:val="single" w:sz="4" w:space="0" w:color="auto"/>
            </w:tcBorders>
            <w:shd w:val="clear" w:color="auto" w:fill="auto"/>
            <w:noWrap/>
            <w:vAlign w:val="center"/>
          </w:tcPr>
          <w:p w14:paraId="6637F76C" w14:textId="77777777" w:rsidR="0085505C" w:rsidRPr="002A7673" w:rsidRDefault="0085505C" w:rsidP="0048334E">
            <w:pPr>
              <w:spacing w:after="0" w:line="240" w:lineRule="auto"/>
              <w:rPr>
                <w:rFonts w:ascii="Times New Roman" w:hAnsi="Times New Roman" w:cs="Times New Roman"/>
                <w:i/>
                <w:iCs/>
                <w:color w:val="000000"/>
                <w:sz w:val="24"/>
                <w:szCs w:val="24"/>
                <w:highlight w:val="yellow"/>
              </w:rPr>
            </w:pPr>
          </w:p>
        </w:tc>
      </w:tr>
      <w:tr w:rsidR="0085505C" w:rsidRPr="002A7673" w14:paraId="0E37F7C1" w14:textId="77777777" w:rsidTr="0048334E">
        <w:trPr>
          <w:trHeight w:val="330"/>
          <w:jc w:val="center"/>
        </w:trPr>
        <w:tc>
          <w:tcPr>
            <w:tcW w:w="1129" w:type="dxa"/>
            <w:vMerge/>
            <w:tcBorders>
              <w:left w:val="single" w:sz="4" w:space="0" w:color="auto"/>
              <w:bottom w:val="single" w:sz="4" w:space="0" w:color="auto"/>
              <w:right w:val="single" w:sz="4" w:space="0" w:color="auto"/>
            </w:tcBorders>
            <w:vAlign w:val="center"/>
            <w:hideMark/>
          </w:tcPr>
          <w:p w14:paraId="2300FEC3" w14:textId="77777777" w:rsidR="0085505C" w:rsidRPr="002A7673" w:rsidRDefault="0085505C" w:rsidP="0048334E">
            <w:pPr>
              <w:spacing w:after="0" w:line="240" w:lineRule="auto"/>
              <w:rPr>
                <w:rFonts w:ascii="Times New Roman" w:hAnsi="Times New Roman" w:cs="Times New Roman"/>
                <w:b/>
                <w:bCs/>
                <w:sz w:val="24"/>
                <w:szCs w:val="24"/>
              </w:rPr>
            </w:pPr>
          </w:p>
        </w:tc>
        <w:tc>
          <w:tcPr>
            <w:tcW w:w="1276" w:type="dxa"/>
            <w:vMerge/>
            <w:tcBorders>
              <w:left w:val="single" w:sz="4" w:space="0" w:color="auto"/>
              <w:bottom w:val="single" w:sz="4" w:space="0" w:color="auto"/>
              <w:right w:val="single" w:sz="4" w:space="0" w:color="auto"/>
            </w:tcBorders>
            <w:vAlign w:val="center"/>
            <w:hideMark/>
          </w:tcPr>
          <w:p w14:paraId="783A47E4" w14:textId="77777777" w:rsidR="0085505C" w:rsidRPr="002A7673" w:rsidRDefault="0085505C" w:rsidP="0048334E">
            <w:pPr>
              <w:spacing w:after="0" w:line="240" w:lineRule="auto"/>
              <w:rPr>
                <w:rFonts w:ascii="Times New Roman" w:hAnsi="Times New Roman" w:cs="Times New Roman"/>
                <w:b/>
                <w:bCs/>
                <w:sz w:val="24"/>
                <w:szCs w:val="24"/>
              </w:rPr>
            </w:pPr>
          </w:p>
        </w:tc>
        <w:tc>
          <w:tcPr>
            <w:tcW w:w="2802"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6EE4F9D9" w14:textId="77777777" w:rsidR="0085505C" w:rsidRPr="002A7673" w:rsidRDefault="0085505C" w:rsidP="0048334E">
            <w:pPr>
              <w:spacing w:after="0" w:line="240" w:lineRule="auto"/>
              <w:jc w:val="right"/>
              <w:rPr>
                <w:rFonts w:ascii="Times New Roman" w:hAnsi="Times New Roman" w:cs="Times New Roman"/>
                <w:b/>
                <w:bCs/>
                <w:color w:val="000000" w:themeColor="text1"/>
                <w:sz w:val="24"/>
                <w:szCs w:val="24"/>
              </w:rPr>
            </w:pPr>
            <w:proofErr w:type="gramStart"/>
            <w:r w:rsidRPr="002A7673">
              <w:rPr>
                <w:rFonts w:ascii="Times New Roman" w:hAnsi="Times New Roman" w:cs="Times New Roman"/>
                <w:b/>
                <w:bCs/>
                <w:color w:val="000000" w:themeColor="text1"/>
                <w:sz w:val="24"/>
                <w:szCs w:val="24"/>
              </w:rPr>
              <w:t>Total</w:t>
            </w:r>
            <w:proofErr w:type="gramEnd"/>
            <w:r w:rsidRPr="002A7673">
              <w:rPr>
                <w:rFonts w:ascii="Times New Roman" w:hAnsi="Times New Roman" w:cs="Times New Roman"/>
                <w:b/>
                <w:bCs/>
                <w:color w:val="000000" w:themeColor="text1"/>
                <w:sz w:val="24"/>
                <w:szCs w:val="24"/>
              </w:rPr>
              <w:t xml:space="preserve"> del proyecto</w:t>
            </w:r>
          </w:p>
        </w:tc>
        <w:tc>
          <w:tcPr>
            <w:tcW w:w="1132" w:type="dxa"/>
            <w:tcBorders>
              <w:top w:val="nil"/>
              <w:left w:val="nil"/>
              <w:bottom w:val="single" w:sz="4" w:space="0" w:color="auto"/>
              <w:right w:val="single" w:sz="4" w:space="0" w:color="auto"/>
            </w:tcBorders>
            <w:shd w:val="clear" w:color="000000" w:fill="F2F2F2"/>
            <w:noWrap/>
            <w:vAlign w:val="center"/>
            <w:hideMark/>
          </w:tcPr>
          <w:p w14:paraId="6151FC21" w14:textId="77777777" w:rsidR="0085505C" w:rsidRPr="002A7673" w:rsidRDefault="0085505C" w:rsidP="0048334E">
            <w:pPr>
              <w:spacing w:after="0" w:line="240" w:lineRule="auto"/>
              <w:jc w:val="right"/>
              <w:rPr>
                <w:rFonts w:ascii="Times New Roman" w:hAnsi="Times New Roman" w:cs="Times New Roman"/>
                <w:b/>
                <w:bCs/>
                <w:color w:val="000000" w:themeColor="text1"/>
                <w:sz w:val="24"/>
                <w:szCs w:val="24"/>
              </w:rPr>
            </w:pPr>
            <w:r w:rsidRPr="002A7673">
              <w:rPr>
                <w:rFonts w:ascii="Times New Roman" w:hAnsi="Times New Roman" w:cs="Times New Roman"/>
                <w:b/>
                <w:bCs/>
                <w:color w:val="000000" w:themeColor="text1"/>
                <w:sz w:val="24"/>
                <w:szCs w:val="24"/>
              </w:rPr>
              <w:t>37.254</w:t>
            </w:r>
          </w:p>
        </w:tc>
        <w:tc>
          <w:tcPr>
            <w:tcW w:w="2494" w:type="dxa"/>
            <w:tcBorders>
              <w:top w:val="nil"/>
              <w:left w:val="nil"/>
              <w:bottom w:val="single" w:sz="4" w:space="0" w:color="auto"/>
              <w:right w:val="single" w:sz="4" w:space="0" w:color="auto"/>
            </w:tcBorders>
            <w:shd w:val="clear" w:color="auto" w:fill="auto"/>
            <w:noWrap/>
            <w:vAlign w:val="center"/>
            <w:hideMark/>
          </w:tcPr>
          <w:p w14:paraId="21427966"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w:t>
            </w:r>
          </w:p>
        </w:tc>
      </w:tr>
      <w:tr w:rsidR="0085505C" w:rsidRPr="002A7673" w14:paraId="2A25062E" w14:textId="77777777" w:rsidTr="0048334E">
        <w:trPr>
          <w:trHeight w:val="330"/>
          <w:jc w:val="center"/>
        </w:trPr>
        <w:tc>
          <w:tcPr>
            <w:tcW w:w="1129" w:type="dxa"/>
            <w:vMerge w:val="restart"/>
            <w:tcBorders>
              <w:top w:val="nil"/>
              <w:left w:val="single" w:sz="4" w:space="0" w:color="auto"/>
              <w:right w:val="single" w:sz="4" w:space="0" w:color="auto"/>
            </w:tcBorders>
            <w:shd w:val="clear" w:color="auto" w:fill="auto"/>
            <w:noWrap/>
            <w:vAlign w:val="center"/>
          </w:tcPr>
          <w:p w14:paraId="14285559"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lastRenderedPageBreak/>
              <w:t>1167-OIJ-P05</w:t>
            </w:r>
          </w:p>
        </w:tc>
        <w:tc>
          <w:tcPr>
            <w:tcW w:w="1276" w:type="dxa"/>
            <w:vMerge w:val="restart"/>
            <w:tcBorders>
              <w:top w:val="nil"/>
              <w:left w:val="single" w:sz="4" w:space="0" w:color="auto"/>
              <w:right w:val="single" w:sz="4" w:space="0" w:color="auto"/>
            </w:tcBorders>
            <w:shd w:val="clear" w:color="auto" w:fill="auto"/>
            <w:vAlign w:val="center"/>
          </w:tcPr>
          <w:p w14:paraId="6A5EED94"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Programa de capacitación en Justicia Restaurativa</w:t>
            </w:r>
          </w:p>
        </w:tc>
        <w:tc>
          <w:tcPr>
            <w:tcW w:w="851" w:type="dxa"/>
            <w:tcBorders>
              <w:top w:val="nil"/>
              <w:left w:val="nil"/>
              <w:bottom w:val="single" w:sz="4" w:space="0" w:color="auto"/>
              <w:right w:val="single" w:sz="4" w:space="0" w:color="auto"/>
            </w:tcBorders>
            <w:shd w:val="clear" w:color="auto" w:fill="auto"/>
            <w:noWrap/>
            <w:vAlign w:val="bottom"/>
          </w:tcPr>
          <w:p w14:paraId="56CD3416"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29903</w:t>
            </w:r>
          </w:p>
        </w:tc>
        <w:tc>
          <w:tcPr>
            <w:tcW w:w="1951" w:type="dxa"/>
            <w:tcBorders>
              <w:top w:val="nil"/>
              <w:left w:val="nil"/>
              <w:bottom w:val="single" w:sz="4" w:space="0" w:color="auto"/>
              <w:right w:val="single" w:sz="4" w:space="0" w:color="auto"/>
            </w:tcBorders>
            <w:shd w:val="clear" w:color="auto" w:fill="auto"/>
            <w:noWrap/>
            <w:vAlign w:val="bottom"/>
          </w:tcPr>
          <w:p w14:paraId="19540A5C"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Productos de Papel, Cartón e Impresos</w:t>
            </w:r>
          </w:p>
        </w:tc>
        <w:tc>
          <w:tcPr>
            <w:tcW w:w="1132" w:type="dxa"/>
            <w:tcBorders>
              <w:top w:val="nil"/>
              <w:left w:val="nil"/>
              <w:bottom w:val="single" w:sz="4" w:space="0" w:color="auto"/>
              <w:right w:val="single" w:sz="4" w:space="0" w:color="auto"/>
            </w:tcBorders>
            <w:shd w:val="clear" w:color="auto" w:fill="auto"/>
            <w:noWrap/>
            <w:vAlign w:val="center"/>
          </w:tcPr>
          <w:p w14:paraId="481E2125"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23.408</w:t>
            </w:r>
          </w:p>
        </w:tc>
        <w:tc>
          <w:tcPr>
            <w:tcW w:w="2494" w:type="dxa"/>
            <w:vMerge w:val="restart"/>
            <w:tcBorders>
              <w:top w:val="nil"/>
              <w:left w:val="nil"/>
              <w:right w:val="single" w:sz="4" w:space="0" w:color="auto"/>
            </w:tcBorders>
            <w:shd w:val="clear" w:color="auto" w:fill="auto"/>
            <w:noWrap/>
            <w:vAlign w:val="center"/>
          </w:tcPr>
          <w:p w14:paraId="46EA6B59"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Estos recursos se requieren para atender los gastos previstos en la ejecución del proyecto en cuanto a gasto variable. Estos recursos se atenderán con los recursos ordinarios asignados al Ministerio Público.</w:t>
            </w:r>
          </w:p>
        </w:tc>
      </w:tr>
      <w:tr w:rsidR="0085505C" w:rsidRPr="002A7673" w14:paraId="3155B0FC" w14:textId="77777777" w:rsidTr="0048334E">
        <w:trPr>
          <w:trHeight w:val="330"/>
          <w:jc w:val="center"/>
        </w:trPr>
        <w:tc>
          <w:tcPr>
            <w:tcW w:w="1129" w:type="dxa"/>
            <w:vMerge/>
            <w:tcBorders>
              <w:left w:val="single" w:sz="4" w:space="0" w:color="auto"/>
              <w:right w:val="single" w:sz="4" w:space="0" w:color="auto"/>
            </w:tcBorders>
            <w:shd w:val="clear" w:color="auto" w:fill="auto"/>
            <w:noWrap/>
            <w:vAlign w:val="center"/>
          </w:tcPr>
          <w:p w14:paraId="696AEC2C" w14:textId="77777777" w:rsidR="0085505C" w:rsidRPr="002A7673" w:rsidRDefault="0085505C" w:rsidP="0048334E">
            <w:pPr>
              <w:spacing w:after="0" w:line="240" w:lineRule="auto"/>
              <w:jc w:val="center"/>
              <w:rPr>
                <w:rFonts w:ascii="Times New Roman" w:hAnsi="Times New Roman" w:cs="Times New Roman"/>
                <w:b/>
                <w:bCs/>
                <w:sz w:val="24"/>
                <w:szCs w:val="24"/>
              </w:rPr>
            </w:pPr>
          </w:p>
        </w:tc>
        <w:tc>
          <w:tcPr>
            <w:tcW w:w="1276" w:type="dxa"/>
            <w:vMerge/>
            <w:tcBorders>
              <w:left w:val="single" w:sz="4" w:space="0" w:color="auto"/>
              <w:right w:val="single" w:sz="4" w:space="0" w:color="auto"/>
            </w:tcBorders>
            <w:shd w:val="clear" w:color="auto" w:fill="auto"/>
            <w:vAlign w:val="bottom"/>
          </w:tcPr>
          <w:p w14:paraId="45F34F8B" w14:textId="77777777" w:rsidR="0085505C" w:rsidRPr="002A7673" w:rsidRDefault="0085505C" w:rsidP="0048334E">
            <w:pPr>
              <w:spacing w:after="0" w:line="240" w:lineRule="auto"/>
              <w:rPr>
                <w:rFonts w:ascii="Times New Roman" w:hAnsi="Times New Roman" w:cs="Times New Roman"/>
                <w:sz w:val="24"/>
                <w:szCs w:val="24"/>
              </w:rPr>
            </w:pPr>
          </w:p>
        </w:tc>
        <w:tc>
          <w:tcPr>
            <w:tcW w:w="851" w:type="dxa"/>
            <w:tcBorders>
              <w:top w:val="nil"/>
              <w:left w:val="nil"/>
              <w:bottom w:val="single" w:sz="4" w:space="0" w:color="auto"/>
              <w:right w:val="single" w:sz="4" w:space="0" w:color="auto"/>
            </w:tcBorders>
            <w:shd w:val="clear" w:color="auto" w:fill="auto"/>
            <w:noWrap/>
            <w:vAlign w:val="bottom"/>
          </w:tcPr>
          <w:p w14:paraId="223F4F21"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20401</w:t>
            </w:r>
          </w:p>
        </w:tc>
        <w:tc>
          <w:tcPr>
            <w:tcW w:w="1951" w:type="dxa"/>
            <w:tcBorders>
              <w:top w:val="nil"/>
              <w:left w:val="nil"/>
              <w:bottom w:val="single" w:sz="4" w:space="0" w:color="auto"/>
              <w:right w:val="single" w:sz="4" w:space="0" w:color="auto"/>
            </w:tcBorders>
            <w:shd w:val="clear" w:color="auto" w:fill="auto"/>
            <w:noWrap/>
            <w:vAlign w:val="bottom"/>
          </w:tcPr>
          <w:p w14:paraId="71CB7156"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Herramientas e Instrumentos</w:t>
            </w:r>
          </w:p>
        </w:tc>
        <w:tc>
          <w:tcPr>
            <w:tcW w:w="1132" w:type="dxa"/>
            <w:tcBorders>
              <w:top w:val="nil"/>
              <w:left w:val="nil"/>
              <w:bottom w:val="single" w:sz="4" w:space="0" w:color="auto"/>
              <w:right w:val="single" w:sz="4" w:space="0" w:color="auto"/>
            </w:tcBorders>
            <w:shd w:val="clear" w:color="auto" w:fill="auto"/>
            <w:noWrap/>
            <w:vAlign w:val="center"/>
          </w:tcPr>
          <w:p w14:paraId="24C7F3F8"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44.903</w:t>
            </w:r>
          </w:p>
        </w:tc>
        <w:tc>
          <w:tcPr>
            <w:tcW w:w="2494" w:type="dxa"/>
            <w:vMerge/>
            <w:tcBorders>
              <w:left w:val="nil"/>
              <w:right w:val="single" w:sz="4" w:space="0" w:color="auto"/>
            </w:tcBorders>
            <w:shd w:val="clear" w:color="auto" w:fill="auto"/>
            <w:noWrap/>
            <w:vAlign w:val="center"/>
          </w:tcPr>
          <w:p w14:paraId="25E73129"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09899611" w14:textId="77777777" w:rsidTr="0048334E">
        <w:trPr>
          <w:trHeight w:val="330"/>
          <w:jc w:val="center"/>
        </w:trPr>
        <w:tc>
          <w:tcPr>
            <w:tcW w:w="1129" w:type="dxa"/>
            <w:vMerge/>
            <w:tcBorders>
              <w:left w:val="single" w:sz="4" w:space="0" w:color="auto"/>
              <w:right w:val="single" w:sz="4" w:space="0" w:color="auto"/>
            </w:tcBorders>
            <w:shd w:val="clear" w:color="auto" w:fill="auto"/>
            <w:noWrap/>
            <w:vAlign w:val="center"/>
          </w:tcPr>
          <w:p w14:paraId="3F738B23" w14:textId="77777777" w:rsidR="0085505C" w:rsidRPr="002A7673" w:rsidRDefault="0085505C" w:rsidP="0048334E">
            <w:pPr>
              <w:spacing w:after="0" w:line="240" w:lineRule="auto"/>
              <w:jc w:val="center"/>
              <w:rPr>
                <w:rFonts w:ascii="Times New Roman" w:hAnsi="Times New Roman" w:cs="Times New Roman"/>
                <w:b/>
                <w:bCs/>
                <w:sz w:val="24"/>
                <w:szCs w:val="24"/>
              </w:rPr>
            </w:pPr>
          </w:p>
        </w:tc>
        <w:tc>
          <w:tcPr>
            <w:tcW w:w="1276" w:type="dxa"/>
            <w:vMerge/>
            <w:tcBorders>
              <w:left w:val="single" w:sz="4" w:space="0" w:color="auto"/>
              <w:right w:val="single" w:sz="4" w:space="0" w:color="auto"/>
            </w:tcBorders>
            <w:shd w:val="clear" w:color="auto" w:fill="auto"/>
            <w:vAlign w:val="bottom"/>
          </w:tcPr>
          <w:p w14:paraId="4EADA484" w14:textId="77777777" w:rsidR="0085505C" w:rsidRPr="002A7673" w:rsidRDefault="0085505C" w:rsidP="0048334E">
            <w:pPr>
              <w:spacing w:after="0" w:line="240" w:lineRule="auto"/>
              <w:rPr>
                <w:rFonts w:ascii="Times New Roman" w:hAnsi="Times New Roman" w:cs="Times New Roman"/>
                <w:sz w:val="24"/>
                <w:szCs w:val="24"/>
              </w:rPr>
            </w:pPr>
          </w:p>
        </w:tc>
        <w:tc>
          <w:tcPr>
            <w:tcW w:w="851" w:type="dxa"/>
            <w:tcBorders>
              <w:top w:val="nil"/>
              <w:left w:val="nil"/>
              <w:bottom w:val="single" w:sz="4" w:space="0" w:color="auto"/>
              <w:right w:val="single" w:sz="4" w:space="0" w:color="auto"/>
            </w:tcBorders>
            <w:shd w:val="clear" w:color="auto" w:fill="auto"/>
            <w:noWrap/>
            <w:vAlign w:val="bottom"/>
          </w:tcPr>
          <w:p w14:paraId="768D3DE2"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29901</w:t>
            </w:r>
          </w:p>
        </w:tc>
        <w:tc>
          <w:tcPr>
            <w:tcW w:w="1951" w:type="dxa"/>
            <w:tcBorders>
              <w:top w:val="nil"/>
              <w:left w:val="nil"/>
              <w:bottom w:val="single" w:sz="4" w:space="0" w:color="auto"/>
              <w:right w:val="single" w:sz="4" w:space="0" w:color="auto"/>
            </w:tcBorders>
            <w:shd w:val="clear" w:color="auto" w:fill="auto"/>
            <w:noWrap/>
            <w:vAlign w:val="center"/>
          </w:tcPr>
          <w:p w14:paraId="238BF074"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Útiles y materiales de Oficina y de Cómputo</w:t>
            </w:r>
          </w:p>
        </w:tc>
        <w:tc>
          <w:tcPr>
            <w:tcW w:w="1132" w:type="dxa"/>
            <w:tcBorders>
              <w:top w:val="nil"/>
              <w:left w:val="nil"/>
              <w:bottom w:val="single" w:sz="4" w:space="0" w:color="auto"/>
              <w:right w:val="single" w:sz="4" w:space="0" w:color="auto"/>
            </w:tcBorders>
            <w:shd w:val="clear" w:color="auto" w:fill="auto"/>
            <w:noWrap/>
            <w:vAlign w:val="center"/>
          </w:tcPr>
          <w:p w14:paraId="4A94549A"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7.322</w:t>
            </w:r>
          </w:p>
        </w:tc>
        <w:tc>
          <w:tcPr>
            <w:tcW w:w="2494" w:type="dxa"/>
            <w:vMerge/>
            <w:tcBorders>
              <w:left w:val="nil"/>
              <w:right w:val="single" w:sz="4" w:space="0" w:color="auto"/>
            </w:tcBorders>
            <w:shd w:val="clear" w:color="auto" w:fill="auto"/>
            <w:noWrap/>
            <w:vAlign w:val="center"/>
          </w:tcPr>
          <w:p w14:paraId="377E7635"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0E7CB947" w14:textId="77777777" w:rsidTr="0048334E">
        <w:trPr>
          <w:trHeight w:val="330"/>
          <w:jc w:val="center"/>
        </w:trPr>
        <w:tc>
          <w:tcPr>
            <w:tcW w:w="1129" w:type="dxa"/>
            <w:vMerge/>
            <w:tcBorders>
              <w:left w:val="single" w:sz="4" w:space="0" w:color="auto"/>
              <w:right w:val="single" w:sz="4" w:space="0" w:color="auto"/>
            </w:tcBorders>
            <w:shd w:val="clear" w:color="auto" w:fill="auto"/>
            <w:noWrap/>
            <w:vAlign w:val="center"/>
          </w:tcPr>
          <w:p w14:paraId="7E4EB03C" w14:textId="77777777" w:rsidR="0085505C" w:rsidRPr="002A7673" w:rsidRDefault="0085505C" w:rsidP="0048334E">
            <w:pPr>
              <w:spacing w:after="0" w:line="240" w:lineRule="auto"/>
              <w:jc w:val="center"/>
              <w:rPr>
                <w:rFonts w:ascii="Times New Roman" w:hAnsi="Times New Roman" w:cs="Times New Roman"/>
                <w:b/>
                <w:bCs/>
                <w:sz w:val="24"/>
                <w:szCs w:val="24"/>
              </w:rPr>
            </w:pPr>
          </w:p>
        </w:tc>
        <w:tc>
          <w:tcPr>
            <w:tcW w:w="1276" w:type="dxa"/>
            <w:vMerge/>
            <w:tcBorders>
              <w:left w:val="single" w:sz="4" w:space="0" w:color="auto"/>
              <w:right w:val="single" w:sz="4" w:space="0" w:color="auto"/>
            </w:tcBorders>
            <w:shd w:val="clear" w:color="auto" w:fill="auto"/>
            <w:vAlign w:val="bottom"/>
          </w:tcPr>
          <w:p w14:paraId="2BCBF87E" w14:textId="77777777" w:rsidR="0085505C" w:rsidRPr="002A7673" w:rsidRDefault="0085505C" w:rsidP="0048334E">
            <w:pPr>
              <w:spacing w:after="0" w:line="240" w:lineRule="auto"/>
              <w:rPr>
                <w:rFonts w:ascii="Times New Roman" w:hAnsi="Times New Roman" w:cs="Times New Roman"/>
                <w:sz w:val="24"/>
                <w:szCs w:val="24"/>
              </w:rPr>
            </w:pPr>
          </w:p>
        </w:tc>
        <w:tc>
          <w:tcPr>
            <w:tcW w:w="851" w:type="dxa"/>
            <w:tcBorders>
              <w:top w:val="nil"/>
              <w:left w:val="nil"/>
              <w:bottom w:val="single" w:sz="4" w:space="0" w:color="auto"/>
              <w:right w:val="single" w:sz="4" w:space="0" w:color="auto"/>
            </w:tcBorders>
            <w:shd w:val="clear" w:color="auto" w:fill="auto"/>
            <w:noWrap/>
            <w:vAlign w:val="bottom"/>
          </w:tcPr>
          <w:p w14:paraId="4B08B5A4"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50103</w:t>
            </w:r>
          </w:p>
        </w:tc>
        <w:tc>
          <w:tcPr>
            <w:tcW w:w="1951" w:type="dxa"/>
            <w:tcBorders>
              <w:top w:val="nil"/>
              <w:left w:val="nil"/>
              <w:bottom w:val="single" w:sz="4" w:space="0" w:color="auto"/>
              <w:right w:val="single" w:sz="4" w:space="0" w:color="auto"/>
            </w:tcBorders>
            <w:shd w:val="clear" w:color="auto" w:fill="auto"/>
            <w:noWrap/>
            <w:vAlign w:val="bottom"/>
          </w:tcPr>
          <w:p w14:paraId="282D3370"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Equipo de Comunicación</w:t>
            </w:r>
          </w:p>
        </w:tc>
        <w:tc>
          <w:tcPr>
            <w:tcW w:w="1132" w:type="dxa"/>
            <w:tcBorders>
              <w:top w:val="nil"/>
              <w:left w:val="nil"/>
              <w:bottom w:val="single" w:sz="4" w:space="0" w:color="auto"/>
              <w:right w:val="single" w:sz="4" w:space="0" w:color="auto"/>
            </w:tcBorders>
            <w:shd w:val="clear" w:color="auto" w:fill="auto"/>
            <w:noWrap/>
            <w:vAlign w:val="center"/>
          </w:tcPr>
          <w:p w14:paraId="691B27E0"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18.080</w:t>
            </w:r>
          </w:p>
        </w:tc>
        <w:tc>
          <w:tcPr>
            <w:tcW w:w="2494" w:type="dxa"/>
            <w:vMerge/>
            <w:tcBorders>
              <w:left w:val="nil"/>
              <w:right w:val="single" w:sz="4" w:space="0" w:color="auto"/>
            </w:tcBorders>
            <w:shd w:val="clear" w:color="auto" w:fill="auto"/>
            <w:noWrap/>
            <w:vAlign w:val="center"/>
          </w:tcPr>
          <w:p w14:paraId="51D5B48F"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241D0AC7" w14:textId="77777777" w:rsidTr="0048334E">
        <w:trPr>
          <w:trHeight w:val="330"/>
          <w:jc w:val="center"/>
        </w:trPr>
        <w:tc>
          <w:tcPr>
            <w:tcW w:w="1129" w:type="dxa"/>
            <w:vMerge/>
            <w:tcBorders>
              <w:left w:val="single" w:sz="4" w:space="0" w:color="auto"/>
              <w:bottom w:val="single" w:sz="4" w:space="0" w:color="auto"/>
              <w:right w:val="single" w:sz="4" w:space="0" w:color="auto"/>
            </w:tcBorders>
            <w:vAlign w:val="center"/>
            <w:hideMark/>
          </w:tcPr>
          <w:p w14:paraId="61DC9EC6" w14:textId="77777777" w:rsidR="0085505C" w:rsidRPr="002A7673" w:rsidRDefault="0085505C" w:rsidP="0048334E">
            <w:pPr>
              <w:spacing w:after="0" w:line="240" w:lineRule="auto"/>
              <w:rPr>
                <w:rFonts w:ascii="Times New Roman" w:hAnsi="Times New Roman" w:cs="Times New Roman"/>
                <w:b/>
                <w:bCs/>
                <w:sz w:val="24"/>
                <w:szCs w:val="24"/>
              </w:rPr>
            </w:pPr>
          </w:p>
        </w:tc>
        <w:tc>
          <w:tcPr>
            <w:tcW w:w="1276" w:type="dxa"/>
            <w:vMerge/>
            <w:tcBorders>
              <w:left w:val="single" w:sz="4" w:space="0" w:color="auto"/>
              <w:bottom w:val="single" w:sz="4" w:space="0" w:color="auto"/>
              <w:right w:val="single" w:sz="4" w:space="0" w:color="auto"/>
            </w:tcBorders>
            <w:vAlign w:val="center"/>
            <w:hideMark/>
          </w:tcPr>
          <w:p w14:paraId="67C404CB" w14:textId="77777777" w:rsidR="0085505C" w:rsidRPr="002A7673" w:rsidRDefault="0085505C" w:rsidP="0048334E">
            <w:pPr>
              <w:spacing w:after="0" w:line="240" w:lineRule="auto"/>
              <w:rPr>
                <w:rFonts w:ascii="Times New Roman" w:hAnsi="Times New Roman" w:cs="Times New Roman"/>
                <w:b/>
                <w:bCs/>
                <w:sz w:val="24"/>
                <w:szCs w:val="24"/>
              </w:rPr>
            </w:pPr>
          </w:p>
        </w:tc>
        <w:tc>
          <w:tcPr>
            <w:tcW w:w="2802"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65F8CB0B" w14:textId="77777777" w:rsidR="0085505C" w:rsidRPr="002A7673" w:rsidRDefault="0085505C" w:rsidP="0048334E">
            <w:pPr>
              <w:spacing w:after="0" w:line="240" w:lineRule="auto"/>
              <w:jc w:val="right"/>
              <w:rPr>
                <w:rFonts w:ascii="Times New Roman" w:hAnsi="Times New Roman" w:cs="Times New Roman"/>
                <w:b/>
                <w:bCs/>
                <w:color w:val="000000" w:themeColor="text1"/>
                <w:sz w:val="24"/>
                <w:szCs w:val="24"/>
              </w:rPr>
            </w:pPr>
            <w:proofErr w:type="gramStart"/>
            <w:r w:rsidRPr="002A7673">
              <w:rPr>
                <w:rFonts w:ascii="Times New Roman" w:hAnsi="Times New Roman" w:cs="Times New Roman"/>
                <w:b/>
                <w:bCs/>
                <w:color w:val="000000" w:themeColor="text1"/>
                <w:sz w:val="24"/>
                <w:szCs w:val="24"/>
              </w:rPr>
              <w:t>Total</w:t>
            </w:r>
            <w:proofErr w:type="gramEnd"/>
            <w:r w:rsidRPr="002A7673">
              <w:rPr>
                <w:rFonts w:ascii="Times New Roman" w:hAnsi="Times New Roman" w:cs="Times New Roman"/>
                <w:b/>
                <w:bCs/>
                <w:color w:val="000000" w:themeColor="text1"/>
                <w:sz w:val="24"/>
                <w:szCs w:val="24"/>
              </w:rPr>
              <w:t xml:space="preserve"> del proyecto</w:t>
            </w:r>
          </w:p>
        </w:tc>
        <w:tc>
          <w:tcPr>
            <w:tcW w:w="1132" w:type="dxa"/>
            <w:tcBorders>
              <w:top w:val="nil"/>
              <w:left w:val="nil"/>
              <w:bottom w:val="single" w:sz="4" w:space="0" w:color="auto"/>
              <w:right w:val="single" w:sz="4" w:space="0" w:color="auto"/>
            </w:tcBorders>
            <w:shd w:val="clear" w:color="000000" w:fill="F2F2F2"/>
            <w:noWrap/>
            <w:vAlign w:val="center"/>
            <w:hideMark/>
          </w:tcPr>
          <w:p w14:paraId="14924309" w14:textId="77777777" w:rsidR="0085505C" w:rsidRPr="002A7673" w:rsidRDefault="0085505C" w:rsidP="0048334E">
            <w:pPr>
              <w:spacing w:after="0" w:line="240" w:lineRule="auto"/>
              <w:jc w:val="right"/>
              <w:rPr>
                <w:rFonts w:ascii="Times New Roman" w:hAnsi="Times New Roman" w:cs="Times New Roman"/>
                <w:b/>
                <w:bCs/>
                <w:color w:val="000000" w:themeColor="text1"/>
                <w:sz w:val="24"/>
                <w:szCs w:val="24"/>
              </w:rPr>
            </w:pPr>
            <w:r w:rsidRPr="002A7673">
              <w:rPr>
                <w:rFonts w:ascii="Times New Roman" w:hAnsi="Times New Roman" w:cs="Times New Roman"/>
                <w:b/>
                <w:bCs/>
                <w:color w:val="000000" w:themeColor="text1"/>
                <w:sz w:val="24"/>
                <w:szCs w:val="24"/>
              </w:rPr>
              <w:t>93.713</w:t>
            </w:r>
          </w:p>
        </w:tc>
        <w:tc>
          <w:tcPr>
            <w:tcW w:w="2494" w:type="dxa"/>
            <w:tcBorders>
              <w:top w:val="nil"/>
              <w:left w:val="nil"/>
              <w:bottom w:val="single" w:sz="4" w:space="0" w:color="auto"/>
              <w:right w:val="single" w:sz="4" w:space="0" w:color="auto"/>
            </w:tcBorders>
            <w:shd w:val="clear" w:color="auto" w:fill="auto"/>
            <w:noWrap/>
            <w:vAlign w:val="center"/>
            <w:hideMark/>
          </w:tcPr>
          <w:p w14:paraId="4A22622C"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w:t>
            </w:r>
          </w:p>
        </w:tc>
      </w:tr>
      <w:tr w:rsidR="0085505C" w:rsidRPr="002A7673" w14:paraId="609CCDCA" w14:textId="77777777" w:rsidTr="0048334E">
        <w:trPr>
          <w:trHeight w:val="432"/>
          <w:jc w:val="center"/>
        </w:trPr>
        <w:tc>
          <w:tcPr>
            <w:tcW w:w="1129" w:type="dxa"/>
            <w:vMerge w:val="restart"/>
            <w:tcBorders>
              <w:top w:val="nil"/>
              <w:left w:val="single" w:sz="4" w:space="0" w:color="auto"/>
              <w:right w:val="single" w:sz="4" w:space="0" w:color="auto"/>
            </w:tcBorders>
            <w:shd w:val="clear" w:color="auto" w:fill="auto"/>
            <w:noWrap/>
            <w:vAlign w:val="center"/>
          </w:tcPr>
          <w:p w14:paraId="09333123"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1167-OIJ-P06</w:t>
            </w:r>
          </w:p>
        </w:tc>
        <w:tc>
          <w:tcPr>
            <w:tcW w:w="1276" w:type="dxa"/>
            <w:vMerge w:val="restart"/>
            <w:tcBorders>
              <w:top w:val="nil"/>
              <w:left w:val="single" w:sz="4" w:space="0" w:color="auto"/>
              <w:right w:val="single" w:sz="4" w:space="0" w:color="auto"/>
            </w:tcBorders>
            <w:shd w:val="clear" w:color="auto" w:fill="auto"/>
            <w:vAlign w:val="center"/>
          </w:tcPr>
          <w:p w14:paraId="0BF0D213" w14:textId="77777777" w:rsidR="0085505C" w:rsidRPr="002A7673" w:rsidRDefault="0085505C" w:rsidP="0048334E">
            <w:pPr>
              <w:spacing w:after="0" w:line="240" w:lineRule="auto"/>
              <w:jc w:val="center"/>
              <w:rPr>
                <w:rFonts w:ascii="Times New Roman" w:hAnsi="Times New Roman" w:cs="Times New Roman"/>
                <w:sz w:val="24"/>
                <w:szCs w:val="24"/>
              </w:rPr>
            </w:pPr>
            <w:r w:rsidRPr="002A7673">
              <w:rPr>
                <w:rFonts w:ascii="Times New Roman" w:hAnsi="Times New Roman" w:cs="Times New Roman"/>
                <w:sz w:val="24"/>
                <w:szCs w:val="24"/>
              </w:rPr>
              <w:t>Rezago y Archivos Fiscales</w:t>
            </w:r>
          </w:p>
        </w:tc>
        <w:tc>
          <w:tcPr>
            <w:tcW w:w="851" w:type="dxa"/>
            <w:tcBorders>
              <w:top w:val="nil"/>
              <w:left w:val="nil"/>
              <w:bottom w:val="single" w:sz="4" w:space="0" w:color="auto"/>
              <w:right w:val="single" w:sz="4" w:space="0" w:color="auto"/>
            </w:tcBorders>
            <w:shd w:val="clear" w:color="auto" w:fill="auto"/>
            <w:noWrap/>
            <w:vAlign w:val="center"/>
          </w:tcPr>
          <w:p w14:paraId="30B7EBE2"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10502</w:t>
            </w:r>
          </w:p>
        </w:tc>
        <w:tc>
          <w:tcPr>
            <w:tcW w:w="1951" w:type="dxa"/>
            <w:tcBorders>
              <w:top w:val="nil"/>
              <w:left w:val="nil"/>
              <w:bottom w:val="single" w:sz="4" w:space="0" w:color="auto"/>
              <w:right w:val="single" w:sz="4" w:space="0" w:color="auto"/>
            </w:tcBorders>
            <w:shd w:val="clear" w:color="auto" w:fill="auto"/>
            <w:noWrap/>
            <w:vAlign w:val="center"/>
          </w:tcPr>
          <w:p w14:paraId="1AE113CC"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Viáticos dentro del país</w:t>
            </w:r>
          </w:p>
        </w:tc>
        <w:tc>
          <w:tcPr>
            <w:tcW w:w="1132" w:type="dxa"/>
            <w:tcBorders>
              <w:top w:val="nil"/>
              <w:left w:val="nil"/>
              <w:bottom w:val="single" w:sz="4" w:space="0" w:color="auto"/>
              <w:right w:val="single" w:sz="4" w:space="0" w:color="auto"/>
            </w:tcBorders>
            <w:shd w:val="clear" w:color="auto" w:fill="auto"/>
            <w:noWrap/>
            <w:vAlign w:val="center"/>
          </w:tcPr>
          <w:p w14:paraId="47C132A7"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150.000</w:t>
            </w:r>
          </w:p>
        </w:tc>
        <w:tc>
          <w:tcPr>
            <w:tcW w:w="2494" w:type="dxa"/>
            <w:vMerge w:val="restart"/>
            <w:tcBorders>
              <w:top w:val="nil"/>
              <w:left w:val="nil"/>
              <w:right w:val="single" w:sz="4" w:space="0" w:color="auto"/>
            </w:tcBorders>
            <w:shd w:val="clear" w:color="auto" w:fill="auto"/>
            <w:noWrap/>
            <w:vAlign w:val="center"/>
          </w:tcPr>
          <w:p w14:paraId="59C11DB0"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Estos recursos se requieren para atender el desarrollo de las tareas a ejecutar en el proyecto, los cuales se atenderán con los recursos ordinarios asignados al Ministerio Público. En cuanto a los recursos para viáticos, estos se requieren para realizar las visitas de coordinación y revisión de expedientes. </w:t>
            </w:r>
          </w:p>
        </w:tc>
      </w:tr>
      <w:tr w:rsidR="0085505C" w:rsidRPr="002A7673" w14:paraId="74FA9684" w14:textId="77777777" w:rsidTr="0048334E">
        <w:trPr>
          <w:trHeight w:val="432"/>
          <w:jc w:val="center"/>
        </w:trPr>
        <w:tc>
          <w:tcPr>
            <w:tcW w:w="1129" w:type="dxa"/>
            <w:vMerge/>
            <w:tcBorders>
              <w:left w:val="single" w:sz="4" w:space="0" w:color="auto"/>
              <w:right w:val="single" w:sz="4" w:space="0" w:color="auto"/>
            </w:tcBorders>
            <w:shd w:val="clear" w:color="auto" w:fill="auto"/>
            <w:noWrap/>
            <w:vAlign w:val="center"/>
          </w:tcPr>
          <w:p w14:paraId="7A8FAAF3" w14:textId="77777777" w:rsidR="0085505C" w:rsidRPr="002A7673" w:rsidRDefault="0085505C" w:rsidP="0048334E">
            <w:pPr>
              <w:spacing w:after="0" w:line="240" w:lineRule="auto"/>
              <w:jc w:val="center"/>
              <w:rPr>
                <w:rFonts w:ascii="Times New Roman" w:hAnsi="Times New Roman" w:cs="Times New Roman"/>
                <w:b/>
                <w:bCs/>
                <w:sz w:val="24"/>
                <w:szCs w:val="24"/>
              </w:rPr>
            </w:pPr>
          </w:p>
        </w:tc>
        <w:tc>
          <w:tcPr>
            <w:tcW w:w="1276" w:type="dxa"/>
            <w:vMerge/>
            <w:tcBorders>
              <w:left w:val="single" w:sz="4" w:space="0" w:color="auto"/>
              <w:right w:val="single" w:sz="4" w:space="0" w:color="auto"/>
            </w:tcBorders>
            <w:shd w:val="clear" w:color="auto" w:fill="auto"/>
            <w:vAlign w:val="bottom"/>
          </w:tcPr>
          <w:p w14:paraId="749E340B" w14:textId="77777777" w:rsidR="0085505C" w:rsidRPr="002A7673" w:rsidRDefault="0085505C" w:rsidP="0048334E">
            <w:pPr>
              <w:spacing w:after="0" w:line="240" w:lineRule="auto"/>
              <w:jc w:val="center"/>
              <w:rPr>
                <w:rFonts w:ascii="Times New Roman" w:hAnsi="Times New Roman" w:cs="Times New Roman"/>
                <w:sz w:val="24"/>
                <w:szCs w:val="24"/>
              </w:rPr>
            </w:pPr>
          </w:p>
        </w:tc>
        <w:tc>
          <w:tcPr>
            <w:tcW w:w="851" w:type="dxa"/>
            <w:tcBorders>
              <w:top w:val="nil"/>
              <w:left w:val="nil"/>
              <w:bottom w:val="single" w:sz="4" w:space="0" w:color="auto"/>
              <w:right w:val="single" w:sz="4" w:space="0" w:color="auto"/>
            </w:tcBorders>
            <w:shd w:val="clear" w:color="auto" w:fill="auto"/>
            <w:noWrap/>
            <w:vAlign w:val="center"/>
          </w:tcPr>
          <w:p w14:paraId="743F8F4A"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20401</w:t>
            </w:r>
          </w:p>
        </w:tc>
        <w:tc>
          <w:tcPr>
            <w:tcW w:w="1951" w:type="dxa"/>
            <w:tcBorders>
              <w:top w:val="nil"/>
              <w:left w:val="nil"/>
              <w:bottom w:val="single" w:sz="4" w:space="0" w:color="auto"/>
              <w:right w:val="single" w:sz="4" w:space="0" w:color="auto"/>
            </w:tcBorders>
            <w:shd w:val="clear" w:color="auto" w:fill="auto"/>
            <w:noWrap/>
            <w:vAlign w:val="center"/>
          </w:tcPr>
          <w:p w14:paraId="45690F7B"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Herramientas e Instrumentos</w:t>
            </w:r>
          </w:p>
        </w:tc>
        <w:tc>
          <w:tcPr>
            <w:tcW w:w="1132" w:type="dxa"/>
            <w:tcBorders>
              <w:top w:val="nil"/>
              <w:left w:val="nil"/>
              <w:bottom w:val="single" w:sz="4" w:space="0" w:color="auto"/>
              <w:right w:val="single" w:sz="4" w:space="0" w:color="auto"/>
            </w:tcBorders>
            <w:shd w:val="clear" w:color="auto" w:fill="auto"/>
            <w:noWrap/>
            <w:vAlign w:val="center"/>
          </w:tcPr>
          <w:p w14:paraId="6A83B66D"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67.534</w:t>
            </w:r>
          </w:p>
        </w:tc>
        <w:tc>
          <w:tcPr>
            <w:tcW w:w="2494" w:type="dxa"/>
            <w:vMerge/>
            <w:tcBorders>
              <w:left w:val="nil"/>
              <w:right w:val="single" w:sz="4" w:space="0" w:color="auto"/>
            </w:tcBorders>
            <w:shd w:val="clear" w:color="auto" w:fill="auto"/>
            <w:noWrap/>
            <w:vAlign w:val="center"/>
          </w:tcPr>
          <w:p w14:paraId="59FA5E25"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58EE8EAB" w14:textId="77777777" w:rsidTr="0048334E">
        <w:trPr>
          <w:trHeight w:val="432"/>
          <w:jc w:val="center"/>
        </w:trPr>
        <w:tc>
          <w:tcPr>
            <w:tcW w:w="1129" w:type="dxa"/>
            <w:vMerge/>
            <w:tcBorders>
              <w:left w:val="single" w:sz="4" w:space="0" w:color="auto"/>
              <w:right w:val="single" w:sz="4" w:space="0" w:color="auto"/>
            </w:tcBorders>
            <w:shd w:val="clear" w:color="auto" w:fill="auto"/>
            <w:noWrap/>
            <w:vAlign w:val="center"/>
          </w:tcPr>
          <w:p w14:paraId="4C6D476E" w14:textId="77777777" w:rsidR="0085505C" w:rsidRPr="002A7673" w:rsidRDefault="0085505C" w:rsidP="0048334E">
            <w:pPr>
              <w:spacing w:after="0" w:line="240" w:lineRule="auto"/>
              <w:jc w:val="center"/>
              <w:rPr>
                <w:rFonts w:ascii="Times New Roman" w:hAnsi="Times New Roman" w:cs="Times New Roman"/>
                <w:b/>
                <w:bCs/>
                <w:sz w:val="24"/>
                <w:szCs w:val="24"/>
              </w:rPr>
            </w:pPr>
          </w:p>
        </w:tc>
        <w:tc>
          <w:tcPr>
            <w:tcW w:w="1276" w:type="dxa"/>
            <w:vMerge/>
            <w:tcBorders>
              <w:left w:val="single" w:sz="4" w:space="0" w:color="auto"/>
              <w:right w:val="single" w:sz="4" w:space="0" w:color="auto"/>
            </w:tcBorders>
            <w:shd w:val="clear" w:color="auto" w:fill="auto"/>
            <w:vAlign w:val="bottom"/>
          </w:tcPr>
          <w:p w14:paraId="175A1C02" w14:textId="77777777" w:rsidR="0085505C" w:rsidRPr="002A7673" w:rsidRDefault="0085505C" w:rsidP="0048334E">
            <w:pPr>
              <w:spacing w:after="0" w:line="240" w:lineRule="auto"/>
              <w:jc w:val="center"/>
              <w:rPr>
                <w:rFonts w:ascii="Times New Roman" w:hAnsi="Times New Roman" w:cs="Times New Roman"/>
                <w:sz w:val="24"/>
                <w:szCs w:val="24"/>
              </w:rPr>
            </w:pPr>
          </w:p>
        </w:tc>
        <w:tc>
          <w:tcPr>
            <w:tcW w:w="851" w:type="dxa"/>
            <w:tcBorders>
              <w:top w:val="nil"/>
              <w:left w:val="nil"/>
              <w:bottom w:val="single" w:sz="4" w:space="0" w:color="auto"/>
              <w:right w:val="single" w:sz="4" w:space="0" w:color="auto"/>
            </w:tcBorders>
            <w:shd w:val="clear" w:color="auto" w:fill="auto"/>
            <w:noWrap/>
            <w:vAlign w:val="center"/>
          </w:tcPr>
          <w:p w14:paraId="76F1326B"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29901</w:t>
            </w:r>
          </w:p>
        </w:tc>
        <w:tc>
          <w:tcPr>
            <w:tcW w:w="1951" w:type="dxa"/>
            <w:tcBorders>
              <w:top w:val="nil"/>
              <w:left w:val="nil"/>
              <w:bottom w:val="single" w:sz="4" w:space="0" w:color="auto"/>
              <w:right w:val="single" w:sz="4" w:space="0" w:color="auto"/>
            </w:tcBorders>
            <w:shd w:val="clear" w:color="auto" w:fill="auto"/>
            <w:noWrap/>
            <w:vAlign w:val="center"/>
          </w:tcPr>
          <w:p w14:paraId="1E282DD5"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Útiles y materiales de Oficina y de Cómputo</w:t>
            </w:r>
          </w:p>
        </w:tc>
        <w:tc>
          <w:tcPr>
            <w:tcW w:w="1132" w:type="dxa"/>
            <w:tcBorders>
              <w:top w:val="nil"/>
              <w:left w:val="nil"/>
              <w:bottom w:val="single" w:sz="4" w:space="0" w:color="auto"/>
              <w:right w:val="single" w:sz="4" w:space="0" w:color="auto"/>
            </w:tcBorders>
            <w:shd w:val="clear" w:color="auto" w:fill="auto"/>
            <w:noWrap/>
            <w:vAlign w:val="center"/>
          </w:tcPr>
          <w:p w14:paraId="0672FAB5"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10.984</w:t>
            </w:r>
          </w:p>
        </w:tc>
        <w:tc>
          <w:tcPr>
            <w:tcW w:w="2494" w:type="dxa"/>
            <w:vMerge/>
            <w:tcBorders>
              <w:left w:val="nil"/>
              <w:right w:val="single" w:sz="4" w:space="0" w:color="auto"/>
            </w:tcBorders>
            <w:shd w:val="clear" w:color="auto" w:fill="auto"/>
            <w:noWrap/>
            <w:vAlign w:val="center"/>
          </w:tcPr>
          <w:p w14:paraId="04089952"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37B4BCAD" w14:textId="77777777" w:rsidTr="0048334E">
        <w:trPr>
          <w:trHeight w:val="432"/>
          <w:jc w:val="center"/>
        </w:trPr>
        <w:tc>
          <w:tcPr>
            <w:tcW w:w="1129" w:type="dxa"/>
            <w:vMerge/>
            <w:tcBorders>
              <w:left w:val="single" w:sz="4" w:space="0" w:color="auto"/>
              <w:right w:val="single" w:sz="4" w:space="0" w:color="auto"/>
            </w:tcBorders>
            <w:shd w:val="clear" w:color="auto" w:fill="auto"/>
            <w:noWrap/>
            <w:vAlign w:val="center"/>
          </w:tcPr>
          <w:p w14:paraId="52E41295" w14:textId="77777777" w:rsidR="0085505C" w:rsidRPr="002A7673" w:rsidRDefault="0085505C" w:rsidP="0048334E">
            <w:pPr>
              <w:spacing w:after="0" w:line="240" w:lineRule="auto"/>
              <w:jc w:val="center"/>
              <w:rPr>
                <w:rFonts w:ascii="Times New Roman" w:hAnsi="Times New Roman" w:cs="Times New Roman"/>
                <w:b/>
                <w:bCs/>
                <w:sz w:val="24"/>
                <w:szCs w:val="24"/>
              </w:rPr>
            </w:pPr>
          </w:p>
        </w:tc>
        <w:tc>
          <w:tcPr>
            <w:tcW w:w="1276" w:type="dxa"/>
            <w:vMerge/>
            <w:tcBorders>
              <w:left w:val="single" w:sz="4" w:space="0" w:color="auto"/>
              <w:right w:val="single" w:sz="4" w:space="0" w:color="auto"/>
            </w:tcBorders>
            <w:shd w:val="clear" w:color="auto" w:fill="auto"/>
            <w:vAlign w:val="bottom"/>
          </w:tcPr>
          <w:p w14:paraId="12A9BD84" w14:textId="77777777" w:rsidR="0085505C" w:rsidRPr="002A7673" w:rsidRDefault="0085505C" w:rsidP="0048334E">
            <w:pPr>
              <w:spacing w:after="0" w:line="240" w:lineRule="auto"/>
              <w:jc w:val="center"/>
              <w:rPr>
                <w:rFonts w:ascii="Times New Roman" w:hAnsi="Times New Roman" w:cs="Times New Roman"/>
                <w:sz w:val="24"/>
                <w:szCs w:val="24"/>
              </w:rPr>
            </w:pPr>
          </w:p>
        </w:tc>
        <w:tc>
          <w:tcPr>
            <w:tcW w:w="851" w:type="dxa"/>
            <w:tcBorders>
              <w:top w:val="nil"/>
              <w:left w:val="nil"/>
              <w:bottom w:val="single" w:sz="4" w:space="0" w:color="auto"/>
              <w:right w:val="single" w:sz="4" w:space="0" w:color="auto"/>
            </w:tcBorders>
            <w:shd w:val="clear" w:color="auto" w:fill="auto"/>
            <w:noWrap/>
            <w:vAlign w:val="center"/>
          </w:tcPr>
          <w:p w14:paraId="14D82D33"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29903</w:t>
            </w:r>
          </w:p>
        </w:tc>
        <w:tc>
          <w:tcPr>
            <w:tcW w:w="1951" w:type="dxa"/>
            <w:tcBorders>
              <w:top w:val="nil"/>
              <w:left w:val="nil"/>
              <w:bottom w:val="single" w:sz="4" w:space="0" w:color="auto"/>
              <w:right w:val="single" w:sz="4" w:space="0" w:color="auto"/>
            </w:tcBorders>
            <w:shd w:val="clear" w:color="auto" w:fill="auto"/>
            <w:noWrap/>
            <w:vAlign w:val="center"/>
          </w:tcPr>
          <w:p w14:paraId="444AB280"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Productos de Papel, Cartón e Impresos</w:t>
            </w:r>
          </w:p>
        </w:tc>
        <w:tc>
          <w:tcPr>
            <w:tcW w:w="1132" w:type="dxa"/>
            <w:tcBorders>
              <w:top w:val="nil"/>
              <w:left w:val="nil"/>
              <w:bottom w:val="single" w:sz="4" w:space="0" w:color="auto"/>
              <w:right w:val="single" w:sz="4" w:space="0" w:color="auto"/>
            </w:tcBorders>
            <w:shd w:val="clear" w:color="auto" w:fill="auto"/>
            <w:noWrap/>
            <w:vAlign w:val="center"/>
          </w:tcPr>
          <w:p w14:paraId="00AEC274"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46.815</w:t>
            </w:r>
          </w:p>
        </w:tc>
        <w:tc>
          <w:tcPr>
            <w:tcW w:w="2494" w:type="dxa"/>
            <w:vMerge/>
            <w:tcBorders>
              <w:left w:val="nil"/>
              <w:right w:val="single" w:sz="4" w:space="0" w:color="auto"/>
            </w:tcBorders>
            <w:shd w:val="clear" w:color="auto" w:fill="auto"/>
            <w:noWrap/>
            <w:vAlign w:val="center"/>
          </w:tcPr>
          <w:p w14:paraId="4B668979"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344BB0DD" w14:textId="77777777" w:rsidTr="0048334E">
        <w:trPr>
          <w:trHeight w:val="432"/>
          <w:jc w:val="center"/>
        </w:trPr>
        <w:tc>
          <w:tcPr>
            <w:tcW w:w="1129" w:type="dxa"/>
            <w:vMerge/>
            <w:tcBorders>
              <w:left w:val="single" w:sz="4" w:space="0" w:color="auto"/>
              <w:right w:val="single" w:sz="4" w:space="0" w:color="auto"/>
            </w:tcBorders>
            <w:shd w:val="clear" w:color="auto" w:fill="auto"/>
            <w:noWrap/>
            <w:vAlign w:val="center"/>
          </w:tcPr>
          <w:p w14:paraId="2BB7165C" w14:textId="77777777" w:rsidR="0085505C" w:rsidRPr="002A7673" w:rsidRDefault="0085505C" w:rsidP="0048334E">
            <w:pPr>
              <w:spacing w:after="0" w:line="240" w:lineRule="auto"/>
              <w:jc w:val="center"/>
              <w:rPr>
                <w:rFonts w:ascii="Times New Roman" w:hAnsi="Times New Roman" w:cs="Times New Roman"/>
                <w:b/>
                <w:bCs/>
                <w:sz w:val="24"/>
                <w:szCs w:val="24"/>
              </w:rPr>
            </w:pPr>
          </w:p>
        </w:tc>
        <w:tc>
          <w:tcPr>
            <w:tcW w:w="1276" w:type="dxa"/>
            <w:vMerge/>
            <w:tcBorders>
              <w:left w:val="single" w:sz="4" w:space="0" w:color="auto"/>
              <w:right w:val="single" w:sz="4" w:space="0" w:color="auto"/>
            </w:tcBorders>
            <w:shd w:val="clear" w:color="auto" w:fill="auto"/>
            <w:vAlign w:val="bottom"/>
          </w:tcPr>
          <w:p w14:paraId="29E19546" w14:textId="77777777" w:rsidR="0085505C" w:rsidRPr="002A7673" w:rsidRDefault="0085505C" w:rsidP="0048334E">
            <w:pPr>
              <w:spacing w:after="0" w:line="240" w:lineRule="auto"/>
              <w:jc w:val="center"/>
              <w:rPr>
                <w:rFonts w:ascii="Times New Roman" w:hAnsi="Times New Roman" w:cs="Times New Roman"/>
                <w:sz w:val="24"/>
                <w:szCs w:val="24"/>
              </w:rPr>
            </w:pPr>
          </w:p>
        </w:tc>
        <w:tc>
          <w:tcPr>
            <w:tcW w:w="851" w:type="dxa"/>
            <w:tcBorders>
              <w:top w:val="nil"/>
              <w:left w:val="nil"/>
              <w:bottom w:val="single" w:sz="4" w:space="0" w:color="auto"/>
              <w:right w:val="single" w:sz="4" w:space="0" w:color="auto"/>
            </w:tcBorders>
            <w:shd w:val="clear" w:color="auto" w:fill="auto"/>
            <w:noWrap/>
            <w:vAlign w:val="center"/>
          </w:tcPr>
          <w:p w14:paraId="4E286DB4"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50103</w:t>
            </w:r>
          </w:p>
        </w:tc>
        <w:tc>
          <w:tcPr>
            <w:tcW w:w="1951" w:type="dxa"/>
            <w:tcBorders>
              <w:top w:val="nil"/>
              <w:left w:val="nil"/>
              <w:bottom w:val="single" w:sz="4" w:space="0" w:color="auto"/>
              <w:right w:val="single" w:sz="4" w:space="0" w:color="auto"/>
            </w:tcBorders>
            <w:shd w:val="clear" w:color="auto" w:fill="auto"/>
            <w:noWrap/>
            <w:vAlign w:val="center"/>
          </w:tcPr>
          <w:p w14:paraId="000572FA"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Equipo de Comunicación</w:t>
            </w:r>
          </w:p>
        </w:tc>
        <w:tc>
          <w:tcPr>
            <w:tcW w:w="1132" w:type="dxa"/>
            <w:tcBorders>
              <w:top w:val="nil"/>
              <w:left w:val="nil"/>
              <w:bottom w:val="single" w:sz="4" w:space="0" w:color="auto"/>
              <w:right w:val="single" w:sz="4" w:space="0" w:color="auto"/>
            </w:tcBorders>
            <w:shd w:val="clear" w:color="auto" w:fill="auto"/>
            <w:noWrap/>
            <w:vAlign w:val="center"/>
          </w:tcPr>
          <w:p w14:paraId="6C189977"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27.120</w:t>
            </w:r>
          </w:p>
        </w:tc>
        <w:tc>
          <w:tcPr>
            <w:tcW w:w="2494" w:type="dxa"/>
            <w:vMerge/>
            <w:tcBorders>
              <w:left w:val="nil"/>
              <w:right w:val="single" w:sz="4" w:space="0" w:color="auto"/>
            </w:tcBorders>
            <w:shd w:val="clear" w:color="auto" w:fill="auto"/>
            <w:noWrap/>
            <w:vAlign w:val="center"/>
          </w:tcPr>
          <w:p w14:paraId="06C4505D"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6C17D4B7" w14:textId="77777777" w:rsidTr="0048334E">
        <w:trPr>
          <w:trHeight w:val="330"/>
          <w:jc w:val="center"/>
        </w:trPr>
        <w:tc>
          <w:tcPr>
            <w:tcW w:w="1129" w:type="dxa"/>
            <w:vMerge/>
            <w:tcBorders>
              <w:left w:val="single" w:sz="4" w:space="0" w:color="auto"/>
              <w:bottom w:val="single" w:sz="4" w:space="0" w:color="auto"/>
              <w:right w:val="single" w:sz="4" w:space="0" w:color="auto"/>
            </w:tcBorders>
            <w:vAlign w:val="center"/>
            <w:hideMark/>
          </w:tcPr>
          <w:p w14:paraId="56CCE726" w14:textId="77777777" w:rsidR="0085505C" w:rsidRPr="002A7673" w:rsidRDefault="0085505C" w:rsidP="0048334E">
            <w:pPr>
              <w:spacing w:after="0" w:line="240" w:lineRule="auto"/>
              <w:rPr>
                <w:rFonts w:ascii="Times New Roman" w:hAnsi="Times New Roman" w:cs="Times New Roman"/>
                <w:b/>
                <w:bCs/>
                <w:sz w:val="24"/>
                <w:szCs w:val="24"/>
              </w:rPr>
            </w:pPr>
          </w:p>
        </w:tc>
        <w:tc>
          <w:tcPr>
            <w:tcW w:w="1276" w:type="dxa"/>
            <w:vMerge/>
            <w:tcBorders>
              <w:left w:val="single" w:sz="4" w:space="0" w:color="auto"/>
              <w:bottom w:val="single" w:sz="4" w:space="0" w:color="auto"/>
              <w:right w:val="single" w:sz="4" w:space="0" w:color="auto"/>
            </w:tcBorders>
            <w:vAlign w:val="center"/>
            <w:hideMark/>
          </w:tcPr>
          <w:p w14:paraId="0DCC86FB" w14:textId="77777777" w:rsidR="0085505C" w:rsidRPr="002A7673" w:rsidRDefault="0085505C" w:rsidP="0048334E">
            <w:pPr>
              <w:spacing w:after="0" w:line="240" w:lineRule="auto"/>
              <w:rPr>
                <w:rFonts w:ascii="Times New Roman" w:hAnsi="Times New Roman" w:cs="Times New Roman"/>
                <w:b/>
                <w:bCs/>
                <w:sz w:val="24"/>
                <w:szCs w:val="24"/>
              </w:rPr>
            </w:pPr>
          </w:p>
        </w:tc>
        <w:tc>
          <w:tcPr>
            <w:tcW w:w="2802" w:type="dxa"/>
            <w:gridSpan w:val="2"/>
            <w:tcBorders>
              <w:top w:val="single" w:sz="4" w:space="0" w:color="auto"/>
              <w:left w:val="nil"/>
              <w:bottom w:val="single" w:sz="4" w:space="0" w:color="auto"/>
              <w:right w:val="single" w:sz="4" w:space="0" w:color="auto"/>
            </w:tcBorders>
            <w:shd w:val="clear" w:color="000000" w:fill="F2F2F2"/>
            <w:noWrap/>
            <w:vAlign w:val="center"/>
            <w:hideMark/>
          </w:tcPr>
          <w:p w14:paraId="7A630D6B" w14:textId="77777777" w:rsidR="0085505C" w:rsidRPr="002A7673" w:rsidRDefault="0085505C" w:rsidP="0048334E">
            <w:pPr>
              <w:spacing w:after="0" w:line="240" w:lineRule="auto"/>
              <w:jc w:val="right"/>
              <w:rPr>
                <w:rFonts w:ascii="Times New Roman" w:hAnsi="Times New Roman" w:cs="Times New Roman"/>
                <w:b/>
                <w:bCs/>
                <w:color w:val="000000" w:themeColor="text1"/>
                <w:sz w:val="24"/>
                <w:szCs w:val="24"/>
              </w:rPr>
            </w:pPr>
            <w:proofErr w:type="gramStart"/>
            <w:r w:rsidRPr="002A7673">
              <w:rPr>
                <w:rFonts w:ascii="Times New Roman" w:hAnsi="Times New Roman" w:cs="Times New Roman"/>
                <w:b/>
                <w:bCs/>
                <w:color w:val="000000" w:themeColor="text1"/>
                <w:sz w:val="24"/>
                <w:szCs w:val="24"/>
              </w:rPr>
              <w:t>Total</w:t>
            </w:r>
            <w:proofErr w:type="gramEnd"/>
            <w:r w:rsidRPr="002A7673">
              <w:rPr>
                <w:rFonts w:ascii="Times New Roman" w:hAnsi="Times New Roman" w:cs="Times New Roman"/>
                <w:b/>
                <w:bCs/>
                <w:color w:val="000000" w:themeColor="text1"/>
                <w:sz w:val="24"/>
                <w:szCs w:val="24"/>
              </w:rPr>
              <w:t xml:space="preserve"> del proyecto</w:t>
            </w:r>
          </w:p>
        </w:tc>
        <w:tc>
          <w:tcPr>
            <w:tcW w:w="1132" w:type="dxa"/>
            <w:tcBorders>
              <w:top w:val="nil"/>
              <w:left w:val="nil"/>
              <w:bottom w:val="single" w:sz="4" w:space="0" w:color="auto"/>
              <w:right w:val="single" w:sz="4" w:space="0" w:color="auto"/>
            </w:tcBorders>
            <w:shd w:val="clear" w:color="auto" w:fill="auto"/>
            <w:noWrap/>
            <w:vAlign w:val="center"/>
            <w:hideMark/>
          </w:tcPr>
          <w:p w14:paraId="4506B197" w14:textId="77777777" w:rsidR="0085505C" w:rsidRPr="002A7673" w:rsidRDefault="0085505C" w:rsidP="0048334E">
            <w:pPr>
              <w:spacing w:after="0" w:line="240" w:lineRule="auto"/>
              <w:jc w:val="right"/>
              <w:rPr>
                <w:rFonts w:ascii="Times New Roman" w:hAnsi="Times New Roman" w:cs="Times New Roman"/>
                <w:b/>
                <w:bCs/>
                <w:color w:val="000000" w:themeColor="text1"/>
                <w:sz w:val="24"/>
                <w:szCs w:val="24"/>
              </w:rPr>
            </w:pPr>
            <w:r w:rsidRPr="002A7673">
              <w:rPr>
                <w:rFonts w:ascii="Times New Roman" w:hAnsi="Times New Roman" w:cs="Times New Roman"/>
                <w:b/>
                <w:bCs/>
                <w:color w:val="000000" w:themeColor="text1"/>
                <w:sz w:val="24"/>
                <w:szCs w:val="24"/>
              </w:rPr>
              <w:t>302.453</w:t>
            </w:r>
          </w:p>
        </w:tc>
        <w:tc>
          <w:tcPr>
            <w:tcW w:w="2494" w:type="dxa"/>
            <w:tcBorders>
              <w:top w:val="nil"/>
              <w:left w:val="nil"/>
              <w:bottom w:val="single" w:sz="4" w:space="0" w:color="auto"/>
              <w:right w:val="single" w:sz="4" w:space="0" w:color="auto"/>
            </w:tcBorders>
            <w:shd w:val="clear" w:color="auto" w:fill="auto"/>
            <w:noWrap/>
            <w:vAlign w:val="center"/>
            <w:hideMark/>
          </w:tcPr>
          <w:p w14:paraId="2CD7C11A"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w:t>
            </w:r>
          </w:p>
        </w:tc>
      </w:tr>
      <w:tr w:rsidR="0085505C" w:rsidRPr="002A7673" w14:paraId="27B5FC56" w14:textId="77777777" w:rsidTr="0048334E">
        <w:trPr>
          <w:trHeight w:val="330"/>
          <w:jc w:val="center"/>
        </w:trPr>
        <w:tc>
          <w:tcPr>
            <w:tcW w:w="1129" w:type="dxa"/>
            <w:tcBorders>
              <w:top w:val="nil"/>
              <w:left w:val="nil"/>
              <w:bottom w:val="nil"/>
              <w:right w:val="nil"/>
            </w:tcBorders>
            <w:shd w:val="clear" w:color="auto" w:fill="auto"/>
            <w:noWrap/>
            <w:vAlign w:val="center"/>
            <w:hideMark/>
          </w:tcPr>
          <w:p w14:paraId="69485B40" w14:textId="77777777" w:rsidR="0085505C" w:rsidRPr="002A7673" w:rsidRDefault="0085505C" w:rsidP="0048334E">
            <w:pPr>
              <w:spacing w:after="0" w:line="240" w:lineRule="auto"/>
              <w:rPr>
                <w:rFonts w:ascii="Times New Roman" w:hAnsi="Times New Roman" w:cs="Times New Roman"/>
                <w:color w:val="000000"/>
                <w:sz w:val="26"/>
                <w:szCs w:val="26"/>
              </w:rPr>
            </w:pPr>
          </w:p>
        </w:tc>
        <w:tc>
          <w:tcPr>
            <w:tcW w:w="1276" w:type="dxa"/>
            <w:tcBorders>
              <w:top w:val="nil"/>
              <w:left w:val="nil"/>
              <w:bottom w:val="nil"/>
              <w:right w:val="single" w:sz="4" w:space="0" w:color="auto"/>
            </w:tcBorders>
            <w:shd w:val="clear" w:color="auto" w:fill="auto"/>
            <w:noWrap/>
            <w:vAlign w:val="center"/>
            <w:hideMark/>
          </w:tcPr>
          <w:p w14:paraId="17E1A050" w14:textId="77777777" w:rsidR="0085505C" w:rsidRPr="002A7673" w:rsidRDefault="0085505C" w:rsidP="0048334E">
            <w:pPr>
              <w:spacing w:after="0" w:line="240" w:lineRule="auto"/>
              <w:rPr>
                <w:rFonts w:ascii="Times New Roman" w:hAnsi="Times New Roman" w:cs="Times New Roman"/>
                <w:sz w:val="26"/>
                <w:szCs w:val="26"/>
              </w:rPr>
            </w:pPr>
          </w:p>
        </w:tc>
        <w:tc>
          <w:tcPr>
            <w:tcW w:w="2802" w:type="dxa"/>
            <w:gridSpan w:val="2"/>
            <w:tcBorders>
              <w:top w:val="single" w:sz="4" w:space="0" w:color="auto"/>
              <w:left w:val="single" w:sz="4" w:space="0" w:color="auto"/>
              <w:bottom w:val="single" w:sz="4" w:space="0" w:color="auto"/>
              <w:right w:val="single" w:sz="4" w:space="0" w:color="auto"/>
            </w:tcBorders>
            <w:shd w:val="clear" w:color="auto" w:fill="1F3864" w:themeFill="accent5" w:themeFillShade="80"/>
            <w:noWrap/>
            <w:vAlign w:val="center"/>
            <w:hideMark/>
          </w:tcPr>
          <w:p w14:paraId="45CFCC6B" w14:textId="77777777" w:rsidR="0085505C" w:rsidRPr="002A7673" w:rsidRDefault="0085505C" w:rsidP="0048334E">
            <w:pPr>
              <w:spacing w:after="0" w:line="240" w:lineRule="auto"/>
              <w:jc w:val="right"/>
              <w:rPr>
                <w:rFonts w:ascii="Times New Roman" w:hAnsi="Times New Roman" w:cs="Times New Roman"/>
                <w:b/>
                <w:bCs/>
                <w:color w:val="FFFFFF" w:themeColor="background1"/>
                <w:sz w:val="26"/>
                <w:szCs w:val="26"/>
              </w:rPr>
            </w:pPr>
            <w:proofErr w:type="gramStart"/>
            <w:r w:rsidRPr="002A7673">
              <w:rPr>
                <w:rFonts w:ascii="Times New Roman" w:hAnsi="Times New Roman" w:cs="Times New Roman"/>
                <w:b/>
                <w:bCs/>
                <w:color w:val="FFFFFF" w:themeColor="background1"/>
                <w:sz w:val="26"/>
                <w:szCs w:val="26"/>
              </w:rPr>
              <w:t>Total</w:t>
            </w:r>
            <w:proofErr w:type="gramEnd"/>
            <w:r w:rsidRPr="002A7673">
              <w:rPr>
                <w:rFonts w:ascii="Times New Roman" w:hAnsi="Times New Roman" w:cs="Times New Roman"/>
                <w:b/>
                <w:bCs/>
                <w:color w:val="FFFFFF" w:themeColor="background1"/>
                <w:sz w:val="26"/>
                <w:szCs w:val="26"/>
              </w:rPr>
              <w:t xml:space="preserve"> general</w:t>
            </w:r>
          </w:p>
        </w:tc>
        <w:tc>
          <w:tcPr>
            <w:tcW w:w="1132" w:type="dxa"/>
            <w:tcBorders>
              <w:top w:val="single" w:sz="4" w:space="0" w:color="auto"/>
              <w:left w:val="single" w:sz="4" w:space="0" w:color="auto"/>
              <w:bottom w:val="single" w:sz="4" w:space="0" w:color="auto"/>
              <w:right w:val="single" w:sz="4" w:space="0" w:color="auto"/>
            </w:tcBorders>
            <w:shd w:val="clear" w:color="auto" w:fill="1F3864" w:themeFill="accent5" w:themeFillShade="80"/>
            <w:noWrap/>
            <w:vAlign w:val="center"/>
            <w:hideMark/>
          </w:tcPr>
          <w:p w14:paraId="4FE1F6EB" w14:textId="77777777" w:rsidR="0085505C" w:rsidRPr="002A7673" w:rsidRDefault="0085505C" w:rsidP="0048334E">
            <w:pPr>
              <w:spacing w:after="0" w:line="240" w:lineRule="auto"/>
              <w:jc w:val="right"/>
              <w:rPr>
                <w:rFonts w:ascii="Times New Roman" w:hAnsi="Times New Roman" w:cs="Times New Roman"/>
                <w:b/>
                <w:bCs/>
                <w:color w:val="FFFFFF" w:themeColor="background1"/>
                <w:sz w:val="26"/>
                <w:szCs w:val="26"/>
              </w:rPr>
            </w:pPr>
            <w:r w:rsidRPr="002A7673">
              <w:rPr>
                <w:rFonts w:ascii="Times New Roman" w:hAnsi="Times New Roman" w:cs="Times New Roman"/>
                <w:b/>
                <w:bCs/>
                <w:color w:val="FFFFFF" w:themeColor="background1"/>
                <w:sz w:val="26"/>
                <w:szCs w:val="26"/>
              </w:rPr>
              <w:t>433.420</w:t>
            </w:r>
          </w:p>
        </w:tc>
        <w:tc>
          <w:tcPr>
            <w:tcW w:w="2494" w:type="dxa"/>
            <w:tcBorders>
              <w:top w:val="nil"/>
              <w:left w:val="single" w:sz="4" w:space="0" w:color="auto"/>
              <w:bottom w:val="nil"/>
              <w:right w:val="nil"/>
            </w:tcBorders>
            <w:shd w:val="clear" w:color="auto" w:fill="auto"/>
            <w:noWrap/>
            <w:vAlign w:val="center"/>
            <w:hideMark/>
          </w:tcPr>
          <w:p w14:paraId="2ACA6B3E" w14:textId="77777777" w:rsidR="0085505C" w:rsidRPr="002A7673" w:rsidRDefault="0085505C" w:rsidP="0048334E">
            <w:pPr>
              <w:spacing w:after="0" w:line="240" w:lineRule="auto"/>
              <w:jc w:val="right"/>
              <w:rPr>
                <w:rFonts w:ascii="Times New Roman" w:hAnsi="Times New Roman" w:cs="Times New Roman"/>
                <w:b/>
                <w:bCs/>
                <w:sz w:val="26"/>
                <w:szCs w:val="26"/>
              </w:rPr>
            </w:pPr>
          </w:p>
          <w:p w14:paraId="3280E325" w14:textId="77777777" w:rsidR="0085505C" w:rsidRPr="002A7673" w:rsidRDefault="0085505C" w:rsidP="0048334E">
            <w:pPr>
              <w:spacing w:after="0" w:line="240" w:lineRule="auto"/>
              <w:jc w:val="right"/>
              <w:rPr>
                <w:rFonts w:ascii="Times New Roman" w:hAnsi="Times New Roman" w:cs="Times New Roman"/>
                <w:b/>
                <w:bCs/>
                <w:sz w:val="26"/>
                <w:szCs w:val="26"/>
              </w:rPr>
            </w:pPr>
          </w:p>
          <w:p w14:paraId="1596D012" w14:textId="77777777" w:rsidR="0085505C" w:rsidRPr="002A7673" w:rsidRDefault="0085505C" w:rsidP="0048334E">
            <w:pPr>
              <w:spacing w:after="0" w:line="240" w:lineRule="auto"/>
              <w:jc w:val="right"/>
              <w:rPr>
                <w:rFonts w:ascii="Times New Roman" w:hAnsi="Times New Roman" w:cs="Times New Roman"/>
                <w:b/>
                <w:bCs/>
                <w:sz w:val="26"/>
                <w:szCs w:val="26"/>
              </w:rPr>
            </w:pPr>
          </w:p>
          <w:p w14:paraId="55B8FCE8" w14:textId="77777777" w:rsidR="0085505C" w:rsidRPr="002A7673" w:rsidRDefault="0085505C" w:rsidP="0048334E">
            <w:pPr>
              <w:spacing w:after="0" w:line="240" w:lineRule="auto"/>
              <w:jc w:val="right"/>
              <w:rPr>
                <w:rFonts w:ascii="Times New Roman" w:hAnsi="Times New Roman" w:cs="Times New Roman"/>
                <w:b/>
                <w:bCs/>
                <w:sz w:val="26"/>
                <w:szCs w:val="26"/>
              </w:rPr>
            </w:pPr>
          </w:p>
          <w:p w14:paraId="34CB3D3A" w14:textId="77777777" w:rsidR="0085505C" w:rsidRPr="002A7673" w:rsidRDefault="0085505C" w:rsidP="0048334E">
            <w:pPr>
              <w:spacing w:after="0" w:line="240" w:lineRule="auto"/>
              <w:jc w:val="right"/>
              <w:rPr>
                <w:rFonts w:ascii="Times New Roman" w:hAnsi="Times New Roman" w:cs="Times New Roman"/>
                <w:b/>
                <w:bCs/>
                <w:sz w:val="26"/>
                <w:szCs w:val="26"/>
              </w:rPr>
            </w:pPr>
          </w:p>
          <w:p w14:paraId="73F8B7F4" w14:textId="77777777" w:rsidR="0085505C" w:rsidRPr="002A7673" w:rsidRDefault="0085505C" w:rsidP="0048334E">
            <w:pPr>
              <w:spacing w:after="0" w:line="240" w:lineRule="auto"/>
              <w:jc w:val="right"/>
              <w:rPr>
                <w:rFonts w:ascii="Times New Roman" w:hAnsi="Times New Roman" w:cs="Times New Roman"/>
                <w:b/>
                <w:bCs/>
                <w:sz w:val="26"/>
                <w:szCs w:val="26"/>
              </w:rPr>
            </w:pPr>
          </w:p>
        </w:tc>
      </w:tr>
    </w:tbl>
    <w:p w14:paraId="0B9E29EA" w14:textId="77777777" w:rsidR="0085505C" w:rsidRPr="002A7673" w:rsidRDefault="0085505C" w:rsidP="0085505C">
      <w:pPr>
        <w:spacing w:after="0" w:line="360" w:lineRule="auto"/>
        <w:ind w:left="360"/>
        <w:jc w:val="both"/>
        <w:rPr>
          <w:rFonts w:ascii="Times New Roman" w:eastAsia="Times New Roman" w:hAnsi="Times New Roman" w:cs="Times New Roman"/>
          <w:b/>
          <w:sz w:val="26"/>
          <w:szCs w:val="26"/>
          <w:lang w:val="es-ES" w:eastAsia="es-ES"/>
        </w:rPr>
      </w:pPr>
    </w:p>
    <w:p w14:paraId="4DBAB21A" w14:textId="77777777" w:rsidR="0085505C" w:rsidRPr="002A7673" w:rsidRDefault="0085505C" w:rsidP="00FF3FAC">
      <w:pPr>
        <w:numPr>
          <w:ilvl w:val="0"/>
          <w:numId w:val="76"/>
        </w:numPr>
        <w:spacing w:after="0" w:line="360" w:lineRule="auto"/>
        <w:contextualSpacing/>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Detalle de Rebajos por Subpartida</w:t>
      </w:r>
    </w:p>
    <w:p w14:paraId="0E4F5CD9" w14:textId="77777777" w:rsidR="0085505C" w:rsidRPr="002A7673" w:rsidRDefault="0085505C" w:rsidP="0085505C">
      <w:pPr>
        <w:spacing w:after="0" w:line="360" w:lineRule="auto"/>
        <w:ind w:left="360"/>
        <w:jc w:val="both"/>
        <w:rPr>
          <w:rFonts w:ascii="Times New Roman" w:hAnsi="Times New Roman" w:cs="Times New Roman"/>
          <w:sz w:val="26"/>
          <w:szCs w:val="26"/>
        </w:rPr>
      </w:pPr>
      <w:r w:rsidRPr="002A7673">
        <w:rPr>
          <w:rFonts w:ascii="Times New Roman" w:hAnsi="Times New Roman" w:cs="Times New Roman"/>
          <w:sz w:val="26"/>
          <w:szCs w:val="26"/>
        </w:rPr>
        <w:t xml:space="preserve">Conforme las Directrices Técnicas para la Formulación del Anteproyecto de Presupuesto 2022 y en coordinación con la Licda. Johan Vallecillos Canales se </w:t>
      </w:r>
      <w:proofErr w:type="gramStart"/>
      <w:r w:rsidRPr="002A7673">
        <w:rPr>
          <w:rFonts w:ascii="Times New Roman" w:hAnsi="Times New Roman" w:cs="Times New Roman"/>
          <w:sz w:val="26"/>
          <w:szCs w:val="26"/>
        </w:rPr>
        <w:t>realizaron  rebajos</w:t>
      </w:r>
      <w:proofErr w:type="gramEnd"/>
      <w:r w:rsidRPr="002A7673">
        <w:rPr>
          <w:rFonts w:ascii="Times New Roman" w:hAnsi="Times New Roman" w:cs="Times New Roman"/>
          <w:sz w:val="26"/>
          <w:szCs w:val="26"/>
        </w:rPr>
        <w:t xml:space="preserve"> por un total de ¢102.547.775, tal como se aprecia a continuación:</w:t>
      </w:r>
    </w:p>
    <w:tbl>
      <w:tblPr>
        <w:tblW w:w="5000" w:type="pct"/>
        <w:jc w:val="center"/>
        <w:tblLook w:val="04A0" w:firstRow="1" w:lastRow="0" w:firstColumn="1" w:lastColumn="0" w:noHBand="0" w:noVBand="1"/>
      </w:tblPr>
      <w:tblGrid>
        <w:gridCol w:w="2296"/>
        <w:gridCol w:w="5542"/>
        <w:gridCol w:w="1820"/>
      </w:tblGrid>
      <w:tr w:rsidR="0085505C" w:rsidRPr="002A7673" w14:paraId="1BD9FB0B" w14:textId="77777777" w:rsidTr="0048334E">
        <w:trPr>
          <w:trHeight w:val="300"/>
          <w:jc w:val="center"/>
        </w:trPr>
        <w:tc>
          <w:tcPr>
            <w:tcW w:w="1189" w:type="pct"/>
            <w:tcBorders>
              <w:top w:val="single" w:sz="4" w:space="0" w:color="auto"/>
              <w:left w:val="single" w:sz="4" w:space="0" w:color="auto"/>
              <w:bottom w:val="single" w:sz="4" w:space="0" w:color="auto"/>
              <w:right w:val="single" w:sz="4" w:space="0" w:color="auto"/>
            </w:tcBorders>
            <w:shd w:val="clear" w:color="D9E1F2" w:fill="2E74B5" w:themeFill="accent1" w:themeFillShade="BF"/>
            <w:noWrap/>
            <w:vAlign w:val="center"/>
            <w:hideMark/>
          </w:tcPr>
          <w:p w14:paraId="15A9BCAA"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Código Subpartida</w:t>
            </w:r>
          </w:p>
        </w:tc>
        <w:tc>
          <w:tcPr>
            <w:tcW w:w="2869" w:type="pct"/>
            <w:tcBorders>
              <w:top w:val="single" w:sz="4" w:space="0" w:color="auto"/>
              <w:left w:val="nil"/>
              <w:bottom w:val="single" w:sz="4" w:space="0" w:color="auto"/>
              <w:right w:val="single" w:sz="4" w:space="0" w:color="auto"/>
            </w:tcBorders>
            <w:shd w:val="clear" w:color="D9E1F2" w:fill="2E74B5" w:themeFill="accent1" w:themeFillShade="BF"/>
            <w:noWrap/>
            <w:vAlign w:val="center"/>
            <w:hideMark/>
          </w:tcPr>
          <w:p w14:paraId="2BB77257"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Descripción de la Subpartida</w:t>
            </w:r>
          </w:p>
        </w:tc>
        <w:tc>
          <w:tcPr>
            <w:tcW w:w="942" w:type="pct"/>
            <w:tcBorders>
              <w:top w:val="single" w:sz="4" w:space="0" w:color="auto"/>
              <w:left w:val="nil"/>
              <w:bottom w:val="single" w:sz="4" w:space="0" w:color="auto"/>
              <w:right w:val="single" w:sz="4" w:space="0" w:color="auto"/>
            </w:tcBorders>
            <w:shd w:val="clear" w:color="D9E1F2" w:fill="2E74B5" w:themeFill="accent1" w:themeFillShade="BF"/>
            <w:noWrap/>
            <w:vAlign w:val="center"/>
            <w:hideMark/>
          </w:tcPr>
          <w:p w14:paraId="37AA505E"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Monto</w:t>
            </w:r>
          </w:p>
        </w:tc>
      </w:tr>
      <w:tr w:rsidR="0085505C" w:rsidRPr="002A7673" w14:paraId="13F590E6" w14:textId="77777777" w:rsidTr="0048334E">
        <w:trPr>
          <w:trHeight w:val="300"/>
          <w:jc w:val="center"/>
        </w:trPr>
        <w:tc>
          <w:tcPr>
            <w:tcW w:w="1189" w:type="pct"/>
            <w:tcBorders>
              <w:top w:val="nil"/>
              <w:left w:val="single" w:sz="4" w:space="0" w:color="auto"/>
              <w:bottom w:val="single" w:sz="4" w:space="0" w:color="auto"/>
              <w:right w:val="single" w:sz="4" w:space="0" w:color="auto"/>
            </w:tcBorders>
            <w:shd w:val="clear" w:color="auto" w:fill="auto"/>
            <w:noWrap/>
            <w:vAlign w:val="bottom"/>
          </w:tcPr>
          <w:p w14:paraId="1480A71F"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lastRenderedPageBreak/>
              <w:t>10499</w:t>
            </w:r>
          </w:p>
        </w:tc>
        <w:tc>
          <w:tcPr>
            <w:tcW w:w="2869" w:type="pct"/>
            <w:tcBorders>
              <w:top w:val="nil"/>
              <w:left w:val="nil"/>
              <w:bottom w:val="single" w:sz="4" w:space="0" w:color="auto"/>
              <w:right w:val="single" w:sz="4" w:space="0" w:color="auto"/>
            </w:tcBorders>
            <w:shd w:val="clear" w:color="auto" w:fill="auto"/>
            <w:noWrap/>
            <w:vAlign w:val="bottom"/>
          </w:tcPr>
          <w:p w14:paraId="269806BD"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Otros Servicios de Gestión y Apoyo </w:t>
            </w:r>
          </w:p>
        </w:tc>
        <w:tc>
          <w:tcPr>
            <w:tcW w:w="942" w:type="pct"/>
            <w:tcBorders>
              <w:top w:val="nil"/>
              <w:left w:val="nil"/>
              <w:bottom w:val="single" w:sz="4" w:space="0" w:color="auto"/>
              <w:right w:val="single" w:sz="4" w:space="0" w:color="auto"/>
            </w:tcBorders>
            <w:shd w:val="clear" w:color="auto" w:fill="auto"/>
            <w:noWrap/>
            <w:vAlign w:val="bottom"/>
          </w:tcPr>
          <w:p w14:paraId="31473629" w14:textId="77777777" w:rsidR="0085505C" w:rsidRPr="002A7673" w:rsidRDefault="0085505C" w:rsidP="0048334E">
            <w:pPr>
              <w:spacing w:after="0" w:line="240" w:lineRule="auto"/>
              <w:jc w:val="right"/>
              <w:rPr>
                <w:rFonts w:ascii="Times New Roman" w:hAnsi="Times New Roman" w:cs="Times New Roman"/>
                <w:color w:val="000000"/>
                <w:sz w:val="24"/>
                <w:szCs w:val="24"/>
                <w:vertAlign w:val="superscript"/>
              </w:rPr>
            </w:pPr>
            <w:r w:rsidRPr="002A7673">
              <w:rPr>
                <w:rFonts w:ascii="Times New Roman" w:hAnsi="Times New Roman" w:cs="Times New Roman"/>
                <w:color w:val="000000"/>
                <w:sz w:val="24"/>
                <w:szCs w:val="24"/>
              </w:rPr>
              <w:t xml:space="preserve">¢50.000.000 </w:t>
            </w:r>
            <w:r w:rsidRPr="002A7673">
              <w:rPr>
                <w:rFonts w:ascii="Times New Roman" w:hAnsi="Times New Roman" w:cs="Times New Roman"/>
                <w:color w:val="000000"/>
                <w:sz w:val="24"/>
                <w:szCs w:val="24"/>
                <w:vertAlign w:val="superscript"/>
              </w:rPr>
              <w:t>1</w:t>
            </w:r>
          </w:p>
        </w:tc>
      </w:tr>
      <w:tr w:rsidR="0085505C" w:rsidRPr="002A7673" w14:paraId="3C23FBE2" w14:textId="77777777" w:rsidTr="0048334E">
        <w:trPr>
          <w:trHeight w:val="300"/>
          <w:jc w:val="center"/>
        </w:trPr>
        <w:tc>
          <w:tcPr>
            <w:tcW w:w="1189" w:type="pct"/>
            <w:tcBorders>
              <w:top w:val="nil"/>
              <w:left w:val="single" w:sz="4" w:space="0" w:color="auto"/>
              <w:bottom w:val="single" w:sz="4" w:space="0" w:color="auto"/>
              <w:right w:val="single" w:sz="4" w:space="0" w:color="auto"/>
            </w:tcBorders>
            <w:shd w:val="clear" w:color="auto" w:fill="auto"/>
            <w:noWrap/>
            <w:vAlign w:val="bottom"/>
            <w:hideMark/>
          </w:tcPr>
          <w:p w14:paraId="4EC47E67"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10701</w:t>
            </w:r>
          </w:p>
        </w:tc>
        <w:tc>
          <w:tcPr>
            <w:tcW w:w="2869" w:type="pct"/>
            <w:tcBorders>
              <w:top w:val="nil"/>
              <w:left w:val="nil"/>
              <w:bottom w:val="single" w:sz="4" w:space="0" w:color="auto"/>
              <w:right w:val="single" w:sz="4" w:space="0" w:color="auto"/>
            </w:tcBorders>
            <w:shd w:val="clear" w:color="auto" w:fill="auto"/>
            <w:noWrap/>
            <w:vAlign w:val="bottom"/>
            <w:hideMark/>
          </w:tcPr>
          <w:p w14:paraId="63320DC2"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Actividades de Capacitación</w:t>
            </w:r>
          </w:p>
        </w:tc>
        <w:tc>
          <w:tcPr>
            <w:tcW w:w="942" w:type="pct"/>
            <w:tcBorders>
              <w:top w:val="nil"/>
              <w:left w:val="nil"/>
              <w:bottom w:val="single" w:sz="4" w:space="0" w:color="auto"/>
              <w:right w:val="single" w:sz="4" w:space="0" w:color="auto"/>
            </w:tcBorders>
            <w:shd w:val="clear" w:color="auto" w:fill="auto"/>
            <w:noWrap/>
            <w:vAlign w:val="bottom"/>
            <w:hideMark/>
          </w:tcPr>
          <w:p w14:paraId="1246AB3D"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₡4.067.700</w:t>
            </w:r>
          </w:p>
        </w:tc>
      </w:tr>
      <w:tr w:rsidR="0085505C" w:rsidRPr="002A7673" w14:paraId="6FC722C0" w14:textId="77777777" w:rsidTr="0048334E">
        <w:trPr>
          <w:trHeight w:val="300"/>
          <w:jc w:val="center"/>
        </w:trPr>
        <w:tc>
          <w:tcPr>
            <w:tcW w:w="1189" w:type="pct"/>
            <w:tcBorders>
              <w:top w:val="nil"/>
              <w:left w:val="single" w:sz="4" w:space="0" w:color="auto"/>
              <w:bottom w:val="single" w:sz="4" w:space="0" w:color="auto"/>
              <w:right w:val="single" w:sz="4" w:space="0" w:color="auto"/>
            </w:tcBorders>
            <w:shd w:val="clear" w:color="auto" w:fill="auto"/>
            <w:noWrap/>
            <w:vAlign w:val="bottom"/>
            <w:hideMark/>
          </w:tcPr>
          <w:p w14:paraId="4B82D3D5"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20104</w:t>
            </w:r>
          </w:p>
        </w:tc>
        <w:tc>
          <w:tcPr>
            <w:tcW w:w="2869" w:type="pct"/>
            <w:tcBorders>
              <w:top w:val="nil"/>
              <w:left w:val="nil"/>
              <w:bottom w:val="single" w:sz="4" w:space="0" w:color="auto"/>
              <w:right w:val="single" w:sz="4" w:space="0" w:color="auto"/>
            </w:tcBorders>
            <w:shd w:val="clear" w:color="auto" w:fill="auto"/>
            <w:noWrap/>
            <w:vAlign w:val="bottom"/>
            <w:hideMark/>
          </w:tcPr>
          <w:p w14:paraId="75057E33"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Tintas, Pinturas y Diluyentes</w:t>
            </w:r>
          </w:p>
        </w:tc>
        <w:tc>
          <w:tcPr>
            <w:tcW w:w="942" w:type="pct"/>
            <w:tcBorders>
              <w:top w:val="nil"/>
              <w:left w:val="nil"/>
              <w:bottom w:val="single" w:sz="4" w:space="0" w:color="auto"/>
              <w:right w:val="single" w:sz="4" w:space="0" w:color="auto"/>
            </w:tcBorders>
            <w:shd w:val="clear" w:color="auto" w:fill="auto"/>
            <w:noWrap/>
            <w:vAlign w:val="bottom"/>
            <w:hideMark/>
          </w:tcPr>
          <w:p w14:paraId="6EC752FA"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₡26.615.513</w:t>
            </w:r>
          </w:p>
        </w:tc>
      </w:tr>
      <w:tr w:rsidR="0085505C" w:rsidRPr="002A7673" w14:paraId="3CA8A79E" w14:textId="77777777" w:rsidTr="0048334E">
        <w:trPr>
          <w:trHeight w:val="300"/>
          <w:jc w:val="center"/>
        </w:trPr>
        <w:tc>
          <w:tcPr>
            <w:tcW w:w="1189" w:type="pct"/>
            <w:tcBorders>
              <w:top w:val="nil"/>
              <w:left w:val="single" w:sz="4" w:space="0" w:color="auto"/>
              <w:bottom w:val="single" w:sz="4" w:space="0" w:color="auto"/>
              <w:right w:val="single" w:sz="4" w:space="0" w:color="auto"/>
            </w:tcBorders>
            <w:shd w:val="clear" w:color="auto" w:fill="auto"/>
            <w:noWrap/>
            <w:vAlign w:val="bottom"/>
            <w:hideMark/>
          </w:tcPr>
          <w:p w14:paraId="458D092D"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20203</w:t>
            </w:r>
          </w:p>
        </w:tc>
        <w:tc>
          <w:tcPr>
            <w:tcW w:w="2869" w:type="pct"/>
            <w:tcBorders>
              <w:top w:val="nil"/>
              <w:left w:val="nil"/>
              <w:bottom w:val="single" w:sz="4" w:space="0" w:color="auto"/>
              <w:right w:val="single" w:sz="4" w:space="0" w:color="auto"/>
            </w:tcBorders>
            <w:shd w:val="clear" w:color="auto" w:fill="auto"/>
            <w:noWrap/>
            <w:vAlign w:val="bottom"/>
            <w:hideMark/>
          </w:tcPr>
          <w:p w14:paraId="4EA5CCB4"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Alimentos y Bebidas</w:t>
            </w:r>
          </w:p>
        </w:tc>
        <w:tc>
          <w:tcPr>
            <w:tcW w:w="942" w:type="pct"/>
            <w:tcBorders>
              <w:top w:val="nil"/>
              <w:left w:val="nil"/>
              <w:bottom w:val="single" w:sz="4" w:space="0" w:color="auto"/>
              <w:right w:val="single" w:sz="4" w:space="0" w:color="auto"/>
            </w:tcBorders>
            <w:shd w:val="clear" w:color="auto" w:fill="auto"/>
            <w:noWrap/>
            <w:vAlign w:val="bottom"/>
            <w:hideMark/>
          </w:tcPr>
          <w:p w14:paraId="49AAE890"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₡758.295</w:t>
            </w:r>
          </w:p>
        </w:tc>
      </w:tr>
      <w:tr w:rsidR="0085505C" w:rsidRPr="002A7673" w14:paraId="01D77FF5" w14:textId="77777777" w:rsidTr="0048334E">
        <w:trPr>
          <w:trHeight w:val="300"/>
          <w:jc w:val="center"/>
        </w:trPr>
        <w:tc>
          <w:tcPr>
            <w:tcW w:w="1189" w:type="pct"/>
            <w:tcBorders>
              <w:top w:val="nil"/>
              <w:left w:val="single" w:sz="4" w:space="0" w:color="auto"/>
              <w:bottom w:val="single" w:sz="4" w:space="0" w:color="auto"/>
              <w:right w:val="single" w:sz="4" w:space="0" w:color="auto"/>
            </w:tcBorders>
            <w:shd w:val="clear" w:color="auto" w:fill="auto"/>
            <w:noWrap/>
            <w:vAlign w:val="bottom"/>
            <w:hideMark/>
          </w:tcPr>
          <w:p w14:paraId="2D3320EE"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29903</w:t>
            </w:r>
          </w:p>
        </w:tc>
        <w:tc>
          <w:tcPr>
            <w:tcW w:w="2869" w:type="pct"/>
            <w:tcBorders>
              <w:top w:val="nil"/>
              <w:left w:val="nil"/>
              <w:bottom w:val="single" w:sz="4" w:space="0" w:color="auto"/>
              <w:right w:val="single" w:sz="4" w:space="0" w:color="auto"/>
            </w:tcBorders>
            <w:shd w:val="clear" w:color="auto" w:fill="auto"/>
            <w:noWrap/>
            <w:vAlign w:val="bottom"/>
            <w:hideMark/>
          </w:tcPr>
          <w:p w14:paraId="1D831DB5"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Productos de Papel e Impresos </w:t>
            </w:r>
          </w:p>
        </w:tc>
        <w:tc>
          <w:tcPr>
            <w:tcW w:w="942" w:type="pct"/>
            <w:tcBorders>
              <w:top w:val="nil"/>
              <w:left w:val="nil"/>
              <w:bottom w:val="single" w:sz="4" w:space="0" w:color="auto"/>
              <w:right w:val="single" w:sz="4" w:space="0" w:color="auto"/>
            </w:tcBorders>
            <w:shd w:val="clear" w:color="auto" w:fill="auto"/>
            <w:noWrap/>
            <w:vAlign w:val="bottom"/>
            <w:hideMark/>
          </w:tcPr>
          <w:p w14:paraId="4A177B06"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₡4.441.797</w:t>
            </w:r>
          </w:p>
        </w:tc>
      </w:tr>
      <w:tr w:rsidR="0085505C" w:rsidRPr="002A7673" w14:paraId="07718E79" w14:textId="77777777" w:rsidTr="0048334E">
        <w:trPr>
          <w:trHeight w:val="300"/>
          <w:jc w:val="center"/>
        </w:trPr>
        <w:tc>
          <w:tcPr>
            <w:tcW w:w="1189" w:type="pct"/>
            <w:tcBorders>
              <w:top w:val="nil"/>
              <w:left w:val="single" w:sz="4" w:space="0" w:color="auto"/>
              <w:bottom w:val="single" w:sz="4" w:space="0" w:color="auto"/>
              <w:right w:val="single" w:sz="4" w:space="0" w:color="auto"/>
            </w:tcBorders>
            <w:shd w:val="clear" w:color="auto" w:fill="auto"/>
            <w:noWrap/>
            <w:vAlign w:val="bottom"/>
            <w:hideMark/>
          </w:tcPr>
          <w:p w14:paraId="43548743"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29904</w:t>
            </w:r>
          </w:p>
        </w:tc>
        <w:tc>
          <w:tcPr>
            <w:tcW w:w="2869" w:type="pct"/>
            <w:tcBorders>
              <w:top w:val="nil"/>
              <w:left w:val="nil"/>
              <w:bottom w:val="single" w:sz="4" w:space="0" w:color="auto"/>
              <w:right w:val="single" w:sz="4" w:space="0" w:color="auto"/>
            </w:tcBorders>
            <w:shd w:val="clear" w:color="auto" w:fill="auto"/>
            <w:noWrap/>
            <w:vAlign w:val="bottom"/>
            <w:hideMark/>
          </w:tcPr>
          <w:p w14:paraId="1CD5E418"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Textiles y Vestuario                                  </w:t>
            </w:r>
          </w:p>
        </w:tc>
        <w:tc>
          <w:tcPr>
            <w:tcW w:w="942" w:type="pct"/>
            <w:tcBorders>
              <w:top w:val="nil"/>
              <w:left w:val="nil"/>
              <w:bottom w:val="single" w:sz="4" w:space="0" w:color="auto"/>
              <w:right w:val="single" w:sz="4" w:space="0" w:color="auto"/>
            </w:tcBorders>
            <w:shd w:val="clear" w:color="auto" w:fill="auto"/>
            <w:noWrap/>
            <w:vAlign w:val="bottom"/>
            <w:hideMark/>
          </w:tcPr>
          <w:p w14:paraId="549C3386"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₡2.664.470</w:t>
            </w:r>
          </w:p>
        </w:tc>
      </w:tr>
      <w:tr w:rsidR="0085505C" w:rsidRPr="002A7673" w14:paraId="6495E927" w14:textId="77777777" w:rsidTr="0048334E">
        <w:trPr>
          <w:trHeight w:val="300"/>
          <w:jc w:val="center"/>
        </w:trPr>
        <w:tc>
          <w:tcPr>
            <w:tcW w:w="1189" w:type="pct"/>
            <w:tcBorders>
              <w:top w:val="nil"/>
              <w:left w:val="single" w:sz="4" w:space="0" w:color="auto"/>
              <w:bottom w:val="single" w:sz="4" w:space="0" w:color="auto"/>
              <w:right w:val="single" w:sz="4" w:space="0" w:color="auto"/>
            </w:tcBorders>
            <w:shd w:val="clear" w:color="auto" w:fill="auto"/>
            <w:noWrap/>
            <w:vAlign w:val="bottom"/>
            <w:hideMark/>
          </w:tcPr>
          <w:p w14:paraId="2A7375ED"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50104</w:t>
            </w:r>
          </w:p>
        </w:tc>
        <w:tc>
          <w:tcPr>
            <w:tcW w:w="2869" w:type="pct"/>
            <w:tcBorders>
              <w:top w:val="nil"/>
              <w:left w:val="nil"/>
              <w:bottom w:val="single" w:sz="4" w:space="0" w:color="auto"/>
              <w:right w:val="single" w:sz="4" w:space="0" w:color="auto"/>
            </w:tcBorders>
            <w:shd w:val="clear" w:color="auto" w:fill="auto"/>
            <w:noWrap/>
            <w:vAlign w:val="bottom"/>
            <w:hideMark/>
          </w:tcPr>
          <w:p w14:paraId="2A7FC0E4"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Equipo y Mobiliario de Oficina </w:t>
            </w:r>
          </w:p>
        </w:tc>
        <w:tc>
          <w:tcPr>
            <w:tcW w:w="942" w:type="pct"/>
            <w:tcBorders>
              <w:top w:val="nil"/>
              <w:left w:val="nil"/>
              <w:bottom w:val="single" w:sz="4" w:space="0" w:color="auto"/>
              <w:right w:val="single" w:sz="4" w:space="0" w:color="auto"/>
            </w:tcBorders>
            <w:shd w:val="clear" w:color="auto" w:fill="auto"/>
            <w:noWrap/>
            <w:vAlign w:val="bottom"/>
            <w:hideMark/>
          </w:tcPr>
          <w:p w14:paraId="0217C2B9"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₡14.000.000</w:t>
            </w:r>
          </w:p>
        </w:tc>
      </w:tr>
    </w:tbl>
    <w:p w14:paraId="661E74FB"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vertAlign w:val="superscript"/>
        </w:rPr>
      </w:pPr>
      <w:r w:rsidRPr="002A7673">
        <w:rPr>
          <w:rFonts w:ascii="Times New Roman" w:hAnsi="Times New Roman" w:cs="Times New Roman"/>
          <w:sz w:val="28"/>
          <w:szCs w:val="28"/>
          <w:vertAlign w:val="superscript"/>
        </w:rPr>
        <w:t xml:space="preserve">        </w:t>
      </w:r>
      <w:r w:rsidRPr="002A7673">
        <w:rPr>
          <w:rFonts w:ascii="Times New Roman" w:hAnsi="Times New Roman" w:cs="Times New Roman"/>
          <w:sz w:val="26"/>
          <w:szCs w:val="26"/>
          <w:vertAlign w:val="superscript"/>
        </w:rPr>
        <w:t xml:space="preserve">1.Estos recursos se eliminan porque crecieron en </w:t>
      </w:r>
      <w:proofErr w:type="gramStart"/>
      <w:r w:rsidRPr="002A7673">
        <w:rPr>
          <w:rFonts w:ascii="Times New Roman" w:hAnsi="Times New Roman" w:cs="Times New Roman"/>
          <w:sz w:val="26"/>
          <w:szCs w:val="26"/>
          <w:vertAlign w:val="superscript"/>
        </w:rPr>
        <w:t>la  línea</w:t>
      </w:r>
      <w:proofErr w:type="gramEnd"/>
      <w:r w:rsidRPr="002A7673">
        <w:rPr>
          <w:rFonts w:ascii="Times New Roman" w:hAnsi="Times New Roman" w:cs="Times New Roman"/>
          <w:sz w:val="26"/>
          <w:szCs w:val="26"/>
          <w:vertAlign w:val="superscript"/>
        </w:rPr>
        <w:t xml:space="preserve"> de los recursos aprobados para el 2021 a la ODCV. </w:t>
      </w:r>
    </w:p>
    <w:p w14:paraId="397A9CA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2FD9440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Adicionalmente y en coordinación con la licenciada Johan Vallecillo, se procedió a realizar los siguientes rebajos con el fin de ajustar el presupuesto a lo solicitado por Corte Plena. </w:t>
      </w:r>
    </w:p>
    <w:p w14:paraId="3D12CC2E" w14:textId="77777777" w:rsidR="0085505C" w:rsidRPr="002A7673" w:rsidRDefault="0085505C" w:rsidP="0085505C">
      <w:pPr>
        <w:spacing w:after="0" w:line="360" w:lineRule="auto"/>
        <w:ind w:left="360"/>
        <w:jc w:val="both"/>
        <w:rPr>
          <w:rFonts w:ascii="Times New Roman" w:hAnsi="Times New Roman" w:cs="Times New Roman"/>
          <w:sz w:val="28"/>
          <w:szCs w:val="28"/>
        </w:rPr>
      </w:pPr>
    </w:p>
    <w:tbl>
      <w:tblPr>
        <w:tblW w:w="5000" w:type="pct"/>
        <w:jc w:val="center"/>
        <w:tblLook w:val="04A0" w:firstRow="1" w:lastRow="0" w:firstColumn="1" w:lastColumn="0" w:noHBand="0" w:noVBand="1"/>
      </w:tblPr>
      <w:tblGrid>
        <w:gridCol w:w="2135"/>
        <w:gridCol w:w="6075"/>
        <w:gridCol w:w="1448"/>
      </w:tblGrid>
      <w:tr w:rsidR="0085505C" w:rsidRPr="002A7673" w14:paraId="4CA78F3B" w14:textId="77777777" w:rsidTr="0048334E">
        <w:trPr>
          <w:trHeight w:val="300"/>
          <w:jc w:val="center"/>
        </w:trPr>
        <w:tc>
          <w:tcPr>
            <w:tcW w:w="1187" w:type="pct"/>
            <w:tcBorders>
              <w:top w:val="single" w:sz="4" w:space="0" w:color="auto"/>
              <w:left w:val="single" w:sz="4" w:space="0" w:color="auto"/>
              <w:bottom w:val="single" w:sz="4" w:space="0" w:color="auto"/>
              <w:right w:val="single" w:sz="4" w:space="0" w:color="auto"/>
            </w:tcBorders>
            <w:shd w:val="clear" w:color="D9E1F2" w:fill="2E74B5" w:themeFill="accent1" w:themeFillShade="BF"/>
            <w:noWrap/>
            <w:vAlign w:val="center"/>
            <w:hideMark/>
          </w:tcPr>
          <w:p w14:paraId="152FD72E"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Código Subpartida</w:t>
            </w:r>
          </w:p>
        </w:tc>
        <w:tc>
          <w:tcPr>
            <w:tcW w:w="2865" w:type="pct"/>
            <w:tcBorders>
              <w:top w:val="single" w:sz="4" w:space="0" w:color="auto"/>
              <w:left w:val="nil"/>
              <w:bottom w:val="single" w:sz="4" w:space="0" w:color="auto"/>
              <w:right w:val="single" w:sz="4" w:space="0" w:color="auto"/>
            </w:tcBorders>
            <w:shd w:val="clear" w:color="D9E1F2" w:fill="2E74B5" w:themeFill="accent1" w:themeFillShade="BF"/>
            <w:noWrap/>
            <w:vAlign w:val="center"/>
            <w:hideMark/>
          </w:tcPr>
          <w:p w14:paraId="675ECAB6"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Descripción de la Subpartida</w:t>
            </w:r>
          </w:p>
        </w:tc>
        <w:tc>
          <w:tcPr>
            <w:tcW w:w="948" w:type="pct"/>
            <w:tcBorders>
              <w:top w:val="single" w:sz="4" w:space="0" w:color="auto"/>
              <w:left w:val="nil"/>
              <w:bottom w:val="single" w:sz="4" w:space="0" w:color="auto"/>
              <w:right w:val="single" w:sz="4" w:space="0" w:color="auto"/>
            </w:tcBorders>
            <w:shd w:val="clear" w:color="D9E1F2" w:fill="2E74B5" w:themeFill="accent1" w:themeFillShade="BF"/>
            <w:noWrap/>
            <w:vAlign w:val="center"/>
            <w:hideMark/>
          </w:tcPr>
          <w:p w14:paraId="3A93A180"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Monto</w:t>
            </w:r>
          </w:p>
        </w:tc>
      </w:tr>
      <w:tr w:rsidR="0085505C" w:rsidRPr="002A7673" w14:paraId="050D3870" w14:textId="77777777" w:rsidTr="0048334E">
        <w:trPr>
          <w:trHeight w:val="300"/>
          <w:jc w:val="center"/>
        </w:trPr>
        <w:tc>
          <w:tcPr>
            <w:tcW w:w="1187" w:type="pct"/>
            <w:tcBorders>
              <w:top w:val="nil"/>
              <w:left w:val="single" w:sz="4" w:space="0" w:color="auto"/>
              <w:bottom w:val="single" w:sz="4" w:space="0" w:color="auto"/>
              <w:right w:val="single" w:sz="4" w:space="0" w:color="auto"/>
            </w:tcBorders>
            <w:shd w:val="clear" w:color="auto" w:fill="auto"/>
            <w:noWrap/>
            <w:vAlign w:val="bottom"/>
          </w:tcPr>
          <w:p w14:paraId="532E9B35"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20304</w:t>
            </w:r>
          </w:p>
        </w:tc>
        <w:tc>
          <w:tcPr>
            <w:tcW w:w="2865" w:type="pct"/>
            <w:tcBorders>
              <w:top w:val="nil"/>
              <w:left w:val="nil"/>
              <w:bottom w:val="single" w:sz="4" w:space="0" w:color="auto"/>
              <w:right w:val="single" w:sz="4" w:space="0" w:color="auto"/>
            </w:tcBorders>
            <w:shd w:val="clear" w:color="auto" w:fill="auto"/>
            <w:noWrap/>
            <w:vAlign w:val="bottom"/>
          </w:tcPr>
          <w:p w14:paraId="3E0512C0"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Materiales y Productos Eléctricos, Telefónicos y de Cómputo. </w:t>
            </w:r>
          </w:p>
        </w:tc>
        <w:tc>
          <w:tcPr>
            <w:tcW w:w="948" w:type="pct"/>
            <w:tcBorders>
              <w:top w:val="nil"/>
              <w:left w:val="nil"/>
              <w:bottom w:val="single" w:sz="4" w:space="0" w:color="auto"/>
              <w:right w:val="single" w:sz="4" w:space="0" w:color="auto"/>
            </w:tcBorders>
            <w:shd w:val="clear" w:color="auto" w:fill="auto"/>
            <w:noWrap/>
            <w:vAlign w:val="bottom"/>
          </w:tcPr>
          <w:p w14:paraId="63AD2910"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¢5.678.989</w:t>
            </w:r>
          </w:p>
        </w:tc>
      </w:tr>
      <w:tr w:rsidR="0085505C" w:rsidRPr="002A7673" w14:paraId="700C8573" w14:textId="77777777" w:rsidTr="0048334E">
        <w:trPr>
          <w:trHeight w:val="300"/>
          <w:jc w:val="center"/>
        </w:trPr>
        <w:tc>
          <w:tcPr>
            <w:tcW w:w="1187" w:type="pct"/>
            <w:tcBorders>
              <w:top w:val="nil"/>
              <w:left w:val="single" w:sz="4" w:space="0" w:color="auto"/>
              <w:bottom w:val="single" w:sz="4" w:space="0" w:color="auto"/>
              <w:right w:val="single" w:sz="4" w:space="0" w:color="auto"/>
            </w:tcBorders>
            <w:shd w:val="clear" w:color="auto" w:fill="auto"/>
            <w:noWrap/>
            <w:vAlign w:val="bottom"/>
            <w:hideMark/>
          </w:tcPr>
          <w:p w14:paraId="673ACA32"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20402</w:t>
            </w:r>
          </w:p>
        </w:tc>
        <w:tc>
          <w:tcPr>
            <w:tcW w:w="2865" w:type="pct"/>
            <w:tcBorders>
              <w:top w:val="nil"/>
              <w:left w:val="nil"/>
              <w:bottom w:val="single" w:sz="4" w:space="0" w:color="auto"/>
              <w:right w:val="single" w:sz="4" w:space="0" w:color="auto"/>
            </w:tcBorders>
            <w:shd w:val="clear" w:color="auto" w:fill="auto"/>
            <w:noWrap/>
            <w:vAlign w:val="bottom"/>
            <w:hideMark/>
          </w:tcPr>
          <w:p w14:paraId="556BD221"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Repuestos y Accesorios</w:t>
            </w:r>
          </w:p>
        </w:tc>
        <w:tc>
          <w:tcPr>
            <w:tcW w:w="948" w:type="pct"/>
            <w:tcBorders>
              <w:top w:val="nil"/>
              <w:left w:val="nil"/>
              <w:bottom w:val="single" w:sz="4" w:space="0" w:color="auto"/>
              <w:right w:val="single" w:sz="4" w:space="0" w:color="auto"/>
            </w:tcBorders>
            <w:shd w:val="clear" w:color="auto" w:fill="auto"/>
            <w:noWrap/>
            <w:vAlign w:val="bottom"/>
            <w:hideMark/>
          </w:tcPr>
          <w:p w14:paraId="24692065"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₡2.203.963</w:t>
            </w:r>
          </w:p>
        </w:tc>
      </w:tr>
      <w:tr w:rsidR="0085505C" w:rsidRPr="002A7673" w14:paraId="25A487DD" w14:textId="77777777" w:rsidTr="0048334E">
        <w:trPr>
          <w:trHeight w:val="300"/>
          <w:jc w:val="center"/>
        </w:trPr>
        <w:tc>
          <w:tcPr>
            <w:tcW w:w="1187" w:type="pct"/>
            <w:tcBorders>
              <w:top w:val="nil"/>
              <w:left w:val="single" w:sz="4" w:space="0" w:color="auto"/>
              <w:bottom w:val="single" w:sz="4" w:space="0" w:color="auto"/>
              <w:right w:val="single" w:sz="4" w:space="0" w:color="auto"/>
            </w:tcBorders>
            <w:shd w:val="clear" w:color="auto" w:fill="auto"/>
            <w:noWrap/>
            <w:vAlign w:val="bottom"/>
            <w:hideMark/>
          </w:tcPr>
          <w:p w14:paraId="2B6886E9"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29901</w:t>
            </w:r>
          </w:p>
        </w:tc>
        <w:tc>
          <w:tcPr>
            <w:tcW w:w="2865" w:type="pct"/>
            <w:tcBorders>
              <w:top w:val="nil"/>
              <w:left w:val="nil"/>
              <w:bottom w:val="single" w:sz="4" w:space="0" w:color="auto"/>
              <w:right w:val="single" w:sz="4" w:space="0" w:color="auto"/>
            </w:tcBorders>
            <w:shd w:val="clear" w:color="auto" w:fill="auto"/>
            <w:noWrap/>
            <w:vAlign w:val="bottom"/>
            <w:hideMark/>
          </w:tcPr>
          <w:p w14:paraId="640C757B"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Útiles y Materiales de Oficina, y Cómputo </w:t>
            </w:r>
          </w:p>
        </w:tc>
        <w:tc>
          <w:tcPr>
            <w:tcW w:w="948" w:type="pct"/>
            <w:tcBorders>
              <w:top w:val="nil"/>
              <w:left w:val="nil"/>
              <w:bottom w:val="single" w:sz="4" w:space="0" w:color="auto"/>
              <w:right w:val="single" w:sz="4" w:space="0" w:color="auto"/>
            </w:tcBorders>
            <w:shd w:val="clear" w:color="auto" w:fill="auto"/>
            <w:noWrap/>
            <w:vAlign w:val="bottom"/>
            <w:hideMark/>
          </w:tcPr>
          <w:p w14:paraId="4D03CB8C"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₡222.636</w:t>
            </w:r>
          </w:p>
        </w:tc>
      </w:tr>
      <w:tr w:rsidR="0085505C" w:rsidRPr="002A7673" w14:paraId="13B8FC89" w14:textId="77777777" w:rsidTr="0048334E">
        <w:trPr>
          <w:trHeight w:val="300"/>
          <w:jc w:val="center"/>
        </w:trPr>
        <w:tc>
          <w:tcPr>
            <w:tcW w:w="1187" w:type="pct"/>
            <w:tcBorders>
              <w:top w:val="nil"/>
              <w:left w:val="single" w:sz="4" w:space="0" w:color="auto"/>
              <w:bottom w:val="single" w:sz="4" w:space="0" w:color="auto"/>
              <w:right w:val="single" w:sz="4" w:space="0" w:color="auto"/>
            </w:tcBorders>
            <w:shd w:val="clear" w:color="auto" w:fill="auto"/>
            <w:noWrap/>
            <w:vAlign w:val="bottom"/>
            <w:hideMark/>
          </w:tcPr>
          <w:p w14:paraId="33FCE022"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29905</w:t>
            </w:r>
          </w:p>
        </w:tc>
        <w:tc>
          <w:tcPr>
            <w:tcW w:w="2865" w:type="pct"/>
            <w:tcBorders>
              <w:top w:val="nil"/>
              <w:left w:val="nil"/>
              <w:bottom w:val="single" w:sz="4" w:space="0" w:color="auto"/>
              <w:right w:val="single" w:sz="4" w:space="0" w:color="auto"/>
            </w:tcBorders>
            <w:shd w:val="clear" w:color="auto" w:fill="auto"/>
            <w:noWrap/>
            <w:vAlign w:val="bottom"/>
            <w:hideMark/>
          </w:tcPr>
          <w:p w14:paraId="072F50B2"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Útiles y Materiales de Limpieza</w:t>
            </w:r>
          </w:p>
        </w:tc>
        <w:tc>
          <w:tcPr>
            <w:tcW w:w="948" w:type="pct"/>
            <w:tcBorders>
              <w:top w:val="nil"/>
              <w:left w:val="nil"/>
              <w:bottom w:val="single" w:sz="4" w:space="0" w:color="auto"/>
              <w:right w:val="single" w:sz="4" w:space="0" w:color="auto"/>
            </w:tcBorders>
            <w:shd w:val="clear" w:color="auto" w:fill="auto"/>
            <w:noWrap/>
            <w:vAlign w:val="bottom"/>
            <w:hideMark/>
          </w:tcPr>
          <w:p w14:paraId="3D37760F"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₡2.356.523</w:t>
            </w:r>
          </w:p>
        </w:tc>
      </w:tr>
      <w:tr w:rsidR="0085505C" w:rsidRPr="002A7673" w14:paraId="6AD7CE3D" w14:textId="77777777" w:rsidTr="0048334E">
        <w:trPr>
          <w:trHeight w:val="300"/>
          <w:jc w:val="center"/>
        </w:trPr>
        <w:tc>
          <w:tcPr>
            <w:tcW w:w="4052" w:type="pct"/>
            <w:gridSpan w:val="2"/>
            <w:tcBorders>
              <w:top w:val="nil"/>
              <w:left w:val="single" w:sz="4" w:space="0" w:color="auto"/>
              <w:bottom w:val="single" w:sz="4" w:space="0" w:color="auto"/>
              <w:right w:val="single" w:sz="4" w:space="0" w:color="auto"/>
            </w:tcBorders>
            <w:shd w:val="clear" w:color="auto" w:fill="auto"/>
            <w:noWrap/>
            <w:vAlign w:val="bottom"/>
            <w:hideMark/>
          </w:tcPr>
          <w:p w14:paraId="3ABCDA81"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Total:</w:t>
            </w:r>
          </w:p>
        </w:tc>
        <w:tc>
          <w:tcPr>
            <w:tcW w:w="948" w:type="pct"/>
            <w:tcBorders>
              <w:top w:val="nil"/>
              <w:left w:val="nil"/>
              <w:bottom w:val="single" w:sz="4" w:space="0" w:color="auto"/>
              <w:right w:val="single" w:sz="4" w:space="0" w:color="auto"/>
            </w:tcBorders>
            <w:shd w:val="clear" w:color="auto" w:fill="auto"/>
            <w:noWrap/>
            <w:vAlign w:val="bottom"/>
            <w:hideMark/>
          </w:tcPr>
          <w:p w14:paraId="7A174C52"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₡10.462.111</w:t>
            </w:r>
          </w:p>
        </w:tc>
      </w:tr>
    </w:tbl>
    <w:p w14:paraId="740FDC17"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1F7B47C8" w14:textId="77777777" w:rsidR="0085505C" w:rsidRPr="002A7673" w:rsidRDefault="0085505C" w:rsidP="00FF3FAC">
      <w:pPr>
        <w:numPr>
          <w:ilvl w:val="0"/>
          <w:numId w:val="76"/>
        </w:numPr>
        <w:spacing w:before="120" w:after="12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Otros Requerimientos</w:t>
      </w:r>
    </w:p>
    <w:p w14:paraId="577D8D03"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No se requiere para este período. </w:t>
      </w:r>
    </w:p>
    <w:p w14:paraId="06977F44"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b/>
          <w:sz w:val="26"/>
          <w:szCs w:val="26"/>
          <w:lang w:val="es-ES" w:eastAsia="es-ES"/>
        </w:rPr>
      </w:pPr>
    </w:p>
    <w:p w14:paraId="7CF9F8A4"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b/>
          <w:sz w:val="26"/>
          <w:szCs w:val="26"/>
          <w:lang w:val="es-ES" w:eastAsia="es-ES"/>
        </w:rPr>
      </w:pPr>
    </w:p>
    <w:p w14:paraId="1CC49A79" w14:textId="77777777" w:rsidR="0085505C" w:rsidRPr="002A7673" w:rsidRDefault="0085505C" w:rsidP="00FF3FAC">
      <w:pPr>
        <w:numPr>
          <w:ilvl w:val="0"/>
          <w:numId w:val="76"/>
        </w:numPr>
        <w:spacing w:before="120" w:after="12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Detalle de requerimientos adicionales</w:t>
      </w:r>
    </w:p>
    <w:p w14:paraId="3D66E734" w14:textId="77777777" w:rsidR="0085505C" w:rsidRPr="002A7673" w:rsidRDefault="0085505C" w:rsidP="0085505C">
      <w:pPr>
        <w:spacing w:before="120" w:after="120" w:line="240" w:lineRule="auto"/>
        <w:ind w:left="851" w:right="851" w:firstLine="709"/>
        <w:jc w:val="both"/>
        <w:rPr>
          <w:rFonts w:ascii="Times New Roman" w:hAnsi="Times New Roman" w:cs="Times New Roman"/>
          <w:b/>
          <w:sz w:val="26"/>
          <w:szCs w:val="26"/>
        </w:rPr>
      </w:pPr>
    </w:p>
    <w:p w14:paraId="2FC0882A"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lang w:eastAsia="es-ES"/>
        </w:rPr>
      </w:pPr>
      <w:r w:rsidRPr="002A7673">
        <w:rPr>
          <w:rFonts w:ascii="Times New Roman" w:eastAsia="Times New Roman" w:hAnsi="Times New Roman" w:cs="Times New Roman"/>
          <w:sz w:val="26"/>
          <w:szCs w:val="26"/>
          <w:lang w:eastAsia="es-ES"/>
        </w:rPr>
        <w:t xml:space="preserve">La Fiscalía Adjunta de Probidad, Transparencia y Anticorrupción (FAPTA) por medio del Oficio N°. FGR-454-2021, solicita al Consejo Superior la aprobación de recursos para el arrendamiento de un local argumentando que no existe espacio desocupado en el edificio de Tribunales de Justicia del I Circuito Judicial de San José o el edificio del Organismo de Investigación Judicial para albergar al personal fiscal y colaborador, que </w:t>
      </w:r>
      <w:r w:rsidRPr="002A7673">
        <w:rPr>
          <w:rFonts w:ascii="Times New Roman" w:eastAsia="Times New Roman" w:hAnsi="Times New Roman" w:cs="Times New Roman"/>
          <w:sz w:val="26"/>
          <w:szCs w:val="26"/>
          <w:lang w:eastAsia="es-ES"/>
        </w:rPr>
        <w:lastRenderedPageBreak/>
        <w:t>hasta ahora se ha logrado gracias a los planes de teletrabajo de los puestos y funciones que lo permiten.</w:t>
      </w:r>
    </w:p>
    <w:p w14:paraId="083477AC"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lang w:eastAsia="es-ES"/>
        </w:rPr>
      </w:pPr>
    </w:p>
    <w:p w14:paraId="5FDFAEBD"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lang w:eastAsia="es-ES"/>
        </w:rPr>
      </w:pPr>
    </w:p>
    <w:p w14:paraId="233F7DC6"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lang w:eastAsia="es-ES"/>
        </w:rPr>
      </w:pPr>
      <w:r w:rsidRPr="002A7673">
        <w:rPr>
          <w:rFonts w:ascii="Times New Roman" w:eastAsia="Times New Roman" w:hAnsi="Times New Roman" w:cs="Times New Roman"/>
          <w:sz w:val="26"/>
          <w:szCs w:val="26"/>
          <w:lang w:eastAsia="es-ES"/>
        </w:rPr>
        <w:t xml:space="preserve">Señala que se tiene una oficina donde se </w:t>
      </w:r>
      <w:proofErr w:type="gramStart"/>
      <w:r w:rsidRPr="002A7673">
        <w:rPr>
          <w:rFonts w:ascii="Times New Roman" w:eastAsia="Times New Roman" w:hAnsi="Times New Roman" w:cs="Times New Roman"/>
          <w:sz w:val="26"/>
          <w:szCs w:val="26"/>
          <w:lang w:eastAsia="es-ES"/>
        </w:rPr>
        <w:t>ubica  el</w:t>
      </w:r>
      <w:proofErr w:type="gramEnd"/>
      <w:r w:rsidRPr="002A7673">
        <w:rPr>
          <w:rFonts w:ascii="Times New Roman" w:eastAsia="Times New Roman" w:hAnsi="Times New Roman" w:cs="Times New Roman"/>
          <w:sz w:val="26"/>
          <w:szCs w:val="26"/>
          <w:lang w:eastAsia="es-ES"/>
        </w:rPr>
        <w:t xml:space="preserve"> Fiscal Adjunto 2 encargado de dirigir FAPTA San José, donde se tienen los casos de mayor complejidad y lesividad. Por su parte, el Fiscal Adjunto 1 dirige las fiscalías auxiliares de FAPTA regionales. Además, 4 de los fiscales auxiliares tienen a su cargo los casos de alta complejidad de corrupción de delincuencia organizada, personal que está ubicado en distintos espacios físicos del edificio de Tribunales de Justicia y el edificio del OIJ, imposibilitando la construcción de sinergias y limitando el trabajo en equipo bajo la cohesión de grupo.</w:t>
      </w:r>
    </w:p>
    <w:p w14:paraId="55C8EB19"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La Dirección de Planificación mediante correo electrónico del pasado 9 de abril de los corrientes, le </w:t>
      </w:r>
      <w:proofErr w:type="gramStart"/>
      <w:r w:rsidRPr="002A7673">
        <w:rPr>
          <w:rFonts w:ascii="Times New Roman" w:eastAsia="Times New Roman" w:hAnsi="Times New Roman" w:cs="Times New Roman"/>
          <w:sz w:val="26"/>
          <w:szCs w:val="26"/>
          <w:lang w:val="es-ES" w:eastAsia="es-ES"/>
        </w:rPr>
        <w:t>consultó  al</w:t>
      </w:r>
      <w:proofErr w:type="gramEnd"/>
      <w:r w:rsidRPr="002A7673">
        <w:rPr>
          <w:rFonts w:ascii="Times New Roman" w:eastAsia="Times New Roman" w:hAnsi="Times New Roman" w:cs="Times New Roman"/>
          <w:sz w:val="26"/>
          <w:szCs w:val="26"/>
          <w:lang w:val="es-ES" w:eastAsia="es-ES"/>
        </w:rPr>
        <w:t xml:space="preserve">  Fiscal Carlos Meléndez  Sequeira, la cantidad de personal con que cuenta  la Fiscalía y su ubicación actual, además de si se estaban considerando acciones  según lo acordado por Corte Plena en relación  al Reglamento de Teletrabajo para el personal del Poder Judicial, sobre lo cual  manifestaron  mediante oficio SN del 12 de abril de los corrientes lo siguiente: </w:t>
      </w:r>
    </w:p>
    <w:p w14:paraId="17EFF394"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sz w:val="26"/>
          <w:szCs w:val="26"/>
          <w:lang w:val="es-ES" w:eastAsia="es-ES"/>
        </w:rPr>
      </w:pPr>
    </w:p>
    <w:p w14:paraId="6B6031E8" w14:textId="77777777" w:rsidR="0085505C" w:rsidRPr="002A7673" w:rsidRDefault="0085505C" w:rsidP="00FF3FAC">
      <w:pPr>
        <w:numPr>
          <w:ilvl w:val="1"/>
          <w:numId w:val="70"/>
        </w:num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La Fiscalía Adjunta de Probidad, Transparencia y Anticorrupción (FAPTA) San José se encuentra conformada por 45 personas, de la siguiente manera: </w:t>
      </w:r>
    </w:p>
    <w:p w14:paraId="64677383" w14:textId="77777777" w:rsidR="0085505C" w:rsidRPr="002A7673" w:rsidRDefault="0085505C" w:rsidP="0085505C">
      <w:pPr>
        <w:spacing w:before="120" w:after="120" w:line="240" w:lineRule="auto"/>
        <w:ind w:left="851" w:right="851" w:firstLine="709"/>
        <w:jc w:val="both"/>
        <w:rPr>
          <w:rFonts w:ascii="Times New Roman" w:eastAsia="Times New Roman" w:hAnsi="Times New Roman" w:cs="Times New Roman"/>
          <w:sz w:val="26"/>
          <w:szCs w:val="26"/>
          <w:highlight w:val="yellow"/>
          <w:lang w:val="es-ES" w:eastAsia="es-ES"/>
        </w:rPr>
      </w:pPr>
    </w:p>
    <w:p w14:paraId="6FC74785" w14:textId="77777777" w:rsidR="0085505C" w:rsidRPr="002A7673" w:rsidRDefault="0085505C" w:rsidP="00FF3FAC">
      <w:pPr>
        <w:numPr>
          <w:ilvl w:val="0"/>
          <w:numId w:val="69"/>
        </w:num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Uno (1) Fiscal Adjunto 2 a cargo de FAPTA San José,</w:t>
      </w:r>
    </w:p>
    <w:p w14:paraId="4B0FBED7" w14:textId="77777777" w:rsidR="0085505C" w:rsidRPr="002A7673" w:rsidRDefault="0085505C" w:rsidP="00FF3FAC">
      <w:pPr>
        <w:numPr>
          <w:ilvl w:val="0"/>
          <w:numId w:val="69"/>
        </w:num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Uno (1) Fiscal Adjunto 1 a cargo de las Fiscalías regionales de FAPTA,</w:t>
      </w:r>
    </w:p>
    <w:p w14:paraId="36190BF5" w14:textId="77777777" w:rsidR="0085505C" w:rsidRPr="002A7673" w:rsidRDefault="0085505C" w:rsidP="00FF3FAC">
      <w:pPr>
        <w:numPr>
          <w:ilvl w:val="0"/>
          <w:numId w:val="69"/>
        </w:num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Ocho (8) Fiscales, </w:t>
      </w:r>
    </w:p>
    <w:p w14:paraId="79EC8546" w14:textId="77777777" w:rsidR="0085505C" w:rsidRPr="002A7673" w:rsidRDefault="0085505C" w:rsidP="00FF3FAC">
      <w:pPr>
        <w:numPr>
          <w:ilvl w:val="0"/>
          <w:numId w:val="69"/>
        </w:num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Dieciséis (16) Fiscales Auxiliares,</w:t>
      </w:r>
    </w:p>
    <w:p w14:paraId="01C1D561" w14:textId="77777777" w:rsidR="0085505C" w:rsidRPr="002A7673" w:rsidRDefault="0085505C" w:rsidP="00FF3FAC">
      <w:pPr>
        <w:numPr>
          <w:ilvl w:val="0"/>
          <w:numId w:val="69"/>
        </w:num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Dos (2) plazas profesionales, una comunicadora y una socióloga,</w:t>
      </w:r>
    </w:p>
    <w:p w14:paraId="0423A2F7" w14:textId="77777777" w:rsidR="0085505C" w:rsidRPr="002A7673" w:rsidRDefault="0085505C" w:rsidP="00FF3FAC">
      <w:pPr>
        <w:numPr>
          <w:ilvl w:val="0"/>
          <w:numId w:val="69"/>
        </w:num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Doce (12) técnicos/as Judiciales,</w:t>
      </w:r>
    </w:p>
    <w:p w14:paraId="662F7E1A" w14:textId="77777777" w:rsidR="0085505C" w:rsidRPr="002A7673" w:rsidRDefault="0085505C" w:rsidP="00FF3FAC">
      <w:pPr>
        <w:numPr>
          <w:ilvl w:val="0"/>
          <w:numId w:val="69"/>
        </w:num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lastRenderedPageBreak/>
        <w:t xml:space="preserve">Una (1) Coordinadora Judicial y </w:t>
      </w:r>
    </w:p>
    <w:p w14:paraId="470587E6" w14:textId="77777777" w:rsidR="0085505C" w:rsidRPr="002A7673" w:rsidRDefault="0085505C" w:rsidP="00FF3FAC">
      <w:pPr>
        <w:numPr>
          <w:ilvl w:val="0"/>
          <w:numId w:val="69"/>
        </w:num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Cuatro (4) técnicos/as Jurídicos, </w:t>
      </w:r>
    </w:p>
    <w:p w14:paraId="3A3B52A7" w14:textId="77777777" w:rsidR="0085505C" w:rsidRPr="002A7673" w:rsidRDefault="0085505C" w:rsidP="0085505C">
      <w:p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p>
    <w:p w14:paraId="10DEB12E" w14:textId="77777777" w:rsidR="0085505C" w:rsidRPr="002A7673" w:rsidRDefault="0085505C" w:rsidP="0085505C">
      <w:pPr>
        <w:tabs>
          <w:tab w:val="left" w:pos="3718"/>
        </w:tabs>
        <w:spacing w:before="120" w:after="12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El personal antes citado se encuentra ubicado en el Edificio de los Tribunales del I Circuito Judicial de San José (I Piso y II Piso -lado oeste y este) y en el VI piso del edificio del Organismo de Investigación Judicial.</w:t>
      </w:r>
    </w:p>
    <w:p w14:paraId="4A3FE363"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lang w:eastAsia="es-ES"/>
        </w:rPr>
      </w:pPr>
      <w:r w:rsidRPr="002A7673">
        <w:rPr>
          <w:rFonts w:ascii="Times New Roman" w:eastAsia="Times New Roman" w:hAnsi="Times New Roman" w:cs="Times New Roman"/>
          <w:sz w:val="26"/>
          <w:szCs w:val="26"/>
          <w:lang w:eastAsia="es-ES"/>
        </w:rPr>
        <w:t xml:space="preserve">En cuanto a si se han </w:t>
      </w:r>
      <w:r w:rsidRPr="002A7673">
        <w:rPr>
          <w:rFonts w:ascii="Times New Roman" w:eastAsia="Times New Roman" w:hAnsi="Times New Roman" w:cs="Times New Roman"/>
          <w:color w:val="000000"/>
          <w:sz w:val="26"/>
          <w:szCs w:val="26"/>
          <w:lang w:eastAsia="es-ES"/>
        </w:rPr>
        <w:t xml:space="preserve">considerado </w:t>
      </w:r>
      <w:proofErr w:type="gramStart"/>
      <w:r w:rsidRPr="002A7673">
        <w:rPr>
          <w:rFonts w:ascii="Times New Roman" w:eastAsia="Times New Roman" w:hAnsi="Times New Roman" w:cs="Times New Roman"/>
          <w:color w:val="000000"/>
          <w:sz w:val="26"/>
          <w:szCs w:val="26"/>
          <w:lang w:eastAsia="es-ES"/>
        </w:rPr>
        <w:t>acciones  según</w:t>
      </w:r>
      <w:proofErr w:type="gramEnd"/>
      <w:r w:rsidRPr="002A7673">
        <w:rPr>
          <w:rFonts w:ascii="Times New Roman" w:eastAsia="Times New Roman" w:hAnsi="Times New Roman" w:cs="Times New Roman"/>
          <w:color w:val="000000"/>
          <w:sz w:val="26"/>
          <w:szCs w:val="26"/>
          <w:lang w:eastAsia="es-ES"/>
        </w:rPr>
        <w:t xml:space="preserve"> lo acordado por Corte Plena donde se aprobó el Reglamento de Teletrabajo para el personal del Poder Judicial</w:t>
      </w:r>
      <w:r w:rsidRPr="002A7673">
        <w:rPr>
          <w:rFonts w:ascii="Times New Roman" w:eastAsia="Times New Roman" w:hAnsi="Times New Roman" w:cs="Times New Roman"/>
          <w:sz w:val="26"/>
          <w:szCs w:val="26"/>
          <w:lang w:eastAsia="es-ES"/>
        </w:rPr>
        <w:t xml:space="preserve">, se indicó: </w:t>
      </w:r>
    </w:p>
    <w:p w14:paraId="10033737"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highlight w:val="yellow"/>
          <w:lang w:eastAsia="es-ES"/>
        </w:rPr>
      </w:pPr>
    </w:p>
    <w:p w14:paraId="666A022F" w14:textId="77777777" w:rsidR="0085505C" w:rsidRPr="002A7673" w:rsidRDefault="0085505C" w:rsidP="0085505C">
      <w:pPr>
        <w:tabs>
          <w:tab w:val="left" w:pos="3718"/>
        </w:tabs>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cuanto a la aplicación de teletrabajo y las ordenanzas por el Ministerio Salud referente al distanciamiento social y cantidad de aforo, lo que conllevó a que 30 de sus funcionarios se acogieran a realizar sus funciones por medio del teletrabajo y ocasionalmente de manera presencial con roles para tales efectos por las actividades y funciones fiscales, que no todas se pueden realizar virtuales, sin olvidar que los otros 15 compañeros/as sus funciones no son  objeto de optar por la modalidad de teletrabajo, lo que obligó a la FAPTA a distribuir a su personal técnico y profesional de la siguiente manera:</w:t>
      </w:r>
    </w:p>
    <w:p w14:paraId="0BE2B0AD" w14:textId="77777777" w:rsidR="0085505C" w:rsidRPr="002A7673" w:rsidRDefault="0085505C" w:rsidP="0085505C">
      <w:pPr>
        <w:pBdr>
          <w:top w:val="nil"/>
          <w:left w:val="nil"/>
          <w:bottom w:val="nil"/>
          <w:right w:val="nil"/>
          <w:between w:val="nil"/>
        </w:pBdr>
        <w:tabs>
          <w:tab w:val="left" w:pos="3718"/>
        </w:tabs>
        <w:spacing w:before="120" w:after="12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 xml:space="preserve">En el edificio del Organismo de Investigación Judicial un Fiscal que se encuentra de manera presencial los 05 días de la semana, así como un fiscal auxiliar de manera ocasional con teletrabajo y las compañeras de las plazas profesionales que comparten cubículo, alternando su presencialidad para evitar coincidir en el cubículo cuando deben presentarse en el despacho. </w:t>
      </w:r>
    </w:p>
    <w:p w14:paraId="12A08A08" w14:textId="77777777" w:rsidR="0085505C" w:rsidRPr="002A7673" w:rsidRDefault="0085505C" w:rsidP="0085505C">
      <w:pPr>
        <w:pBdr>
          <w:top w:val="nil"/>
          <w:left w:val="nil"/>
          <w:bottom w:val="nil"/>
          <w:right w:val="nil"/>
          <w:between w:val="nil"/>
        </w:pBdr>
        <w:tabs>
          <w:tab w:val="left" w:pos="3718"/>
        </w:tabs>
        <w:spacing w:before="120" w:after="12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 xml:space="preserve">En el edificio de Tribunales de Justicia una fiscal auxiliar de manera </w:t>
      </w:r>
      <w:proofErr w:type="gramStart"/>
      <w:r w:rsidRPr="002A7673">
        <w:rPr>
          <w:rFonts w:ascii="Times New Roman" w:hAnsi="Times New Roman" w:cs="Times New Roman"/>
          <w:color w:val="000000"/>
          <w:sz w:val="26"/>
          <w:szCs w:val="26"/>
        </w:rPr>
        <w:t>presencial,</w:t>
      </w:r>
      <w:proofErr w:type="gramEnd"/>
      <w:r w:rsidRPr="002A7673">
        <w:rPr>
          <w:rFonts w:ascii="Times New Roman" w:hAnsi="Times New Roman" w:cs="Times New Roman"/>
          <w:color w:val="000000"/>
          <w:sz w:val="26"/>
          <w:szCs w:val="26"/>
        </w:rPr>
        <w:t xml:space="preserve"> cabe mencionar que esta última comparte oficina con una Fiscal que se encuentra en teletrabajo y esporádicamente acude de forma presencial para el desarrollo de sus labores como fiscal.</w:t>
      </w:r>
    </w:p>
    <w:p w14:paraId="33DC1CB0" w14:textId="77777777" w:rsidR="0085505C" w:rsidRPr="002A7673" w:rsidRDefault="0085505C" w:rsidP="0085505C">
      <w:pPr>
        <w:pBdr>
          <w:top w:val="nil"/>
          <w:left w:val="nil"/>
          <w:bottom w:val="nil"/>
          <w:right w:val="nil"/>
          <w:between w:val="nil"/>
        </w:pBdr>
        <w:tabs>
          <w:tab w:val="left" w:pos="3718"/>
        </w:tabs>
        <w:spacing w:before="120" w:after="12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 xml:space="preserve">05 técnicos/as Judiciales, se encuentran en los cubículos de algún fiscal o fiscal auxiliar, ya que no alcanzan todos en área asignada, además para poder respetar el distanciamiento 1.8 metros de distancia, sin embargo, ocasionalmente provoca que cuando algún fiscal auxiliar o fiscal tiene que acudir a realizar alguna labor de manera presencial, no tengan la posibilidad de usar el  cubículo asignado en el cual desarrollar su actividad, debiendo buscar un espacio en otro cubículo para  poder realizar su labor. Y muchas </w:t>
      </w:r>
      <w:r w:rsidRPr="002A7673">
        <w:rPr>
          <w:rFonts w:ascii="Times New Roman" w:hAnsi="Times New Roman" w:cs="Times New Roman"/>
          <w:color w:val="000000"/>
          <w:sz w:val="26"/>
          <w:szCs w:val="26"/>
        </w:rPr>
        <w:lastRenderedPageBreak/>
        <w:t xml:space="preserve">veces se ven obligados a compartir los cubículos restantes con sus otros compañeros por la falta de espacio. </w:t>
      </w:r>
    </w:p>
    <w:p w14:paraId="1E45663A" w14:textId="77777777" w:rsidR="0085505C" w:rsidRPr="002A7673" w:rsidRDefault="0085505C" w:rsidP="0085505C">
      <w:pPr>
        <w:pBdr>
          <w:top w:val="nil"/>
          <w:left w:val="nil"/>
          <w:bottom w:val="nil"/>
          <w:right w:val="nil"/>
          <w:between w:val="nil"/>
        </w:pBdr>
        <w:tabs>
          <w:tab w:val="left" w:pos="3718"/>
        </w:tabs>
        <w:spacing w:before="120" w:after="12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 xml:space="preserve">3 técnicas jurídicas comparten el mismo cubículo, pero por temas de pandemia coinciden esporádicamente, respetando los protocolos de uso de mascarilla. </w:t>
      </w:r>
    </w:p>
    <w:p w14:paraId="676F9430" w14:textId="77777777" w:rsidR="0085505C" w:rsidRPr="002A7673" w:rsidRDefault="0085505C" w:rsidP="0085505C">
      <w:pPr>
        <w:pBdr>
          <w:top w:val="nil"/>
          <w:left w:val="nil"/>
          <w:bottom w:val="nil"/>
          <w:right w:val="nil"/>
          <w:between w:val="nil"/>
        </w:pBdr>
        <w:tabs>
          <w:tab w:val="left" w:pos="3718"/>
        </w:tabs>
        <w:spacing w:before="120" w:after="12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Aunado a ello, se ha evidenciado que si bien es cierto la Fiscalía Adjunta de Probidad, Transparencia y Anticorrupción en los últimos años ha crecido en cuanto al personal, su espacio físico sigue siendo el mismo, lo que obliga que en reiteradas ocasiones, sea compartido hasta con otros despachos de fiscalías, lo que dificulta poder realizar una adecuada labor para brindar una atención a las personas usuarias, ya que mucho personal se ve imposibilitado a tener acceso a herramientas para el desarrollo de la labor como lo es el espacio físico donde poder ejercer la función judicial.</w:t>
      </w:r>
    </w:p>
    <w:p w14:paraId="3E94DC77"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highlight w:val="yellow"/>
          <w:lang w:eastAsia="es-ES"/>
        </w:rPr>
      </w:pPr>
    </w:p>
    <w:p w14:paraId="6FDA91B3"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Es por estas razones que FAPTA se vio obligado a presentar la necesidad urgente a la señora Fiscala General para ser elevada al Consejo Superior, en procura de alquiler un local y de esa forma buscar espacio físico para brindar un mejor servicio a los usuarios externos e internos”.</w:t>
      </w:r>
    </w:p>
    <w:p w14:paraId="2F148361"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highlight w:val="yellow"/>
          <w:lang w:eastAsia="es-ES"/>
        </w:rPr>
      </w:pPr>
    </w:p>
    <w:p w14:paraId="4100E3C0"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lang w:eastAsia="es-ES"/>
        </w:rPr>
      </w:pPr>
      <w:r w:rsidRPr="002A7673">
        <w:rPr>
          <w:rFonts w:ascii="Times New Roman" w:eastAsia="Times New Roman" w:hAnsi="Times New Roman" w:cs="Times New Roman"/>
          <w:sz w:val="26"/>
          <w:szCs w:val="26"/>
          <w:lang w:eastAsia="es-ES"/>
        </w:rPr>
        <w:t xml:space="preserve">Se adjunta respuesta a consultas realizadas a FAPTA. </w:t>
      </w:r>
    </w:p>
    <w:p w14:paraId="5A2E097A"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eastAsia="Times New Roman" w:hAnsi="Times New Roman" w:cs="Times New Roman"/>
          <w:sz w:val="26"/>
          <w:szCs w:val="26"/>
          <w:lang w:eastAsia="es-ES"/>
        </w:rPr>
      </w:pPr>
    </w:p>
    <w:p w14:paraId="332E6729" w14:textId="77777777" w:rsidR="0085505C" w:rsidRPr="002A7673" w:rsidRDefault="0085505C" w:rsidP="0085505C">
      <w:pPr>
        <w:autoSpaceDE w:val="0"/>
        <w:autoSpaceDN w:val="0"/>
        <w:adjustRightInd w:val="0"/>
        <w:spacing w:before="120" w:after="120" w:line="240" w:lineRule="auto"/>
        <w:ind w:left="851" w:right="851"/>
        <w:jc w:val="center"/>
        <w:rPr>
          <w:rFonts w:ascii="Times New Roman" w:eastAsia="Calibri" w:hAnsi="Times New Roman" w:cs="Times New Roman"/>
          <w:color w:val="000000"/>
          <w:sz w:val="26"/>
          <w:szCs w:val="26"/>
        </w:rPr>
      </w:pPr>
      <w:r w:rsidRPr="002A7673">
        <w:rPr>
          <w:rFonts w:ascii="Times New Roman" w:hAnsi="Times New Roman" w:cs="Times New Roman"/>
          <w:sz w:val="26"/>
          <w:szCs w:val="26"/>
          <w:lang w:eastAsia="es-ES"/>
        </w:rPr>
        <w:object w:dxaOrig="1376" w:dyaOrig="893" w14:anchorId="68D7EC38">
          <v:shape id="_x0000_i1152" type="#_x0000_t75" style="width:1in;height:51.5pt" o:ole="">
            <v:imagedata r:id="rId341" o:title=""/>
          </v:shape>
          <o:OLEObject Type="Embed" ProgID="AcroExch.Document.DC" ShapeID="_x0000_i1152" DrawAspect="Icon" ObjectID="_1684067095" r:id="rId342"/>
        </w:object>
      </w:r>
    </w:p>
    <w:p w14:paraId="16386192" w14:textId="77777777" w:rsidR="0085505C" w:rsidRPr="002A7673" w:rsidRDefault="0085505C" w:rsidP="0085505C">
      <w:pPr>
        <w:autoSpaceDE w:val="0"/>
        <w:autoSpaceDN w:val="0"/>
        <w:adjustRightInd w:val="0"/>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Por lo anterior solicitan los siguientes recursos: </w:t>
      </w:r>
    </w:p>
    <w:p w14:paraId="0C03D112" w14:textId="77777777" w:rsidR="0085505C" w:rsidRPr="002A7673" w:rsidRDefault="0085505C" w:rsidP="0085505C">
      <w:pPr>
        <w:autoSpaceDE w:val="0"/>
        <w:autoSpaceDN w:val="0"/>
        <w:adjustRightInd w:val="0"/>
        <w:spacing w:after="0" w:line="240" w:lineRule="auto"/>
        <w:jc w:val="both"/>
        <w:rPr>
          <w:rFonts w:ascii="Times New Roman" w:hAnsi="Times New Roman" w:cs="Times New Roman"/>
          <w:sz w:val="28"/>
          <w:szCs w:val="28"/>
        </w:rPr>
      </w:pPr>
    </w:p>
    <w:tbl>
      <w:tblPr>
        <w:tblW w:w="5000" w:type="pct"/>
        <w:tblCellMar>
          <w:left w:w="70" w:type="dxa"/>
          <w:right w:w="70" w:type="dxa"/>
        </w:tblCellMar>
        <w:tblLook w:val="04A0" w:firstRow="1" w:lastRow="0" w:firstColumn="1" w:lastColumn="0" w:noHBand="0" w:noVBand="1"/>
      </w:tblPr>
      <w:tblGrid>
        <w:gridCol w:w="1308"/>
        <w:gridCol w:w="2063"/>
        <w:gridCol w:w="857"/>
        <w:gridCol w:w="1854"/>
        <w:gridCol w:w="3566"/>
      </w:tblGrid>
      <w:tr w:rsidR="0085505C" w:rsidRPr="002A7673" w14:paraId="19853D36" w14:textId="77777777" w:rsidTr="0048334E">
        <w:trPr>
          <w:trHeight w:val="380"/>
        </w:trPr>
        <w:tc>
          <w:tcPr>
            <w:tcW w:w="678" w:type="pct"/>
            <w:tcBorders>
              <w:top w:val="single" w:sz="8" w:space="0" w:color="auto"/>
              <w:left w:val="single" w:sz="8" w:space="0" w:color="auto"/>
              <w:bottom w:val="nil"/>
              <w:right w:val="single" w:sz="8" w:space="0" w:color="auto"/>
            </w:tcBorders>
            <w:shd w:val="clear" w:color="000000" w:fill="000000"/>
            <w:noWrap/>
            <w:vAlign w:val="center"/>
            <w:hideMark/>
          </w:tcPr>
          <w:p w14:paraId="09784768" w14:textId="77777777" w:rsidR="0085505C" w:rsidRPr="002A7673" w:rsidRDefault="0085505C" w:rsidP="0048334E">
            <w:pPr>
              <w:spacing w:after="0" w:line="240" w:lineRule="auto"/>
              <w:jc w:val="center"/>
              <w:rPr>
                <w:rFonts w:ascii="Times New Roman" w:hAnsi="Times New Roman" w:cs="Times New Roman"/>
                <w:b/>
                <w:bCs/>
                <w:color w:val="FFFFFF"/>
                <w:sz w:val="24"/>
                <w:szCs w:val="24"/>
                <w:lang w:eastAsia="es-CR"/>
              </w:rPr>
            </w:pPr>
            <w:bookmarkStart w:id="222" w:name="_Hlk69806594"/>
            <w:r w:rsidRPr="002A7673">
              <w:rPr>
                <w:rFonts w:ascii="Times New Roman" w:hAnsi="Times New Roman" w:cs="Times New Roman"/>
                <w:b/>
                <w:bCs/>
                <w:color w:val="FFFFFF"/>
                <w:sz w:val="24"/>
                <w:szCs w:val="24"/>
              </w:rPr>
              <w:t xml:space="preserve">Subpartida </w:t>
            </w:r>
          </w:p>
        </w:tc>
        <w:tc>
          <w:tcPr>
            <w:tcW w:w="1069" w:type="pct"/>
            <w:tcBorders>
              <w:top w:val="single" w:sz="8" w:space="0" w:color="auto"/>
              <w:left w:val="nil"/>
              <w:bottom w:val="nil"/>
              <w:right w:val="single" w:sz="8" w:space="0" w:color="auto"/>
            </w:tcBorders>
            <w:shd w:val="clear" w:color="000000" w:fill="000000"/>
            <w:noWrap/>
            <w:vAlign w:val="center"/>
            <w:hideMark/>
          </w:tcPr>
          <w:p w14:paraId="6658062B"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Descripción </w:t>
            </w:r>
          </w:p>
        </w:tc>
        <w:tc>
          <w:tcPr>
            <w:tcW w:w="443" w:type="pct"/>
            <w:tcBorders>
              <w:top w:val="single" w:sz="8" w:space="0" w:color="auto"/>
              <w:left w:val="nil"/>
              <w:bottom w:val="nil"/>
              <w:right w:val="single" w:sz="8" w:space="0" w:color="auto"/>
            </w:tcBorders>
            <w:shd w:val="clear" w:color="000000" w:fill="000000"/>
            <w:noWrap/>
            <w:vAlign w:val="center"/>
            <w:hideMark/>
          </w:tcPr>
          <w:p w14:paraId="59F191F6"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Meses </w:t>
            </w:r>
          </w:p>
        </w:tc>
        <w:tc>
          <w:tcPr>
            <w:tcW w:w="961" w:type="pct"/>
            <w:tcBorders>
              <w:top w:val="single" w:sz="8" w:space="0" w:color="auto"/>
              <w:left w:val="nil"/>
              <w:bottom w:val="nil"/>
              <w:right w:val="single" w:sz="8" w:space="0" w:color="auto"/>
            </w:tcBorders>
            <w:shd w:val="clear" w:color="000000" w:fill="000000"/>
            <w:noWrap/>
            <w:vAlign w:val="center"/>
            <w:hideMark/>
          </w:tcPr>
          <w:p w14:paraId="23796B40"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Monto </w:t>
            </w:r>
          </w:p>
        </w:tc>
        <w:tc>
          <w:tcPr>
            <w:tcW w:w="1848" w:type="pct"/>
            <w:tcBorders>
              <w:top w:val="nil"/>
              <w:left w:val="nil"/>
              <w:bottom w:val="nil"/>
              <w:right w:val="single" w:sz="8" w:space="0" w:color="auto"/>
            </w:tcBorders>
            <w:shd w:val="clear" w:color="000000" w:fill="000000"/>
            <w:noWrap/>
            <w:vAlign w:val="center"/>
            <w:hideMark/>
          </w:tcPr>
          <w:p w14:paraId="04144AC6"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Justificación </w:t>
            </w:r>
          </w:p>
        </w:tc>
      </w:tr>
      <w:tr w:rsidR="0085505C" w:rsidRPr="002A7673" w14:paraId="5D78EE37" w14:textId="77777777" w:rsidTr="0048334E">
        <w:trPr>
          <w:trHeight w:val="580"/>
        </w:trPr>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A0BB2"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10101</w:t>
            </w:r>
          </w:p>
        </w:tc>
        <w:tc>
          <w:tcPr>
            <w:tcW w:w="1069" w:type="pct"/>
            <w:tcBorders>
              <w:top w:val="single" w:sz="4" w:space="0" w:color="auto"/>
              <w:left w:val="nil"/>
              <w:bottom w:val="single" w:sz="4" w:space="0" w:color="auto"/>
              <w:right w:val="single" w:sz="4" w:space="0" w:color="auto"/>
            </w:tcBorders>
            <w:shd w:val="clear" w:color="auto" w:fill="auto"/>
            <w:vAlign w:val="center"/>
            <w:hideMark/>
          </w:tcPr>
          <w:p w14:paraId="75EF85A6"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Alquiler de Local </w:t>
            </w:r>
          </w:p>
        </w:tc>
        <w:tc>
          <w:tcPr>
            <w:tcW w:w="443" w:type="pct"/>
            <w:tcBorders>
              <w:top w:val="single" w:sz="4" w:space="0" w:color="auto"/>
              <w:left w:val="nil"/>
              <w:bottom w:val="single" w:sz="4" w:space="0" w:color="auto"/>
              <w:right w:val="single" w:sz="4" w:space="0" w:color="auto"/>
            </w:tcBorders>
            <w:shd w:val="clear" w:color="auto" w:fill="auto"/>
            <w:noWrap/>
            <w:vAlign w:val="center"/>
            <w:hideMark/>
          </w:tcPr>
          <w:p w14:paraId="00E73748"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12</w:t>
            </w:r>
          </w:p>
        </w:tc>
        <w:tc>
          <w:tcPr>
            <w:tcW w:w="961" w:type="pct"/>
            <w:tcBorders>
              <w:top w:val="single" w:sz="4" w:space="0" w:color="auto"/>
              <w:left w:val="nil"/>
              <w:bottom w:val="single" w:sz="4" w:space="0" w:color="auto"/>
              <w:right w:val="single" w:sz="4" w:space="0" w:color="auto"/>
            </w:tcBorders>
            <w:shd w:val="clear" w:color="auto" w:fill="auto"/>
            <w:noWrap/>
            <w:vAlign w:val="center"/>
            <w:hideMark/>
          </w:tcPr>
          <w:p w14:paraId="41406FF1"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265 183 956 </w:t>
            </w:r>
          </w:p>
        </w:tc>
        <w:tc>
          <w:tcPr>
            <w:tcW w:w="1848" w:type="pct"/>
            <w:tcBorders>
              <w:top w:val="single" w:sz="4" w:space="0" w:color="auto"/>
              <w:left w:val="nil"/>
              <w:bottom w:val="single" w:sz="4" w:space="0" w:color="auto"/>
              <w:right w:val="single" w:sz="4" w:space="0" w:color="auto"/>
            </w:tcBorders>
            <w:shd w:val="clear" w:color="auto" w:fill="auto"/>
            <w:vAlign w:val="bottom"/>
            <w:hideMark/>
          </w:tcPr>
          <w:p w14:paraId="60133F86"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Para el alquiler de local para albergar el personal de FAPTA. </w:t>
            </w:r>
          </w:p>
        </w:tc>
      </w:tr>
      <w:tr w:rsidR="0085505C" w:rsidRPr="002A7673" w14:paraId="71000963" w14:textId="77777777" w:rsidTr="0048334E">
        <w:trPr>
          <w:trHeight w:val="580"/>
        </w:trPr>
        <w:tc>
          <w:tcPr>
            <w:tcW w:w="678" w:type="pct"/>
            <w:tcBorders>
              <w:top w:val="nil"/>
              <w:left w:val="single" w:sz="4" w:space="0" w:color="auto"/>
              <w:bottom w:val="single" w:sz="4" w:space="0" w:color="auto"/>
              <w:right w:val="single" w:sz="4" w:space="0" w:color="auto"/>
            </w:tcBorders>
            <w:shd w:val="clear" w:color="auto" w:fill="auto"/>
            <w:noWrap/>
            <w:vAlign w:val="bottom"/>
            <w:hideMark/>
          </w:tcPr>
          <w:p w14:paraId="03579B76"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10406</w:t>
            </w:r>
          </w:p>
        </w:tc>
        <w:tc>
          <w:tcPr>
            <w:tcW w:w="1069" w:type="pct"/>
            <w:tcBorders>
              <w:top w:val="nil"/>
              <w:left w:val="nil"/>
              <w:bottom w:val="single" w:sz="4" w:space="0" w:color="auto"/>
              <w:right w:val="single" w:sz="4" w:space="0" w:color="auto"/>
            </w:tcBorders>
            <w:shd w:val="clear" w:color="auto" w:fill="auto"/>
            <w:vAlign w:val="center"/>
            <w:hideMark/>
          </w:tcPr>
          <w:p w14:paraId="52F3AB6C"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Servicios Generales</w:t>
            </w:r>
          </w:p>
        </w:tc>
        <w:tc>
          <w:tcPr>
            <w:tcW w:w="443" w:type="pct"/>
            <w:tcBorders>
              <w:top w:val="nil"/>
              <w:left w:val="nil"/>
              <w:bottom w:val="single" w:sz="4" w:space="0" w:color="auto"/>
              <w:right w:val="single" w:sz="4" w:space="0" w:color="auto"/>
            </w:tcBorders>
            <w:shd w:val="clear" w:color="auto" w:fill="auto"/>
            <w:vAlign w:val="center"/>
            <w:hideMark/>
          </w:tcPr>
          <w:p w14:paraId="690438DB"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12</w:t>
            </w:r>
          </w:p>
        </w:tc>
        <w:tc>
          <w:tcPr>
            <w:tcW w:w="961" w:type="pct"/>
            <w:tcBorders>
              <w:top w:val="nil"/>
              <w:left w:val="nil"/>
              <w:bottom w:val="single" w:sz="4" w:space="0" w:color="auto"/>
              <w:right w:val="single" w:sz="4" w:space="0" w:color="auto"/>
            </w:tcBorders>
            <w:shd w:val="clear" w:color="auto" w:fill="auto"/>
            <w:noWrap/>
            <w:vAlign w:val="center"/>
            <w:hideMark/>
          </w:tcPr>
          <w:p w14:paraId="6206159A"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10 097 381 </w:t>
            </w:r>
          </w:p>
        </w:tc>
        <w:tc>
          <w:tcPr>
            <w:tcW w:w="1848" w:type="pct"/>
            <w:tcBorders>
              <w:top w:val="nil"/>
              <w:left w:val="nil"/>
              <w:bottom w:val="single" w:sz="4" w:space="0" w:color="auto"/>
              <w:right w:val="single" w:sz="4" w:space="0" w:color="auto"/>
            </w:tcBorders>
            <w:shd w:val="clear" w:color="auto" w:fill="auto"/>
            <w:vAlign w:val="bottom"/>
            <w:hideMark/>
          </w:tcPr>
          <w:p w14:paraId="1E77B24D"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Servicio de vigilancia de lunes a viernes de 7 a 17 horas.</w:t>
            </w:r>
          </w:p>
        </w:tc>
      </w:tr>
      <w:tr w:rsidR="0085505C" w:rsidRPr="002A7673" w14:paraId="55F8CFC2" w14:textId="77777777" w:rsidTr="0048334E">
        <w:trPr>
          <w:trHeight w:val="590"/>
        </w:trPr>
        <w:tc>
          <w:tcPr>
            <w:tcW w:w="678" w:type="pct"/>
            <w:tcBorders>
              <w:top w:val="nil"/>
              <w:left w:val="single" w:sz="4" w:space="0" w:color="auto"/>
              <w:bottom w:val="nil"/>
              <w:right w:val="single" w:sz="4" w:space="0" w:color="auto"/>
            </w:tcBorders>
            <w:shd w:val="clear" w:color="auto" w:fill="auto"/>
            <w:noWrap/>
            <w:vAlign w:val="bottom"/>
            <w:hideMark/>
          </w:tcPr>
          <w:p w14:paraId="29751DDE"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10406</w:t>
            </w:r>
          </w:p>
        </w:tc>
        <w:tc>
          <w:tcPr>
            <w:tcW w:w="1069" w:type="pct"/>
            <w:tcBorders>
              <w:top w:val="nil"/>
              <w:left w:val="nil"/>
              <w:bottom w:val="nil"/>
              <w:right w:val="single" w:sz="4" w:space="0" w:color="auto"/>
            </w:tcBorders>
            <w:shd w:val="clear" w:color="auto" w:fill="auto"/>
            <w:vAlign w:val="center"/>
            <w:hideMark/>
          </w:tcPr>
          <w:p w14:paraId="0D078DB7"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Servicios Generales </w:t>
            </w:r>
          </w:p>
        </w:tc>
        <w:tc>
          <w:tcPr>
            <w:tcW w:w="443" w:type="pct"/>
            <w:tcBorders>
              <w:top w:val="nil"/>
              <w:left w:val="nil"/>
              <w:bottom w:val="nil"/>
              <w:right w:val="single" w:sz="4" w:space="0" w:color="auto"/>
            </w:tcBorders>
            <w:shd w:val="clear" w:color="auto" w:fill="auto"/>
            <w:vAlign w:val="center"/>
            <w:hideMark/>
          </w:tcPr>
          <w:p w14:paraId="75D46491"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12</w:t>
            </w:r>
          </w:p>
        </w:tc>
        <w:tc>
          <w:tcPr>
            <w:tcW w:w="961" w:type="pct"/>
            <w:tcBorders>
              <w:top w:val="nil"/>
              <w:left w:val="nil"/>
              <w:bottom w:val="nil"/>
              <w:right w:val="single" w:sz="4" w:space="0" w:color="auto"/>
            </w:tcBorders>
            <w:shd w:val="clear" w:color="auto" w:fill="auto"/>
            <w:noWrap/>
            <w:vAlign w:val="center"/>
            <w:hideMark/>
          </w:tcPr>
          <w:p w14:paraId="70230CA1"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7 244 232 </w:t>
            </w:r>
          </w:p>
        </w:tc>
        <w:tc>
          <w:tcPr>
            <w:tcW w:w="1848" w:type="pct"/>
            <w:tcBorders>
              <w:top w:val="nil"/>
              <w:left w:val="nil"/>
              <w:bottom w:val="nil"/>
              <w:right w:val="single" w:sz="4" w:space="0" w:color="auto"/>
            </w:tcBorders>
            <w:shd w:val="clear" w:color="auto" w:fill="auto"/>
            <w:vAlign w:val="bottom"/>
            <w:hideMark/>
          </w:tcPr>
          <w:p w14:paraId="0BA8635E"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Servicio de limpieza de lunes a viernes de </w:t>
            </w:r>
            <w:proofErr w:type="gramStart"/>
            <w:r w:rsidRPr="002A7673">
              <w:rPr>
                <w:rFonts w:ascii="Times New Roman" w:hAnsi="Times New Roman" w:cs="Times New Roman"/>
                <w:color w:val="000000"/>
                <w:sz w:val="24"/>
                <w:szCs w:val="24"/>
              </w:rPr>
              <w:t>7:30  a</w:t>
            </w:r>
            <w:proofErr w:type="gramEnd"/>
            <w:r w:rsidRPr="002A7673">
              <w:rPr>
                <w:rFonts w:ascii="Times New Roman" w:hAnsi="Times New Roman" w:cs="Times New Roman"/>
                <w:color w:val="000000"/>
                <w:sz w:val="24"/>
                <w:szCs w:val="24"/>
              </w:rPr>
              <w:t xml:space="preserve"> las 16:30 horas </w:t>
            </w:r>
          </w:p>
        </w:tc>
      </w:tr>
      <w:tr w:rsidR="0085505C" w:rsidRPr="002A7673" w14:paraId="4F8C943B" w14:textId="77777777" w:rsidTr="0048334E">
        <w:trPr>
          <w:trHeight w:val="320"/>
        </w:trPr>
        <w:tc>
          <w:tcPr>
            <w:tcW w:w="678"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54731AC"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 </w:t>
            </w:r>
          </w:p>
        </w:tc>
        <w:tc>
          <w:tcPr>
            <w:tcW w:w="1513" w:type="pct"/>
            <w:gridSpan w:val="2"/>
            <w:tcBorders>
              <w:top w:val="single" w:sz="8" w:space="0" w:color="auto"/>
              <w:left w:val="nil"/>
              <w:bottom w:val="single" w:sz="8" w:space="0" w:color="auto"/>
              <w:right w:val="single" w:sz="4" w:space="0" w:color="000000"/>
            </w:tcBorders>
            <w:shd w:val="clear" w:color="auto" w:fill="auto"/>
            <w:noWrap/>
            <w:vAlign w:val="center"/>
            <w:hideMark/>
          </w:tcPr>
          <w:p w14:paraId="57497869"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lang w:val="es-ES_tradnl"/>
              </w:rPr>
              <w:t xml:space="preserve">Total: </w:t>
            </w:r>
          </w:p>
        </w:tc>
        <w:tc>
          <w:tcPr>
            <w:tcW w:w="961" w:type="pct"/>
            <w:tcBorders>
              <w:top w:val="single" w:sz="8" w:space="0" w:color="auto"/>
              <w:left w:val="nil"/>
              <w:bottom w:val="single" w:sz="8" w:space="0" w:color="auto"/>
              <w:right w:val="single" w:sz="4" w:space="0" w:color="auto"/>
            </w:tcBorders>
            <w:shd w:val="clear" w:color="auto" w:fill="auto"/>
            <w:noWrap/>
            <w:vAlign w:val="bottom"/>
            <w:hideMark/>
          </w:tcPr>
          <w:p w14:paraId="389D47AF" w14:textId="77777777" w:rsidR="0085505C" w:rsidRPr="002A7673" w:rsidRDefault="0085505C" w:rsidP="0048334E">
            <w:pPr>
              <w:spacing w:after="0" w:line="240" w:lineRule="auto"/>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 xml:space="preserve">     282 525 569 </w:t>
            </w:r>
          </w:p>
        </w:tc>
        <w:tc>
          <w:tcPr>
            <w:tcW w:w="1848" w:type="pct"/>
            <w:tcBorders>
              <w:top w:val="single" w:sz="8" w:space="0" w:color="auto"/>
              <w:left w:val="nil"/>
              <w:bottom w:val="single" w:sz="8" w:space="0" w:color="auto"/>
              <w:right w:val="single" w:sz="8" w:space="0" w:color="auto"/>
            </w:tcBorders>
            <w:shd w:val="clear" w:color="auto" w:fill="auto"/>
            <w:noWrap/>
            <w:vAlign w:val="bottom"/>
            <w:hideMark/>
          </w:tcPr>
          <w:p w14:paraId="04D3E1DD" w14:textId="77777777" w:rsidR="0085505C" w:rsidRPr="002A7673" w:rsidRDefault="0085505C" w:rsidP="0048334E">
            <w:pPr>
              <w:spacing w:after="0" w:line="240" w:lineRule="auto"/>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 </w:t>
            </w:r>
          </w:p>
        </w:tc>
      </w:tr>
      <w:bookmarkEnd w:id="222"/>
    </w:tbl>
    <w:p w14:paraId="5F1F7712" w14:textId="77777777" w:rsidR="0085505C" w:rsidRPr="002A7673" w:rsidRDefault="0085505C" w:rsidP="0085505C">
      <w:pPr>
        <w:autoSpaceDE w:val="0"/>
        <w:autoSpaceDN w:val="0"/>
        <w:adjustRightInd w:val="0"/>
        <w:spacing w:after="0" w:line="240" w:lineRule="auto"/>
        <w:jc w:val="both"/>
        <w:rPr>
          <w:rFonts w:ascii="Times New Roman" w:hAnsi="Times New Roman" w:cs="Times New Roman"/>
          <w:sz w:val="28"/>
          <w:szCs w:val="28"/>
        </w:rPr>
      </w:pPr>
    </w:p>
    <w:p w14:paraId="5527CCFF"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Es importante indicar que para el año 2021, se solicitaron y aprobaron ¢132.956.920; sin embargo, debido a la incertidumbre de si para el 2022 se aprueban los recursos, el Ministerio Público aún no ha iniciado el trámite de contratación para el 2021: </w:t>
      </w:r>
    </w:p>
    <w:p w14:paraId="72F03C35" w14:textId="77777777" w:rsidR="0085505C" w:rsidRPr="002A7673" w:rsidRDefault="0085505C" w:rsidP="0085505C">
      <w:pPr>
        <w:spacing w:after="0" w:line="360" w:lineRule="auto"/>
        <w:jc w:val="both"/>
        <w:rPr>
          <w:rFonts w:ascii="Times New Roman" w:hAnsi="Times New Roman" w:cs="Times New Roman"/>
          <w:b/>
          <w:sz w:val="28"/>
          <w:szCs w:val="28"/>
        </w:rPr>
      </w:pPr>
    </w:p>
    <w:p w14:paraId="0542BAD6" w14:textId="77777777" w:rsidR="0085505C" w:rsidRPr="002A7673" w:rsidRDefault="0085505C" w:rsidP="0085505C">
      <w:pPr>
        <w:spacing w:after="0" w:line="360" w:lineRule="auto"/>
        <w:jc w:val="center"/>
        <w:rPr>
          <w:rFonts w:ascii="Times New Roman" w:hAnsi="Times New Roman" w:cs="Times New Roman"/>
          <w:b/>
          <w:sz w:val="28"/>
          <w:szCs w:val="28"/>
        </w:rPr>
      </w:pPr>
      <w:r w:rsidRPr="002A7673">
        <w:rPr>
          <w:rFonts w:ascii="Times New Roman" w:hAnsi="Times New Roman" w:cs="Times New Roman"/>
          <w:b/>
          <w:sz w:val="28"/>
          <w:szCs w:val="28"/>
        </w:rPr>
        <w:t>Recursos solicitados y aprobados para el 2021</w:t>
      </w:r>
    </w:p>
    <w:tbl>
      <w:tblPr>
        <w:tblStyle w:val="Tablaconcuadrcula"/>
        <w:tblW w:w="5000" w:type="pct"/>
        <w:jc w:val="center"/>
        <w:tblLook w:val="04A0" w:firstRow="1" w:lastRow="0" w:firstColumn="1" w:lastColumn="0" w:noHBand="0" w:noVBand="1"/>
      </w:tblPr>
      <w:tblGrid>
        <w:gridCol w:w="1706"/>
        <w:gridCol w:w="1947"/>
        <w:gridCol w:w="2621"/>
        <w:gridCol w:w="3384"/>
      </w:tblGrid>
      <w:tr w:rsidR="0085505C" w:rsidRPr="002A7673" w14:paraId="305EF461" w14:textId="77777777" w:rsidTr="0048334E">
        <w:trPr>
          <w:trHeight w:val="255"/>
          <w:jc w:val="center"/>
        </w:trPr>
        <w:tc>
          <w:tcPr>
            <w:tcW w:w="883" w:type="pct"/>
            <w:shd w:val="clear" w:color="auto" w:fill="2E74B5" w:themeFill="accent1" w:themeFillShade="BF"/>
          </w:tcPr>
          <w:p w14:paraId="6C0667B3" w14:textId="77777777" w:rsidR="0085505C" w:rsidRPr="002A7673" w:rsidRDefault="0085505C" w:rsidP="0048334E">
            <w:pPr>
              <w:spacing w:line="360" w:lineRule="auto"/>
              <w:jc w:val="center"/>
              <w:rPr>
                <w:b/>
                <w:color w:val="FFFFFF" w:themeColor="background1"/>
                <w:sz w:val="24"/>
                <w:szCs w:val="24"/>
              </w:rPr>
            </w:pPr>
            <w:r w:rsidRPr="002A7673">
              <w:rPr>
                <w:b/>
                <w:color w:val="FFFFFF" w:themeColor="background1"/>
                <w:sz w:val="24"/>
                <w:szCs w:val="24"/>
              </w:rPr>
              <w:t>Subpartida</w:t>
            </w:r>
          </w:p>
        </w:tc>
        <w:tc>
          <w:tcPr>
            <w:tcW w:w="1008" w:type="pct"/>
            <w:shd w:val="clear" w:color="auto" w:fill="2E74B5" w:themeFill="accent1" w:themeFillShade="BF"/>
          </w:tcPr>
          <w:p w14:paraId="4CC53490" w14:textId="77777777" w:rsidR="0085505C" w:rsidRPr="002A7673" w:rsidRDefault="0085505C" w:rsidP="0048334E">
            <w:pPr>
              <w:spacing w:line="360" w:lineRule="auto"/>
              <w:jc w:val="center"/>
              <w:rPr>
                <w:b/>
                <w:color w:val="FFFFFF" w:themeColor="background1"/>
                <w:sz w:val="24"/>
                <w:szCs w:val="24"/>
              </w:rPr>
            </w:pPr>
            <w:r w:rsidRPr="002A7673">
              <w:rPr>
                <w:b/>
                <w:color w:val="FFFFFF" w:themeColor="background1"/>
                <w:sz w:val="24"/>
                <w:szCs w:val="24"/>
              </w:rPr>
              <w:t>Detalle</w:t>
            </w:r>
          </w:p>
        </w:tc>
        <w:tc>
          <w:tcPr>
            <w:tcW w:w="1357" w:type="pct"/>
            <w:shd w:val="clear" w:color="auto" w:fill="2E74B5" w:themeFill="accent1" w:themeFillShade="BF"/>
          </w:tcPr>
          <w:p w14:paraId="447E5FF0" w14:textId="77777777" w:rsidR="0085505C" w:rsidRPr="002A7673" w:rsidRDefault="0085505C" w:rsidP="0048334E">
            <w:pPr>
              <w:spacing w:line="360" w:lineRule="auto"/>
              <w:jc w:val="center"/>
              <w:rPr>
                <w:b/>
                <w:color w:val="FFFFFF" w:themeColor="background1"/>
                <w:sz w:val="24"/>
                <w:szCs w:val="24"/>
              </w:rPr>
            </w:pPr>
            <w:r w:rsidRPr="002A7673">
              <w:rPr>
                <w:b/>
                <w:color w:val="FFFFFF" w:themeColor="background1"/>
                <w:sz w:val="24"/>
                <w:szCs w:val="24"/>
              </w:rPr>
              <w:t>Monto</w:t>
            </w:r>
          </w:p>
        </w:tc>
        <w:tc>
          <w:tcPr>
            <w:tcW w:w="1752" w:type="pct"/>
            <w:shd w:val="clear" w:color="auto" w:fill="2E74B5" w:themeFill="accent1" w:themeFillShade="BF"/>
          </w:tcPr>
          <w:p w14:paraId="3F335C0B" w14:textId="77777777" w:rsidR="0085505C" w:rsidRPr="002A7673" w:rsidRDefault="0085505C" w:rsidP="0048334E">
            <w:pPr>
              <w:spacing w:line="360" w:lineRule="auto"/>
              <w:jc w:val="center"/>
              <w:rPr>
                <w:b/>
                <w:color w:val="FFFFFF" w:themeColor="background1"/>
                <w:sz w:val="24"/>
                <w:szCs w:val="24"/>
              </w:rPr>
            </w:pPr>
            <w:r w:rsidRPr="002A7673">
              <w:rPr>
                <w:b/>
                <w:color w:val="FFFFFF" w:themeColor="background1"/>
                <w:sz w:val="24"/>
                <w:szCs w:val="24"/>
              </w:rPr>
              <w:t>Justificación</w:t>
            </w:r>
          </w:p>
        </w:tc>
      </w:tr>
      <w:tr w:rsidR="0085505C" w:rsidRPr="002A7673" w14:paraId="396B3D75" w14:textId="77777777" w:rsidTr="0048334E">
        <w:trPr>
          <w:trHeight w:val="502"/>
          <w:jc w:val="center"/>
        </w:trPr>
        <w:tc>
          <w:tcPr>
            <w:tcW w:w="883" w:type="pct"/>
          </w:tcPr>
          <w:p w14:paraId="45D1F3AC" w14:textId="77777777" w:rsidR="0085505C" w:rsidRPr="002A7673" w:rsidRDefault="0085505C" w:rsidP="0048334E">
            <w:pPr>
              <w:spacing w:line="360" w:lineRule="auto"/>
              <w:jc w:val="both"/>
              <w:rPr>
                <w:b/>
                <w:sz w:val="24"/>
                <w:szCs w:val="24"/>
              </w:rPr>
            </w:pPr>
            <w:r w:rsidRPr="002A7673">
              <w:rPr>
                <w:b/>
                <w:sz w:val="24"/>
                <w:szCs w:val="24"/>
              </w:rPr>
              <w:t>10101</w:t>
            </w:r>
          </w:p>
        </w:tc>
        <w:tc>
          <w:tcPr>
            <w:tcW w:w="1008" w:type="pct"/>
          </w:tcPr>
          <w:p w14:paraId="227DDD6F" w14:textId="77777777" w:rsidR="0085505C" w:rsidRPr="002A7673" w:rsidRDefault="0085505C" w:rsidP="0048334E">
            <w:pPr>
              <w:spacing w:line="360" w:lineRule="auto"/>
              <w:jc w:val="both"/>
              <w:rPr>
                <w:b/>
                <w:sz w:val="24"/>
                <w:szCs w:val="24"/>
              </w:rPr>
            </w:pPr>
            <w:r w:rsidRPr="002A7673">
              <w:rPr>
                <w:b/>
                <w:sz w:val="24"/>
                <w:szCs w:val="24"/>
              </w:rPr>
              <w:t>Alquiler de Local</w:t>
            </w:r>
          </w:p>
        </w:tc>
        <w:tc>
          <w:tcPr>
            <w:tcW w:w="1357" w:type="pct"/>
          </w:tcPr>
          <w:p w14:paraId="51A4BDE5" w14:textId="77777777" w:rsidR="0085505C" w:rsidRPr="002A7673" w:rsidRDefault="0085505C" w:rsidP="0048334E">
            <w:pPr>
              <w:spacing w:line="360" w:lineRule="auto"/>
              <w:jc w:val="right"/>
              <w:rPr>
                <w:b/>
                <w:sz w:val="24"/>
                <w:szCs w:val="24"/>
              </w:rPr>
            </w:pPr>
            <w:r w:rsidRPr="002A7673">
              <w:rPr>
                <w:b/>
                <w:sz w:val="24"/>
                <w:szCs w:val="24"/>
              </w:rPr>
              <w:t>¢121.022.748.00</w:t>
            </w:r>
          </w:p>
        </w:tc>
        <w:tc>
          <w:tcPr>
            <w:tcW w:w="1752" w:type="pct"/>
          </w:tcPr>
          <w:p w14:paraId="3815DA7A" w14:textId="77777777" w:rsidR="0085505C" w:rsidRPr="002A7673" w:rsidRDefault="0085505C" w:rsidP="0048334E">
            <w:pPr>
              <w:spacing w:line="360" w:lineRule="auto"/>
              <w:jc w:val="both"/>
              <w:rPr>
                <w:b/>
                <w:sz w:val="24"/>
                <w:szCs w:val="24"/>
              </w:rPr>
            </w:pPr>
            <w:r w:rsidRPr="002A7673">
              <w:rPr>
                <w:b/>
                <w:sz w:val="24"/>
                <w:szCs w:val="24"/>
              </w:rPr>
              <w:t xml:space="preserve">Para el alquiler de local para albergar el personal de FAPTA. </w:t>
            </w:r>
          </w:p>
        </w:tc>
      </w:tr>
      <w:tr w:rsidR="0085505C" w:rsidRPr="002A7673" w14:paraId="435BCA4F" w14:textId="77777777" w:rsidTr="0048334E">
        <w:trPr>
          <w:trHeight w:val="513"/>
          <w:jc w:val="center"/>
        </w:trPr>
        <w:tc>
          <w:tcPr>
            <w:tcW w:w="883" w:type="pct"/>
          </w:tcPr>
          <w:p w14:paraId="622181C0" w14:textId="77777777" w:rsidR="0085505C" w:rsidRPr="002A7673" w:rsidRDefault="0085505C" w:rsidP="0048334E">
            <w:pPr>
              <w:spacing w:line="360" w:lineRule="auto"/>
              <w:jc w:val="both"/>
              <w:rPr>
                <w:b/>
                <w:sz w:val="24"/>
                <w:szCs w:val="24"/>
              </w:rPr>
            </w:pPr>
            <w:r w:rsidRPr="002A7673">
              <w:rPr>
                <w:b/>
                <w:sz w:val="24"/>
                <w:szCs w:val="24"/>
              </w:rPr>
              <w:t>10406</w:t>
            </w:r>
          </w:p>
        </w:tc>
        <w:tc>
          <w:tcPr>
            <w:tcW w:w="1008" w:type="pct"/>
          </w:tcPr>
          <w:p w14:paraId="3A7B9132" w14:textId="77777777" w:rsidR="0085505C" w:rsidRPr="002A7673" w:rsidRDefault="0085505C" w:rsidP="0048334E">
            <w:pPr>
              <w:spacing w:line="360" w:lineRule="auto"/>
              <w:jc w:val="both"/>
              <w:rPr>
                <w:b/>
                <w:sz w:val="24"/>
                <w:szCs w:val="24"/>
              </w:rPr>
            </w:pPr>
            <w:r w:rsidRPr="002A7673">
              <w:rPr>
                <w:b/>
                <w:sz w:val="24"/>
                <w:szCs w:val="24"/>
              </w:rPr>
              <w:t>Servicios Generales</w:t>
            </w:r>
          </w:p>
        </w:tc>
        <w:tc>
          <w:tcPr>
            <w:tcW w:w="1357" w:type="pct"/>
          </w:tcPr>
          <w:p w14:paraId="317DFAF7" w14:textId="77777777" w:rsidR="0085505C" w:rsidRPr="002A7673" w:rsidRDefault="0085505C" w:rsidP="0048334E">
            <w:pPr>
              <w:spacing w:line="360" w:lineRule="auto"/>
              <w:jc w:val="right"/>
              <w:rPr>
                <w:b/>
                <w:sz w:val="24"/>
                <w:szCs w:val="24"/>
              </w:rPr>
            </w:pPr>
            <w:r w:rsidRPr="002A7673">
              <w:rPr>
                <w:b/>
                <w:sz w:val="24"/>
                <w:szCs w:val="24"/>
              </w:rPr>
              <w:t>¢5.707.286.00</w:t>
            </w:r>
          </w:p>
        </w:tc>
        <w:tc>
          <w:tcPr>
            <w:tcW w:w="1752" w:type="pct"/>
          </w:tcPr>
          <w:p w14:paraId="49119A5D" w14:textId="77777777" w:rsidR="0085505C" w:rsidRPr="002A7673" w:rsidRDefault="0085505C" w:rsidP="0048334E">
            <w:pPr>
              <w:spacing w:line="360" w:lineRule="auto"/>
              <w:jc w:val="both"/>
              <w:rPr>
                <w:b/>
                <w:sz w:val="24"/>
                <w:szCs w:val="24"/>
              </w:rPr>
            </w:pPr>
            <w:r w:rsidRPr="002A7673">
              <w:rPr>
                <w:b/>
                <w:sz w:val="24"/>
                <w:szCs w:val="24"/>
              </w:rPr>
              <w:t xml:space="preserve">Servicio de vigilancia de lunes a viernes de 7 a las 17 horas. </w:t>
            </w:r>
          </w:p>
        </w:tc>
      </w:tr>
      <w:tr w:rsidR="0085505C" w:rsidRPr="002A7673" w14:paraId="2C1D61DE" w14:textId="77777777" w:rsidTr="0048334E">
        <w:trPr>
          <w:trHeight w:val="502"/>
          <w:jc w:val="center"/>
        </w:trPr>
        <w:tc>
          <w:tcPr>
            <w:tcW w:w="883" w:type="pct"/>
          </w:tcPr>
          <w:p w14:paraId="336D2173" w14:textId="77777777" w:rsidR="0085505C" w:rsidRPr="002A7673" w:rsidRDefault="0085505C" w:rsidP="0048334E">
            <w:pPr>
              <w:spacing w:line="360" w:lineRule="auto"/>
              <w:jc w:val="both"/>
              <w:rPr>
                <w:b/>
                <w:sz w:val="24"/>
                <w:szCs w:val="24"/>
              </w:rPr>
            </w:pPr>
            <w:r w:rsidRPr="002A7673">
              <w:rPr>
                <w:b/>
                <w:sz w:val="24"/>
                <w:szCs w:val="24"/>
              </w:rPr>
              <w:t>10406</w:t>
            </w:r>
          </w:p>
        </w:tc>
        <w:tc>
          <w:tcPr>
            <w:tcW w:w="1008" w:type="pct"/>
          </w:tcPr>
          <w:p w14:paraId="7CA91011" w14:textId="77777777" w:rsidR="0085505C" w:rsidRPr="002A7673" w:rsidRDefault="0085505C" w:rsidP="0048334E">
            <w:pPr>
              <w:spacing w:line="360" w:lineRule="auto"/>
              <w:jc w:val="both"/>
              <w:rPr>
                <w:b/>
                <w:sz w:val="24"/>
                <w:szCs w:val="24"/>
              </w:rPr>
            </w:pPr>
            <w:r w:rsidRPr="002A7673">
              <w:rPr>
                <w:b/>
                <w:sz w:val="24"/>
                <w:szCs w:val="24"/>
              </w:rPr>
              <w:t xml:space="preserve">Servicios Generales </w:t>
            </w:r>
          </w:p>
        </w:tc>
        <w:tc>
          <w:tcPr>
            <w:tcW w:w="1357" w:type="pct"/>
          </w:tcPr>
          <w:p w14:paraId="7CDA4D77" w14:textId="77777777" w:rsidR="0085505C" w:rsidRPr="002A7673" w:rsidRDefault="0085505C" w:rsidP="0048334E">
            <w:pPr>
              <w:spacing w:line="360" w:lineRule="auto"/>
              <w:jc w:val="right"/>
              <w:rPr>
                <w:b/>
                <w:sz w:val="24"/>
                <w:szCs w:val="24"/>
              </w:rPr>
            </w:pPr>
            <w:r w:rsidRPr="002A7673">
              <w:rPr>
                <w:b/>
                <w:sz w:val="24"/>
                <w:szCs w:val="24"/>
              </w:rPr>
              <w:t>¢6.226.886.00</w:t>
            </w:r>
          </w:p>
        </w:tc>
        <w:tc>
          <w:tcPr>
            <w:tcW w:w="1752" w:type="pct"/>
          </w:tcPr>
          <w:p w14:paraId="5DDAC0A5" w14:textId="77777777" w:rsidR="0085505C" w:rsidRPr="002A7673" w:rsidRDefault="0085505C" w:rsidP="0048334E">
            <w:pPr>
              <w:spacing w:line="360" w:lineRule="auto"/>
              <w:jc w:val="both"/>
              <w:rPr>
                <w:b/>
                <w:sz w:val="24"/>
                <w:szCs w:val="24"/>
              </w:rPr>
            </w:pPr>
            <w:r w:rsidRPr="002A7673">
              <w:rPr>
                <w:b/>
                <w:sz w:val="24"/>
                <w:szCs w:val="24"/>
              </w:rPr>
              <w:t xml:space="preserve">Servicio de limpieza de lunes a </w:t>
            </w:r>
            <w:proofErr w:type="gramStart"/>
            <w:r w:rsidRPr="002A7673">
              <w:rPr>
                <w:b/>
                <w:sz w:val="24"/>
                <w:szCs w:val="24"/>
              </w:rPr>
              <w:t>viernes  de</w:t>
            </w:r>
            <w:proofErr w:type="gramEnd"/>
            <w:r w:rsidRPr="002A7673">
              <w:rPr>
                <w:b/>
                <w:sz w:val="24"/>
                <w:szCs w:val="24"/>
              </w:rPr>
              <w:t xml:space="preserve"> las 7:30 a las 16:30.</w:t>
            </w:r>
          </w:p>
        </w:tc>
      </w:tr>
      <w:tr w:rsidR="0085505C" w:rsidRPr="002A7673" w14:paraId="6C1C3638" w14:textId="77777777" w:rsidTr="0048334E">
        <w:trPr>
          <w:trHeight w:val="255"/>
          <w:jc w:val="center"/>
        </w:trPr>
        <w:tc>
          <w:tcPr>
            <w:tcW w:w="1891" w:type="pct"/>
            <w:gridSpan w:val="2"/>
          </w:tcPr>
          <w:p w14:paraId="7E405903" w14:textId="77777777" w:rsidR="0085505C" w:rsidRPr="002A7673" w:rsidRDefault="0085505C" w:rsidP="0048334E">
            <w:pPr>
              <w:spacing w:line="360" w:lineRule="auto"/>
              <w:jc w:val="center"/>
              <w:rPr>
                <w:b/>
                <w:sz w:val="24"/>
                <w:szCs w:val="24"/>
              </w:rPr>
            </w:pPr>
            <w:r w:rsidRPr="002A7673">
              <w:rPr>
                <w:b/>
                <w:sz w:val="24"/>
                <w:szCs w:val="24"/>
              </w:rPr>
              <w:t>Total</w:t>
            </w:r>
          </w:p>
        </w:tc>
        <w:tc>
          <w:tcPr>
            <w:tcW w:w="1357" w:type="pct"/>
          </w:tcPr>
          <w:p w14:paraId="05A3C05B" w14:textId="77777777" w:rsidR="0085505C" w:rsidRPr="002A7673" w:rsidRDefault="0085505C" w:rsidP="0048334E">
            <w:pPr>
              <w:spacing w:line="360" w:lineRule="auto"/>
              <w:jc w:val="right"/>
              <w:rPr>
                <w:b/>
                <w:sz w:val="24"/>
                <w:szCs w:val="24"/>
              </w:rPr>
            </w:pPr>
            <w:r w:rsidRPr="002A7673">
              <w:rPr>
                <w:b/>
                <w:sz w:val="24"/>
                <w:szCs w:val="24"/>
              </w:rPr>
              <w:t>¢132.956.920.00(1)</w:t>
            </w:r>
          </w:p>
        </w:tc>
        <w:tc>
          <w:tcPr>
            <w:tcW w:w="1752" w:type="pct"/>
          </w:tcPr>
          <w:p w14:paraId="761704B3" w14:textId="77777777" w:rsidR="0085505C" w:rsidRPr="002A7673" w:rsidRDefault="0085505C" w:rsidP="0048334E">
            <w:pPr>
              <w:spacing w:line="360" w:lineRule="auto"/>
              <w:jc w:val="both"/>
              <w:rPr>
                <w:b/>
                <w:sz w:val="24"/>
                <w:szCs w:val="24"/>
              </w:rPr>
            </w:pPr>
          </w:p>
        </w:tc>
      </w:tr>
    </w:tbl>
    <w:p w14:paraId="1158F177" w14:textId="77777777" w:rsidR="0085505C" w:rsidRPr="002A7673" w:rsidRDefault="0085505C" w:rsidP="00FF3FAC">
      <w:pPr>
        <w:numPr>
          <w:ilvl w:val="0"/>
          <w:numId w:val="68"/>
        </w:numPr>
        <w:spacing w:before="120" w:after="12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Difiere del monto solicitado originalmente por la Fiscalía debido a los recortes presupuestarios. </w:t>
      </w:r>
    </w:p>
    <w:p w14:paraId="1C342418"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Se adjunta </w:t>
      </w:r>
      <w:proofErr w:type="gramStart"/>
      <w:r w:rsidRPr="002A7673">
        <w:rPr>
          <w:rFonts w:ascii="Times New Roman" w:hAnsi="Times New Roman" w:cs="Times New Roman"/>
          <w:sz w:val="26"/>
          <w:szCs w:val="26"/>
        </w:rPr>
        <w:t>oficio  FGR</w:t>
      </w:r>
      <w:proofErr w:type="gramEnd"/>
      <w:r w:rsidRPr="002A7673">
        <w:rPr>
          <w:rFonts w:ascii="Times New Roman" w:hAnsi="Times New Roman" w:cs="Times New Roman"/>
          <w:sz w:val="26"/>
          <w:szCs w:val="26"/>
        </w:rPr>
        <w:t xml:space="preserve">-454-2021 de la Fiscalía de Probidad, Transparencia y Anticorrupción, donde se justifica ampliamente la necesidad de los recursos.  </w:t>
      </w:r>
    </w:p>
    <w:p w14:paraId="17597999" w14:textId="77777777" w:rsidR="0085505C" w:rsidRPr="002A7673" w:rsidRDefault="0085505C" w:rsidP="0085505C">
      <w:pPr>
        <w:spacing w:before="120" w:after="120" w:line="240" w:lineRule="auto"/>
        <w:ind w:left="851" w:right="851"/>
        <w:jc w:val="center"/>
        <w:rPr>
          <w:rFonts w:ascii="Times New Roman" w:hAnsi="Times New Roman" w:cs="Times New Roman"/>
          <w:b/>
          <w:sz w:val="26"/>
          <w:szCs w:val="26"/>
        </w:rPr>
      </w:pPr>
      <w:r w:rsidRPr="002A7673">
        <w:rPr>
          <w:rFonts w:ascii="Times New Roman" w:hAnsi="Times New Roman" w:cs="Times New Roman"/>
          <w:b/>
          <w:sz w:val="26"/>
          <w:szCs w:val="26"/>
        </w:rPr>
        <w:object w:dxaOrig="1779" w:dyaOrig="1158" w14:anchorId="3E8E1B9A">
          <v:shape id="_x0000_i1153" type="#_x0000_t75" style="width:88pt;height:56.5pt" o:ole="">
            <v:imagedata r:id="rId343" o:title=""/>
          </v:shape>
          <o:OLEObject Type="Embed" ProgID="AcroExch.Document.DC" ShapeID="_x0000_i1153" DrawAspect="Icon" ObjectID="_1684067096" r:id="rId344"/>
        </w:object>
      </w:r>
    </w:p>
    <w:p w14:paraId="5E9AA3FE" w14:textId="77777777" w:rsidR="0085505C" w:rsidRPr="002A7673" w:rsidRDefault="0085505C" w:rsidP="0085505C">
      <w:pPr>
        <w:spacing w:before="120" w:after="12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 xml:space="preserve">Es importante indicar que, de aprobarse estos recursos se debe valorar la continuidad de los recursos en los próximos años, esto en relación a </w:t>
      </w:r>
      <w:proofErr w:type="gramStart"/>
      <w:r w:rsidRPr="002A7673">
        <w:rPr>
          <w:rFonts w:ascii="Times New Roman" w:hAnsi="Times New Roman" w:cs="Times New Roman"/>
          <w:b/>
          <w:sz w:val="26"/>
          <w:szCs w:val="26"/>
        </w:rPr>
        <w:t>las  políticas</w:t>
      </w:r>
      <w:proofErr w:type="gramEnd"/>
      <w:r w:rsidRPr="002A7673">
        <w:rPr>
          <w:rFonts w:ascii="Times New Roman" w:hAnsi="Times New Roman" w:cs="Times New Roman"/>
          <w:b/>
          <w:sz w:val="26"/>
          <w:szCs w:val="26"/>
        </w:rPr>
        <w:t xml:space="preserve"> de disminución del gasto establecidas por el Ministerio de Hacienda. </w:t>
      </w:r>
    </w:p>
    <w:p w14:paraId="6D923710" w14:textId="77777777" w:rsidR="0085505C" w:rsidRPr="002A7673" w:rsidRDefault="0085505C" w:rsidP="0085505C">
      <w:pPr>
        <w:spacing w:before="120" w:after="12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De aprobarse los recursos solicitados por FAPTA por la suma de ¢282.525.569, el Anteproyecto de Presupuesto del Ministerio Publico sería de ¢ 3.811.658.779 con un crecimiento del 1.2% y en términos absolutos de ¢44.314.857</w:t>
      </w:r>
    </w:p>
    <w:p w14:paraId="1D576151" w14:textId="77777777" w:rsidR="0085505C" w:rsidRPr="002A7673" w:rsidRDefault="0085505C" w:rsidP="0085505C">
      <w:pPr>
        <w:spacing w:before="120" w:after="120" w:line="240" w:lineRule="auto"/>
        <w:ind w:left="851" w:right="851" w:firstLine="709"/>
        <w:jc w:val="both"/>
        <w:rPr>
          <w:rFonts w:ascii="Times New Roman" w:hAnsi="Times New Roman" w:cs="Times New Roman"/>
          <w:b/>
          <w:sz w:val="26"/>
          <w:szCs w:val="26"/>
        </w:rPr>
      </w:pPr>
    </w:p>
    <w:p w14:paraId="3C3D27AF" w14:textId="77777777" w:rsidR="0085505C" w:rsidRPr="002A7673" w:rsidRDefault="0085505C" w:rsidP="00FF3FAC">
      <w:pPr>
        <w:numPr>
          <w:ilvl w:val="0"/>
          <w:numId w:val="76"/>
        </w:numPr>
        <w:spacing w:before="120" w:after="12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Detalle del Presupuesto Formulado para 2022</w:t>
      </w:r>
    </w:p>
    <w:p w14:paraId="11283473"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 continuación, se incluyen los archivos que contienen el detalle del gasto de los recursos formulados para el 2022.</w:t>
      </w:r>
    </w:p>
    <w:bookmarkStart w:id="223" w:name="_MON_1680008165"/>
    <w:bookmarkEnd w:id="223"/>
    <w:p w14:paraId="4E70EB61" w14:textId="77777777" w:rsidR="0085505C" w:rsidRPr="002A7673" w:rsidRDefault="0085505C" w:rsidP="0085505C">
      <w:pPr>
        <w:spacing w:before="120" w:after="120" w:line="240" w:lineRule="auto"/>
        <w:ind w:left="851" w:right="851"/>
        <w:jc w:val="center"/>
        <w:rPr>
          <w:rFonts w:ascii="Times New Roman" w:hAnsi="Times New Roman" w:cs="Times New Roman"/>
          <w:sz w:val="26"/>
          <w:szCs w:val="26"/>
        </w:rPr>
      </w:pPr>
      <w:r w:rsidRPr="002A7673">
        <w:rPr>
          <w:rFonts w:ascii="Times New Roman" w:hAnsi="Times New Roman" w:cs="Times New Roman"/>
          <w:sz w:val="26"/>
          <w:szCs w:val="26"/>
        </w:rPr>
        <w:object w:dxaOrig="1779" w:dyaOrig="1158" w14:anchorId="6CC5B510">
          <v:shape id="_x0000_i1154" type="#_x0000_t75" style="width:88pt;height:56.5pt" o:ole="">
            <v:imagedata r:id="rId345" o:title=""/>
          </v:shape>
          <o:OLEObject Type="Embed" ProgID="Excel.Sheet.12" ShapeID="_x0000_i1154" DrawAspect="Icon" ObjectID="_1684067097" r:id="rId346"/>
        </w:object>
      </w:r>
    </w:p>
    <w:p w14:paraId="5D02CCA4" w14:textId="77777777" w:rsidR="0085505C" w:rsidRPr="002A7673" w:rsidRDefault="0085505C" w:rsidP="00FF3FAC">
      <w:pPr>
        <w:numPr>
          <w:ilvl w:val="0"/>
          <w:numId w:val="76"/>
        </w:numPr>
        <w:spacing w:before="120" w:after="12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Carga de Trabajo de los Circuitos Judiciales y Centros de Responsabilidad </w:t>
      </w:r>
    </w:p>
    <w:p w14:paraId="4F7198B4"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53FC0529"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 continuación, se presenta al análisis del comportamiento interanual del balance </w:t>
      </w:r>
      <w:proofErr w:type="gramStart"/>
      <w:r w:rsidRPr="002A7673">
        <w:rPr>
          <w:rFonts w:ascii="Times New Roman" w:hAnsi="Times New Roman" w:cs="Times New Roman"/>
          <w:sz w:val="26"/>
          <w:szCs w:val="26"/>
        </w:rPr>
        <w:t>general  de</w:t>
      </w:r>
      <w:proofErr w:type="gramEnd"/>
      <w:r w:rsidRPr="002A7673">
        <w:rPr>
          <w:rFonts w:ascii="Times New Roman" w:hAnsi="Times New Roman" w:cs="Times New Roman"/>
          <w:sz w:val="26"/>
          <w:szCs w:val="26"/>
        </w:rPr>
        <w:t xml:space="preserve"> la carga de trabajo correspondiente al bienio 2019-2020 para el Ministerio Público. Los datos fueron remitidos por parte del Subproceso de Estadística.</w:t>
      </w:r>
    </w:p>
    <w:p w14:paraId="065ED296"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7EC16C0D" w14:textId="77777777" w:rsidR="0085505C" w:rsidRPr="002A7673" w:rsidRDefault="0085505C" w:rsidP="0085505C">
      <w:pPr>
        <w:spacing w:after="0"/>
        <w:ind w:firstLine="708"/>
        <w:jc w:val="center"/>
        <w:rPr>
          <w:rFonts w:ascii="Times New Roman" w:hAnsi="Times New Roman" w:cs="Times New Roman"/>
          <w:b/>
          <w:sz w:val="26"/>
          <w:szCs w:val="26"/>
        </w:rPr>
      </w:pPr>
      <w:r w:rsidRPr="002A7673">
        <w:rPr>
          <w:rFonts w:ascii="Times New Roman" w:hAnsi="Times New Roman" w:cs="Times New Roman"/>
          <w:b/>
          <w:sz w:val="26"/>
          <w:szCs w:val="26"/>
        </w:rPr>
        <w:t>Comparación del Balance General para el centro de responsabilidad Ministerio Público,</w:t>
      </w:r>
    </w:p>
    <w:p w14:paraId="5D5B2B54" w14:textId="77777777" w:rsidR="0085505C" w:rsidRPr="002A7673" w:rsidRDefault="0085505C" w:rsidP="0085505C">
      <w:pPr>
        <w:spacing w:after="0"/>
        <w:ind w:firstLine="708"/>
        <w:jc w:val="center"/>
        <w:rPr>
          <w:rFonts w:ascii="Times New Roman" w:hAnsi="Times New Roman" w:cs="Times New Roman"/>
          <w:b/>
          <w:sz w:val="26"/>
          <w:szCs w:val="26"/>
        </w:rPr>
      </w:pPr>
      <w:r w:rsidRPr="002A7673">
        <w:rPr>
          <w:rFonts w:ascii="Times New Roman" w:hAnsi="Times New Roman" w:cs="Times New Roman"/>
          <w:b/>
          <w:sz w:val="26"/>
          <w:szCs w:val="26"/>
        </w:rPr>
        <w:t>durante los años 2019-2020</w:t>
      </w:r>
    </w:p>
    <w:tbl>
      <w:tblPr>
        <w:tblW w:w="5000" w:type="pct"/>
        <w:jc w:val="center"/>
        <w:tblCellMar>
          <w:left w:w="70" w:type="dxa"/>
          <w:right w:w="70" w:type="dxa"/>
        </w:tblCellMar>
        <w:tblLook w:val="04A0" w:firstRow="1" w:lastRow="0" w:firstColumn="1" w:lastColumn="0" w:noHBand="0" w:noVBand="1"/>
      </w:tblPr>
      <w:tblGrid>
        <w:gridCol w:w="2488"/>
        <w:gridCol w:w="1914"/>
        <w:gridCol w:w="1696"/>
        <w:gridCol w:w="1696"/>
        <w:gridCol w:w="1864"/>
      </w:tblGrid>
      <w:tr w:rsidR="0085505C" w:rsidRPr="002A7673" w14:paraId="58EAE7AD" w14:textId="77777777" w:rsidTr="0048334E">
        <w:trPr>
          <w:trHeight w:val="300"/>
          <w:jc w:val="center"/>
        </w:trPr>
        <w:tc>
          <w:tcPr>
            <w:tcW w:w="1288" w:type="pct"/>
            <w:vMerge w:val="restart"/>
            <w:tcBorders>
              <w:top w:val="single" w:sz="4" w:space="0" w:color="auto"/>
              <w:left w:val="single" w:sz="4" w:space="0" w:color="auto"/>
              <w:bottom w:val="single" w:sz="4" w:space="0" w:color="auto"/>
              <w:right w:val="single" w:sz="4" w:space="0" w:color="auto"/>
            </w:tcBorders>
            <w:shd w:val="clear" w:color="auto" w:fill="2E74B5" w:themeFill="accent1" w:themeFillShade="BF"/>
            <w:noWrap/>
            <w:vAlign w:val="center"/>
            <w:hideMark/>
          </w:tcPr>
          <w:p w14:paraId="0D9A120E" w14:textId="77777777" w:rsidR="0085505C" w:rsidRPr="002A7673" w:rsidRDefault="0085505C" w:rsidP="0048334E">
            <w:pPr>
              <w:spacing w:after="0" w:line="240" w:lineRule="auto"/>
              <w:jc w:val="center"/>
              <w:rPr>
                <w:rFonts w:ascii="Times New Roman" w:hAnsi="Times New Roman" w:cs="Times New Roman"/>
                <w:color w:val="FFFFFF"/>
                <w:sz w:val="24"/>
                <w:szCs w:val="24"/>
                <w:lang w:eastAsia="es-CR"/>
              </w:rPr>
            </w:pPr>
            <w:r w:rsidRPr="002A7673">
              <w:rPr>
                <w:rFonts w:ascii="Times New Roman" w:hAnsi="Times New Roman" w:cs="Times New Roman"/>
                <w:color w:val="FFFFFF"/>
                <w:sz w:val="24"/>
                <w:szCs w:val="24"/>
                <w:lang w:eastAsia="es-CR"/>
              </w:rPr>
              <w:t>Variable estadística</w:t>
            </w:r>
          </w:p>
        </w:tc>
        <w:tc>
          <w:tcPr>
            <w:tcW w:w="1869" w:type="pct"/>
            <w:gridSpan w:val="2"/>
            <w:tcBorders>
              <w:top w:val="single" w:sz="4" w:space="0" w:color="auto"/>
              <w:left w:val="nil"/>
              <w:bottom w:val="single" w:sz="4" w:space="0" w:color="auto"/>
              <w:right w:val="single" w:sz="4" w:space="0" w:color="auto"/>
            </w:tcBorders>
            <w:shd w:val="clear" w:color="auto" w:fill="2E74B5" w:themeFill="accent1" w:themeFillShade="BF"/>
            <w:noWrap/>
            <w:vAlign w:val="bottom"/>
            <w:hideMark/>
          </w:tcPr>
          <w:p w14:paraId="6AB36313" w14:textId="77777777" w:rsidR="0085505C" w:rsidRPr="002A7673" w:rsidRDefault="0085505C" w:rsidP="0048334E">
            <w:pPr>
              <w:spacing w:after="0" w:line="240" w:lineRule="auto"/>
              <w:jc w:val="center"/>
              <w:rPr>
                <w:rFonts w:ascii="Times New Roman" w:hAnsi="Times New Roman" w:cs="Times New Roman"/>
                <w:color w:val="FFFFFF"/>
                <w:sz w:val="24"/>
                <w:szCs w:val="24"/>
                <w:lang w:eastAsia="es-CR"/>
              </w:rPr>
            </w:pPr>
            <w:r w:rsidRPr="002A7673">
              <w:rPr>
                <w:rFonts w:ascii="Times New Roman" w:hAnsi="Times New Roman" w:cs="Times New Roman"/>
                <w:color w:val="FFFFFF"/>
                <w:sz w:val="24"/>
                <w:szCs w:val="24"/>
                <w:lang w:eastAsia="es-CR"/>
              </w:rPr>
              <w:t>Año</w:t>
            </w:r>
          </w:p>
        </w:tc>
        <w:tc>
          <w:tcPr>
            <w:tcW w:w="1843" w:type="pct"/>
            <w:gridSpan w:val="2"/>
            <w:tcBorders>
              <w:top w:val="single" w:sz="4" w:space="0" w:color="auto"/>
              <w:left w:val="nil"/>
              <w:bottom w:val="single" w:sz="4" w:space="0" w:color="auto"/>
              <w:right w:val="single" w:sz="4" w:space="0" w:color="auto"/>
            </w:tcBorders>
            <w:shd w:val="clear" w:color="auto" w:fill="2E74B5" w:themeFill="accent1" w:themeFillShade="BF"/>
            <w:noWrap/>
            <w:vAlign w:val="bottom"/>
            <w:hideMark/>
          </w:tcPr>
          <w:p w14:paraId="7EECAE62" w14:textId="77777777" w:rsidR="0085505C" w:rsidRPr="002A7673" w:rsidRDefault="0085505C" w:rsidP="0048334E">
            <w:pPr>
              <w:spacing w:after="0" w:line="240" w:lineRule="auto"/>
              <w:jc w:val="center"/>
              <w:rPr>
                <w:rFonts w:ascii="Times New Roman" w:hAnsi="Times New Roman" w:cs="Times New Roman"/>
                <w:color w:val="FFFFFF"/>
                <w:sz w:val="24"/>
                <w:szCs w:val="24"/>
                <w:lang w:eastAsia="es-CR"/>
              </w:rPr>
            </w:pPr>
            <w:r w:rsidRPr="002A7673">
              <w:rPr>
                <w:rFonts w:ascii="Times New Roman" w:hAnsi="Times New Roman" w:cs="Times New Roman"/>
                <w:color w:val="FFFFFF"/>
                <w:sz w:val="24"/>
                <w:szCs w:val="24"/>
                <w:lang w:eastAsia="es-CR"/>
              </w:rPr>
              <w:t>Variación</w:t>
            </w:r>
          </w:p>
        </w:tc>
      </w:tr>
      <w:tr w:rsidR="0085505C" w:rsidRPr="002A7673" w14:paraId="46879D39" w14:textId="77777777" w:rsidTr="0048334E">
        <w:trPr>
          <w:trHeight w:val="300"/>
          <w:jc w:val="center"/>
        </w:trPr>
        <w:tc>
          <w:tcPr>
            <w:tcW w:w="1288" w:type="pct"/>
            <w:vMerge/>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46C6BE46" w14:textId="77777777" w:rsidR="0085505C" w:rsidRPr="002A7673" w:rsidRDefault="0085505C" w:rsidP="0048334E">
            <w:pPr>
              <w:spacing w:after="0" w:line="240" w:lineRule="auto"/>
              <w:rPr>
                <w:rFonts w:ascii="Times New Roman" w:hAnsi="Times New Roman" w:cs="Times New Roman"/>
                <w:color w:val="FFFFFF"/>
                <w:sz w:val="24"/>
                <w:szCs w:val="24"/>
                <w:lang w:eastAsia="es-CR"/>
              </w:rPr>
            </w:pPr>
          </w:p>
        </w:tc>
        <w:tc>
          <w:tcPr>
            <w:tcW w:w="991" w:type="pct"/>
            <w:tcBorders>
              <w:top w:val="nil"/>
              <w:left w:val="nil"/>
              <w:bottom w:val="single" w:sz="4" w:space="0" w:color="auto"/>
              <w:right w:val="single" w:sz="4" w:space="0" w:color="auto"/>
            </w:tcBorders>
            <w:shd w:val="clear" w:color="auto" w:fill="2E74B5" w:themeFill="accent1" w:themeFillShade="BF"/>
            <w:noWrap/>
            <w:vAlign w:val="bottom"/>
            <w:hideMark/>
          </w:tcPr>
          <w:p w14:paraId="517E68E2" w14:textId="77777777" w:rsidR="0085505C" w:rsidRPr="002A7673" w:rsidRDefault="0085505C" w:rsidP="0048334E">
            <w:pPr>
              <w:spacing w:after="0" w:line="240" w:lineRule="auto"/>
              <w:jc w:val="center"/>
              <w:rPr>
                <w:rFonts w:ascii="Times New Roman" w:hAnsi="Times New Roman" w:cs="Times New Roman"/>
                <w:color w:val="FFFFFF"/>
                <w:sz w:val="24"/>
                <w:szCs w:val="24"/>
                <w:lang w:eastAsia="es-CR"/>
              </w:rPr>
            </w:pPr>
            <w:r w:rsidRPr="002A7673">
              <w:rPr>
                <w:rFonts w:ascii="Times New Roman" w:hAnsi="Times New Roman" w:cs="Times New Roman"/>
                <w:color w:val="FFFFFF"/>
                <w:sz w:val="24"/>
                <w:szCs w:val="24"/>
                <w:lang w:eastAsia="es-CR"/>
              </w:rPr>
              <w:t>2019</w:t>
            </w:r>
          </w:p>
        </w:tc>
        <w:tc>
          <w:tcPr>
            <w:tcW w:w="877" w:type="pct"/>
            <w:tcBorders>
              <w:top w:val="nil"/>
              <w:left w:val="nil"/>
              <w:bottom w:val="single" w:sz="4" w:space="0" w:color="auto"/>
              <w:right w:val="single" w:sz="4" w:space="0" w:color="auto"/>
            </w:tcBorders>
            <w:shd w:val="clear" w:color="auto" w:fill="2E74B5" w:themeFill="accent1" w:themeFillShade="BF"/>
            <w:noWrap/>
            <w:vAlign w:val="bottom"/>
            <w:hideMark/>
          </w:tcPr>
          <w:p w14:paraId="798A7DB1" w14:textId="77777777" w:rsidR="0085505C" w:rsidRPr="002A7673" w:rsidRDefault="0085505C" w:rsidP="0048334E">
            <w:pPr>
              <w:spacing w:after="0" w:line="240" w:lineRule="auto"/>
              <w:jc w:val="center"/>
              <w:rPr>
                <w:rFonts w:ascii="Times New Roman" w:hAnsi="Times New Roman" w:cs="Times New Roman"/>
                <w:color w:val="FFFFFF"/>
                <w:sz w:val="24"/>
                <w:szCs w:val="24"/>
                <w:lang w:eastAsia="es-CR"/>
              </w:rPr>
            </w:pPr>
            <w:r w:rsidRPr="002A7673">
              <w:rPr>
                <w:rFonts w:ascii="Times New Roman" w:hAnsi="Times New Roman" w:cs="Times New Roman"/>
                <w:color w:val="FFFFFF"/>
                <w:sz w:val="24"/>
                <w:szCs w:val="24"/>
                <w:lang w:eastAsia="es-CR"/>
              </w:rPr>
              <w:t>2020</w:t>
            </w:r>
          </w:p>
        </w:tc>
        <w:tc>
          <w:tcPr>
            <w:tcW w:w="878" w:type="pct"/>
            <w:tcBorders>
              <w:top w:val="nil"/>
              <w:left w:val="nil"/>
              <w:bottom w:val="single" w:sz="4" w:space="0" w:color="auto"/>
              <w:right w:val="single" w:sz="4" w:space="0" w:color="auto"/>
            </w:tcBorders>
            <w:shd w:val="clear" w:color="auto" w:fill="2E74B5" w:themeFill="accent1" w:themeFillShade="BF"/>
            <w:noWrap/>
            <w:vAlign w:val="bottom"/>
            <w:hideMark/>
          </w:tcPr>
          <w:p w14:paraId="5104D61A" w14:textId="77777777" w:rsidR="0085505C" w:rsidRPr="002A7673" w:rsidRDefault="0085505C" w:rsidP="0048334E">
            <w:pPr>
              <w:spacing w:after="0" w:line="240" w:lineRule="auto"/>
              <w:jc w:val="center"/>
              <w:rPr>
                <w:rFonts w:ascii="Times New Roman" w:hAnsi="Times New Roman" w:cs="Times New Roman"/>
                <w:color w:val="FFFFFF"/>
                <w:sz w:val="24"/>
                <w:szCs w:val="24"/>
                <w:lang w:eastAsia="es-CR"/>
              </w:rPr>
            </w:pPr>
            <w:r w:rsidRPr="002A7673">
              <w:rPr>
                <w:rFonts w:ascii="Times New Roman" w:hAnsi="Times New Roman" w:cs="Times New Roman"/>
                <w:color w:val="FFFFFF"/>
                <w:sz w:val="24"/>
                <w:szCs w:val="24"/>
                <w:lang w:eastAsia="es-CR"/>
              </w:rPr>
              <w:t>Absoluta</w:t>
            </w:r>
          </w:p>
        </w:tc>
        <w:tc>
          <w:tcPr>
            <w:tcW w:w="965" w:type="pct"/>
            <w:tcBorders>
              <w:top w:val="nil"/>
              <w:left w:val="nil"/>
              <w:bottom w:val="single" w:sz="4" w:space="0" w:color="auto"/>
              <w:right w:val="single" w:sz="4" w:space="0" w:color="auto"/>
            </w:tcBorders>
            <w:shd w:val="clear" w:color="auto" w:fill="2E74B5" w:themeFill="accent1" w:themeFillShade="BF"/>
            <w:noWrap/>
            <w:vAlign w:val="bottom"/>
            <w:hideMark/>
          </w:tcPr>
          <w:p w14:paraId="41968560" w14:textId="77777777" w:rsidR="0085505C" w:rsidRPr="002A7673" w:rsidRDefault="0085505C" w:rsidP="0048334E">
            <w:pPr>
              <w:spacing w:after="0" w:line="240" w:lineRule="auto"/>
              <w:jc w:val="center"/>
              <w:rPr>
                <w:rFonts w:ascii="Times New Roman" w:hAnsi="Times New Roman" w:cs="Times New Roman"/>
                <w:color w:val="FFFFFF"/>
                <w:sz w:val="24"/>
                <w:szCs w:val="24"/>
                <w:lang w:eastAsia="es-CR"/>
              </w:rPr>
            </w:pPr>
            <w:r w:rsidRPr="002A7673">
              <w:rPr>
                <w:rFonts w:ascii="Times New Roman" w:hAnsi="Times New Roman" w:cs="Times New Roman"/>
                <w:color w:val="FFFFFF"/>
                <w:sz w:val="24"/>
                <w:szCs w:val="24"/>
                <w:lang w:eastAsia="es-CR"/>
              </w:rPr>
              <w:t>Relativa</w:t>
            </w:r>
          </w:p>
        </w:tc>
      </w:tr>
      <w:tr w:rsidR="0085505C" w:rsidRPr="002A7673" w14:paraId="2C0EEF17" w14:textId="77777777" w:rsidTr="0048334E">
        <w:trPr>
          <w:trHeight w:val="300"/>
          <w:jc w:val="center"/>
        </w:trPr>
        <w:tc>
          <w:tcPr>
            <w:tcW w:w="1288" w:type="pct"/>
            <w:tcBorders>
              <w:top w:val="nil"/>
              <w:left w:val="single" w:sz="4" w:space="0" w:color="auto"/>
              <w:bottom w:val="single" w:sz="4" w:space="0" w:color="auto"/>
              <w:right w:val="single" w:sz="4" w:space="0" w:color="auto"/>
            </w:tcBorders>
            <w:shd w:val="clear" w:color="auto" w:fill="auto"/>
            <w:noWrap/>
            <w:vAlign w:val="bottom"/>
            <w:hideMark/>
          </w:tcPr>
          <w:p w14:paraId="5BA77C61"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Circulante inicial</w:t>
            </w:r>
          </w:p>
        </w:tc>
        <w:tc>
          <w:tcPr>
            <w:tcW w:w="991" w:type="pct"/>
            <w:tcBorders>
              <w:top w:val="nil"/>
              <w:left w:val="nil"/>
              <w:bottom w:val="single" w:sz="4" w:space="0" w:color="auto"/>
              <w:right w:val="single" w:sz="4" w:space="0" w:color="auto"/>
            </w:tcBorders>
            <w:shd w:val="clear" w:color="auto" w:fill="auto"/>
            <w:noWrap/>
            <w:vAlign w:val="bottom"/>
            <w:hideMark/>
          </w:tcPr>
          <w:p w14:paraId="435B8BED"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78 713</w:t>
            </w:r>
          </w:p>
        </w:tc>
        <w:tc>
          <w:tcPr>
            <w:tcW w:w="877" w:type="pct"/>
            <w:tcBorders>
              <w:top w:val="nil"/>
              <w:left w:val="nil"/>
              <w:bottom w:val="single" w:sz="4" w:space="0" w:color="auto"/>
              <w:right w:val="single" w:sz="4" w:space="0" w:color="auto"/>
            </w:tcBorders>
            <w:shd w:val="clear" w:color="auto" w:fill="auto"/>
            <w:noWrap/>
            <w:vAlign w:val="bottom"/>
            <w:hideMark/>
          </w:tcPr>
          <w:p w14:paraId="2A13D226"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83 822</w:t>
            </w:r>
          </w:p>
        </w:tc>
        <w:tc>
          <w:tcPr>
            <w:tcW w:w="878" w:type="pct"/>
            <w:tcBorders>
              <w:top w:val="nil"/>
              <w:left w:val="nil"/>
              <w:bottom w:val="single" w:sz="4" w:space="0" w:color="auto"/>
              <w:right w:val="single" w:sz="4" w:space="0" w:color="auto"/>
            </w:tcBorders>
            <w:shd w:val="clear" w:color="auto" w:fill="auto"/>
            <w:noWrap/>
            <w:vAlign w:val="center"/>
            <w:hideMark/>
          </w:tcPr>
          <w:p w14:paraId="5571C77B"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5 109</w:t>
            </w:r>
          </w:p>
        </w:tc>
        <w:tc>
          <w:tcPr>
            <w:tcW w:w="965" w:type="pct"/>
            <w:tcBorders>
              <w:top w:val="nil"/>
              <w:left w:val="nil"/>
              <w:bottom w:val="single" w:sz="4" w:space="0" w:color="auto"/>
              <w:right w:val="single" w:sz="4" w:space="0" w:color="auto"/>
            </w:tcBorders>
            <w:shd w:val="clear" w:color="auto" w:fill="auto"/>
            <w:noWrap/>
            <w:vAlign w:val="center"/>
            <w:hideMark/>
          </w:tcPr>
          <w:p w14:paraId="08FEA50F"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6,49%</w:t>
            </w:r>
          </w:p>
        </w:tc>
      </w:tr>
      <w:tr w:rsidR="0085505C" w:rsidRPr="002A7673" w14:paraId="7BACB167" w14:textId="77777777" w:rsidTr="0048334E">
        <w:trPr>
          <w:trHeight w:val="300"/>
          <w:jc w:val="center"/>
        </w:trPr>
        <w:tc>
          <w:tcPr>
            <w:tcW w:w="1288" w:type="pct"/>
            <w:tcBorders>
              <w:top w:val="nil"/>
              <w:left w:val="single" w:sz="4" w:space="0" w:color="auto"/>
              <w:bottom w:val="single" w:sz="4" w:space="0" w:color="auto"/>
              <w:right w:val="single" w:sz="4" w:space="0" w:color="auto"/>
            </w:tcBorders>
            <w:shd w:val="clear" w:color="auto" w:fill="auto"/>
            <w:noWrap/>
            <w:vAlign w:val="bottom"/>
            <w:hideMark/>
          </w:tcPr>
          <w:p w14:paraId="53F71980"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Entrados</w:t>
            </w:r>
          </w:p>
        </w:tc>
        <w:tc>
          <w:tcPr>
            <w:tcW w:w="991" w:type="pct"/>
            <w:tcBorders>
              <w:top w:val="nil"/>
              <w:left w:val="nil"/>
              <w:bottom w:val="single" w:sz="4" w:space="0" w:color="auto"/>
              <w:right w:val="single" w:sz="4" w:space="0" w:color="auto"/>
            </w:tcBorders>
            <w:shd w:val="clear" w:color="auto" w:fill="auto"/>
            <w:noWrap/>
            <w:vAlign w:val="bottom"/>
            <w:hideMark/>
          </w:tcPr>
          <w:p w14:paraId="499A1CAA"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227 396</w:t>
            </w:r>
          </w:p>
        </w:tc>
        <w:tc>
          <w:tcPr>
            <w:tcW w:w="877" w:type="pct"/>
            <w:tcBorders>
              <w:top w:val="nil"/>
              <w:left w:val="nil"/>
              <w:bottom w:val="single" w:sz="4" w:space="0" w:color="auto"/>
              <w:right w:val="single" w:sz="4" w:space="0" w:color="auto"/>
            </w:tcBorders>
            <w:shd w:val="clear" w:color="auto" w:fill="auto"/>
            <w:noWrap/>
            <w:vAlign w:val="bottom"/>
            <w:hideMark/>
          </w:tcPr>
          <w:p w14:paraId="384A8571"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201 105</w:t>
            </w:r>
          </w:p>
        </w:tc>
        <w:tc>
          <w:tcPr>
            <w:tcW w:w="878" w:type="pct"/>
            <w:tcBorders>
              <w:top w:val="nil"/>
              <w:left w:val="nil"/>
              <w:bottom w:val="single" w:sz="4" w:space="0" w:color="auto"/>
              <w:right w:val="single" w:sz="4" w:space="0" w:color="auto"/>
            </w:tcBorders>
            <w:shd w:val="clear" w:color="auto" w:fill="auto"/>
            <w:noWrap/>
            <w:vAlign w:val="center"/>
            <w:hideMark/>
          </w:tcPr>
          <w:p w14:paraId="1DEE182B"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-26 291</w:t>
            </w:r>
          </w:p>
        </w:tc>
        <w:tc>
          <w:tcPr>
            <w:tcW w:w="965" w:type="pct"/>
            <w:tcBorders>
              <w:top w:val="nil"/>
              <w:left w:val="nil"/>
              <w:bottom w:val="single" w:sz="4" w:space="0" w:color="auto"/>
              <w:right w:val="single" w:sz="4" w:space="0" w:color="auto"/>
            </w:tcBorders>
            <w:shd w:val="clear" w:color="auto" w:fill="auto"/>
            <w:noWrap/>
            <w:vAlign w:val="center"/>
            <w:hideMark/>
          </w:tcPr>
          <w:p w14:paraId="5221F479"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-11,56%</w:t>
            </w:r>
          </w:p>
        </w:tc>
      </w:tr>
      <w:tr w:rsidR="0085505C" w:rsidRPr="002A7673" w14:paraId="192D9ED6" w14:textId="77777777" w:rsidTr="0048334E">
        <w:trPr>
          <w:trHeight w:val="300"/>
          <w:jc w:val="center"/>
        </w:trPr>
        <w:tc>
          <w:tcPr>
            <w:tcW w:w="1288" w:type="pct"/>
            <w:tcBorders>
              <w:top w:val="nil"/>
              <w:left w:val="single" w:sz="4" w:space="0" w:color="auto"/>
              <w:bottom w:val="single" w:sz="4" w:space="0" w:color="auto"/>
              <w:right w:val="single" w:sz="4" w:space="0" w:color="auto"/>
            </w:tcBorders>
            <w:shd w:val="clear" w:color="auto" w:fill="auto"/>
            <w:noWrap/>
            <w:vAlign w:val="bottom"/>
            <w:hideMark/>
          </w:tcPr>
          <w:p w14:paraId="2B1EA864"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Reactivados</w:t>
            </w:r>
          </w:p>
        </w:tc>
        <w:tc>
          <w:tcPr>
            <w:tcW w:w="991" w:type="pct"/>
            <w:tcBorders>
              <w:top w:val="nil"/>
              <w:left w:val="nil"/>
              <w:bottom w:val="single" w:sz="4" w:space="0" w:color="auto"/>
              <w:right w:val="single" w:sz="4" w:space="0" w:color="auto"/>
            </w:tcBorders>
            <w:shd w:val="clear" w:color="auto" w:fill="auto"/>
            <w:noWrap/>
            <w:vAlign w:val="bottom"/>
            <w:hideMark/>
          </w:tcPr>
          <w:p w14:paraId="522ED46D"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w:t>
            </w:r>
          </w:p>
        </w:tc>
        <w:tc>
          <w:tcPr>
            <w:tcW w:w="877" w:type="pct"/>
            <w:tcBorders>
              <w:top w:val="nil"/>
              <w:left w:val="nil"/>
              <w:bottom w:val="single" w:sz="4" w:space="0" w:color="auto"/>
              <w:right w:val="single" w:sz="4" w:space="0" w:color="auto"/>
            </w:tcBorders>
            <w:shd w:val="clear" w:color="auto" w:fill="auto"/>
            <w:noWrap/>
            <w:vAlign w:val="bottom"/>
            <w:hideMark/>
          </w:tcPr>
          <w:p w14:paraId="69983A1A"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w:t>
            </w:r>
          </w:p>
        </w:tc>
        <w:tc>
          <w:tcPr>
            <w:tcW w:w="878" w:type="pct"/>
            <w:tcBorders>
              <w:top w:val="nil"/>
              <w:left w:val="nil"/>
              <w:bottom w:val="single" w:sz="4" w:space="0" w:color="auto"/>
              <w:right w:val="single" w:sz="4" w:space="0" w:color="auto"/>
            </w:tcBorders>
            <w:shd w:val="clear" w:color="auto" w:fill="auto"/>
            <w:noWrap/>
            <w:vAlign w:val="center"/>
            <w:hideMark/>
          </w:tcPr>
          <w:p w14:paraId="0FF9F5DA"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w:t>
            </w:r>
          </w:p>
        </w:tc>
        <w:tc>
          <w:tcPr>
            <w:tcW w:w="965" w:type="pct"/>
            <w:tcBorders>
              <w:top w:val="nil"/>
              <w:left w:val="nil"/>
              <w:bottom w:val="single" w:sz="4" w:space="0" w:color="auto"/>
              <w:right w:val="single" w:sz="4" w:space="0" w:color="auto"/>
            </w:tcBorders>
            <w:shd w:val="clear" w:color="auto" w:fill="auto"/>
            <w:noWrap/>
            <w:vAlign w:val="center"/>
            <w:hideMark/>
          </w:tcPr>
          <w:p w14:paraId="03597016"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w:t>
            </w:r>
          </w:p>
        </w:tc>
      </w:tr>
      <w:tr w:rsidR="0085505C" w:rsidRPr="002A7673" w14:paraId="29C0DC75" w14:textId="77777777" w:rsidTr="0048334E">
        <w:trPr>
          <w:trHeight w:val="300"/>
          <w:jc w:val="center"/>
        </w:trPr>
        <w:tc>
          <w:tcPr>
            <w:tcW w:w="1288" w:type="pct"/>
            <w:tcBorders>
              <w:top w:val="nil"/>
              <w:left w:val="single" w:sz="4" w:space="0" w:color="auto"/>
              <w:bottom w:val="single" w:sz="4" w:space="0" w:color="auto"/>
              <w:right w:val="single" w:sz="4" w:space="0" w:color="auto"/>
            </w:tcBorders>
            <w:shd w:val="clear" w:color="auto" w:fill="auto"/>
            <w:noWrap/>
            <w:vAlign w:val="bottom"/>
            <w:hideMark/>
          </w:tcPr>
          <w:p w14:paraId="06333CFB"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Reentrados</w:t>
            </w:r>
          </w:p>
        </w:tc>
        <w:tc>
          <w:tcPr>
            <w:tcW w:w="991" w:type="pct"/>
            <w:tcBorders>
              <w:top w:val="nil"/>
              <w:left w:val="nil"/>
              <w:bottom w:val="single" w:sz="4" w:space="0" w:color="auto"/>
              <w:right w:val="single" w:sz="4" w:space="0" w:color="auto"/>
            </w:tcBorders>
            <w:shd w:val="clear" w:color="auto" w:fill="auto"/>
            <w:noWrap/>
            <w:vAlign w:val="bottom"/>
            <w:hideMark/>
          </w:tcPr>
          <w:p w14:paraId="76B7165D"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12 338</w:t>
            </w:r>
          </w:p>
        </w:tc>
        <w:tc>
          <w:tcPr>
            <w:tcW w:w="877" w:type="pct"/>
            <w:tcBorders>
              <w:top w:val="nil"/>
              <w:left w:val="nil"/>
              <w:bottom w:val="single" w:sz="4" w:space="0" w:color="auto"/>
              <w:right w:val="single" w:sz="4" w:space="0" w:color="auto"/>
            </w:tcBorders>
            <w:shd w:val="clear" w:color="auto" w:fill="auto"/>
            <w:noWrap/>
            <w:vAlign w:val="bottom"/>
            <w:hideMark/>
          </w:tcPr>
          <w:p w14:paraId="68E1DBED"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12 234</w:t>
            </w:r>
          </w:p>
        </w:tc>
        <w:tc>
          <w:tcPr>
            <w:tcW w:w="878" w:type="pct"/>
            <w:tcBorders>
              <w:top w:val="nil"/>
              <w:left w:val="nil"/>
              <w:bottom w:val="single" w:sz="4" w:space="0" w:color="auto"/>
              <w:right w:val="single" w:sz="4" w:space="0" w:color="auto"/>
            </w:tcBorders>
            <w:shd w:val="clear" w:color="auto" w:fill="auto"/>
            <w:noWrap/>
            <w:vAlign w:val="center"/>
            <w:hideMark/>
          </w:tcPr>
          <w:p w14:paraId="3BBF13E6"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-104</w:t>
            </w:r>
          </w:p>
        </w:tc>
        <w:tc>
          <w:tcPr>
            <w:tcW w:w="965" w:type="pct"/>
            <w:tcBorders>
              <w:top w:val="nil"/>
              <w:left w:val="nil"/>
              <w:bottom w:val="single" w:sz="4" w:space="0" w:color="auto"/>
              <w:right w:val="single" w:sz="4" w:space="0" w:color="auto"/>
            </w:tcBorders>
            <w:shd w:val="clear" w:color="auto" w:fill="auto"/>
            <w:noWrap/>
            <w:vAlign w:val="center"/>
            <w:hideMark/>
          </w:tcPr>
          <w:p w14:paraId="2C6B419D"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-0,84%</w:t>
            </w:r>
          </w:p>
        </w:tc>
      </w:tr>
      <w:tr w:rsidR="0085505C" w:rsidRPr="002A7673" w14:paraId="052DEE2F" w14:textId="77777777" w:rsidTr="0048334E">
        <w:trPr>
          <w:trHeight w:val="300"/>
          <w:jc w:val="center"/>
        </w:trPr>
        <w:tc>
          <w:tcPr>
            <w:tcW w:w="1288" w:type="pct"/>
            <w:tcBorders>
              <w:top w:val="nil"/>
              <w:left w:val="single" w:sz="4" w:space="0" w:color="auto"/>
              <w:bottom w:val="single" w:sz="4" w:space="0" w:color="auto"/>
              <w:right w:val="single" w:sz="4" w:space="0" w:color="auto"/>
            </w:tcBorders>
            <w:shd w:val="clear" w:color="auto" w:fill="auto"/>
            <w:noWrap/>
            <w:vAlign w:val="bottom"/>
            <w:hideMark/>
          </w:tcPr>
          <w:p w14:paraId="66D645B9"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Testimonios de pieza</w:t>
            </w:r>
          </w:p>
        </w:tc>
        <w:tc>
          <w:tcPr>
            <w:tcW w:w="991" w:type="pct"/>
            <w:tcBorders>
              <w:top w:val="nil"/>
              <w:left w:val="nil"/>
              <w:bottom w:val="single" w:sz="4" w:space="0" w:color="auto"/>
              <w:right w:val="single" w:sz="4" w:space="0" w:color="auto"/>
            </w:tcBorders>
            <w:shd w:val="clear" w:color="auto" w:fill="auto"/>
            <w:noWrap/>
            <w:vAlign w:val="bottom"/>
            <w:hideMark/>
          </w:tcPr>
          <w:p w14:paraId="453DC683"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561</w:t>
            </w:r>
          </w:p>
        </w:tc>
        <w:tc>
          <w:tcPr>
            <w:tcW w:w="877" w:type="pct"/>
            <w:tcBorders>
              <w:top w:val="nil"/>
              <w:left w:val="nil"/>
              <w:bottom w:val="single" w:sz="4" w:space="0" w:color="auto"/>
              <w:right w:val="single" w:sz="4" w:space="0" w:color="auto"/>
            </w:tcBorders>
            <w:shd w:val="clear" w:color="auto" w:fill="auto"/>
            <w:noWrap/>
            <w:vAlign w:val="bottom"/>
            <w:hideMark/>
          </w:tcPr>
          <w:p w14:paraId="6DF5768A"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608</w:t>
            </w:r>
          </w:p>
        </w:tc>
        <w:tc>
          <w:tcPr>
            <w:tcW w:w="878" w:type="pct"/>
            <w:tcBorders>
              <w:top w:val="nil"/>
              <w:left w:val="nil"/>
              <w:bottom w:val="single" w:sz="4" w:space="0" w:color="auto"/>
              <w:right w:val="single" w:sz="4" w:space="0" w:color="auto"/>
            </w:tcBorders>
            <w:shd w:val="clear" w:color="auto" w:fill="auto"/>
            <w:noWrap/>
            <w:vAlign w:val="center"/>
            <w:hideMark/>
          </w:tcPr>
          <w:p w14:paraId="7CD17BFF"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47</w:t>
            </w:r>
          </w:p>
        </w:tc>
        <w:tc>
          <w:tcPr>
            <w:tcW w:w="965" w:type="pct"/>
            <w:tcBorders>
              <w:top w:val="nil"/>
              <w:left w:val="nil"/>
              <w:bottom w:val="single" w:sz="4" w:space="0" w:color="auto"/>
              <w:right w:val="single" w:sz="4" w:space="0" w:color="auto"/>
            </w:tcBorders>
            <w:shd w:val="clear" w:color="auto" w:fill="auto"/>
            <w:noWrap/>
            <w:vAlign w:val="center"/>
            <w:hideMark/>
          </w:tcPr>
          <w:p w14:paraId="0B8EED2F"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8,38%</w:t>
            </w:r>
          </w:p>
        </w:tc>
      </w:tr>
      <w:tr w:rsidR="0085505C" w:rsidRPr="002A7673" w14:paraId="772B53A8" w14:textId="77777777" w:rsidTr="0048334E">
        <w:trPr>
          <w:trHeight w:val="300"/>
          <w:jc w:val="center"/>
        </w:trPr>
        <w:tc>
          <w:tcPr>
            <w:tcW w:w="1288" w:type="pct"/>
            <w:tcBorders>
              <w:top w:val="nil"/>
              <w:left w:val="single" w:sz="4" w:space="0" w:color="auto"/>
              <w:bottom w:val="single" w:sz="4" w:space="0" w:color="auto"/>
              <w:right w:val="single" w:sz="4" w:space="0" w:color="auto"/>
            </w:tcBorders>
            <w:shd w:val="clear" w:color="auto" w:fill="auto"/>
            <w:noWrap/>
            <w:vAlign w:val="bottom"/>
            <w:hideMark/>
          </w:tcPr>
          <w:p w14:paraId="4E1726D6"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Terminados</w:t>
            </w:r>
          </w:p>
        </w:tc>
        <w:tc>
          <w:tcPr>
            <w:tcW w:w="991" w:type="pct"/>
            <w:tcBorders>
              <w:top w:val="nil"/>
              <w:left w:val="nil"/>
              <w:bottom w:val="single" w:sz="4" w:space="0" w:color="auto"/>
              <w:right w:val="single" w:sz="4" w:space="0" w:color="auto"/>
            </w:tcBorders>
            <w:shd w:val="clear" w:color="auto" w:fill="auto"/>
            <w:noWrap/>
            <w:vAlign w:val="bottom"/>
            <w:hideMark/>
          </w:tcPr>
          <w:p w14:paraId="6939CE8F"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235 166</w:t>
            </w:r>
          </w:p>
        </w:tc>
        <w:tc>
          <w:tcPr>
            <w:tcW w:w="877" w:type="pct"/>
            <w:tcBorders>
              <w:top w:val="nil"/>
              <w:left w:val="nil"/>
              <w:bottom w:val="single" w:sz="4" w:space="0" w:color="auto"/>
              <w:right w:val="single" w:sz="4" w:space="0" w:color="auto"/>
            </w:tcBorders>
            <w:shd w:val="clear" w:color="auto" w:fill="auto"/>
            <w:noWrap/>
            <w:vAlign w:val="bottom"/>
            <w:hideMark/>
          </w:tcPr>
          <w:p w14:paraId="69B63696"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214 597</w:t>
            </w:r>
          </w:p>
        </w:tc>
        <w:tc>
          <w:tcPr>
            <w:tcW w:w="878" w:type="pct"/>
            <w:tcBorders>
              <w:top w:val="nil"/>
              <w:left w:val="nil"/>
              <w:bottom w:val="single" w:sz="4" w:space="0" w:color="auto"/>
              <w:right w:val="single" w:sz="4" w:space="0" w:color="auto"/>
            </w:tcBorders>
            <w:shd w:val="clear" w:color="auto" w:fill="auto"/>
            <w:noWrap/>
            <w:vAlign w:val="center"/>
            <w:hideMark/>
          </w:tcPr>
          <w:p w14:paraId="0E591540"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-20 569</w:t>
            </w:r>
          </w:p>
        </w:tc>
        <w:tc>
          <w:tcPr>
            <w:tcW w:w="965" w:type="pct"/>
            <w:tcBorders>
              <w:top w:val="nil"/>
              <w:left w:val="nil"/>
              <w:bottom w:val="single" w:sz="4" w:space="0" w:color="auto"/>
              <w:right w:val="single" w:sz="4" w:space="0" w:color="auto"/>
            </w:tcBorders>
            <w:shd w:val="clear" w:color="auto" w:fill="auto"/>
            <w:noWrap/>
            <w:vAlign w:val="center"/>
            <w:hideMark/>
          </w:tcPr>
          <w:p w14:paraId="0A90FC4A"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-8,75%</w:t>
            </w:r>
          </w:p>
        </w:tc>
      </w:tr>
      <w:tr w:rsidR="0085505C" w:rsidRPr="002A7673" w14:paraId="715BE068" w14:textId="77777777" w:rsidTr="0048334E">
        <w:trPr>
          <w:trHeight w:val="300"/>
          <w:jc w:val="center"/>
        </w:trPr>
        <w:tc>
          <w:tcPr>
            <w:tcW w:w="1288" w:type="pct"/>
            <w:tcBorders>
              <w:top w:val="nil"/>
              <w:left w:val="single" w:sz="4" w:space="0" w:color="auto"/>
              <w:bottom w:val="single" w:sz="4" w:space="0" w:color="auto"/>
              <w:right w:val="single" w:sz="4" w:space="0" w:color="auto"/>
            </w:tcBorders>
            <w:shd w:val="clear" w:color="auto" w:fill="auto"/>
            <w:noWrap/>
            <w:vAlign w:val="bottom"/>
            <w:hideMark/>
          </w:tcPr>
          <w:p w14:paraId="54355DC0"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Inactivos</w:t>
            </w:r>
          </w:p>
        </w:tc>
        <w:tc>
          <w:tcPr>
            <w:tcW w:w="991" w:type="pct"/>
            <w:tcBorders>
              <w:top w:val="nil"/>
              <w:left w:val="nil"/>
              <w:bottom w:val="single" w:sz="4" w:space="0" w:color="auto"/>
              <w:right w:val="single" w:sz="4" w:space="0" w:color="auto"/>
            </w:tcBorders>
            <w:shd w:val="clear" w:color="auto" w:fill="auto"/>
            <w:noWrap/>
            <w:vAlign w:val="bottom"/>
            <w:hideMark/>
          </w:tcPr>
          <w:p w14:paraId="1E5A6332"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w:t>
            </w:r>
          </w:p>
        </w:tc>
        <w:tc>
          <w:tcPr>
            <w:tcW w:w="877" w:type="pct"/>
            <w:tcBorders>
              <w:top w:val="nil"/>
              <w:left w:val="nil"/>
              <w:bottom w:val="single" w:sz="4" w:space="0" w:color="auto"/>
              <w:right w:val="single" w:sz="4" w:space="0" w:color="auto"/>
            </w:tcBorders>
            <w:shd w:val="clear" w:color="auto" w:fill="auto"/>
            <w:noWrap/>
            <w:vAlign w:val="bottom"/>
            <w:hideMark/>
          </w:tcPr>
          <w:p w14:paraId="0C9C43D8"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w:t>
            </w:r>
          </w:p>
        </w:tc>
        <w:tc>
          <w:tcPr>
            <w:tcW w:w="878" w:type="pct"/>
            <w:tcBorders>
              <w:top w:val="nil"/>
              <w:left w:val="nil"/>
              <w:bottom w:val="single" w:sz="4" w:space="0" w:color="auto"/>
              <w:right w:val="single" w:sz="4" w:space="0" w:color="auto"/>
            </w:tcBorders>
            <w:shd w:val="clear" w:color="auto" w:fill="auto"/>
            <w:noWrap/>
            <w:vAlign w:val="center"/>
            <w:hideMark/>
          </w:tcPr>
          <w:p w14:paraId="61E35E4E"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w:t>
            </w:r>
          </w:p>
        </w:tc>
        <w:tc>
          <w:tcPr>
            <w:tcW w:w="965" w:type="pct"/>
            <w:tcBorders>
              <w:top w:val="nil"/>
              <w:left w:val="nil"/>
              <w:bottom w:val="single" w:sz="4" w:space="0" w:color="auto"/>
              <w:right w:val="single" w:sz="4" w:space="0" w:color="auto"/>
            </w:tcBorders>
            <w:shd w:val="clear" w:color="auto" w:fill="auto"/>
            <w:noWrap/>
            <w:vAlign w:val="center"/>
            <w:hideMark/>
          </w:tcPr>
          <w:p w14:paraId="6AA5AFF3"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w:t>
            </w:r>
          </w:p>
        </w:tc>
      </w:tr>
      <w:tr w:rsidR="0085505C" w:rsidRPr="002A7673" w14:paraId="35C47C58" w14:textId="77777777" w:rsidTr="0048334E">
        <w:trPr>
          <w:trHeight w:val="300"/>
          <w:jc w:val="center"/>
        </w:trPr>
        <w:tc>
          <w:tcPr>
            <w:tcW w:w="1288" w:type="pct"/>
            <w:tcBorders>
              <w:top w:val="nil"/>
              <w:left w:val="single" w:sz="4" w:space="0" w:color="auto"/>
              <w:bottom w:val="single" w:sz="4" w:space="0" w:color="auto"/>
              <w:right w:val="single" w:sz="4" w:space="0" w:color="auto"/>
            </w:tcBorders>
            <w:shd w:val="clear" w:color="auto" w:fill="auto"/>
            <w:noWrap/>
            <w:vAlign w:val="bottom"/>
            <w:hideMark/>
          </w:tcPr>
          <w:p w14:paraId="6CBCDB88"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Circulante final</w:t>
            </w:r>
          </w:p>
        </w:tc>
        <w:tc>
          <w:tcPr>
            <w:tcW w:w="991" w:type="pct"/>
            <w:tcBorders>
              <w:top w:val="nil"/>
              <w:left w:val="nil"/>
              <w:bottom w:val="single" w:sz="4" w:space="0" w:color="auto"/>
              <w:right w:val="single" w:sz="4" w:space="0" w:color="auto"/>
            </w:tcBorders>
            <w:shd w:val="clear" w:color="auto" w:fill="auto"/>
            <w:noWrap/>
            <w:vAlign w:val="bottom"/>
            <w:hideMark/>
          </w:tcPr>
          <w:p w14:paraId="243EE406"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83 820</w:t>
            </w:r>
          </w:p>
        </w:tc>
        <w:tc>
          <w:tcPr>
            <w:tcW w:w="877" w:type="pct"/>
            <w:tcBorders>
              <w:top w:val="nil"/>
              <w:left w:val="nil"/>
              <w:bottom w:val="single" w:sz="4" w:space="0" w:color="auto"/>
              <w:right w:val="single" w:sz="4" w:space="0" w:color="auto"/>
            </w:tcBorders>
            <w:shd w:val="clear" w:color="auto" w:fill="auto"/>
            <w:noWrap/>
            <w:vAlign w:val="bottom"/>
            <w:hideMark/>
          </w:tcPr>
          <w:p w14:paraId="1BBE7826"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87 106</w:t>
            </w:r>
          </w:p>
        </w:tc>
        <w:tc>
          <w:tcPr>
            <w:tcW w:w="878" w:type="pct"/>
            <w:tcBorders>
              <w:top w:val="nil"/>
              <w:left w:val="nil"/>
              <w:bottom w:val="single" w:sz="4" w:space="0" w:color="auto"/>
              <w:right w:val="single" w:sz="4" w:space="0" w:color="auto"/>
            </w:tcBorders>
            <w:shd w:val="clear" w:color="auto" w:fill="auto"/>
            <w:noWrap/>
            <w:vAlign w:val="center"/>
            <w:hideMark/>
          </w:tcPr>
          <w:p w14:paraId="75140598"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3 286</w:t>
            </w:r>
          </w:p>
        </w:tc>
        <w:tc>
          <w:tcPr>
            <w:tcW w:w="965" w:type="pct"/>
            <w:tcBorders>
              <w:top w:val="nil"/>
              <w:left w:val="nil"/>
              <w:bottom w:val="single" w:sz="4" w:space="0" w:color="auto"/>
              <w:right w:val="single" w:sz="4" w:space="0" w:color="auto"/>
            </w:tcBorders>
            <w:shd w:val="clear" w:color="auto" w:fill="auto"/>
            <w:noWrap/>
            <w:vAlign w:val="center"/>
            <w:hideMark/>
          </w:tcPr>
          <w:p w14:paraId="1C27967A"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rPr>
              <w:t>3,92%</w:t>
            </w:r>
          </w:p>
        </w:tc>
      </w:tr>
    </w:tbl>
    <w:p w14:paraId="4DE31462" w14:textId="77777777" w:rsidR="0085505C" w:rsidRPr="002A7673" w:rsidRDefault="0085505C" w:rsidP="0085505C">
      <w:pPr>
        <w:spacing w:line="360" w:lineRule="auto"/>
        <w:jc w:val="both"/>
        <w:rPr>
          <w:rFonts w:ascii="Times New Roman" w:hAnsi="Times New Roman" w:cs="Times New Roman"/>
        </w:rPr>
      </w:pPr>
    </w:p>
    <w:p w14:paraId="1B91DA55"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sz w:val="26"/>
          <w:szCs w:val="26"/>
        </w:rPr>
        <w:t>Casos entrados:</w:t>
      </w:r>
      <w:r w:rsidRPr="002A7673">
        <w:rPr>
          <w:rFonts w:ascii="Times New Roman" w:hAnsi="Times New Roman" w:cs="Times New Roman"/>
          <w:sz w:val="26"/>
          <w:szCs w:val="26"/>
        </w:rPr>
        <w:t xml:space="preserve"> El ingreso de nuevos casos muestra un comportamiento descendente en 2020, al pasar de 227.396 a 201.105 asuntos, es decir; se disminuye en 26.291 expedientes, lo que consecuentemente le significó a este Centro de Responsabilidad un decrecimiento de su carga de trabajo del orden del 11.56%. Las razones asociadas a dicho comportamiento </w:t>
      </w:r>
      <w:r w:rsidRPr="002A7673">
        <w:rPr>
          <w:rFonts w:ascii="Times New Roman" w:hAnsi="Times New Roman" w:cs="Times New Roman"/>
          <w:sz w:val="26"/>
          <w:szCs w:val="26"/>
        </w:rPr>
        <w:lastRenderedPageBreak/>
        <w:t>se encuentran generalizadas en la mayoría de los despachos, producto de la reducción en la afluencia de personas debido a los efectos de la pandemia provocada por el virus COVID-19. La oficina con mayor reducción fue la Fiscalía Adjunta del I Circuito Judicial de la Zona Sur con 3.973 asuntos menos.</w:t>
      </w:r>
    </w:p>
    <w:p w14:paraId="4571A37B"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sz w:val="26"/>
          <w:szCs w:val="26"/>
        </w:rPr>
        <w:t>Casos terminados:</w:t>
      </w:r>
      <w:r w:rsidRPr="002A7673">
        <w:rPr>
          <w:rFonts w:ascii="Times New Roman" w:hAnsi="Times New Roman" w:cs="Times New Roman"/>
          <w:sz w:val="26"/>
          <w:szCs w:val="26"/>
        </w:rPr>
        <w:t xml:space="preserve"> El término de casos muestra un comportamiento descendente en 2020, al pasar de 235.166 a 214.597 asuntos, es decir; se disminuye en 20.569 expedientes, lo que consecuentemente le significó a este Centro de Responsabilidad un decrecimiento en su productividad del orden del 8.75%. Las razones asociadas a dicho comportamiento se encuentran generalizadas en la mayoría de los despachos, producto de las jornadas de trabajo, los cierres nacionales y otras labores asociadas a los efectos de la pandemia provocada por el virus COVID-19.  La oficina con mayor reducción fue la Fiscalía Adjunta del I Circuito Judicial de la Zona Sur con 4.046 asuntos menos.</w:t>
      </w:r>
    </w:p>
    <w:p w14:paraId="33996CCB"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1FEF69AF"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3EB6326B"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sz w:val="26"/>
          <w:szCs w:val="26"/>
        </w:rPr>
        <w:t>Casos del circulante:</w:t>
      </w:r>
      <w:r w:rsidRPr="002A7673">
        <w:rPr>
          <w:rFonts w:ascii="Times New Roman" w:hAnsi="Times New Roman" w:cs="Times New Roman"/>
          <w:sz w:val="26"/>
          <w:szCs w:val="26"/>
        </w:rPr>
        <w:t xml:space="preserve"> Los casos en proceso muestran un comportamiento ascendente en 2020, al pasar de 83.820 a 87.106 asuntos, es decir; se aumenta en 3.286 expedientes, lo que consecuentemente le significó a este Centro de Responsabilidad un crecimiento de los procesos del orden del 3.92%. </w:t>
      </w:r>
    </w:p>
    <w:p w14:paraId="6EB91686"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Finalmente, es importante señalar que las variaciones a nivel del Ministerio Público son relativamente bajas al momento de compararla con otros centros de responsabilidad. Específicamente sobre las variaciones de los terminados está ligada por la demanda del servicio y la capacidad operativa en atención a las situaciones que se presente, esto se evidencia porque hay una rápida rotación del circulante. </w:t>
      </w:r>
    </w:p>
    <w:p w14:paraId="4DA202D9"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5B541586"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p>
    <w:p w14:paraId="43CA9597" w14:textId="77777777" w:rsidR="0085505C" w:rsidRPr="002A7673" w:rsidRDefault="0085505C" w:rsidP="00FF3FAC">
      <w:pPr>
        <w:numPr>
          <w:ilvl w:val="0"/>
          <w:numId w:val="76"/>
        </w:numPr>
        <w:spacing w:before="120" w:after="12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Ejecución Presupuestaria</w:t>
      </w:r>
    </w:p>
    <w:p w14:paraId="4DD98883" w14:textId="77777777" w:rsidR="0085505C" w:rsidRPr="002A7673" w:rsidRDefault="0085505C" w:rsidP="0085505C">
      <w:pPr>
        <w:spacing w:before="120" w:after="120" w:line="240" w:lineRule="auto"/>
        <w:ind w:left="851" w:right="851" w:firstLine="709"/>
        <w:jc w:val="both"/>
        <w:rPr>
          <w:rFonts w:ascii="Times New Roman" w:hAnsi="Times New Roman" w:cs="Times New Roman"/>
          <w:b/>
          <w:sz w:val="26"/>
          <w:szCs w:val="26"/>
        </w:rPr>
      </w:pPr>
    </w:p>
    <w:p w14:paraId="2D56EE72"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En la siguiente tabla se muestra la información de ejecución presupuestaria del Ministerio Público para 2020, la cual fue del 93%, superior a lo ejecutado en el 2019 en un 7% (86%). </w:t>
      </w:r>
    </w:p>
    <w:p w14:paraId="7B06519E" w14:textId="77777777" w:rsidR="0085505C" w:rsidRPr="002A7673" w:rsidRDefault="0085505C" w:rsidP="0085505C">
      <w:pPr>
        <w:spacing w:after="0" w:line="360" w:lineRule="auto"/>
        <w:ind w:left="284"/>
        <w:jc w:val="both"/>
        <w:rPr>
          <w:rFonts w:ascii="Times New Roman" w:hAnsi="Times New Roman" w:cs="Times New Roman"/>
          <w:sz w:val="28"/>
          <w:szCs w:val="28"/>
        </w:rPr>
      </w:pPr>
    </w:p>
    <w:tbl>
      <w:tblPr>
        <w:tblW w:w="5000" w:type="pct"/>
        <w:jc w:val="center"/>
        <w:tblCellMar>
          <w:left w:w="70" w:type="dxa"/>
          <w:right w:w="70" w:type="dxa"/>
        </w:tblCellMar>
        <w:tblLook w:val="04A0" w:firstRow="1" w:lastRow="0" w:firstColumn="1" w:lastColumn="0" w:noHBand="0" w:noVBand="1"/>
      </w:tblPr>
      <w:tblGrid>
        <w:gridCol w:w="2157"/>
        <w:gridCol w:w="1536"/>
        <w:gridCol w:w="1638"/>
        <w:gridCol w:w="1536"/>
        <w:gridCol w:w="1354"/>
        <w:gridCol w:w="1437"/>
      </w:tblGrid>
      <w:tr w:rsidR="0085505C" w:rsidRPr="002A7673" w14:paraId="222A90E3" w14:textId="77777777" w:rsidTr="0048334E">
        <w:trPr>
          <w:trHeight w:val="495"/>
          <w:jc w:val="center"/>
        </w:trPr>
        <w:tc>
          <w:tcPr>
            <w:tcW w:w="1117" w:type="pct"/>
            <w:vMerge w:val="restart"/>
            <w:tcBorders>
              <w:top w:val="single" w:sz="4" w:space="0" w:color="auto"/>
              <w:left w:val="single" w:sz="4" w:space="0" w:color="auto"/>
              <w:bottom w:val="single" w:sz="4" w:space="0" w:color="auto"/>
              <w:right w:val="single" w:sz="4" w:space="0" w:color="auto"/>
            </w:tcBorders>
            <w:shd w:val="clear" w:color="000000" w:fill="1F497D"/>
            <w:vAlign w:val="center"/>
            <w:hideMark/>
          </w:tcPr>
          <w:p w14:paraId="3C76222B" w14:textId="77777777" w:rsidR="0085505C" w:rsidRPr="002A7673" w:rsidRDefault="0085505C" w:rsidP="0048334E">
            <w:pPr>
              <w:spacing w:after="0" w:line="240" w:lineRule="auto"/>
              <w:jc w:val="center"/>
              <w:rPr>
                <w:rFonts w:ascii="Times New Roman" w:hAnsi="Times New Roman" w:cs="Times New Roman"/>
                <w:b/>
                <w:bCs/>
                <w:color w:val="FFFFFF"/>
                <w:sz w:val="24"/>
                <w:szCs w:val="24"/>
                <w:lang w:eastAsia="es-CR"/>
              </w:rPr>
            </w:pPr>
            <w:bookmarkStart w:id="224" w:name="RANGE!L64"/>
            <w:r w:rsidRPr="002A7673">
              <w:rPr>
                <w:rFonts w:ascii="Times New Roman" w:hAnsi="Times New Roman" w:cs="Times New Roman"/>
                <w:b/>
                <w:bCs/>
                <w:color w:val="FFFFFF"/>
                <w:sz w:val="24"/>
                <w:szCs w:val="24"/>
              </w:rPr>
              <w:t>Centro Gestor / Rubro</w:t>
            </w:r>
            <w:bookmarkEnd w:id="224"/>
          </w:p>
        </w:tc>
        <w:tc>
          <w:tcPr>
            <w:tcW w:w="795" w:type="pct"/>
            <w:vMerge w:val="restart"/>
            <w:tcBorders>
              <w:top w:val="single" w:sz="4" w:space="0" w:color="auto"/>
              <w:left w:val="single" w:sz="4" w:space="0" w:color="auto"/>
              <w:bottom w:val="single" w:sz="4" w:space="0" w:color="auto"/>
              <w:right w:val="single" w:sz="4" w:space="0" w:color="auto"/>
            </w:tcBorders>
            <w:shd w:val="clear" w:color="000000" w:fill="1F497D"/>
            <w:vAlign w:val="center"/>
            <w:hideMark/>
          </w:tcPr>
          <w:p w14:paraId="1B09AA8F"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Presupuesto Inicial</w:t>
            </w:r>
          </w:p>
        </w:tc>
        <w:tc>
          <w:tcPr>
            <w:tcW w:w="848" w:type="pct"/>
            <w:vMerge w:val="restart"/>
            <w:tcBorders>
              <w:top w:val="single" w:sz="4" w:space="0" w:color="auto"/>
              <w:left w:val="single" w:sz="4" w:space="0" w:color="auto"/>
              <w:bottom w:val="single" w:sz="4" w:space="0" w:color="auto"/>
              <w:right w:val="single" w:sz="4" w:space="0" w:color="auto"/>
            </w:tcBorders>
            <w:shd w:val="clear" w:color="000000" w:fill="1F497D"/>
            <w:vAlign w:val="center"/>
            <w:hideMark/>
          </w:tcPr>
          <w:p w14:paraId="5CE0E8BE"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Presupuesto Actual y en Tránsito</w:t>
            </w:r>
          </w:p>
        </w:tc>
        <w:tc>
          <w:tcPr>
            <w:tcW w:w="795" w:type="pct"/>
            <w:vMerge w:val="restart"/>
            <w:tcBorders>
              <w:top w:val="single" w:sz="4" w:space="0" w:color="auto"/>
              <w:left w:val="single" w:sz="4" w:space="0" w:color="auto"/>
              <w:bottom w:val="single" w:sz="4" w:space="0" w:color="auto"/>
              <w:right w:val="single" w:sz="4" w:space="0" w:color="auto"/>
            </w:tcBorders>
            <w:shd w:val="clear" w:color="000000" w:fill="1F497D"/>
            <w:vAlign w:val="center"/>
            <w:hideMark/>
          </w:tcPr>
          <w:p w14:paraId="3B4DB517"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Monto Ejecutado</w:t>
            </w:r>
          </w:p>
        </w:tc>
        <w:tc>
          <w:tcPr>
            <w:tcW w:w="701" w:type="pct"/>
            <w:vMerge w:val="restart"/>
            <w:tcBorders>
              <w:top w:val="single" w:sz="4" w:space="0" w:color="auto"/>
              <w:left w:val="single" w:sz="4" w:space="0" w:color="auto"/>
              <w:bottom w:val="single" w:sz="4" w:space="0" w:color="auto"/>
              <w:right w:val="single" w:sz="4" w:space="0" w:color="auto"/>
            </w:tcBorders>
            <w:shd w:val="clear" w:color="000000" w:fill="1F497D"/>
            <w:vAlign w:val="center"/>
            <w:hideMark/>
          </w:tcPr>
          <w:p w14:paraId="2F28F4B2"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Pendiente de Ejecutar</w:t>
            </w:r>
          </w:p>
        </w:tc>
        <w:tc>
          <w:tcPr>
            <w:tcW w:w="744" w:type="pct"/>
            <w:vMerge w:val="restart"/>
            <w:tcBorders>
              <w:top w:val="single" w:sz="4" w:space="0" w:color="auto"/>
              <w:left w:val="single" w:sz="4" w:space="0" w:color="auto"/>
              <w:bottom w:val="single" w:sz="4" w:space="0" w:color="auto"/>
              <w:right w:val="single" w:sz="4" w:space="0" w:color="auto"/>
            </w:tcBorders>
            <w:shd w:val="clear" w:color="000000" w:fill="1F497D"/>
            <w:vAlign w:val="center"/>
            <w:hideMark/>
          </w:tcPr>
          <w:p w14:paraId="51401320"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Porcentaje de Ejecución</w:t>
            </w:r>
          </w:p>
        </w:tc>
      </w:tr>
      <w:tr w:rsidR="0085505C" w:rsidRPr="002A7673" w14:paraId="5FE346A1" w14:textId="77777777" w:rsidTr="0048334E">
        <w:trPr>
          <w:trHeight w:val="476"/>
          <w:jc w:val="center"/>
        </w:trPr>
        <w:tc>
          <w:tcPr>
            <w:tcW w:w="1117" w:type="pct"/>
            <w:vMerge/>
            <w:tcBorders>
              <w:top w:val="single" w:sz="4" w:space="0" w:color="auto"/>
              <w:left w:val="single" w:sz="4" w:space="0" w:color="auto"/>
              <w:bottom w:val="single" w:sz="4" w:space="0" w:color="auto"/>
              <w:right w:val="single" w:sz="4" w:space="0" w:color="auto"/>
            </w:tcBorders>
            <w:vAlign w:val="center"/>
            <w:hideMark/>
          </w:tcPr>
          <w:p w14:paraId="56051B45" w14:textId="77777777" w:rsidR="0085505C" w:rsidRPr="002A7673" w:rsidRDefault="0085505C" w:rsidP="0048334E">
            <w:pPr>
              <w:spacing w:after="0" w:line="240" w:lineRule="auto"/>
              <w:rPr>
                <w:rFonts w:ascii="Times New Roman" w:hAnsi="Times New Roman" w:cs="Times New Roman"/>
                <w:b/>
                <w:bCs/>
                <w:color w:val="FFFFFF"/>
                <w:sz w:val="24"/>
                <w:szCs w:val="24"/>
              </w:rPr>
            </w:pPr>
          </w:p>
        </w:tc>
        <w:tc>
          <w:tcPr>
            <w:tcW w:w="795" w:type="pct"/>
            <w:vMerge/>
            <w:tcBorders>
              <w:top w:val="single" w:sz="4" w:space="0" w:color="auto"/>
              <w:left w:val="single" w:sz="4" w:space="0" w:color="auto"/>
              <w:bottom w:val="single" w:sz="4" w:space="0" w:color="auto"/>
              <w:right w:val="single" w:sz="4" w:space="0" w:color="auto"/>
            </w:tcBorders>
            <w:vAlign w:val="center"/>
            <w:hideMark/>
          </w:tcPr>
          <w:p w14:paraId="1CF418DC" w14:textId="77777777" w:rsidR="0085505C" w:rsidRPr="002A7673" w:rsidRDefault="0085505C" w:rsidP="0048334E">
            <w:pPr>
              <w:spacing w:after="0" w:line="240" w:lineRule="auto"/>
              <w:rPr>
                <w:rFonts w:ascii="Times New Roman" w:hAnsi="Times New Roman" w:cs="Times New Roman"/>
                <w:b/>
                <w:bCs/>
                <w:color w:val="FFFFFF"/>
                <w:sz w:val="24"/>
                <w:szCs w:val="24"/>
              </w:rPr>
            </w:pPr>
          </w:p>
        </w:tc>
        <w:tc>
          <w:tcPr>
            <w:tcW w:w="848" w:type="pct"/>
            <w:vMerge/>
            <w:tcBorders>
              <w:top w:val="single" w:sz="4" w:space="0" w:color="auto"/>
              <w:left w:val="single" w:sz="4" w:space="0" w:color="auto"/>
              <w:bottom w:val="single" w:sz="4" w:space="0" w:color="auto"/>
              <w:right w:val="single" w:sz="4" w:space="0" w:color="auto"/>
            </w:tcBorders>
            <w:vAlign w:val="center"/>
            <w:hideMark/>
          </w:tcPr>
          <w:p w14:paraId="5B6A6DE3" w14:textId="77777777" w:rsidR="0085505C" w:rsidRPr="002A7673" w:rsidRDefault="0085505C" w:rsidP="0048334E">
            <w:pPr>
              <w:spacing w:after="0" w:line="240" w:lineRule="auto"/>
              <w:rPr>
                <w:rFonts w:ascii="Times New Roman" w:hAnsi="Times New Roman" w:cs="Times New Roman"/>
                <w:b/>
                <w:bCs/>
                <w:color w:val="FFFFFF"/>
                <w:sz w:val="24"/>
                <w:szCs w:val="24"/>
              </w:rPr>
            </w:pPr>
          </w:p>
        </w:tc>
        <w:tc>
          <w:tcPr>
            <w:tcW w:w="795" w:type="pct"/>
            <w:vMerge/>
            <w:tcBorders>
              <w:top w:val="single" w:sz="4" w:space="0" w:color="auto"/>
              <w:left w:val="single" w:sz="4" w:space="0" w:color="auto"/>
              <w:bottom w:val="single" w:sz="4" w:space="0" w:color="auto"/>
              <w:right w:val="single" w:sz="4" w:space="0" w:color="auto"/>
            </w:tcBorders>
            <w:vAlign w:val="center"/>
            <w:hideMark/>
          </w:tcPr>
          <w:p w14:paraId="1D067FA0" w14:textId="77777777" w:rsidR="0085505C" w:rsidRPr="002A7673" w:rsidRDefault="0085505C" w:rsidP="0048334E">
            <w:pPr>
              <w:spacing w:after="0" w:line="240" w:lineRule="auto"/>
              <w:rPr>
                <w:rFonts w:ascii="Times New Roman" w:hAnsi="Times New Roman" w:cs="Times New Roman"/>
                <w:b/>
                <w:bCs/>
                <w:color w:val="FFFFFF"/>
                <w:sz w:val="24"/>
                <w:szCs w:val="24"/>
              </w:rPr>
            </w:pPr>
          </w:p>
        </w:tc>
        <w:tc>
          <w:tcPr>
            <w:tcW w:w="701" w:type="pct"/>
            <w:vMerge/>
            <w:tcBorders>
              <w:top w:val="single" w:sz="4" w:space="0" w:color="auto"/>
              <w:left w:val="single" w:sz="4" w:space="0" w:color="auto"/>
              <w:bottom w:val="single" w:sz="4" w:space="0" w:color="auto"/>
              <w:right w:val="single" w:sz="4" w:space="0" w:color="auto"/>
            </w:tcBorders>
            <w:vAlign w:val="center"/>
            <w:hideMark/>
          </w:tcPr>
          <w:p w14:paraId="1D5ACEA8" w14:textId="77777777" w:rsidR="0085505C" w:rsidRPr="002A7673" w:rsidRDefault="0085505C" w:rsidP="0048334E">
            <w:pPr>
              <w:spacing w:after="0" w:line="240" w:lineRule="auto"/>
              <w:rPr>
                <w:rFonts w:ascii="Times New Roman" w:hAnsi="Times New Roman" w:cs="Times New Roman"/>
                <w:b/>
                <w:bCs/>
                <w:color w:val="FFFFFF"/>
                <w:sz w:val="24"/>
                <w:szCs w:val="24"/>
              </w:rPr>
            </w:pPr>
          </w:p>
        </w:tc>
        <w:tc>
          <w:tcPr>
            <w:tcW w:w="744" w:type="pct"/>
            <w:vMerge/>
            <w:tcBorders>
              <w:top w:val="single" w:sz="4" w:space="0" w:color="auto"/>
              <w:left w:val="single" w:sz="4" w:space="0" w:color="auto"/>
              <w:bottom w:val="single" w:sz="4" w:space="0" w:color="auto"/>
              <w:right w:val="single" w:sz="4" w:space="0" w:color="auto"/>
            </w:tcBorders>
            <w:vAlign w:val="center"/>
            <w:hideMark/>
          </w:tcPr>
          <w:p w14:paraId="3FB6B8FB" w14:textId="77777777" w:rsidR="0085505C" w:rsidRPr="002A7673" w:rsidRDefault="0085505C" w:rsidP="0048334E">
            <w:pPr>
              <w:spacing w:after="0" w:line="240" w:lineRule="auto"/>
              <w:rPr>
                <w:rFonts w:ascii="Times New Roman" w:hAnsi="Times New Roman" w:cs="Times New Roman"/>
                <w:b/>
                <w:bCs/>
                <w:color w:val="FFFFFF"/>
                <w:sz w:val="24"/>
                <w:szCs w:val="24"/>
              </w:rPr>
            </w:pPr>
          </w:p>
        </w:tc>
      </w:tr>
      <w:tr w:rsidR="0085505C" w:rsidRPr="002A7673" w14:paraId="7F229B40" w14:textId="77777777" w:rsidTr="0048334E">
        <w:trPr>
          <w:trHeight w:val="255"/>
          <w:jc w:val="center"/>
        </w:trPr>
        <w:tc>
          <w:tcPr>
            <w:tcW w:w="1117" w:type="pct"/>
            <w:tcBorders>
              <w:top w:val="nil"/>
              <w:left w:val="single" w:sz="4" w:space="0" w:color="auto"/>
              <w:bottom w:val="single" w:sz="4" w:space="0" w:color="auto"/>
              <w:right w:val="single" w:sz="4" w:space="0" w:color="auto"/>
            </w:tcBorders>
            <w:shd w:val="clear" w:color="000000" w:fill="FFFFFF"/>
            <w:noWrap/>
            <w:vAlign w:val="center"/>
            <w:hideMark/>
          </w:tcPr>
          <w:p w14:paraId="2D197956" w14:textId="77777777" w:rsidR="0085505C" w:rsidRPr="002A7673" w:rsidRDefault="0085505C" w:rsidP="0048334E">
            <w:pPr>
              <w:spacing w:after="0" w:line="240" w:lineRule="auto"/>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Ministerio Público</w:t>
            </w:r>
          </w:p>
        </w:tc>
        <w:tc>
          <w:tcPr>
            <w:tcW w:w="795" w:type="pct"/>
            <w:tcBorders>
              <w:top w:val="nil"/>
              <w:left w:val="nil"/>
              <w:bottom w:val="single" w:sz="4" w:space="0" w:color="auto"/>
              <w:right w:val="single" w:sz="4" w:space="0" w:color="auto"/>
            </w:tcBorders>
            <w:shd w:val="clear" w:color="000000" w:fill="FFFFFF"/>
            <w:noWrap/>
            <w:vAlign w:val="center"/>
            <w:hideMark/>
          </w:tcPr>
          <w:p w14:paraId="4550B2D5"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4.200.030.000</w:t>
            </w:r>
          </w:p>
        </w:tc>
        <w:tc>
          <w:tcPr>
            <w:tcW w:w="848" w:type="pct"/>
            <w:tcBorders>
              <w:top w:val="nil"/>
              <w:left w:val="nil"/>
              <w:bottom w:val="single" w:sz="4" w:space="0" w:color="auto"/>
              <w:right w:val="single" w:sz="4" w:space="0" w:color="auto"/>
            </w:tcBorders>
            <w:shd w:val="clear" w:color="000000" w:fill="FFFFFF"/>
            <w:noWrap/>
            <w:vAlign w:val="center"/>
            <w:hideMark/>
          </w:tcPr>
          <w:p w14:paraId="43E96002"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4.110.496.759</w:t>
            </w:r>
          </w:p>
        </w:tc>
        <w:tc>
          <w:tcPr>
            <w:tcW w:w="795" w:type="pct"/>
            <w:tcBorders>
              <w:top w:val="nil"/>
              <w:left w:val="nil"/>
              <w:bottom w:val="single" w:sz="4" w:space="0" w:color="auto"/>
              <w:right w:val="single" w:sz="4" w:space="0" w:color="auto"/>
            </w:tcBorders>
            <w:shd w:val="clear" w:color="000000" w:fill="FFFFFF"/>
            <w:noWrap/>
            <w:vAlign w:val="center"/>
            <w:hideMark/>
          </w:tcPr>
          <w:p w14:paraId="6B150344"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3.842.984.946</w:t>
            </w:r>
          </w:p>
        </w:tc>
        <w:tc>
          <w:tcPr>
            <w:tcW w:w="701" w:type="pct"/>
            <w:tcBorders>
              <w:top w:val="nil"/>
              <w:left w:val="nil"/>
              <w:bottom w:val="single" w:sz="4" w:space="0" w:color="auto"/>
              <w:right w:val="single" w:sz="4" w:space="0" w:color="auto"/>
            </w:tcBorders>
            <w:shd w:val="clear" w:color="000000" w:fill="FFFFFF"/>
            <w:noWrap/>
            <w:vAlign w:val="center"/>
            <w:hideMark/>
          </w:tcPr>
          <w:p w14:paraId="202B400A"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267.511.813</w:t>
            </w:r>
          </w:p>
        </w:tc>
        <w:tc>
          <w:tcPr>
            <w:tcW w:w="744" w:type="pct"/>
            <w:tcBorders>
              <w:top w:val="nil"/>
              <w:left w:val="nil"/>
              <w:bottom w:val="single" w:sz="4" w:space="0" w:color="auto"/>
              <w:right w:val="single" w:sz="4" w:space="0" w:color="auto"/>
            </w:tcBorders>
            <w:shd w:val="clear" w:color="000000" w:fill="FFFFFF"/>
            <w:noWrap/>
            <w:vAlign w:val="center"/>
            <w:hideMark/>
          </w:tcPr>
          <w:p w14:paraId="36448EAF"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93%</w:t>
            </w:r>
          </w:p>
        </w:tc>
      </w:tr>
    </w:tbl>
    <w:p w14:paraId="6DAAD19F" w14:textId="77777777" w:rsidR="0085505C" w:rsidRPr="002A7673" w:rsidRDefault="0085505C" w:rsidP="0085505C">
      <w:pPr>
        <w:spacing w:after="0" w:line="360" w:lineRule="auto"/>
        <w:ind w:left="284"/>
        <w:jc w:val="both"/>
        <w:rPr>
          <w:rFonts w:ascii="Times New Roman" w:hAnsi="Times New Roman" w:cs="Times New Roman"/>
        </w:rPr>
      </w:pPr>
      <w:r w:rsidRPr="002A7673">
        <w:rPr>
          <w:rFonts w:ascii="Times New Roman" w:hAnsi="Times New Roman" w:cs="Times New Roman"/>
          <w:noProof/>
        </w:rPr>
        <w:lastRenderedPageBreak/>
        <w:drawing>
          <wp:inline distT="0" distB="0" distL="0" distR="0" wp14:anchorId="6F48976E" wp14:editId="4EE65930">
            <wp:extent cx="5965190" cy="8258810"/>
            <wp:effectExtent l="0" t="0" r="0" b="8890"/>
            <wp:docPr id="1263269109" name="Imagen 126326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965190" cy="8258810"/>
                    </a:xfrm>
                    <a:prstGeom prst="rect">
                      <a:avLst/>
                    </a:prstGeom>
                    <a:noFill/>
                    <a:ln>
                      <a:noFill/>
                    </a:ln>
                  </pic:spPr>
                </pic:pic>
              </a:graphicData>
            </a:graphic>
          </wp:inline>
        </w:drawing>
      </w:r>
    </w:p>
    <w:p w14:paraId="4D38A5D7"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lastRenderedPageBreak/>
        <w:t xml:space="preserve">Es importante señalar que el monto total sin ejecutar es de ¢267.511.813, entre todas </w:t>
      </w:r>
    </w:p>
    <w:p w14:paraId="113F044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las subpartidas expuestas en el cuadro anterior, que en consecuencia significa que se alcanzó un 93% de ejecución presupuestaria, cifra mayor a la alcanzada durante el año 2019, cuando se logró un 86% de ejecución, lo que significa que estuvo por encima del </w:t>
      </w:r>
      <w:proofErr w:type="gramStart"/>
      <w:r w:rsidRPr="002A7673">
        <w:rPr>
          <w:rFonts w:ascii="Times New Roman" w:hAnsi="Times New Roman" w:cs="Times New Roman"/>
          <w:sz w:val="26"/>
          <w:szCs w:val="26"/>
        </w:rPr>
        <w:t>porcentaje  meta</w:t>
      </w:r>
      <w:proofErr w:type="gramEnd"/>
      <w:r w:rsidRPr="002A7673">
        <w:rPr>
          <w:rFonts w:ascii="Times New Roman" w:hAnsi="Times New Roman" w:cs="Times New Roman"/>
          <w:sz w:val="26"/>
          <w:szCs w:val="26"/>
        </w:rPr>
        <w:t xml:space="preserve"> establecido por el Ministerio de Hacienda que es de un 90%.</w:t>
      </w:r>
    </w:p>
    <w:p w14:paraId="39948D4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2FBF8EB" w14:textId="77777777" w:rsidR="0085505C" w:rsidRPr="002A7673" w:rsidRDefault="0085505C" w:rsidP="00FF3FAC">
      <w:pPr>
        <w:numPr>
          <w:ilvl w:val="0"/>
          <w:numId w:val="76"/>
        </w:numPr>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Plan Anual Operativo</w:t>
      </w:r>
    </w:p>
    <w:p w14:paraId="6788FDF9"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0D8438EA"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Cumplimiento del Plan Anual Operativo 2020</w:t>
      </w:r>
    </w:p>
    <w:p w14:paraId="24881B5D"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148E74A9"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El siguiente gráfico permite observar el porcentaje de cumplimiento de las metas propuestas en los Planes Anuales Operativos del Programa durante el 2020.</w:t>
      </w:r>
      <w:r w:rsidRPr="002A7673">
        <w:rPr>
          <w:rFonts w:ascii="Times New Roman" w:hAnsi="Times New Roman" w:cs="Times New Roman"/>
          <w:b/>
          <w:sz w:val="26"/>
          <w:szCs w:val="26"/>
        </w:rPr>
        <w:t xml:space="preserve">  </w:t>
      </w:r>
      <w:r w:rsidRPr="002A7673">
        <w:rPr>
          <w:rFonts w:ascii="Times New Roman" w:hAnsi="Times New Roman" w:cs="Times New Roman"/>
          <w:sz w:val="26"/>
          <w:szCs w:val="26"/>
        </w:rPr>
        <w:t>Según se visualiza en el siguiente gráfico, se logró un porcentaje de cumplimiento del 95.65%, resultado inferior al realizado en el 2019, donde se logró un 96.12%.</w:t>
      </w:r>
    </w:p>
    <w:p w14:paraId="381E41E0" w14:textId="77777777" w:rsidR="0085505C" w:rsidRPr="002A7673" w:rsidRDefault="0085505C" w:rsidP="0085505C">
      <w:pPr>
        <w:spacing w:after="0" w:line="240" w:lineRule="auto"/>
        <w:jc w:val="center"/>
        <w:rPr>
          <w:rFonts w:ascii="Times New Roman" w:hAnsi="Times New Roman" w:cs="Times New Roman"/>
          <w:b/>
          <w:sz w:val="28"/>
          <w:szCs w:val="28"/>
        </w:rPr>
      </w:pPr>
    </w:p>
    <w:p w14:paraId="7BD1F6FA" w14:textId="77777777" w:rsidR="0085505C" w:rsidRPr="002A7673" w:rsidRDefault="0085505C" w:rsidP="0085505C">
      <w:pPr>
        <w:spacing w:after="0" w:line="240" w:lineRule="auto"/>
        <w:jc w:val="center"/>
        <w:rPr>
          <w:rFonts w:ascii="Times New Roman" w:hAnsi="Times New Roman" w:cs="Times New Roman"/>
          <w:b/>
          <w:sz w:val="28"/>
          <w:szCs w:val="28"/>
        </w:rPr>
      </w:pPr>
      <w:r w:rsidRPr="002A7673">
        <w:rPr>
          <w:rFonts w:ascii="Times New Roman" w:hAnsi="Times New Roman" w:cs="Times New Roman"/>
          <w:b/>
          <w:sz w:val="28"/>
          <w:szCs w:val="28"/>
        </w:rPr>
        <w:t>Ministerio Público</w:t>
      </w:r>
    </w:p>
    <w:p w14:paraId="40FCD566" w14:textId="77777777" w:rsidR="0085505C" w:rsidRPr="002A7673" w:rsidRDefault="0085505C" w:rsidP="0085505C">
      <w:pPr>
        <w:spacing w:after="0" w:line="240" w:lineRule="auto"/>
        <w:ind w:left="1416"/>
        <w:jc w:val="both"/>
        <w:rPr>
          <w:rFonts w:ascii="Times New Roman" w:hAnsi="Times New Roman" w:cs="Times New Roman"/>
          <w:b/>
          <w:sz w:val="28"/>
          <w:szCs w:val="28"/>
        </w:rPr>
      </w:pPr>
      <w:r w:rsidRPr="002A7673">
        <w:rPr>
          <w:rFonts w:ascii="Times New Roman" w:hAnsi="Times New Roman" w:cs="Times New Roman"/>
          <w:noProof/>
        </w:rPr>
        <w:drawing>
          <wp:inline distT="0" distB="0" distL="0" distR="0" wp14:anchorId="75F85496" wp14:editId="52D1E9A4">
            <wp:extent cx="4480560" cy="2385060"/>
            <wp:effectExtent l="0" t="0" r="0" b="0"/>
            <wp:docPr id="1263269110" name="Imagen 1263269110"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110"/>
                    <pic:cNvPicPr/>
                  </pic:nvPicPr>
                  <pic:blipFill>
                    <a:blip r:embed="rId348">
                      <a:extLst>
                        <a:ext uri="{28A0092B-C50C-407E-A947-70E740481C1C}">
                          <a14:useLocalDpi xmlns:a14="http://schemas.microsoft.com/office/drawing/2010/main" val="0"/>
                        </a:ext>
                      </a:extLst>
                    </a:blip>
                    <a:stretch>
                      <a:fillRect/>
                    </a:stretch>
                  </pic:blipFill>
                  <pic:spPr>
                    <a:xfrm>
                      <a:off x="0" y="0"/>
                      <a:ext cx="4480560" cy="2385060"/>
                    </a:xfrm>
                    <a:prstGeom prst="rect">
                      <a:avLst/>
                    </a:prstGeom>
                  </pic:spPr>
                </pic:pic>
              </a:graphicData>
            </a:graphic>
          </wp:inline>
        </w:drawing>
      </w:r>
    </w:p>
    <w:p w14:paraId="3E937835" w14:textId="77777777" w:rsidR="0085505C" w:rsidRPr="002A7673" w:rsidRDefault="0085505C" w:rsidP="0085505C">
      <w:pPr>
        <w:spacing w:after="0" w:line="480" w:lineRule="auto"/>
        <w:ind w:firstLine="709"/>
        <w:jc w:val="both"/>
        <w:rPr>
          <w:rFonts w:ascii="Times New Roman" w:hAnsi="Times New Roman" w:cs="Times New Roman"/>
          <w:sz w:val="28"/>
          <w:szCs w:val="28"/>
        </w:rPr>
      </w:pPr>
    </w:p>
    <w:p w14:paraId="3A774E0A" w14:textId="77777777" w:rsidR="0085505C" w:rsidRPr="002A7673" w:rsidRDefault="0085505C" w:rsidP="0085505C">
      <w:pPr>
        <w:spacing w:before="120" w:after="120" w:line="240" w:lineRule="auto"/>
        <w:ind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 continuación, se detalla el porcentaje del cumplimiento PAO 2020 de las oficinas que componen el Ministerio Público: </w:t>
      </w:r>
    </w:p>
    <w:bookmarkStart w:id="225" w:name="_MON_1679150712"/>
    <w:bookmarkEnd w:id="225"/>
    <w:p w14:paraId="0DF9A5BC" w14:textId="77777777" w:rsidR="0085505C" w:rsidRPr="002A7673" w:rsidRDefault="0085505C" w:rsidP="0085505C">
      <w:pPr>
        <w:spacing w:after="0" w:line="480" w:lineRule="auto"/>
        <w:jc w:val="center"/>
        <w:rPr>
          <w:rFonts w:ascii="Times New Roman" w:hAnsi="Times New Roman" w:cs="Times New Roman"/>
          <w:b/>
          <w:sz w:val="28"/>
          <w:szCs w:val="28"/>
        </w:rPr>
      </w:pPr>
      <w:r w:rsidRPr="002A7673">
        <w:rPr>
          <w:rFonts w:ascii="Times New Roman" w:hAnsi="Times New Roman" w:cs="Times New Roman"/>
          <w:b/>
          <w:sz w:val="28"/>
          <w:szCs w:val="28"/>
        </w:rPr>
        <w:object w:dxaOrig="1779" w:dyaOrig="1158" w14:anchorId="77C02A02">
          <v:shape id="_x0000_i1155" type="#_x0000_t75" style="width:88pt;height:56.5pt" o:ole="">
            <v:imagedata r:id="rId349" o:title=""/>
          </v:shape>
          <o:OLEObject Type="Embed" ProgID="Excel.Sheet.12" ShapeID="_x0000_i1155" DrawAspect="Icon" ObjectID="_1684067098" r:id="rId350"/>
        </w:object>
      </w:r>
    </w:p>
    <w:p w14:paraId="3D57D771"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8"/>
          <w:szCs w:val="28"/>
        </w:rPr>
        <w:t xml:space="preserve">10. </w:t>
      </w:r>
      <w:r w:rsidRPr="002A7673">
        <w:rPr>
          <w:rFonts w:ascii="Times New Roman" w:hAnsi="Times New Roman" w:cs="Times New Roman"/>
          <w:b/>
          <w:sz w:val="26"/>
          <w:szCs w:val="26"/>
        </w:rPr>
        <w:t>Programación Presupuestaria</w:t>
      </w:r>
    </w:p>
    <w:p w14:paraId="6DF0E217"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4D1E769A"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sz w:val="26"/>
          <w:szCs w:val="26"/>
        </w:rPr>
        <w:t>La programación presupuestaria del Programa 929 Ministerio Público, está respaldada por los planes anuales operativos elaborados en concordancia con el plan estratégico 2019-2024.</w:t>
      </w:r>
      <w:r w:rsidRPr="002A7673" w:rsidDel="004C197B">
        <w:rPr>
          <w:rFonts w:ascii="Times New Roman" w:hAnsi="Times New Roman" w:cs="Times New Roman"/>
          <w:sz w:val="26"/>
          <w:szCs w:val="26"/>
        </w:rPr>
        <w:t xml:space="preserve"> </w:t>
      </w:r>
    </w:p>
    <w:p w14:paraId="24B8E1AA"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bookmarkStart w:id="226" w:name="_MON_1679150079"/>
    <w:bookmarkEnd w:id="226"/>
    <w:p w14:paraId="63B609ED" w14:textId="77777777" w:rsidR="0085505C" w:rsidRPr="002A7673" w:rsidRDefault="0085505C" w:rsidP="0085505C">
      <w:pPr>
        <w:spacing w:after="0" w:line="240" w:lineRule="auto"/>
        <w:ind w:left="851" w:right="851" w:firstLine="709"/>
        <w:jc w:val="center"/>
        <w:rPr>
          <w:rFonts w:ascii="Times New Roman" w:hAnsi="Times New Roman" w:cs="Times New Roman"/>
          <w:b/>
          <w:sz w:val="26"/>
          <w:szCs w:val="26"/>
        </w:rPr>
      </w:pPr>
      <w:r w:rsidRPr="002A7673">
        <w:rPr>
          <w:rFonts w:ascii="Times New Roman" w:hAnsi="Times New Roman" w:cs="Times New Roman"/>
          <w:b/>
          <w:sz w:val="26"/>
          <w:szCs w:val="26"/>
        </w:rPr>
        <w:object w:dxaOrig="1519" w:dyaOrig="991" w14:anchorId="22189107">
          <v:shape id="_x0000_i1156" type="#_x0000_t75" style="width:77pt;height:51.5pt" o:ole="">
            <v:imagedata r:id="rId351" o:title=""/>
          </v:shape>
          <o:OLEObject Type="Embed" ProgID="Word.Document.12" ShapeID="_x0000_i1156" DrawAspect="Icon" ObjectID="_1684067099" r:id="rId352">
            <o:FieldCodes>\s</o:FieldCodes>
          </o:OLEObject>
        </w:object>
      </w:r>
    </w:p>
    <w:p w14:paraId="59A7BAC3"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12B4B9BD"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11. Cumplimiento del Plan Estratégico Institucional (PEI)</w:t>
      </w:r>
    </w:p>
    <w:p w14:paraId="3A46348B"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325A8AC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Mediante correo electrónico del pasado 18 de febrero se le consultó a la licenciada Johan Vallecillo Canales Administradora del Programa del Ministerio Público,  si con los recursos formulados  en el anteproyecto de presupuesto 2022, es posible el cumplimiento de los Objetivos y Metas del Plan Estratégico Institucional  manifestó que, con los recursos formulados en el anteproyecto de presupuesto 2022, se debe  señalar que, la situación país y las políticas de restricción presupuestaria obligan a ajustar el presupuesto a dichos lineamientos, limitando la posibilidad de inclusión de recursos para la atención de necesidades y proyectos del Ministerio Público, razón por la cual se da la necesidad de  plantear acciones para reorientar los recursos y esfuerzos  para cumplir con la labor del Ministerio Público, gestión que se desarrolla con el apoyo de cada uno de los colaboradores del Programa, quienes con mística y compromiso desarrollan sus funciones a pesar de las limitaciones a las que se enfrentan. </w:t>
      </w:r>
    </w:p>
    <w:p w14:paraId="568A6BFA"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75D2971" w14:textId="77777777" w:rsidR="0085505C" w:rsidRPr="002A7673" w:rsidRDefault="0085505C" w:rsidP="0085505C">
      <w:pPr>
        <w:spacing w:after="0" w:line="480" w:lineRule="auto"/>
        <w:ind w:firstLine="709"/>
        <w:jc w:val="both"/>
        <w:rPr>
          <w:rFonts w:ascii="Times New Roman" w:hAnsi="Times New Roman" w:cs="Times New Roman"/>
          <w:sz w:val="28"/>
          <w:szCs w:val="28"/>
        </w:rPr>
      </w:pPr>
      <w:bookmarkStart w:id="227" w:name="_Hlk36907812"/>
      <w:r w:rsidRPr="002A7673">
        <w:rPr>
          <w:rFonts w:ascii="Times New Roman" w:eastAsiaTheme="majorEastAsia" w:hAnsi="Times New Roman" w:cs="Times New Roman"/>
          <w:b/>
          <w:sz w:val="28"/>
          <w:szCs w:val="28"/>
        </w:rPr>
        <w:t>Se acordó:</w:t>
      </w:r>
      <w:r w:rsidRPr="002A7673">
        <w:rPr>
          <w:rFonts w:ascii="Times New Roman" w:eastAsiaTheme="majorEastAsia" w:hAnsi="Times New Roman" w:cs="Times New Roman"/>
          <w:bCs/>
          <w:sz w:val="28"/>
          <w:szCs w:val="28"/>
        </w:rPr>
        <w:t xml:space="preserve"> </w:t>
      </w:r>
      <w:r w:rsidRPr="002A7673">
        <w:rPr>
          <w:rFonts w:ascii="Times New Roman" w:eastAsiaTheme="majorEastAsia" w:hAnsi="Times New Roman" w:cs="Times New Roman"/>
          <w:b/>
          <w:sz w:val="28"/>
          <w:szCs w:val="28"/>
        </w:rPr>
        <w:t>1)</w:t>
      </w:r>
      <w:r w:rsidRPr="002A7673">
        <w:rPr>
          <w:rFonts w:ascii="Times New Roman" w:eastAsiaTheme="majorEastAsia" w:hAnsi="Times New Roman" w:cs="Times New Roman"/>
          <w:bCs/>
          <w:sz w:val="28"/>
          <w:szCs w:val="28"/>
        </w:rPr>
        <w:t xml:space="preserve"> Dar por conocido el presupuesto y la programación presupuestaria del Programa 929 </w:t>
      </w:r>
      <w:bookmarkStart w:id="228" w:name="_Hlk70873268"/>
      <w:r w:rsidRPr="002A7673">
        <w:rPr>
          <w:rFonts w:ascii="Times New Roman" w:eastAsiaTheme="majorEastAsia" w:hAnsi="Times New Roman" w:cs="Times New Roman"/>
          <w:bCs/>
          <w:sz w:val="28"/>
          <w:szCs w:val="28"/>
        </w:rPr>
        <w:t xml:space="preserve">Ministerio Público </w:t>
      </w:r>
      <w:bookmarkEnd w:id="228"/>
      <w:r w:rsidRPr="002A7673">
        <w:rPr>
          <w:rFonts w:ascii="Times New Roman" w:eastAsiaTheme="majorEastAsia" w:hAnsi="Times New Roman" w:cs="Times New Roman"/>
          <w:bCs/>
          <w:sz w:val="28"/>
          <w:szCs w:val="28"/>
        </w:rPr>
        <w:t xml:space="preserve">para el 2022; sin embargo, se estará a la espera del análisis global del presupuesto 2022, para presentar una propuesta general que integre todas las necesidades institucionales. </w:t>
      </w:r>
      <w:r w:rsidRPr="002A7673">
        <w:rPr>
          <w:rFonts w:ascii="Times New Roman" w:eastAsiaTheme="majorEastAsia" w:hAnsi="Times New Roman" w:cs="Times New Roman"/>
          <w:b/>
          <w:sz w:val="28"/>
          <w:szCs w:val="28"/>
        </w:rPr>
        <w:t>2)</w:t>
      </w:r>
      <w:r w:rsidRPr="002A7673">
        <w:rPr>
          <w:rFonts w:ascii="Times New Roman" w:eastAsiaTheme="majorEastAsia" w:hAnsi="Times New Roman" w:cs="Times New Roman"/>
          <w:bCs/>
          <w:sz w:val="28"/>
          <w:szCs w:val="28"/>
        </w:rPr>
        <w:t xml:space="preserve"> Solicitar a la </w:t>
      </w:r>
      <w:bookmarkStart w:id="229" w:name="_Hlk70873280"/>
      <w:r w:rsidRPr="002A7673">
        <w:rPr>
          <w:rFonts w:ascii="Times New Roman" w:eastAsiaTheme="majorEastAsia" w:hAnsi="Times New Roman" w:cs="Times New Roman"/>
          <w:bCs/>
          <w:sz w:val="28"/>
          <w:szCs w:val="28"/>
        </w:rPr>
        <w:t xml:space="preserve">Unidad Administrativa </w:t>
      </w:r>
      <w:r w:rsidRPr="002A7673">
        <w:rPr>
          <w:rFonts w:ascii="Times New Roman" w:eastAsiaTheme="majorEastAsia" w:hAnsi="Times New Roman" w:cs="Times New Roman"/>
          <w:bCs/>
          <w:sz w:val="28"/>
          <w:szCs w:val="28"/>
        </w:rPr>
        <w:lastRenderedPageBreak/>
        <w:t xml:space="preserve">del Ministerio Público, </w:t>
      </w:r>
      <w:bookmarkEnd w:id="229"/>
      <w:r w:rsidRPr="002A7673">
        <w:rPr>
          <w:rFonts w:ascii="Times New Roman" w:eastAsiaTheme="majorEastAsia" w:hAnsi="Times New Roman" w:cs="Times New Roman"/>
          <w:bCs/>
          <w:sz w:val="28"/>
          <w:szCs w:val="28"/>
        </w:rPr>
        <w:t xml:space="preserve">continuar dando un mayor seguimiento al cumplimiento de los objetivos y metas propuestos en el Plan Anual Operativo por parte de cada una de las oficinas, fiscalías y despachos que componen el Programa. </w:t>
      </w:r>
      <w:r w:rsidRPr="002A7673">
        <w:rPr>
          <w:rFonts w:ascii="Times New Roman" w:eastAsiaTheme="majorEastAsia" w:hAnsi="Times New Roman" w:cs="Times New Roman"/>
          <w:b/>
          <w:sz w:val="28"/>
          <w:szCs w:val="28"/>
        </w:rPr>
        <w:t xml:space="preserve">3) </w:t>
      </w:r>
      <w:r w:rsidRPr="002A7673">
        <w:rPr>
          <w:rFonts w:ascii="Times New Roman" w:eastAsiaTheme="majorEastAsia" w:hAnsi="Times New Roman" w:cs="Times New Roman"/>
          <w:bCs/>
          <w:sz w:val="28"/>
          <w:szCs w:val="28"/>
        </w:rPr>
        <w:t xml:space="preserve">Resaltar el porcentaje alcanzado por el Ministerio Público e instar a todas sus oficinas a continuar con el alto cumplimiento de las metas propuestas en sus Planes Anuales Operativos. </w:t>
      </w:r>
      <w:r w:rsidRPr="002A7673">
        <w:rPr>
          <w:rFonts w:ascii="Times New Roman" w:eastAsiaTheme="majorEastAsia" w:hAnsi="Times New Roman" w:cs="Times New Roman"/>
          <w:b/>
          <w:sz w:val="28"/>
          <w:szCs w:val="28"/>
        </w:rPr>
        <w:t xml:space="preserve">4) </w:t>
      </w:r>
      <w:r w:rsidRPr="002A7673">
        <w:rPr>
          <w:rFonts w:ascii="Times New Roman" w:eastAsiaTheme="majorEastAsia" w:hAnsi="Times New Roman" w:cs="Times New Roman"/>
          <w:bCs/>
          <w:sz w:val="28"/>
          <w:szCs w:val="28"/>
        </w:rPr>
        <w:t xml:space="preserve">Solicitar a la Dirección Ejecutiva una revisión de los recursos adicionales solicitados por la </w:t>
      </w:r>
      <w:bookmarkStart w:id="230" w:name="_Hlk70873314"/>
      <w:r w:rsidRPr="002A7673">
        <w:rPr>
          <w:rFonts w:ascii="Times New Roman" w:eastAsiaTheme="majorEastAsia" w:hAnsi="Times New Roman" w:cs="Times New Roman"/>
          <w:bCs/>
          <w:sz w:val="28"/>
          <w:szCs w:val="28"/>
        </w:rPr>
        <w:t xml:space="preserve">Fiscalía Adjunta de Probidad, Transparencia y Anticorrupción (FAPTA) </w:t>
      </w:r>
      <w:bookmarkEnd w:id="230"/>
      <w:r w:rsidRPr="002A7673">
        <w:rPr>
          <w:rFonts w:ascii="Times New Roman" w:eastAsiaTheme="majorEastAsia" w:hAnsi="Times New Roman" w:cs="Times New Roman"/>
          <w:bCs/>
          <w:sz w:val="28"/>
          <w:szCs w:val="28"/>
        </w:rPr>
        <w:t>por medio del Oficio N°. FGR-454-2021, conforme el siguiente detalle:</w:t>
      </w:r>
    </w:p>
    <w:tbl>
      <w:tblPr>
        <w:tblW w:w="5000" w:type="pct"/>
        <w:tblCellMar>
          <w:left w:w="70" w:type="dxa"/>
          <w:right w:w="70" w:type="dxa"/>
        </w:tblCellMar>
        <w:tblLook w:val="04A0" w:firstRow="1" w:lastRow="0" w:firstColumn="1" w:lastColumn="0" w:noHBand="0" w:noVBand="1"/>
      </w:tblPr>
      <w:tblGrid>
        <w:gridCol w:w="1308"/>
        <w:gridCol w:w="2063"/>
        <w:gridCol w:w="857"/>
        <w:gridCol w:w="1854"/>
        <w:gridCol w:w="3566"/>
      </w:tblGrid>
      <w:tr w:rsidR="0085505C" w:rsidRPr="002A7673" w14:paraId="38515356" w14:textId="77777777" w:rsidTr="0048334E">
        <w:trPr>
          <w:trHeight w:val="380"/>
        </w:trPr>
        <w:tc>
          <w:tcPr>
            <w:tcW w:w="678" w:type="pct"/>
            <w:tcBorders>
              <w:top w:val="single" w:sz="8" w:space="0" w:color="auto"/>
              <w:left w:val="single" w:sz="8" w:space="0" w:color="auto"/>
              <w:bottom w:val="nil"/>
              <w:right w:val="single" w:sz="8" w:space="0" w:color="auto"/>
            </w:tcBorders>
            <w:shd w:val="clear" w:color="000000" w:fill="000000"/>
            <w:noWrap/>
            <w:vAlign w:val="center"/>
            <w:hideMark/>
          </w:tcPr>
          <w:p w14:paraId="6C0BA2CC" w14:textId="77777777" w:rsidR="0085505C" w:rsidRPr="002A7673" w:rsidRDefault="0085505C" w:rsidP="0048334E">
            <w:pPr>
              <w:spacing w:after="0" w:line="24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color w:val="FFFFFF"/>
                <w:sz w:val="24"/>
                <w:szCs w:val="24"/>
              </w:rPr>
              <w:t xml:space="preserve">Subpartida </w:t>
            </w:r>
          </w:p>
        </w:tc>
        <w:tc>
          <w:tcPr>
            <w:tcW w:w="1069" w:type="pct"/>
            <w:tcBorders>
              <w:top w:val="single" w:sz="8" w:space="0" w:color="auto"/>
              <w:left w:val="nil"/>
              <w:bottom w:val="nil"/>
              <w:right w:val="single" w:sz="8" w:space="0" w:color="auto"/>
            </w:tcBorders>
            <w:shd w:val="clear" w:color="000000" w:fill="000000"/>
            <w:noWrap/>
            <w:vAlign w:val="center"/>
            <w:hideMark/>
          </w:tcPr>
          <w:p w14:paraId="157168A5"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Descripción </w:t>
            </w:r>
          </w:p>
        </w:tc>
        <w:tc>
          <w:tcPr>
            <w:tcW w:w="443" w:type="pct"/>
            <w:tcBorders>
              <w:top w:val="single" w:sz="8" w:space="0" w:color="auto"/>
              <w:left w:val="nil"/>
              <w:bottom w:val="nil"/>
              <w:right w:val="single" w:sz="8" w:space="0" w:color="auto"/>
            </w:tcBorders>
            <w:shd w:val="clear" w:color="000000" w:fill="000000"/>
            <w:noWrap/>
            <w:vAlign w:val="center"/>
            <w:hideMark/>
          </w:tcPr>
          <w:p w14:paraId="3AC83139"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Meses </w:t>
            </w:r>
          </w:p>
        </w:tc>
        <w:tc>
          <w:tcPr>
            <w:tcW w:w="961" w:type="pct"/>
            <w:tcBorders>
              <w:top w:val="single" w:sz="8" w:space="0" w:color="auto"/>
              <w:left w:val="nil"/>
              <w:bottom w:val="nil"/>
              <w:right w:val="single" w:sz="8" w:space="0" w:color="auto"/>
            </w:tcBorders>
            <w:shd w:val="clear" w:color="000000" w:fill="000000"/>
            <w:noWrap/>
            <w:vAlign w:val="center"/>
            <w:hideMark/>
          </w:tcPr>
          <w:p w14:paraId="2D1522C9"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Monto </w:t>
            </w:r>
          </w:p>
        </w:tc>
        <w:tc>
          <w:tcPr>
            <w:tcW w:w="1848" w:type="pct"/>
            <w:tcBorders>
              <w:top w:val="nil"/>
              <w:left w:val="nil"/>
              <w:bottom w:val="nil"/>
              <w:right w:val="single" w:sz="8" w:space="0" w:color="auto"/>
            </w:tcBorders>
            <w:shd w:val="clear" w:color="000000" w:fill="000000"/>
            <w:noWrap/>
            <w:vAlign w:val="center"/>
            <w:hideMark/>
          </w:tcPr>
          <w:p w14:paraId="1EE45303"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Justificación </w:t>
            </w:r>
          </w:p>
        </w:tc>
      </w:tr>
      <w:tr w:rsidR="0085505C" w:rsidRPr="002A7673" w14:paraId="06A2A132" w14:textId="77777777" w:rsidTr="0048334E">
        <w:trPr>
          <w:trHeight w:val="580"/>
        </w:trPr>
        <w:tc>
          <w:tcPr>
            <w:tcW w:w="6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F6DB64"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10101</w:t>
            </w:r>
          </w:p>
        </w:tc>
        <w:tc>
          <w:tcPr>
            <w:tcW w:w="1069" w:type="pct"/>
            <w:tcBorders>
              <w:top w:val="single" w:sz="4" w:space="0" w:color="auto"/>
              <w:left w:val="nil"/>
              <w:bottom w:val="single" w:sz="4" w:space="0" w:color="auto"/>
              <w:right w:val="single" w:sz="4" w:space="0" w:color="auto"/>
            </w:tcBorders>
            <w:shd w:val="clear" w:color="auto" w:fill="auto"/>
            <w:vAlign w:val="center"/>
            <w:hideMark/>
          </w:tcPr>
          <w:p w14:paraId="734B5A4D"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Alquiler de Local </w:t>
            </w:r>
          </w:p>
        </w:tc>
        <w:tc>
          <w:tcPr>
            <w:tcW w:w="443" w:type="pct"/>
            <w:tcBorders>
              <w:top w:val="single" w:sz="4" w:space="0" w:color="auto"/>
              <w:left w:val="nil"/>
              <w:bottom w:val="single" w:sz="4" w:space="0" w:color="auto"/>
              <w:right w:val="single" w:sz="4" w:space="0" w:color="auto"/>
            </w:tcBorders>
            <w:shd w:val="clear" w:color="auto" w:fill="auto"/>
            <w:noWrap/>
            <w:vAlign w:val="center"/>
            <w:hideMark/>
          </w:tcPr>
          <w:p w14:paraId="2CD4270C"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12</w:t>
            </w:r>
          </w:p>
        </w:tc>
        <w:tc>
          <w:tcPr>
            <w:tcW w:w="961" w:type="pct"/>
            <w:tcBorders>
              <w:top w:val="single" w:sz="4" w:space="0" w:color="auto"/>
              <w:left w:val="nil"/>
              <w:bottom w:val="single" w:sz="4" w:space="0" w:color="auto"/>
              <w:right w:val="single" w:sz="4" w:space="0" w:color="auto"/>
            </w:tcBorders>
            <w:shd w:val="clear" w:color="auto" w:fill="auto"/>
            <w:noWrap/>
            <w:vAlign w:val="center"/>
            <w:hideMark/>
          </w:tcPr>
          <w:p w14:paraId="61EAC090"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265 183 956 </w:t>
            </w:r>
          </w:p>
        </w:tc>
        <w:tc>
          <w:tcPr>
            <w:tcW w:w="1848" w:type="pct"/>
            <w:tcBorders>
              <w:top w:val="single" w:sz="4" w:space="0" w:color="auto"/>
              <w:left w:val="nil"/>
              <w:bottom w:val="single" w:sz="4" w:space="0" w:color="auto"/>
              <w:right w:val="single" w:sz="4" w:space="0" w:color="auto"/>
            </w:tcBorders>
            <w:shd w:val="clear" w:color="auto" w:fill="auto"/>
            <w:vAlign w:val="bottom"/>
            <w:hideMark/>
          </w:tcPr>
          <w:p w14:paraId="05EA3FEA"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Para el alquiler de local para albergar el personal de FAPTA. </w:t>
            </w:r>
          </w:p>
        </w:tc>
      </w:tr>
      <w:tr w:rsidR="0085505C" w:rsidRPr="002A7673" w14:paraId="6A671661" w14:textId="77777777" w:rsidTr="0048334E">
        <w:trPr>
          <w:trHeight w:val="580"/>
        </w:trPr>
        <w:tc>
          <w:tcPr>
            <w:tcW w:w="678" w:type="pct"/>
            <w:tcBorders>
              <w:top w:val="nil"/>
              <w:left w:val="single" w:sz="4" w:space="0" w:color="auto"/>
              <w:bottom w:val="single" w:sz="4" w:space="0" w:color="auto"/>
              <w:right w:val="single" w:sz="4" w:space="0" w:color="auto"/>
            </w:tcBorders>
            <w:shd w:val="clear" w:color="auto" w:fill="auto"/>
            <w:noWrap/>
            <w:vAlign w:val="bottom"/>
            <w:hideMark/>
          </w:tcPr>
          <w:p w14:paraId="280E9C95"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10406</w:t>
            </w:r>
          </w:p>
        </w:tc>
        <w:tc>
          <w:tcPr>
            <w:tcW w:w="1069" w:type="pct"/>
            <w:tcBorders>
              <w:top w:val="nil"/>
              <w:left w:val="nil"/>
              <w:bottom w:val="single" w:sz="4" w:space="0" w:color="auto"/>
              <w:right w:val="single" w:sz="4" w:space="0" w:color="auto"/>
            </w:tcBorders>
            <w:shd w:val="clear" w:color="auto" w:fill="auto"/>
            <w:vAlign w:val="center"/>
            <w:hideMark/>
          </w:tcPr>
          <w:p w14:paraId="5399DA6B"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Servicios Generales</w:t>
            </w:r>
          </w:p>
        </w:tc>
        <w:tc>
          <w:tcPr>
            <w:tcW w:w="443" w:type="pct"/>
            <w:tcBorders>
              <w:top w:val="nil"/>
              <w:left w:val="nil"/>
              <w:bottom w:val="single" w:sz="4" w:space="0" w:color="auto"/>
              <w:right w:val="single" w:sz="4" w:space="0" w:color="auto"/>
            </w:tcBorders>
            <w:shd w:val="clear" w:color="auto" w:fill="auto"/>
            <w:vAlign w:val="center"/>
            <w:hideMark/>
          </w:tcPr>
          <w:p w14:paraId="505D0FFD"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12</w:t>
            </w:r>
          </w:p>
        </w:tc>
        <w:tc>
          <w:tcPr>
            <w:tcW w:w="961" w:type="pct"/>
            <w:tcBorders>
              <w:top w:val="nil"/>
              <w:left w:val="nil"/>
              <w:bottom w:val="single" w:sz="4" w:space="0" w:color="auto"/>
              <w:right w:val="single" w:sz="4" w:space="0" w:color="auto"/>
            </w:tcBorders>
            <w:shd w:val="clear" w:color="auto" w:fill="auto"/>
            <w:noWrap/>
            <w:vAlign w:val="center"/>
            <w:hideMark/>
          </w:tcPr>
          <w:p w14:paraId="1D3B43F0"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10 097 381 </w:t>
            </w:r>
          </w:p>
        </w:tc>
        <w:tc>
          <w:tcPr>
            <w:tcW w:w="1848" w:type="pct"/>
            <w:tcBorders>
              <w:top w:val="nil"/>
              <w:left w:val="nil"/>
              <w:bottom w:val="single" w:sz="4" w:space="0" w:color="auto"/>
              <w:right w:val="single" w:sz="4" w:space="0" w:color="auto"/>
            </w:tcBorders>
            <w:shd w:val="clear" w:color="auto" w:fill="auto"/>
            <w:vAlign w:val="bottom"/>
            <w:hideMark/>
          </w:tcPr>
          <w:p w14:paraId="05AA1EAA"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Servicio de vigilancia de lunes a viernes de 7 a 17 horas.</w:t>
            </w:r>
          </w:p>
        </w:tc>
      </w:tr>
      <w:tr w:rsidR="0085505C" w:rsidRPr="002A7673" w14:paraId="4F182F97" w14:textId="77777777" w:rsidTr="0048334E">
        <w:trPr>
          <w:trHeight w:val="590"/>
        </w:trPr>
        <w:tc>
          <w:tcPr>
            <w:tcW w:w="678" w:type="pct"/>
            <w:tcBorders>
              <w:top w:val="nil"/>
              <w:left w:val="single" w:sz="4" w:space="0" w:color="auto"/>
              <w:bottom w:val="nil"/>
              <w:right w:val="single" w:sz="4" w:space="0" w:color="auto"/>
            </w:tcBorders>
            <w:shd w:val="clear" w:color="auto" w:fill="auto"/>
            <w:noWrap/>
            <w:vAlign w:val="bottom"/>
            <w:hideMark/>
          </w:tcPr>
          <w:p w14:paraId="0FD2710A"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10406</w:t>
            </w:r>
          </w:p>
        </w:tc>
        <w:tc>
          <w:tcPr>
            <w:tcW w:w="1069" w:type="pct"/>
            <w:tcBorders>
              <w:top w:val="nil"/>
              <w:left w:val="nil"/>
              <w:bottom w:val="nil"/>
              <w:right w:val="single" w:sz="4" w:space="0" w:color="auto"/>
            </w:tcBorders>
            <w:shd w:val="clear" w:color="auto" w:fill="auto"/>
            <w:vAlign w:val="center"/>
            <w:hideMark/>
          </w:tcPr>
          <w:p w14:paraId="17475265"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Servicios Generales </w:t>
            </w:r>
          </w:p>
        </w:tc>
        <w:tc>
          <w:tcPr>
            <w:tcW w:w="443" w:type="pct"/>
            <w:tcBorders>
              <w:top w:val="nil"/>
              <w:left w:val="nil"/>
              <w:bottom w:val="nil"/>
              <w:right w:val="single" w:sz="4" w:space="0" w:color="auto"/>
            </w:tcBorders>
            <w:shd w:val="clear" w:color="auto" w:fill="auto"/>
            <w:vAlign w:val="center"/>
            <w:hideMark/>
          </w:tcPr>
          <w:p w14:paraId="2630A44A"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12</w:t>
            </w:r>
          </w:p>
        </w:tc>
        <w:tc>
          <w:tcPr>
            <w:tcW w:w="961" w:type="pct"/>
            <w:tcBorders>
              <w:top w:val="nil"/>
              <w:left w:val="nil"/>
              <w:bottom w:val="nil"/>
              <w:right w:val="single" w:sz="4" w:space="0" w:color="auto"/>
            </w:tcBorders>
            <w:shd w:val="clear" w:color="auto" w:fill="auto"/>
            <w:noWrap/>
            <w:vAlign w:val="center"/>
            <w:hideMark/>
          </w:tcPr>
          <w:p w14:paraId="331B7C2E"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            7 244 232 </w:t>
            </w:r>
          </w:p>
        </w:tc>
        <w:tc>
          <w:tcPr>
            <w:tcW w:w="1848" w:type="pct"/>
            <w:tcBorders>
              <w:top w:val="nil"/>
              <w:left w:val="nil"/>
              <w:bottom w:val="nil"/>
              <w:right w:val="single" w:sz="4" w:space="0" w:color="auto"/>
            </w:tcBorders>
            <w:shd w:val="clear" w:color="auto" w:fill="auto"/>
            <w:vAlign w:val="bottom"/>
            <w:hideMark/>
          </w:tcPr>
          <w:p w14:paraId="4077CD9F"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Servicio de limpieza de lunes a viernes de </w:t>
            </w:r>
            <w:proofErr w:type="gramStart"/>
            <w:r w:rsidRPr="002A7673">
              <w:rPr>
                <w:rFonts w:ascii="Times New Roman" w:hAnsi="Times New Roman" w:cs="Times New Roman"/>
                <w:color w:val="000000"/>
                <w:sz w:val="24"/>
                <w:szCs w:val="24"/>
              </w:rPr>
              <w:t>7:30  a</w:t>
            </w:r>
            <w:proofErr w:type="gramEnd"/>
            <w:r w:rsidRPr="002A7673">
              <w:rPr>
                <w:rFonts w:ascii="Times New Roman" w:hAnsi="Times New Roman" w:cs="Times New Roman"/>
                <w:color w:val="000000"/>
                <w:sz w:val="24"/>
                <w:szCs w:val="24"/>
              </w:rPr>
              <w:t xml:space="preserve"> las 16:30 horas </w:t>
            </w:r>
          </w:p>
        </w:tc>
      </w:tr>
      <w:tr w:rsidR="0085505C" w:rsidRPr="002A7673" w14:paraId="07F2903E" w14:textId="77777777" w:rsidTr="0048334E">
        <w:trPr>
          <w:trHeight w:val="320"/>
        </w:trPr>
        <w:tc>
          <w:tcPr>
            <w:tcW w:w="678"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6DE6A418"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 </w:t>
            </w:r>
          </w:p>
        </w:tc>
        <w:tc>
          <w:tcPr>
            <w:tcW w:w="1513" w:type="pct"/>
            <w:gridSpan w:val="2"/>
            <w:tcBorders>
              <w:top w:val="single" w:sz="8" w:space="0" w:color="auto"/>
              <w:left w:val="nil"/>
              <w:bottom w:val="single" w:sz="8" w:space="0" w:color="auto"/>
              <w:right w:val="single" w:sz="4" w:space="0" w:color="000000"/>
            </w:tcBorders>
            <w:shd w:val="clear" w:color="auto" w:fill="auto"/>
            <w:noWrap/>
            <w:vAlign w:val="center"/>
            <w:hideMark/>
          </w:tcPr>
          <w:p w14:paraId="443230AB"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lang w:val="es-ES_tradnl"/>
              </w:rPr>
              <w:t xml:space="preserve">Total: </w:t>
            </w:r>
          </w:p>
        </w:tc>
        <w:tc>
          <w:tcPr>
            <w:tcW w:w="961" w:type="pct"/>
            <w:tcBorders>
              <w:top w:val="single" w:sz="8" w:space="0" w:color="auto"/>
              <w:left w:val="nil"/>
              <w:bottom w:val="single" w:sz="8" w:space="0" w:color="auto"/>
              <w:right w:val="single" w:sz="4" w:space="0" w:color="auto"/>
            </w:tcBorders>
            <w:shd w:val="clear" w:color="auto" w:fill="auto"/>
            <w:noWrap/>
            <w:vAlign w:val="bottom"/>
            <w:hideMark/>
          </w:tcPr>
          <w:p w14:paraId="5481E504" w14:textId="77777777" w:rsidR="0085505C" w:rsidRPr="002A7673" w:rsidRDefault="0085505C" w:rsidP="0048334E">
            <w:pPr>
              <w:spacing w:after="0" w:line="240" w:lineRule="auto"/>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 xml:space="preserve">     282 525 569 </w:t>
            </w:r>
          </w:p>
        </w:tc>
        <w:tc>
          <w:tcPr>
            <w:tcW w:w="1848" w:type="pct"/>
            <w:tcBorders>
              <w:top w:val="single" w:sz="8" w:space="0" w:color="auto"/>
              <w:left w:val="nil"/>
              <w:bottom w:val="single" w:sz="8" w:space="0" w:color="auto"/>
              <w:right w:val="single" w:sz="8" w:space="0" w:color="auto"/>
            </w:tcBorders>
            <w:shd w:val="clear" w:color="auto" w:fill="auto"/>
            <w:noWrap/>
            <w:vAlign w:val="bottom"/>
            <w:hideMark/>
          </w:tcPr>
          <w:p w14:paraId="163B9C94" w14:textId="77777777" w:rsidR="0085505C" w:rsidRPr="002A7673" w:rsidRDefault="0085505C" w:rsidP="0048334E">
            <w:pPr>
              <w:spacing w:after="0" w:line="240" w:lineRule="auto"/>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 </w:t>
            </w:r>
          </w:p>
        </w:tc>
      </w:tr>
    </w:tbl>
    <w:p w14:paraId="7F945005" w14:textId="77777777" w:rsidR="0085505C" w:rsidRPr="002A7673" w:rsidRDefault="0085505C" w:rsidP="0085505C">
      <w:pPr>
        <w:spacing w:after="0" w:line="360" w:lineRule="auto"/>
        <w:jc w:val="both"/>
        <w:rPr>
          <w:rFonts w:ascii="Times New Roman" w:hAnsi="Times New Roman" w:cs="Times New Roman"/>
          <w:b/>
          <w:bCs/>
          <w:sz w:val="28"/>
          <w:szCs w:val="28"/>
        </w:rPr>
      </w:pPr>
      <w:r w:rsidRPr="002A7673">
        <w:rPr>
          <w:rFonts w:ascii="Times New Roman" w:hAnsi="Times New Roman" w:cs="Times New Roman"/>
          <w:b/>
          <w:bCs/>
          <w:sz w:val="28"/>
          <w:szCs w:val="28"/>
        </w:rPr>
        <w:t>Se declara acuerdo firme.</w:t>
      </w:r>
    </w:p>
    <w:p w14:paraId="77CEC42D" w14:textId="77777777" w:rsidR="0085505C" w:rsidRPr="002A7673" w:rsidRDefault="0085505C" w:rsidP="0085505C">
      <w:pPr>
        <w:spacing w:after="0" w:line="360" w:lineRule="auto"/>
        <w:jc w:val="both"/>
        <w:rPr>
          <w:rFonts w:ascii="Times New Roman" w:hAnsi="Times New Roman" w:cs="Times New Roman"/>
          <w:sz w:val="28"/>
          <w:szCs w:val="28"/>
        </w:rPr>
      </w:pPr>
    </w:p>
    <w:bookmarkEnd w:id="227"/>
    <w:p w14:paraId="5248F5FF" w14:textId="77777777" w:rsidR="0085505C" w:rsidRPr="002A7673" w:rsidRDefault="0085505C" w:rsidP="0085505C">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XVI</w:t>
      </w:r>
    </w:p>
    <w:p w14:paraId="52F0DF21" w14:textId="77777777" w:rsidR="0085505C" w:rsidRPr="002A7673" w:rsidRDefault="0085505C" w:rsidP="007125D1">
      <w:pPr>
        <w:autoSpaceDE w:val="0"/>
        <w:autoSpaceDN w:val="0"/>
        <w:adjustRightInd w:val="0"/>
        <w:spacing w:before="120"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4420-2021</w:t>
      </w:r>
    </w:p>
    <w:p w14:paraId="7DACCDED" w14:textId="77777777" w:rsidR="0085505C" w:rsidRPr="002A7673" w:rsidRDefault="0085505C" w:rsidP="0085505C">
      <w:pPr>
        <w:spacing w:after="0" w:line="480" w:lineRule="auto"/>
        <w:ind w:firstLine="709"/>
        <w:jc w:val="both"/>
        <w:rPr>
          <w:rFonts w:ascii="Times New Roman" w:hAnsi="Times New Roman" w:cs="Times New Roman"/>
          <w:b/>
          <w:bCs/>
          <w:sz w:val="28"/>
          <w:szCs w:val="28"/>
        </w:rPr>
      </w:pPr>
      <w:r w:rsidRPr="002A7673">
        <w:rPr>
          <w:rFonts w:ascii="Times New Roman" w:hAnsi="Times New Roman" w:cs="Times New Roman"/>
          <w:sz w:val="28"/>
          <w:szCs w:val="28"/>
        </w:rPr>
        <w:t>En reunión de trabajo del pasado 23 de abril, la licenciada Nacira Valverde Bermúdez,</w:t>
      </w:r>
      <w:r w:rsidRPr="002A7673">
        <w:rPr>
          <w:rFonts w:ascii="Times New Roman" w:hAnsi="Times New Roman" w:cs="Times New Roman"/>
          <w:color w:val="000000"/>
          <w:sz w:val="28"/>
          <w:szCs w:val="28"/>
          <w:shd w:val="clear" w:color="auto" w:fill="FFFFFF"/>
        </w:rPr>
        <w:t xml:space="preserve"> </w:t>
      </w:r>
      <w:r w:rsidRPr="002A7673">
        <w:rPr>
          <w:rFonts w:ascii="Times New Roman" w:hAnsi="Times New Roman" w:cs="Times New Roman"/>
          <w:sz w:val="28"/>
          <w:szCs w:val="28"/>
        </w:rPr>
        <w:t xml:space="preserve">Directora de Planificación presentó el proyecto de presupuesto para el 2022 del </w:t>
      </w:r>
      <w:r w:rsidRPr="002A7673">
        <w:rPr>
          <w:rFonts w:ascii="Times New Roman" w:hAnsi="Times New Roman" w:cs="Times New Roman"/>
          <w:b/>
          <w:bCs/>
          <w:sz w:val="28"/>
          <w:szCs w:val="28"/>
        </w:rPr>
        <w:t>Programa 930 Defensa Pública.</w:t>
      </w:r>
    </w:p>
    <w:p w14:paraId="6964EE3D" w14:textId="77777777" w:rsidR="0085505C" w:rsidRPr="002A7673" w:rsidRDefault="0085505C" w:rsidP="00FF3FAC">
      <w:pPr>
        <w:keepNext/>
        <w:widowControl w:val="0"/>
        <w:numPr>
          <w:ilvl w:val="2"/>
          <w:numId w:val="70"/>
        </w:numPr>
        <w:autoSpaceDE w:val="0"/>
        <w:autoSpaceDN w:val="0"/>
        <w:adjustRightInd w:val="0"/>
        <w:spacing w:before="120" w:after="120" w:line="240" w:lineRule="auto"/>
        <w:ind w:left="851" w:right="851" w:firstLine="709"/>
        <w:jc w:val="both"/>
        <w:outlineLvl w:val="0"/>
        <w:rPr>
          <w:rFonts w:ascii="Times New Roman" w:hAnsi="Times New Roman" w:cs="Times New Roman"/>
          <w:b/>
          <w:bCs/>
          <w:kern w:val="32"/>
          <w:sz w:val="26"/>
          <w:szCs w:val="26"/>
          <w:highlight w:val="lightGray"/>
          <w:lang w:eastAsia="es-ES"/>
        </w:rPr>
      </w:pPr>
      <w:r w:rsidRPr="002A7673">
        <w:rPr>
          <w:rFonts w:ascii="Times New Roman" w:hAnsi="Times New Roman" w:cs="Times New Roman"/>
          <w:b/>
          <w:bCs/>
          <w:kern w:val="32"/>
          <w:sz w:val="26"/>
          <w:szCs w:val="26"/>
          <w:highlight w:val="lightGray"/>
          <w:lang w:eastAsia="es-ES"/>
        </w:rPr>
        <w:lastRenderedPageBreak/>
        <w:t xml:space="preserve">Información General </w:t>
      </w:r>
    </w:p>
    <w:p w14:paraId="60147ECA" w14:textId="77777777" w:rsidR="0085505C" w:rsidRPr="002A7673" w:rsidRDefault="0085505C" w:rsidP="0085505C">
      <w:pPr>
        <w:spacing w:before="120" w:after="120" w:line="240" w:lineRule="auto"/>
        <w:ind w:left="851" w:right="851" w:firstLine="709"/>
        <w:jc w:val="both"/>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A nivel de Programa, en el caso del Programa 930 Defensa Pública, al consolidar el presupuesto de Remuneraciones con el Gasto Variable, se tiene al 23 de abril del 2021, una variación total del -0,31%, y de forma específica de un 0,14% en Remuneraciones y de un -9,53% en Gasto Variable.  </w:t>
      </w:r>
    </w:p>
    <w:p w14:paraId="0D50E30D" w14:textId="77777777" w:rsidR="0085505C" w:rsidRPr="002A7673" w:rsidRDefault="0085505C" w:rsidP="0085505C">
      <w:pPr>
        <w:spacing w:before="120" w:after="120" w:line="240" w:lineRule="auto"/>
        <w:ind w:left="851" w:right="851" w:firstLine="709"/>
        <w:jc w:val="both"/>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Las cifras anteriores, reflejan el esfuerzo institucional del Programa para cumplir con el acuerdo de Corte Plena de ajustar la solicitud presupuestaria del 2022 en un -4%, siendo que al consolidarse con la previsión presupuestaria de Remuneraciones se logra un comportamiento muy controlado del gasto institucional, dentro de los límites establecidos por el Ministerio de Hacienda. </w:t>
      </w:r>
    </w:p>
    <w:p w14:paraId="73233120" w14:textId="77777777" w:rsidR="0085505C" w:rsidRPr="002A7673" w:rsidRDefault="0085505C" w:rsidP="0085505C">
      <w:pPr>
        <w:spacing w:before="120" w:after="120" w:line="240" w:lineRule="auto"/>
        <w:ind w:left="851" w:right="851" w:firstLine="709"/>
        <w:jc w:val="both"/>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De no haberse adoptado esta medida, posiblemente al consolidarse la petición de necesidades de gasto variable con las de remuneraciones, el monto total habría sido muy superior al tope presupuestario establecido para el Poder Judicial, tanto en gasto corriente como en gasto de capital.  </w:t>
      </w:r>
    </w:p>
    <w:p w14:paraId="28209CCD" w14:textId="77777777" w:rsidR="0085505C" w:rsidRPr="002A7673" w:rsidRDefault="0085505C" w:rsidP="007125D1">
      <w:pPr>
        <w:pStyle w:val="AAgestin0"/>
        <w:rPr>
          <w:highlight w:val="lightGray"/>
        </w:rPr>
      </w:pPr>
    </w:p>
    <w:p w14:paraId="062C27D6" w14:textId="77777777" w:rsidR="0085505C" w:rsidRPr="002A7673" w:rsidRDefault="0085505C" w:rsidP="00FF3FAC">
      <w:pPr>
        <w:keepNext/>
        <w:widowControl w:val="0"/>
        <w:numPr>
          <w:ilvl w:val="0"/>
          <w:numId w:val="56"/>
        </w:numPr>
        <w:autoSpaceDE w:val="0"/>
        <w:autoSpaceDN w:val="0"/>
        <w:adjustRightInd w:val="0"/>
        <w:spacing w:before="120" w:after="120" w:line="240" w:lineRule="auto"/>
        <w:ind w:left="851" w:right="851" w:firstLine="709"/>
        <w:jc w:val="both"/>
        <w:outlineLvl w:val="0"/>
        <w:rPr>
          <w:rFonts w:ascii="Times New Roman" w:hAnsi="Times New Roman" w:cs="Times New Roman"/>
          <w:b/>
          <w:bCs/>
          <w:kern w:val="32"/>
          <w:sz w:val="26"/>
          <w:szCs w:val="26"/>
          <w:highlight w:val="lightGray"/>
          <w:lang w:eastAsia="es-ES"/>
        </w:rPr>
      </w:pPr>
      <w:r w:rsidRPr="002A7673">
        <w:rPr>
          <w:rFonts w:ascii="Times New Roman" w:hAnsi="Times New Roman" w:cs="Times New Roman"/>
          <w:b/>
          <w:bCs/>
          <w:kern w:val="32"/>
          <w:sz w:val="26"/>
          <w:szCs w:val="26"/>
          <w:highlight w:val="lightGray"/>
          <w:lang w:eastAsia="es-ES"/>
        </w:rPr>
        <w:t>Comportamiento específico del Gasto Variable</w:t>
      </w:r>
    </w:p>
    <w:p w14:paraId="6700FB88" w14:textId="77777777" w:rsidR="0085505C" w:rsidRPr="002A7673" w:rsidRDefault="0085505C" w:rsidP="0085505C">
      <w:pPr>
        <w:spacing w:before="120" w:after="120" w:line="240" w:lineRule="auto"/>
        <w:ind w:left="851" w:right="851" w:firstLine="709"/>
        <w:jc w:val="both"/>
        <w:rPr>
          <w:rFonts w:ascii="Times New Roman" w:hAnsi="Times New Roman" w:cs="Times New Roman"/>
          <w:kern w:val="32"/>
          <w:sz w:val="26"/>
          <w:szCs w:val="26"/>
          <w:lang w:eastAsia="es-ES"/>
        </w:rPr>
      </w:pPr>
    </w:p>
    <w:p w14:paraId="2BBE727D" w14:textId="77777777" w:rsidR="0085505C" w:rsidRPr="002A7673" w:rsidRDefault="0085505C" w:rsidP="0085505C">
      <w:pPr>
        <w:spacing w:before="120" w:after="120" w:line="240" w:lineRule="auto"/>
        <w:ind w:left="851" w:right="851" w:firstLine="709"/>
        <w:jc w:val="both"/>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Al igual que en años anteriores, a </w:t>
      </w:r>
      <w:proofErr w:type="gramStart"/>
      <w:r w:rsidRPr="002A7673">
        <w:rPr>
          <w:rFonts w:ascii="Times New Roman" w:hAnsi="Times New Roman" w:cs="Times New Roman"/>
          <w:kern w:val="32"/>
          <w:sz w:val="26"/>
          <w:szCs w:val="26"/>
          <w:lang w:eastAsia="es-ES"/>
        </w:rPr>
        <w:t>continuación</w:t>
      </w:r>
      <w:proofErr w:type="gramEnd"/>
      <w:r w:rsidRPr="002A7673">
        <w:rPr>
          <w:rFonts w:ascii="Times New Roman" w:hAnsi="Times New Roman" w:cs="Times New Roman"/>
          <w:kern w:val="32"/>
          <w:sz w:val="26"/>
          <w:szCs w:val="26"/>
          <w:lang w:eastAsia="es-ES"/>
        </w:rPr>
        <w:t xml:space="preserve"> se presenta el comportamiento específico del presupuesto solicitado para necesidades de gasto variable: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2407"/>
        <w:gridCol w:w="2415"/>
        <w:gridCol w:w="2413"/>
      </w:tblGrid>
      <w:tr w:rsidR="0085505C" w:rsidRPr="002A7673" w14:paraId="71642963" w14:textId="77777777" w:rsidTr="0048334E">
        <w:trPr>
          <w:jc w:val="center"/>
        </w:trPr>
        <w:tc>
          <w:tcPr>
            <w:tcW w:w="1255" w:type="pct"/>
          </w:tcPr>
          <w:p w14:paraId="443AF655"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Presupuesto</w:t>
            </w:r>
          </w:p>
          <w:p w14:paraId="2508FB50"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Aprobado 2021</w:t>
            </w:r>
          </w:p>
        </w:tc>
        <w:tc>
          <w:tcPr>
            <w:tcW w:w="1246" w:type="pct"/>
          </w:tcPr>
          <w:p w14:paraId="649DFD22"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Presupuesto Formulado 2022</w:t>
            </w:r>
          </w:p>
        </w:tc>
        <w:tc>
          <w:tcPr>
            <w:tcW w:w="1250" w:type="pct"/>
          </w:tcPr>
          <w:p w14:paraId="1C04EFB9"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Diferencia Absoluta</w:t>
            </w:r>
          </w:p>
        </w:tc>
        <w:tc>
          <w:tcPr>
            <w:tcW w:w="1250" w:type="pct"/>
          </w:tcPr>
          <w:p w14:paraId="046D550B" w14:textId="77777777" w:rsidR="0085505C" w:rsidRPr="002A7673" w:rsidRDefault="0085505C" w:rsidP="0048334E">
            <w:pPr>
              <w:spacing w:after="0" w:line="240" w:lineRule="auto"/>
              <w:jc w:val="center"/>
              <w:rPr>
                <w:rFonts w:ascii="Times New Roman" w:hAnsi="Times New Roman" w:cs="Times New Roman"/>
                <w:b/>
                <w:sz w:val="24"/>
                <w:szCs w:val="24"/>
              </w:rPr>
            </w:pPr>
            <w:r w:rsidRPr="002A7673">
              <w:rPr>
                <w:rFonts w:ascii="Times New Roman" w:hAnsi="Times New Roman" w:cs="Times New Roman"/>
                <w:b/>
                <w:sz w:val="24"/>
                <w:szCs w:val="24"/>
              </w:rPr>
              <w:t>Porcentaje de Variación</w:t>
            </w:r>
          </w:p>
        </w:tc>
      </w:tr>
      <w:tr w:rsidR="0085505C" w:rsidRPr="002A7673" w14:paraId="74D9FCC2" w14:textId="77777777" w:rsidTr="0048334E">
        <w:trPr>
          <w:jc w:val="center"/>
        </w:trPr>
        <w:tc>
          <w:tcPr>
            <w:tcW w:w="1255" w:type="pct"/>
          </w:tcPr>
          <w:p w14:paraId="2A94A31E" w14:textId="77777777" w:rsidR="0085505C" w:rsidRPr="002A7673" w:rsidRDefault="0085505C" w:rsidP="0048334E">
            <w:pPr>
              <w:spacing w:after="0" w:line="360" w:lineRule="auto"/>
              <w:jc w:val="center"/>
              <w:rPr>
                <w:rFonts w:ascii="Times New Roman" w:hAnsi="Times New Roman" w:cs="Times New Roman"/>
                <w:color w:val="FF0000"/>
                <w:sz w:val="24"/>
                <w:szCs w:val="24"/>
              </w:rPr>
            </w:pPr>
            <w:r w:rsidRPr="002A7673">
              <w:rPr>
                <w:rFonts w:ascii="Times New Roman" w:hAnsi="Times New Roman" w:cs="Times New Roman"/>
                <w:sz w:val="24"/>
                <w:szCs w:val="24"/>
              </w:rPr>
              <w:t>¢2.432.854.098</w:t>
            </w:r>
          </w:p>
        </w:tc>
        <w:tc>
          <w:tcPr>
            <w:tcW w:w="1246" w:type="pct"/>
          </w:tcPr>
          <w:p w14:paraId="23427BF5"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¢2.201.113.321</w:t>
            </w:r>
          </w:p>
        </w:tc>
        <w:tc>
          <w:tcPr>
            <w:tcW w:w="1250" w:type="pct"/>
          </w:tcPr>
          <w:p w14:paraId="489A3979"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-¢231.740.777</w:t>
            </w:r>
          </w:p>
        </w:tc>
        <w:tc>
          <w:tcPr>
            <w:tcW w:w="1250" w:type="pct"/>
          </w:tcPr>
          <w:p w14:paraId="5F9BBE22"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b/>
                <w:bCs/>
                <w:sz w:val="24"/>
                <w:szCs w:val="24"/>
              </w:rPr>
              <w:t>-9.53</w:t>
            </w:r>
            <w:r w:rsidRPr="002A7673">
              <w:rPr>
                <w:rFonts w:ascii="Times New Roman" w:hAnsi="Times New Roman" w:cs="Times New Roman"/>
                <w:sz w:val="24"/>
                <w:szCs w:val="24"/>
              </w:rPr>
              <w:t>%</w:t>
            </w:r>
          </w:p>
        </w:tc>
      </w:tr>
    </w:tbl>
    <w:p w14:paraId="69C29995" w14:textId="77777777" w:rsidR="0085505C" w:rsidRPr="002A7673" w:rsidRDefault="0085505C" w:rsidP="0085505C">
      <w:pPr>
        <w:spacing w:after="0" w:line="240" w:lineRule="auto"/>
        <w:ind w:left="851" w:right="851" w:firstLine="709"/>
        <w:jc w:val="both"/>
        <w:rPr>
          <w:rFonts w:ascii="Times New Roman" w:hAnsi="Times New Roman" w:cs="Times New Roman"/>
          <w:color w:val="FF0000"/>
          <w:sz w:val="26"/>
          <w:szCs w:val="26"/>
        </w:rPr>
      </w:pPr>
    </w:p>
    <w:p w14:paraId="698AD3C0"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Aspectos Relevantes </w:t>
      </w:r>
    </w:p>
    <w:p w14:paraId="0DEA58CD"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b/>
          <w:sz w:val="26"/>
          <w:szCs w:val="26"/>
          <w:lang w:val="es-ES" w:eastAsia="es-ES"/>
        </w:rPr>
      </w:pPr>
    </w:p>
    <w:p w14:paraId="725D6119" w14:textId="77777777" w:rsidR="0085505C" w:rsidRPr="002A7673" w:rsidRDefault="0085505C" w:rsidP="00FF3FAC">
      <w:pPr>
        <w:numPr>
          <w:ilvl w:val="1"/>
          <w:numId w:val="77"/>
        </w:numPr>
        <w:spacing w:after="0" w:line="240" w:lineRule="auto"/>
        <w:ind w:left="851" w:right="851" w:firstLine="709"/>
        <w:jc w:val="both"/>
        <w:rPr>
          <w:rFonts w:ascii="Times New Roman" w:eastAsia="Times New Roman" w:hAnsi="Times New Roman" w:cs="Times New Roman"/>
          <w:b/>
          <w:i/>
          <w:sz w:val="26"/>
          <w:szCs w:val="26"/>
          <w:lang w:val="es-ES" w:eastAsia="es-ES"/>
        </w:rPr>
      </w:pPr>
      <w:r w:rsidRPr="002A7673">
        <w:rPr>
          <w:rFonts w:ascii="Times New Roman" w:eastAsia="Times New Roman" w:hAnsi="Times New Roman" w:cs="Times New Roman"/>
          <w:b/>
          <w:i/>
          <w:sz w:val="26"/>
          <w:szCs w:val="26"/>
          <w:lang w:val="es-ES" w:eastAsia="es-ES"/>
        </w:rPr>
        <w:t>Variación 2021-2022</w:t>
      </w:r>
    </w:p>
    <w:p w14:paraId="0362F7DE"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El anteproyecto de presupuesto 2022 de la Defensa Pública presenta un decrecimiento del -7.70% respecto al aprobado para el 2021.</w:t>
      </w:r>
    </w:p>
    <w:p w14:paraId="06CBB5D3"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sz w:val="26"/>
          <w:szCs w:val="26"/>
          <w:lang w:val="es-ES" w:eastAsia="es-ES"/>
        </w:rPr>
      </w:pPr>
    </w:p>
    <w:p w14:paraId="500B1FA4"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 </w:t>
      </w:r>
      <w:r w:rsidRPr="002A7673">
        <w:rPr>
          <w:rFonts w:ascii="Times New Roman" w:eastAsia="Times New Roman" w:hAnsi="Times New Roman" w:cs="Times New Roman"/>
          <w:b/>
          <w:bCs/>
          <w:sz w:val="26"/>
          <w:szCs w:val="26"/>
          <w:lang w:val="es-ES" w:eastAsia="es-ES"/>
        </w:rPr>
        <w:t xml:space="preserve">Tabla número 1. </w:t>
      </w:r>
      <w:r w:rsidRPr="002A7673">
        <w:rPr>
          <w:rFonts w:ascii="Times New Roman" w:eastAsia="Times New Roman" w:hAnsi="Times New Roman" w:cs="Times New Roman"/>
          <w:sz w:val="26"/>
          <w:szCs w:val="26"/>
          <w:lang w:val="es-ES" w:eastAsia="es-ES"/>
        </w:rPr>
        <w:t>Presupuesto 2021-2022</w:t>
      </w:r>
    </w:p>
    <w:p w14:paraId="55C9B510" w14:textId="77777777" w:rsidR="0085505C" w:rsidRPr="002A7673" w:rsidRDefault="0085505C" w:rsidP="0085505C">
      <w:pPr>
        <w:spacing w:after="0" w:line="240" w:lineRule="auto"/>
        <w:jc w:val="both"/>
        <w:rPr>
          <w:rFonts w:ascii="Times New Roman" w:eastAsia="Times New Roman" w:hAnsi="Times New Roman" w:cs="Times New Roman"/>
          <w:b/>
          <w:bCs/>
          <w:sz w:val="24"/>
          <w:szCs w:val="24"/>
          <w:lang w:val="es-ES" w:eastAsia="es-ES"/>
        </w:rPr>
      </w:pPr>
    </w:p>
    <w:tbl>
      <w:tblPr>
        <w:tblW w:w="5000" w:type="pct"/>
        <w:jc w:val="center"/>
        <w:tblCellMar>
          <w:left w:w="70" w:type="dxa"/>
          <w:right w:w="70" w:type="dxa"/>
        </w:tblCellMar>
        <w:tblLook w:val="04A0" w:firstRow="1" w:lastRow="0" w:firstColumn="1" w:lastColumn="0" w:noHBand="0" w:noVBand="1"/>
      </w:tblPr>
      <w:tblGrid>
        <w:gridCol w:w="3819"/>
        <w:gridCol w:w="2131"/>
        <w:gridCol w:w="2117"/>
        <w:gridCol w:w="1601"/>
      </w:tblGrid>
      <w:tr w:rsidR="0085505C" w:rsidRPr="002A7673" w14:paraId="0451B51C" w14:textId="77777777" w:rsidTr="0048334E">
        <w:trPr>
          <w:trHeight w:val="288"/>
          <w:jc w:val="center"/>
        </w:trPr>
        <w:tc>
          <w:tcPr>
            <w:tcW w:w="5000" w:type="pct"/>
            <w:gridSpan w:val="4"/>
            <w:tcBorders>
              <w:top w:val="nil"/>
              <w:left w:val="nil"/>
              <w:bottom w:val="nil"/>
              <w:right w:val="nil"/>
            </w:tcBorders>
            <w:shd w:val="clear" w:color="auto" w:fill="1F497D"/>
            <w:noWrap/>
            <w:vAlign w:val="bottom"/>
            <w:hideMark/>
          </w:tcPr>
          <w:p w14:paraId="36340287" w14:textId="77777777" w:rsidR="0085505C" w:rsidRPr="002A7673" w:rsidRDefault="0085505C" w:rsidP="0048334E">
            <w:pPr>
              <w:spacing w:after="0" w:line="24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color w:val="FFFFFF"/>
                <w:sz w:val="24"/>
                <w:szCs w:val="24"/>
              </w:rPr>
              <w:t>Presupuesto 2021-2022</w:t>
            </w:r>
          </w:p>
        </w:tc>
      </w:tr>
      <w:tr w:rsidR="0085505C" w:rsidRPr="002A7673" w14:paraId="27388C6B" w14:textId="77777777" w:rsidTr="0048334E">
        <w:trPr>
          <w:trHeight w:val="576"/>
          <w:jc w:val="center"/>
        </w:trPr>
        <w:tc>
          <w:tcPr>
            <w:tcW w:w="1975" w:type="pct"/>
            <w:tcBorders>
              <w:top w:val="nil"/>
              <w:left w:val="nil"/>
              <w:bottom w:val="nil"/>
              <w:right w:val="nil"/>
            </w:tcBorders>
            <w:shd w:val="clear" w:color="auto" w:fill="auto"/>
            <w:noWrap/>
            <w:vAlign w:val="bottom"/>
            <w:hideMark/>
          </w:tcPr>
          <w:p w14:paraId="4D9DB243"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p>
        </w:tc>
        <w:tc>
          <w:tcPr>
            <w:tcW w:w="1102" w:type="pct"/>
            <w:tcBorders>
              <w:top w:val="nil"/>
              <w:left w:val="nil"/>
              <w:bottom w:val="nil"/>
              <w:right w:val="nil"/>
            </w:tcBorders>
            <w:shd w:val="clear" w:color="auto" w:fill="auto"/>
            <w:vAlign w:val="bottom"/>
            <w:hideMark/>
          </w:tcPr>
          <w:p w14:paraId="35CC8BEF" w14:textId="77777777" w:rsidR="0085505C" w:rsidRPr="002A7673" w:rsidRDefault="0085505C" w:rsidP="0048334E">
            <w:pPr>
              <w:spacing w:after="0" w:line="240" w:lineRule="auto"/>
              <w:jc w:val="center"/>
              <w:rPr>
                <w:rFonts w:ascii="Times New Roman" w:hAnsi="Times New Roman" w:cs="Times New Roman"/>
                <w:b/>
                <w:bCs/>
                <w:color w:val="525252"/>
                <w:sz w:val="24"/>
                <w:szCs w:val="24"/>
              </w:rPr>
            </w:pPr>
            <w:r w:rsidRPr="002A7673">
              <w:rPr>
                <w:rFonts w:ascii="Times New Roman" w:hAnsi="Times New Roman" w:cs="Times New Roman"/>
                <w:b/>
                <w:bCs/>
                <w:color w:val="525252"/>
                <w:sz w:val="24"/>
                <w:szCs w:val="24"/>
              </w:rPr>
              <w:t>Presupuesto 2021</w:t>
            </w:r>
          </w:p>
        </w:tc>
        <w:tc>
          <w:tcPr>
            <w:tcW w:w="1095" w:type="pct"/>
            <w:tcBorders>
              <w:top w:val="nil"/>
              <w:left w:val="nil"/>
              <w:bottom w:val="nil"/>
              <w:right w:val="nil"/>
            </w:tcBorders>
            <w:shd w:val="clear" w:color="auto" w:fill="auto"/>
            <w:vAlign w:val="bottom"/>
            <w:hideMark/>
          </w:tcPr>
          <w:p w14:paraId="03211044" w14:textId="77777777" w:rsidR="0085505C" w:rsidRPr="002A7673" w:rsidRDefault="0085505C" w:rsidP="0048334E">
            <w:pPr>
              <w:spacing w:after="0" w:line="240" w:lineRule="auto"/>
              <w:jc w:val="center"/>
              <w:rPr>
                <w:rFonts w:ascii="Times New Roman" w:hAnsi="Times New Roman" w:cs="Times New Roman"/>
                <w:b/>
                <w:bCs/>
                <w:color w:val="525252"/>
                <w:sz w:val="24"/>
                <w:szCs w:val="24"/>
              </w:rPr>
            </w:pPr>
            <w:r w:rsidRPr="002A7673">
              <w:rPr>
                <w:rFonts w:ascii="Times New Roman" w:hAnsi="Times New Roman" w:cs="Times New Roman"/>
                <w:b/>
                <w:bCs/>
                <w:color w:val="525252"/>
                <w:sz w:val="24"/>
                <w:szCs w:val="24"/>
              </w:rPr>
              <w:t>Presupuesto 2022</w:t>
            </w:r>
          </w:p>
        </w:tc>
        <w:tc>
          <w:tcPr>
            <w:tcW w:w="828" w:type="pct"/>
            <w:tcBorders>
              <w:top w:val="nil"/>
              <w:left w:val="nil"/>
              <w:bottom w:val="nil"/>
              <w:right w:val="nil"/>
            </w:tcBorders>
            <w:shd w:val="clear" w:color="auto" w:fill="auto"/>
            <w:vAlign w:val="bottom"/>
            <w:hideMark/>
          </w:tcPr>
          <w:p w14:paraId="2679BC46" w14:textId="77777777" w:rsidR="0085505C" w:rsidRPr="002A7673" w:rsidRDefault="0085505C" w:rsidP="0048334E">
            <w:pPr>
              <w:spacing w:after="0" w:line="240" w:lineRule="auto"/>
              <w:jc w:val="center"/>
              <w:rPr>
                <w:rFonts w:ascii="Times New Roman" w:hAnsi="Times New Roman" w:cs="Times New Roman"/>
                <w:b/>
                <w:bCs/>
                <w:color w:val="525252"/>
                <w:sz w:val="24"/>
                <w:szCs w:val="24"/>
              </w:rPr>
            </w:pPr>
            <w:proofErr w:type="gramStart"/>
            <w:r w:rsidRPr="002A7673">
              <w:rPr>
                <w:rFonts w:ascii="Times New Roman" w:hAnsi="Times New Roman" w:cs="Times New Roman"/>
                <w:b/>
                <w:bCs/>
                <w:color w:val="525252"/>
                <w:sz w:val="24"/>
                <w:szCs w:val="24"/>
              </w:rPr>
              <w:t>Variación  Absoluta</w:t>
            </w:r>
            <w:proofErr w:type="gramEnd"/>
            <w:r w:rsidRPr="002A7673">
              <w:rPr>
                <w:rFonts w:ascii="Times New Roman" w:hAnsi="Times New Roman" w:cs="Times New Roman"/>
                <w:b/>
                <w:bCs/>
                <w:color w:val="525252"/>
                <w:sz w:val="24"/>
                <w:szCs w:val="24"/>
              </w:rPr>
              <w:t xml:space="preserve"> </w:t>
            </w:r>
          </w:p>
        </w:tc>
      </w:tr>
      <w:tr w:rsidR="0085505C" w:rsidRPr="002A7673" w14:paraId="73A457C6" w14:textId="77777777" w:rsidTr="0048334E">
        <w:trPr>
          <w:trHeight w:val="300"/>
          <w:jc w:val="center"/>
        </w:trPr>
        <w:tc>
          <w:tcPr>
            <w:tcW w:w="1975" w:type="pct"/>
            <w:tcBorders>
              <w:top w:val="nil"/>
              <w:left w:val="nil"/>
              <w:bottom w:val="nil"/>
              <w:right w:val="nil"/>
            </w:tcBorders>
            <w:shd w:val="clear" w:color="auto" w:fill="auto"/>
            <w:noWrap/>
            <w:vAlign w:val="bottom"/>
            <w:hideMark/>
          </w:tcPr>
          <w:p w14:paraId="3F6FBE30"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lastRenderedPageBreak/>
              <w:t xml:space="preserve">Presupuesto Total Aprobado </w:t>
            </w:r>
          </w:p>
        </w:tc>
        <w:tc>
          <w:tcPr>
            <w:tcW w:w="1102" w:type="pct"/>
            <w:tcBorders>
              <w:top w:val="nil"/>
              <w:left w:val="nil"/>
              <w:bottom w:val="nil"/>
              <w:right w:val="nil"/>
            </w:tcBorders>
            <w:shd w:val="clear" w:color="auto" w:fill="auto"/>
            <w:noWrap/>
            <w:vAlign w:val="bottom"/>
            <w:hideMark/>
          </w:tcPr>
          <w:p w14:paraId="3CDFFEB2" w14:textId="77777777" w:rsidR="0085505C" w:rsidRPr="002A7673" w:rsidRDefault="0085505C" w:rsidP="0048334E">
            <w:pPr>
              <w:spacing w:after="0" w:line="240" w:lineRule="auto"/>
              <w:jc w:val="right"/>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1.915.411.219</w:t>
            </w:r>
          </w:p>
        </w:tc>
        <w:tc>
          <w:tcPr>
            <w:tcW w:w="1095" w:type="pct"/>
            <w:tcBorders>
              <w:top w:val="nil"/>
              <w:left w:val="nil"/>
              <w:bottom w:val="nil"/>
              <w:right w:val="nil"/>
            </w:tcBorders>
            <w:shd w:val="clear" w:color="auto" w:fill="auto"/>
            <w:noWrap/>
            <w:vAlign w:val="bottom"/>
            <w:hideMark/>
          </w:tcPr>
          <w:p w14:paraId="783AC289" w14:textId="77777777" w:rsidR="0085505C" w:rsidRPr="002A7673" w:rsidRDefault="0085505C" w:rsidP="0048334E">
            <w:pPr>
              <w:spacing w:after="0" w:line="240" w:lineRule="auto"/>
              <w:jc w:val="right"/>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2.003.585.337</w:t>
            </w:r>
          </w:p>
        </w:tc>
        <w:tc>
          <w:tcPr>
            <w:tcW w:w="828" w:type="pct"/>
            <w:tcBorders>
              <w:top w:val="nil"/>
              <w:left w:val="nil"/>
              <w:bottom w:val="nil"/>
              <w:right w:val="nil"/>
            </w:tcBorders>
            <w:shd w:val="clear" w:color="auto" w:fill="auto"/>
            <w:noWrap/>
            <w:vAlign w:val="bottom"/>
            <w:hideMark/>
          </w:tcPr>
          <w:p w14:paraId="0145F3BD"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4,60%</w:t>
            </w:r>
          </w:p>
        </w:tc>
      </w:tr>
      <w:tr w:rsidR="0085505C" w:rsidRPr="002A7673" w14:paraId="0DFAE6A6" w14:textId="77777777" w:rsidTr="0048334E">
        <w:trPr>
          <w:trHeight w:val="300"/>
          <w:jc w:val="center"/>
        </w:trPr>
        <w:tc>
          <w:tcPr>
            <w:tcW w:w="1975" w:type="pct"/>
            <w:tcBorders>
              <w:top w:val="nil"/>
              <w:left w:val="nil"/>
              <w:bottom w:val="nil"/>
              <w:right w:val="nil"/>
            </w:tcBorders>
            <w:shd w:val="clear" w:color="auto" w:fill="auto"/>
            <w:noWrap/>
            <w:vAlign w:val="bottom"/>
            <w:hideMark/>
          </w:tcPr>
          <w:p w14:paraId="02C83707" w14:textId="77777777" w:rsidR="0085505C" w:rsidRPr="002A7673" w:rsidRDefault="0085505C" w:rsidP="0048334E">
            <w:pPr>
              <w:spacing w:after="0" w:line="240" w:lineRule="auto"/>
              <w:rPr>
                <w:rFonts w:ascii="Times New Roman" w:hAnsi="Times New Roman" w:cs="Times New Roman"/>
                <w:b/>
                <w:bCs/>
                <w:i/>
                <w:iCs/>
                <w:color w:val="000000"/>
                <w:sz w:val="24"/>
                <w:szCs w:val="24"/>
                <w:u w:val="single"/>
              </w:rPr>
            </w:pPr>
            <w:r w:rsidRPr="002A7673">
              <w:rPr>
                <w:rFonts w:ascii="Times New Roman" w:hAnsi="Times New Roman" w:cs="Times New Roman"/>
                <w:b/>
                <w:bCs/>
                <w:i/>
                <w:iCs/>
                <w:color w:val="000000"/>
                <w:sz w:val="24"/>
                <w:szCs w:val="24"/>
                <w:u w:val="single"/>
              </w:rPr>
              <w:t>Más</w:t>
            </w:r>
          </w:p>
        </w:tc>
        <w:tc>
          <w:tcPr>
            <w:tcW w:w="1102" w:type="pct"/>
            <w:tcBorders>
              <w:top w:val="nil"/>
              <w:left w:val="nil"/>
              <w:bottom w:val="nil"/>
              <w:right w:val="nil"/>
            </w:tcBorders>
            <w:shd w:val="clear" w:color="auto" w:fill="auto"/>
            <w:noWrap/>
            <w:vAlign w:val="bottom"/>
            <w:hideMark/>
          </w:tcPr>
          <w:p w14:paraId="55F3BC5E" w14:textId="77777777" w:rsidR="0085505C" w:rsidRPr="002A7673" w:rsidRDefault="0085505C" w:rsidP="0048334E">
            <w:pPr>
              <w:spacing w:after="0" w:line="240" w:lineRule="auto"/>
              <w:rPr>
                <w:rFonts w:ascii="Times New Roman" w:hAnsi="Times New Roman" w:cs="Times New Roman"/>
                <w:b/>
                <w:bCs/>
                <w:i/>
                <w:iCs/>
                <w:color w:val="000000"/>
                <w:sz w:val="24"/>
                <w:szCs w:val="24"/>
                <w:u w:val="single"/>
              </w:rPr>
            </w:pPr>
          </w:p>
        </w:tc>
        <w:tc>
          <w:tcPr>
            <w:tcW w:w="1095" w:type="pct"/>
            <w:tcBorders>
              <w:top w:val="nil"/>
              <w:left w:val="nil"/>
              <w:bottom w:val="nil"/>
              <w:right w:val="nil"/>
            </w:tcBorders>
            <w:shd w:val="clear" w:color="auto" w:fill="auto"/>
            <w:noWrap/>
            <w:vAlign w:val="bottom"/>
            <w:hideMark/>
          </w:tcPr>
          <w:p w14:paraId="028E3E2B" w14:textId="77777777" w:rsidR="0085505C" w:rsidRPr="002A7673" w:rsidRDefault="0085505C" w:rsidP="0048334E">
            <w:pPr>
              <w:spacing w:after="0" w:line="240" w:lineRule="auto"/>
              <w:rPr>
                <w:rFonts w:ascii="Times New Roman" w:hAnsi="Times New Roman" w:cs="Times New Roman"/>
                <w:sz w:val="24"/>
                <w:szCs w:val="24"/>
              </w:rPr>
            </w:pPr>
          </w:p>
        </w:tc>
        <w:tc>
          <w:tcPr>
            <w:tcW w:w="828" w:type="pct"/>
            <w:tcBorders>
              <w:top w:val="nil"/>
              <w:left w:val="nil"/>
              <w:bottom w:val="nil"/>
              <w:right w:val="nil"/>
            </w:tcBorders>
            <w:shd w:val="clear" w:color="auto" w:fill="auto"/>
            <w:noWrap/>
            <w:vAlign w:val="bottom"/>
            <w:hideMark/>
          </w:tcPr>
          <w:p w14:paraId="25F39DD6" w14:textId="77777777" w:rsidR="0085505C" w:rsidRPr="002A7673" w:rsidRDefault="0085505C" w:rsidP="0048334E">
            <w:pPr>
              <w:spacing w:after="0" w:line="240" w:lineRule="auto"/>
              <w:rPr>
                <w:rFonts w:ascii="Times New Roman" w:hAnsi="Times New Roman" w:cs="Times New Roman"/>
                <w:sz w:val="24"/>
                <w:szCs w:val="24"/>
              </w:rPr>
            </w:pPr>
          </w:p>
        </w:tc>
      </w:tr>
      <w:tr w:rsidR="0085505C" w:rsidRPr="002A7673" w14:paraId="61B64C69" w14:textId="77777777" w:rsidTr="0048334E">
        <w:trPr>
          <w:trHeight w:val="288"/>
          <w:jc w:val="center"/>
        </w:trPr>
        <w:tc>
          <w:tcPr>
            <w:tcW w:w="1975" w:type="pct"/>
            <w:tcBorders>
              <w:top w:val="nil"/>
              <w:left w:val="nil"/>
              <w:bottom w:val="nil"/>
              <w:right w:val="nil"/>
            </w:tcBorders>
            <w:shd w:val="clear" w:color="auto" w:fill="auto"/>
            <w:noWrap/>
            <w:vAlign w:val="bottom"/>
            <w:hideMark/>
          </w:tcPr>
          <w:p w14:paraId="6D6F38DB"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Área de Informática</w:t>
            </w:r>
          </w:p>
        </w:tc>
        <w:tc>
          <w:tcPr>
            <w:tcW w:w="1102" w:type="pct"/>
            <w:tcBorders>
              <w:top w:val="nil"/>
              <w:left w:val="nil"/>
              <w:bottom w:val="nil"/>
              <w:right w:val="nil"/>
            </w:tcBorders>
            <w:shd w:val="clear" w:color="auto" w:fill="auto"/>
            <w:noWrap/>
            <w:vAlign w:val="bottom"/>
            <w:hideMark/>
          </w:tcPr>
          <w:p w14:paraId="5EE51F7F"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75.920.358</w:t>
            </w:r>
          </w:p>
        </w:tc>
        <w:tc>
          <w:tcPr>
            <w:tcW w:w="1095" w:type="pct"/>
            <w:tcBorders>
              <w:top w:val="nil"/>
              <w:left w:val="nil"/>
              <w:bottom w:val="nil"/>
              <w:right w:val="nil"/>
            </w:tcBorders>
            <w:shd w:val="clear" w:color="auto" w:fill="auto"/>
            <w:noWrap/>
            <w:vAlign w:val="bottom"/>
            <w:hideMark/>
          </w:tcPr>
          <w:p w14:paraId="16F62162"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90.946.365</w:t>
            </w:r>
          </w:p>
        </w:tc>
        <w:tc>
          <w:tcPr>
            <w:tcW w:w="828" w:type="pct"/>
            <w:tcBorders>
              <w:top w:val="nil"/>
              <w:left w:val="nil"/>
              <w:bottom w:val="nil"/>
              <w:right w:val="nil"/>
            </w:tcBorders>
            <w:shd w:val="clear" w:color="auto" w:fill="auto"/>
            <w:noWrap/>
            <w:vAlign w:val="bottom"/>
            <w:hideMark/>
          </w:tcPr>
          <w:p w14:paraId="7B6B62B2"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19,79%</w:t>
            </w:r>
          </w:p>
        </w:tc>
      </w:tr>
      <w:tr w:rsidR="0085505C" w:rsidRPr="002A7673" w14:paraId="2C3AC6FA" w14:textId="77777777" w:rsidTr="0048334E">
        <w:trPr>
          <w:trHeight w:val="288"/>
          <w:jc w:val="center"/>
        </w:trPr>
        <w:tc>
          <w:tcPr>
            <w:tcW w:w="1975" w:type="pct"/>
            <w:tcBorders>
              <w:top w:val="nil"/>
              <w:left w:val="nil"/>
              <w:bottom w:val="nil"/>
              <w:right w:val="nil"/>
            </w:tcBorders>
            <w:shd w:val="clear" w:color="auto" w:fill="auto"/>
            <w:noWrap/>
            <w:vAlign w:val="bottom"/>
            <w:hideMark/>
          </w:tcPr>
          <w:p w14:paraId="299E3AD4"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Vehículos</w:t>
            </w:r>
          </w:p>
        </w:tc>
        <w:tc>
          <w:tcPr>
            <w:tcW w:w="1102" w:type="pct"/>
            <w:tcBorders>
              <w:top w:val="nil"/>
              <w:left w:val="nil"/>
              <w:bottom w:val="nil"/>
              <w:right w:val="nil"/>
            </w:tcBorders>
            <w:shd w:val="clear" w:color="auto" w:fill="auto"/>
            <w:noWrap/>
            <w:vAlign w:val="bottom"/>
            <w:hideMark/>
          </w:tcPr>
          <w:p w14:paraId="364392F6"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105.061.910</w:t>
            </w:r>
          </w:p>
        </w:tc>
        <w:tc>
          <w:tcPr>
            <w:tcW w:w="1095" w:type="pct"/>
            <w:tcBorders>
              <w:top w:val="nil"/>
              <w:left w:val="nil"/>
              <w:bottom w:val="nil"/>
              <w:right w:val="nil"/>
            </w:tcBorders>
            <w:shd w:val="clear" w:color="auto" w:fill="auto"/>
            <w:noWrap/>
            <w:vAlign w:val="bottom"/>
            <w:hideMark/>
          </w:tcPr>
          <w:p w14:paraId="5969A6D5"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0</w:t>
            </w:r>
          </w:p>
        </w:tc>
        <w:tc>
          <w:tcPr>
            <w:tcW w:w="828" w:type="pct"/>
            <w:tcBorders>
              <w:top w:val="nil"/>
              <w:left w:val="nil"/>
              <w:bottom w:val="nil"/>
              <w:right w:val="nil"/>
            </w:tcBorders>
            <w:shd w:val="clear" w:color="auto" w:fill="auto"/>
            <w:noWrap/>
            <w:vAlign w:val="bottom"/>
            <w:hideMark/>
          </w:tcPr>
          <w:p w14:paraId="45320D73"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-100,00%</w:t>
            </w:r>
          </w:p>
        </w:tc>
      </w:tr>
      <w:tr w:rsidR="0085505C" w:rsidRPr="002A7673" w14:paraId="342E9CD2" w14:textId="77777777" w:rsidTr="0048334E">
        <w:trPr>
          <w:trHeight w:val="288"/>
          <w:jc w:val="center"/>
        </w:trPr>
        <w:tc>
          <w:tcPr>
            <w:tcW w:w="1975" w:type="pct"/>
            <w:tcBorders>
              <w:top w:val="nil"/>
              <w:left w:val="nil"/>
              <w:bottom w:val="nil"/>
              <w:right w:val="nil"/>
            </w:tcBorders>
            <w:shd w:val="clear" w:color="auto" w:fill="auto"/>
            <w:noWrap/>
            <w:vAlign w:val="bottom"/>
            <w:hideMark/>
          </w:tcPr>
          <w:p w14:paraId="65F02242"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Construcciones</w:t>
            </w:r>
          </w:p>
        </w:tc>
        <w:tc>
          <w:tcPr>
            <w:tcW w:w="1102" w:type="pct"/>
            <w:tcBorders>
              <w:top w:val="nil"/>
              <w:left w:val="nil"/>
              <w:bottom w:val="nil"/>
              <w:right w:val="nil"/>
            </w:tcBorders>
            <w:shd w:val="clear" w:color="auto" w:fill="auto"/>
            <w:noWrap/>
            <w:vAlign w:val="bottom"/>
            <w:hideMark/>
          </w:tcPr>
          <w:p w14:paraId="485F3C15"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43.000.000</w:t>
            </w:r>
          </w:p>
        </w:tc>
        <w:tc>
          <w:tcPr>
            <w:tcW w:w="1095" w:type="pct"/>
            <w:tcBorders>
              <w:top w:val="nil"/>
              <w:left w:val="nil"/>
              <w:bottom w:val="nil"/>
              <w:right w:val="nil"/>
            </w:tcBorders>
            <w:shd w:val="clear" w:color="auto" w:fill="auto"/>
            <w:noWrap/>
            <w:vAlign w:val="bottom"/>
            <w:hideMark/>
          </w:tcPr>
          <w:p w14:paraId="0890C002"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5.000.000</w:t>
            </w:r>
          </w:p>
        </w:tc>
        <w:tc>
          <w:tcPr>
            <w:tcW w:w="828" w:type="pct"/>
            <w:tcBorders>
              <w:top w:val="nil"/>
              <w:left w:val="nil"/>
              <w:bottom w:val="nil"/>
              <w:right w:val="nil"/>
            </w:tcBorders>
            <w:shd w:val="clear" w:color="auto" w:fill="auto"/>
            <w:noWrap/>
            <w:vAlign w:val="bottom"/>
            <w:hideMark/>
          </w:tcPr>
          <w:p w14:paraId="3422C00E"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-88,37%</w:t>
            </w:r>
          </w:p>
        </w:tc>
      </w:tr>
      <w:tr w:rsidR="0085505C" w:rsidRPr="002A7673" w14:paraId="30C960CC" w14:textId="77777777" w:rsidTr="0048334E">
        <w:trPr>
          <w:trHeight w:val="312"/>
          <w:jc w:val="center"/>
        </w:trPr>
        <w:tc>
          <w:tcPr>
            <w:tcW w:w="1975" w:type="pct"/>
            <w:tcBorders>
              <w:top w:val="nil"/>
              <w:left w:val="nil"/>
              <w:bottom w:val="nil"/>
              <w:right w:val="nil"/>
            </w:tcBorders>
            <w:shd w:val="clear" w:color="auto" w:fill="auto"/>
            <w:noWrap/>
            <w:vAlign w:val="bottom"/>
            <w:hideMark/>
          </w:tcPr>
          <w:p w14:paraId="7B4305EB"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Capacitación y Becas</w:t>
            </w:r>
          </w:p>
        </w:tc>
        <w:tc>
          <w:tcPr>
            <w:tcW w:w="1102" w:type="pct"/>
            <w:tcBorders>
              <w:top w:val="nil"/>
              <w:left w:val="nil"/>
              <w:bottom w:val="nil"/>
              <w:right w:val="nil"/>
            </w:tcBorders>
            <w:shd w:val="clear" w:color="auto" w:fill="auto"/>
            <w:noWrap/>
            <w:vAlign w:val="bottom"/>
            <w:hideMark/>
          </w:tcPr>
          <w:p w14:paraId="5546FC36"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7.945.620</w:t>
            </w:r>
          </w:p>
        </w:tc>
        <w:tc>
          <w:tcPr>
            <w:tcW w:w="1095" w:type="pct"/>
            <w:tcBorders>
              <w:top w:val="nil"/>
              <w:left w:val="nil"/>
              <w:bottom w:val="nil"/>
              <w:right w:val="nil"/>
            </w:tcBorders>
            <w:shd w:val="clear" w:color="auto" w:fill="auto"/>
            <w:noWrap/>
            <w:vAlign w:val="bottom"/>
            <w:hideMark/>
          </w:tcPr>
          <w:p w14:paraId="1F467691"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D0D0D"/>
                <w:sz w:val="24"/>
                <w:szCs w:val="24"/>
                <w:lang w:eastAsia="es-CR"/>
              </w:rPr>
              <w:t>4 569 353</w:t>
            </w:r>
          </w:p>
        </w:tc>
        <w:tc>
          <w:tcPr>
            <w:tcW w:w="828" w:type="pct"/>
            <w:tcBorders>
              <w:top w:val="nil"/>
              <w:left w:val="nil"/>
              <w:bottom w:val="nil"/>
              <w:right w:val="nil"/>
            </w:tcBorders>
            <w:shd w:val="clear" w:color="auto" w:fill="auto"/>
            <w:noWrap/>
            <w:vAlign w:val="bottom"/>
            <w:hideMark/>
          </w:tcPr>
          <w:p w14:paraId="6D3F4F12"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-42,49%</w:t>
            </w:r>
          </w:p>
        </w:tc>
      </w:tr>
      <w:tr w:rsidR="0085505C" w:rsidRPr="002A7673" w14:paraId="2FEE4599" w14:textId="77777777" w:rsidTr="0048334E">
        <w:trPr>
          <w:trHeight w:val="312"/>
          <w:jc w:val="center"/>
        </w:trPr>
        <w:tc>
          <w:tcPr>
            <w:tcW w:w="1975" w:type="pct"/>
            <w:tcBorders>
              <w:top w:val="nil"/>
              <w:left w:val="nil"/>
              <w:bottom w:val="nil"/>
              <w:right w:val="nil"/>
            </w:tcBorders>
            <w:shd w:val="clear" w:color="auto" w:fill="auto"/>
            <w:noWrap/>
            <w:vAlign w:val="bottom"/>
            <w:hideMark/>
          </w:tcPr>
          <w:p w14:paraId="3893444E"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Prestaciones Legales</w:t>
            </w:r>
          </w:p>
        </w:tc>
        <w:tc>
          <w:tcPr>
            <w:tcW w:w="1102" w:type="pct"/>
            <w:tcBorders>
              <w:top w:val="nil"/>
              <w:left w:val="nil"/>
              <w:bottom w:val="nil"/>
              <w:right w:val="nil"/>
            </w:tcBorders>
            <w:shd w:val="clear" w:color="auto" w:fill="auto"/>
            <w:noWrap/>
            <w:vAlign w:val="bottom"/>
            <w:hideMark/>
          </w:tcPr>
          <w:p w14:paraId="04B04825"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144.695.494</w:t>
            </w:r>
          </w:p>
        </w:tc>
        <w:tc>
          <w:tcPr>
            <w:tcW w:w="1095" w:type="pct"/>
            <w:tcBorders>
              <w:top w:val="nil"/>
              <w:left w:val="nil"/>
              <w:bottom w:val="nil"/>
              <w:right w:val="nil"/>
            </w:tcBorders>
            <w:shd w:val="clear" w:color="auto" w:fill="auto"/>
            <w:noWrap/>
            <w:vAlign w:val="bottom"/>
            <w:hideMark/>
          </w:tcPr>
          <w:p w14:paraId="79CC64D1"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96.900.000</w:t>
            </w:r>
          </w:p>
        </w:tc>
        <w:tc>
          <w:tcPr>
            <w:tcW w:w="828" w:type="pct"/>
            <w:tcBorders>
              <w:top w:val="nil"/>
              <w:left w:val="nil"/>
              <w:bottom w:val="nil"/>
              <w:right w:val="nil"/>
            </w:tcBorders>
            <w:shd w:val="clear" w:color="auto" w:fill="auto"/>
            <w:noWrap/>
            <w:vAlign w:val="bottom"/>
            <w:hideMark/>
          </w:tcPr>
          <w:p w14:paraId="31449AAA"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-33,03%</w:t>
            </w:r>
          </w:p>
        </w:tc>
      </w:tr>
      <w:tr w:rsidR="0085505C" w:rsidRPr="002A7673" w14:paraId="5F0CBFB9" w14:textId="77777777" w:rsidTr="0048334E">
        <w:trPr>
          <w:trHeight w:val="348"/>
          <w:jc w:val="center"/>
        </w:trPr>
        <w:tc>
          <w:tcPr>
            <w:tcW w:w="1975" w:type="pct"/>
            <w:tcBorders>
              <w:top w:val="nil"/>
              <w:left w:val="nil"/>
              <w:bottom w:val="nil"/>
              <w:right w:val="nil"/>
            </w:tcBorders>
            <w:shd w:val="clear" w:color="auto" w:fill="auto"/>
            <w:noWrap/>
            <w:vAlign w:val="bottom"/>
            <w:hideMark/>
          </w:tcPr>
          <w:p w14:paraId="62F0D041"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xml:space="preserve">Ajustes para comparar bases </w:t>
            </w:r>
            <w:r w:rsidRPr="002A7673">
              <w:rPr>
                <w:rFonts w:ascii="Times New Roman" w:hAnsi="Times New Roman" w:cs="Times New Roman"/>
                <w:color w:val="000000"/>
                <w:sz w:val="24"/>
                <w:szCs w:val="24"/>
                <w:vertAlign w:val="superscript"/>
              </w:rPr>
              <w:t>(1)</w:t>
            </w:r>
          </w:p>
        </w:tc>
        <w:tc>
          <w:tcPr>
            <w:tcW w:w="1102" w:type="pct"/>
            <w:tcBorders>
              <w:top w:val="nil"/>
              <w:left w:val="nil"/>
              <w:bottom w:val="nil"/>
              <w:right w:val="nil"/>
            </w:tcBorders>
            <w:shd w:val="clear" w:color="auto" w:fill="auto"/>
            <w:noWrap/>
            <w:vAlign w:val="bottom"/>
            <w:hideMark/>
          </w:tcPr>
          <w:p w14:paraId="4B722701"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140.819.497</w:t>
            </w:r>
          </w:p>
        </w:tc>
        <w:tc>
          <w:tcPr>
            <w:tcW w:w="1095" w:type="pct"/>
            <w:tcBorders>
              <w:top w:val="nil"/>
              <w:left w:val="nil"/>
              <w:bottom w:val="nil"/>
              <w:right w:val="nil"/>
            </w:tcBorders>
            <w:shd w:val="clear" w:color="auto" w:fill="auto"/>
            <w:noWrap/>
            <w:vAlign w:val="bottom"/>
            <w:hideMark/>
          </w:tcPr>
          <w:p w14:paraId="754F1F96" w14:textId="77777777" w:rsidR="0085505C" w:rsidRPr="002A7673" w:rsidRDefault="0085505C" w:rsidP="0048334E">
            <w:pPr>
              <w:spacing w:after="0" w:line="240" w:lineRule="auto"/>
              <w:jc w:val="right"/>
              <w:rPr>
                <w:rFonts w:ascii="Times New Roman" w:hAnsi="Times New Roman" w:cs="Times New Roman"/>
                <w:color w:val="000000"/>
                <w:sz w:val="24"/>
                <w:szCs w:val="24"/>
              </w:rPr>
            </w:pPr>
            <w:r w:rsidRPr="002A7673">
              <w:rPr>
                <w:rFonts w:ascii="Times New Roman" w:hAnsi="Times New Roman" w:cs="Times New Roman"/>
                <w:color w:val="000000"/>
                <w:sz w:val="24"/>
                <w:szCs w:val="24"/>
              </w:rPr>
              <w:t>0</w:t>
            </w:r>
          </w:p>
        </w:tc>
        <w:tc>
          <w:tcPr>
            <w:tcW w:w="828" w:type="pct"/>
            <w:tcBorders>
              <w:top w:val="nil"/>
              <w:left w:val="nil"/>
              <w:bottom w:val="nil"/>
              <w:right w:val="nil"/>
            </w:tcBorders>
            <w:shd w:val="clear" w:color="auto" w:fill="auto"/>
            <w:noWrap/>
            <w:vAlign w:val="bottom"/>
            <w:hideMark/>
          </w:tcPr>
          <w:p w14:paraId="777BAF9B"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-100,00%</w:t>
            </w:r>
          </w:p>
        </w:tc>
      </w:tr>
      <w:tr w:rsidR="0085505C" w:rsidRPr="002A7673" w14:paraId="324D2BDE" w14:textId="77777777" w:rsidTr="0048334E">
        <w:trPr>
          <w:trHeight w:val="288"/>
          <w:jc w:val="center"/>
        </w:trPr>
        <w:tc>
          <w:tcPr>
            <w:tcW w:w="1975" w:type="pct"/>
            <w:tcBorders>
              <w:top w:val="nil"/>
              <w:left w:val="nil"/>
              <w:bottom w:val="nil"/>
              <w:right w:val="nil"/>
            </w:tcBorders>
            <w:shd w:val="clear" w:color="auto" w:fill="808080" w:themeFill="background1" w:themeFillShade="80"/>
            <w:noWrap/>
            <w:vAlign w:val="bottom"/>
            <w:hideMark/>
          </w:tcPr>
          <w:p w14:paraId="07240423"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 xml:space="preserve">Total </w:t>
            </w:r>
          </w:p>
        </w:tc>
        <w:tc>
          <w:tcPr>
            <w:tcW w:w="1102" w:type="pct"/>
            <w:tcBorders>
              <w:top w:val="nil"/>
              <w:left w:val="nil"/>
              <w:bottom w:val="nil"/>
              <w:right w:val="nil"/>
            </w:tcBorders>
            <w:shd w:val="clear" w:color="auto" w:fill="808080" w:themeFill="background1" w:themeFillShade="80"/>
            <w:noWrap/>
            <w:vAlign w:val="bottom"/>
            <w:hideMark/>
          </w:tcPr>
          <w:p w14:paraId="0BBF63B9" w14:textId="77777777" w:rsidR="0085505C" w:rsidRPr="002A7673" w:rsidRDefault="0085505C" w:rsidP="0048334E">
            <w:pPr>
              <w:spacing w:after="0" w:line="240" w:lineRule="auto"/>
              <w:jc w:val="right"/>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2.432.854.098</w:t>
            </w:r>
          </w:p>
        </w:tc>
        <w:tc>
          <w:tcPr>
            <w:tcW w:w="1095" w:type="pct"/>
            <w:tcBorders>
              <w:top w:val="nil"/>
              <w:left w:val="nil"/>
              <w:bottom w:val="nil"/>
              <w:right w:val="nil"/>
            </w:tcBorders>
            <w:shd w:val="clear" w:color="auto" w:fill="808080" w:themeFill="background1" w:themeFillShade="80"/>
            <w:noWrap/>
            <w:vAlign w:val="bottom"/>
            <w:hideMark/>
          </w:tcPr>
          <w:p w14:paraId="48615BBD" w14:textId="77777777" w:rsidR="0085505C" w:rsidRPr="002A7673" w:rsidRDefault="0085505C" w:rsidP="0048334E">
            <w:pPr>
              <w:spacing w:after="0" w:line="240" w:lineRule="auto"/>
              <w:jc w:val="right"/>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2.201.001.055</w:t>
            </w:r>
          </w:p>
        </w:tc>
        <w:tc>
          <w:tcPr>
            <w:tcW w:w="828" w:type="pct"/>
            <w:tcBorders>
              <w:top w:val="nil"/>
              <w:left w:val="nil"/>
              <w:bottom w:val="nil"/>
              <w:right w:val="nil"/>
            </w:tcBorders>
            <w:shd w:val="clear" w:color="auto" w:fill="808080" w:themeFill="background1" w:themeFillShade="80"/>
            <w:noWrap/>
            <w:vAlign w:val="bottom"/>
            <w:hideMark/>
          </w:tcPr>
          <w:p w14:paraId="5A094FF4"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-9,53%</w:t>
            </w:r>
          </w:p>
        </w:tc>
      </w:tr>
      <w:tr w:rsidR="0085505C" w:rsidRPr="002A7673" w14:paraId="5DB8EC74" w14:textId="77777777" w:rsidTr="0048334E">
        <w:trPr>
          <w:trHeight w:val="591"/>
          <w:jc w:val="center"/>
        </w:trPr>
        <w:tc>
          <w:tcPr>
            <w:tcW w:w="5000" w:type="pct"/>
            <w:gridSpan w:val="4"/>
            <w:tcBorders>
              <w:top w:val="nil"/>
              <w:left w:val="nil"/>
              <w:bottom w:val="nil"/>
              <w:right w:val="nil"/>
            </w:tcBorders>
            <w:shd w:val="clear" w:color="auto" w:fill="auto"/>
            <w:vAlign w:val="bottom"/>
            <w:hideMark/>
          </w:tcPr>
          <w:p w14:paraId="5598B086" w14:textId="77777777" w:rsidR="0085505C" w:rsidRPr="002A7673" w:rsidRDefault="0085505C" w:rsidP="0048334E">
            <w:pPr>
              <w:spacing w:after="0" w:line="240" w:lineRule="auto"/>
              <w:jc w:val="both"/>
              <w:rPr>
                <w:rFonts w:ascii="Times New Roman" w:hAnsi="Times New Roman" w:cs="Times New Roman"/>
                <w:color w:val="000000"/>
                <w:sz w:val="24"/>
                <w:szCs w:val="24"/>
              </w:rPr>
            </w:pPr>
            <w:r w:rsidRPr="002A7673">
              <w:rPr>
                <w:rFonts w:ascii="Times New Roman" w:hAnsi="Times New Roman" w:cs="Times New Roman"/>
                <w:color w:val="000000"/>
                <w:sz w:val="24"/>
                <w:szCs w:val="24"/>
                <w:vertAlign w:val="superscript"/>
              </w:rPr>
              <w:t xml:space="preserve">(1) </w:t>
            </w:r>
            <w:r w:rsidRPr="002A7673">
              <w:rPr>
                <w:rFonts w:ascii="Times New Roman" w:hAnsi="Times New Roman" w:cs="Times New Roman"/>
                <w:color w:val="000000"/>
                <w:sz w:val="24"/>
                <w:szCs w:val="24"/>
              </w:rPr>
              <w:t xml:space="preserve">Corresponde a los recursos de disminución del equipo de cómputo, requerimientos de Pueblos </w:t>
            </w:r>
            <w:proofErr w:type="spellStart"/>
            <w:r w:rsidRPr="002A7673">
              <w:rPr>
                <w:rFonts w:ascii="Times New Roman" w:hAnsi="Times New Roman" w:cs="Times New Roman"/>
                <w:color w:val="000000"/>
                <w:sz w:val="24"/>
                <w:szCs w:val="24"/>
              </w:rPr>
              <w:t>Indigenas</w:t>
            </w:r>
            <w:proofErr w:type="spellEnd"/>
            <w:r w:rsidRPr="002A7673">
              <w:rPr>
                <w:rFonts w:ascii="Times New Roman" w:hAnsi="Times New Roman" w:cs="Times New Roman"/>
                <w:color w:val="000000"/>
                <w:sz w:val="24"/>
                <w:szCs w:val="24"/>
              </w:rPr>
              <w:t xml:space="preserve"> y eliminación del alquiler del edificio de la Sección Especializada de Tránsito.</w:t>
            </w:r>
          </w:p>
        </w:tc>
      </w:tr>
    </w:tbl>
    <w:p w14:paraId="1A540DF0" w14:textId="77777777" w:rsidR="0085505C" w:rsidRPr="002A7673" w:rsidRDefault="0085505C" w:rsidP="0085505C">
      <w:pPr>
        <w:spacing w:after="0" w:line="240" w:lineRule="auto"/>
        <w:ind w:left="-284"/>
        <w:jc w:val="center"/>
        <w:rPr>
          <w:rFonts w:ascii="Times New Roman" w:eastAsia="Times New Roman" w:hAnsi="Times New Roman" w:cs="Times New Roman"/>
          <w:color w:val="FF0000"/>
          <w:sz w:val="28"/>
          <w:szCs w:val="28"/>
          <w:lang w:val="es-ES" w:eastAsia="es-ES"/>
        </w:rPr>
      </w:pPr>
    </w:p>
    <w:p w14:paraId="25A763F7" w14:textId="77777777" w:rsidR="0085505C" w:rsidRPr="002A7673" w:rsidRDefault="0085505C" w:rsidP="0085505C">
      <w:pPr>
        <w:tabs>
          <w:tab w:val="left" w:pos="1583"/>
        </w:tabs>
        <w:spacing w:after="0" w:line="240" w:lineRule="auto"/>
        <w:ind w:firstLine="709"/>
        <w:jc w:val="both"/>
        <w:rPr>
          <w:rFonts w:ascii="Times New Roman" w:eastAsia="Times New Roman" w:hAnsi="Times New Roman" w:cs="Times New Roman"/>
          <w:b/>
          <w:i/>
          <w:sz w:val="26"/>
          <w:szCs w:val="26"/>
          <w:lang w:val="es-ES" w:eastAsia="es-ES"/>
        </w:rPr>
      </w:pPr>
      <w:r w:rsidRPr="002A7673">
        <w:rPr>
          <w:rFonts w:ascii="Times New Roman" w:eastAsia="Times New Roman" w:hAnsi="Times New Roman" w:cs="Times New Roman"/>
          <w:b/>
          <w:i/>
          <w:sz w:val="26"/>
          <w:szCs w:val="26"/>
          <w:lang w:val="es-ES" w:eastAsia="es-ES"/>
        </w:rPr>
        <w:t>Presupuesto total 2021-2022 Gasto Corriente y Gasto de Capital</w:t>
      </w:r>
    </w:p>
    <w:p w14:paraId="21B2C1EA" w14:textId="77777777" w:rsidR="0085505C" w:rsidRPr="002A7673" w:rsidRDefault="0085505C" w:rsidP="0085505C">
      <w:pPr>
        <w:spacing w:after="0" w:line="240" w:lineRule="auto"/>
        <w:ind w:firstLine="709"/>
        <w:jc w:val="both"/>
        <w:rPr>
          <w:rFonts w:ascii="Times New Roman" w:hAnsi="Times New Roman" w:cs="Times New Roman"/>
          <w:sz w:val="26"/>
          <w:szCs w:val="26"/>
        </w:rPr>
      </w:pPr>
      <w:r w:rsidRPr="002A7673">
        <w:rPr>
          <w:rFonts w:ascii="Times New Roman" w:hAnsi="Times New Roman" w:cs="Times New Roman"/>
          <w:b/>
          <w:bCs/>
          <w:sz w:val="26"/>
          <w:szCs w:val="26"/>
        </w:rPr>
        <w:t xml:space="preserve">       Tabla número 2. </w:t>
      </w:r>
      <w:r w:rsidRPr="002A7673">
        <w:rPr>
          <w:rFonts w:ascii="Times New Roman" w:hAnsi="Times New Roman" w:cs="Times New Roman"/>
          <w:sz w:val="26"/>
          <w:szCs w:val="26"/>
        </w:rPr>
        <w:t>Gasto Corriente y Gasto de Capital</w:t>
      </w:r>
    </w:p>
    <w:p w14:paraId="61C5F6E9" w14:textId="77777777" w:rsidR="0085505C" w:rsidRPr="002A7673" w:rsidRDefault="0085505C" w:rsidP="0085505C">
      <w:pPr>
        <w:spacing w:after="0" w:line="240" w:lineRule="auto"/>
        <w:jc w:val="both"/>
        <w:rPr>
          <w:rFonts w:ascii="Times New Roman" w:hAnsi="Times New Roman" w:cs="Times New Roman"/>
        </w:rPr>
      </w:pPr>
    </w:p>
    <w:tbl>
      <w:tblPr>
        <w:tblW w:w="5000" w:type="pct"/>
        <w:jc w:val="center"/>
        <w:tblCellMar>
          <w:left w:w="70" w:type="dxa"/>
          <w:right w:w="70" w:type="dxa"/>
        </w:tblCellMar>
        <w:tblLook w:val="04A0" w:firstRow="1" w:lastRow="0" w:firstColumn="1" w:lastColumn="0" w:noHBand="0" w:noVBand="1"/>
      </w:tblPr>
      <w:tblGrid>
        <w:gridCol w:w="3018"/>
        <w:gridCol w:w="2462"/>
        <w:gridCol w:w="2084"/>
        <w:gridCol w:w="2084"/>
      </w:tblGrid>
      <w:tr w:rsidR="0085505C" w:rsidRPr="002A7673" w14:paraId="571DA05D" w14:textId="77777777" w:rsidTr="0048334E">
        <w:trPr>
          <w:trHeight w:val="576"/>
          <w:jc w:val="center"/>
        </w:trPr>
        <w:tc>
          <w:tcPr>
            <w:tcW w:w="1564" w:type="pct"/>
            <w:tcBorders>
              <w:top w:val="single" w:sz="4" w:space="0" w:color="95B3D7"/>
              <w:left w:val="single" w:sz="8" w:space="0" w:color="FFFFFF"/>
              <w:bottom w:val="single" w:sz="8" w:space="0" w:color="FFFFFF"/>
              <w:right w:val="nil"/>
            </w:tcBorders>
            <w:shd w:val="clear" w:color="000000" w:fill="4472C4"/>
            <w:noWrap/>
            <w:vAlign w:val="center"/>
            <w:hideMark/>
          </w:tcPr>
          <w:p w14:paraId="029E3EBC"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rPr>
              <w:t>Detalle</w:t>
            </w:r>
          </w:p>
        </w:tc>
        <w:tc>
          <w:tcPr>
            <w:tcW w:w="1276" w:type="pct"/>
            <w:tcBorders>
              <w:top w:val="single" w:sz="4" w:space="0" w:color="95B3D7"/>
              <w:left w:val="nil"/>
              <w:bottom w:val="single" w:sz="8" w:space="0" w:color="FFFFFF"/>
              <w:right w:val="nil"/>
            </w:tcBorders>
            <w:shd w:val="clear" w:color="000000" w:fill="4472C4"/>
            <w:noWrap/>
            <w:vAlign w:val="center"/>
            <w:hideMark/>
          </w:tcPr>
          <w:p w14:paraId="0BD96FF7"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2021</w:t>
            </w:r>
          </w:p>
        </w:tc>
        <w:tc>
          <w:tcPr>
            <w:tcW w:w="1080" w:type="pct"/>
            <w:tcBorders>
              <w:top w:val="single" w:sz="4" w:space="0" w:color="95B3D7"/>
              <w:left w:val="nil"/>
              <w:bottom w:val="single" w:sz="8" w:space="0" w:color="FFFFFF"/>
              <w:right w:val="nil"/>
            </w:tcBorders>
            <w:shd w:val="clear" w:color="000000" w:fill="4472C4"/>
            <w:noWrap/>
            <w:vAlign w:val="center"/>
            <w:hideMark/>
          </w:tcPr>
          <w:p w14:paraId="2FA91D04"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2022</w:t>
            </w:r>
          </w:p>
        </w:tc>
        <w:tc>
          <w:tcPr>
            <w:tcW w:w="1080" w:type="pct"/>
            <w:tcBorders>
              <w:top w:val="single" w:sz="4" w:space="0" w:color="95B3D7"/>
              <w:left w:val="nil"/>
              <w:bottom w:val="single" w:sz="8" w:space="0" w:color="FFFFFF"/>
              <w:right w:val="single" w:sz="8" w:space="0" w:color="FFFFFF"/>
            </w:tcBorders>
            <w:shd w:val="clear" w:color="000000" w:fill="4472C4"/>
            <w:noWrap/>
            <w:vAlign w:val="center"/>
            <w:hideMark/>
          </w:tcPr>
          <w:p w14:paraId="05CAFB76"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Diferencia</w:t>
            </w:r>
          </w:p>
        </w:tc>
      </w:tr>
      <w:tr w:rsidR="0085505C" w:rsidRPr="002A7673" w14:paraId="5205B251" w14:textId="77777777" w:rsidTr="0048334E">
        <w:trPr>
          <w:trHeight w:val="300"/>
          <w:jc w:val="center"/>
        </w:trPr>
        <w:tc>
          <w:tcPr>
            <w:tcW w:w="1564" w:type="pct"/>
            <w:tcBorders>
              <w:top w:val="single" w:sz="4" w:space="0" w:color="95B3D7"/>
              <w:left w:val="single" w:sz="8" w:space="0" w:color="FFFFFF"/>
              <w:bottom w:val="single" w:sz="8" w:space="0" w:color="FFFFFF"/>
              <w:right w:val="single" w:sz="8" w:space="0" w:color="FFFFFF"/>
            </w:tcBorders>
            <w:shd w:val="clear" w:color="000000" w:fill="4472C4"/>
            <w:noWrap/>
            <w:vAlign w:val="center"/>
            <w:hideMark/>
          </w:tcPr>
          <w:p w14:paraId="269E04B6"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Gasto Corriente</w:t>
            </w:r>
          </w:p>
        </w:tc>
        <w:tc>
          <w:tcPr>
            <w:tcW w:w="1276" w:type="pct"/>
            <w:tcBorders>
              <w:top w:val="single" w:sz="4" w:space="0" w:color="95B3D7"/>
              <w:left w:val="single" w:sz="8" w:space="0" w:color="FFFFFF"/>
              <w:bottom w:val="single" w:sz="8" w:space="0" w:color="FFFFFF"/>
              <w:right w:val="single" w:sz="8" w:space="0" w:color="FFFFFF"/>
            </w:tcBorders>
            <w:shd w:val="clear" w:color="000000" w:fill="B4C6E7"/>
            <w:noWrap/>
            <w:vAlign w:val="center"/>
            <w:hideMark/>
          </w:tcPr>
          <w:p w14:paraId="17279216"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2.136.593.484</w:t>
            </w:r>
          </w:p>
        </w:tc>
        <w:tc>
          <w:tcPr>
            <w:tcW w:w="1080" w:type="pct"/>
            <w:tcBorders>
              <w:top w:val="single" w:sz="4" w:space="0" w:color="95B3D7"/>
              <w:left w:val="single" w:sz="8" w:space="0" w:color="FFFFFF"/>
              <w:bottom w:val="single" w:sz="8" w:space="0" w:color="FFFFFF"/>
              <w:right w:val="single" w:sz="8" w:space="0" w:color="FFFFFF"/>
            </w:tcBorders>
            <w:shd w:val="clear" w:color="000000" w:fill="B4C6E7"/>
            <w:noWrap/>
            <w:vAlign w:val="center"/>
            <w:hideMark/>
          </w:tcPr>
          <w:p w14:paraId="641C12E8"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2.050.751.976</w:t>
            </w:r>
          </w:p>
        </w:tc>
        <w:tc>
          <w:tcPr>
            <w:tcW w:w="1080" w:type="pct"/>
            <w:tcBorders>
              <w:top w:val="single" w:sz="4" w:space="0" w:color="95B3D7"/>
              <w:left w:val="single" w:sz="8" w:space="0" w:color="FFFFFF"/>
              <w:bottom w:val="single" w:sz="8" w:space="0" w:color="FFFFFF"/>
              <w:right w:val="single" w:sz="8" w:space="0" w:color="FFFFFF"/>
            </w:tcBorders>
            <w:shd w:val="clear" w:color="000000" w:fill="B4C6E7"/>
            <w:noWrap/>
            <w:vAlign w:val="center"/>
            <w:hideMark/>
          </w:tcPr>
          <w:p w14:paraId="240E41F9"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-85.841.508</w:t>
            </w:r>
          </w:p>
        </w:tc>
      </w:tr>
      <w:tr w:rsidR="0085505C" w:rsidRPr="002A7673" w14:paraId="1CE01890" w14:textId="77777777" w:rsidTr="0048334E">
        <w:trPr>
          <w:trHeight w:val="300"/>
          <w:jc w:val="center"/>
        </w:trPr>
        <w:tc>
          <w:tcPr>
            <w:tcW w:w="1564" w:type="pct"/>
            <w:tcBorders>
              <w:top w:val="single" w:sz="4" w:space="0" w:color="95B3D7"/>
              <w:left w:val="single" w:sz="8" w:space="0" w:color="FFFFFF"/>
              <w:bottom w:val="single" w:sz="8" w:space="0" w:color="FFFFFF"/>
              <w:right w:val="single" w:sz="8" w:space="0" w:color="FFFFFF"/>
            </w:tcBorders>
            <w:shd w:val="clear" w:color="000000" w:fill="4472C4"/>
            <w:noWrap/>
            <w:vAlign w:val="center"/>
            <w:hideMark/>
          </w:tcPr>
          <w:p w14:paraId="3F96A47E"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Gasto de Capital</w:t>
            </w:r>
          </w:p>
        </w:tc>
        <w:tc>
          <w:tcPr>
            <w:tcW w:w="1276" w:type="pct"/>
            <w:tcBorders>
              <w:top w:val="single" w:sz="4" w:space="0" w:color="95B3D7"/>
              <w:left w:val="single" w:sz="8" w:space="0" w:color="FFFFFF"/>
              <w:bottom w:val="single" w:sz="8" w:space="0" w:color="FFFFFF"/>
              <w:right w:val="single" w:sz="8" w:space="0" w:color="FFFFFF"/>
            </w:tcBorders>
            <w:shd w:val="clear" w:color="000000" w:fill="D9E2F3"/>
            <w:noWrap/>
            <w:vAlign w:val="center"/>
            <w:hideMark/>
          </w:tcPr>
          <w:p w14:paraId="1131522A"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296.260.614</w:t>
            </w:r>
          </w:p>
        </w:tc>
        <w:tc>
          <w:tcPr>
            <w:tcW w:w="1080" w:type="pct"/>
            <w:tcBorders>
              <w:top w:val="single" w:sz="4" w:space="0" w:color="95B3D7"/>
              <w:left w:val="single" w:sz="8" w:space="0" w:color="FFFFFF"/>
              <w:bottom w:val="single" w:sz="8" w:space="0" w:color="FFFFFF"/>
              <w:right w:val="single" w:sz="8" w:space="0" w:color="FFFFFF"/>
            </w:tcBorders>
            <w:shd w:val="clear" w:color="000000" w:fill="D9E2F3"/>
            <w:noWrap/>
            <w:vAlign w:val="center"/>
            <w:hideMark/>
          </w:tcPr>
          <w:p w14:paraId="2C29C750"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150.361.345</w:t>
            </w:r>
          </w:p>
        </w:tc>
        <w:tc>
          <w:tcPr>
            <w:tcW w:w="1080" w:type="pct"/>
            <w:tcBorders>
              <w:top w:val="single" w:sz="4" w:space="0" w:color="95B3D7"/>
              <w:left w:val="single" w:sz="8" w:space="0" w:color="FFFFFF"/>
              <w:bottom w:val="single" w:sz="8" w:space="0" w:color="FFFFFF"/>
              <w:right w:val="single" w:sz="8" w:space="0" w:color="FFFFFF"/>
            </w:tcBorders>
            <w:shd w:val="clear" w:color="000000" w:fill="B4C6E7"/>
            <w:noWrap/>
            <w:vAlign w:val="center"/>
            <w:hideMark/>
          </w:tcPr>
          <w:p w14:paraId="59D0086D"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-145.899.269</w:t>
            </w:r>
          </w:p>
        </w:tc>
      </w:tr>
      <w:tr w:rsidR="0085505C" w:rsidRPr="002A7673" w14:paraId="4625D34A" w14:textId="77777777" w:rsidTr="0048334E">
        <w:trPr>
          <w:trHeight w:val="288"/>
          <w:jc w:val="center"/>
        </w:trPr>
        <w:tc>
          <w:tcPr>
            <w:tcW w:w="1564" w:type="pct"/>
            <w:tcBorders>
              <w:top w:val="single" w:sz="4" w:space="0" w:color="95B3D7"/>
              <w:left w:val="single" w:sz="8" w:space="0" w:color="FFFFFF"/>
              <w:bottom w:val="single" w:sz="8" w:space="0" w:color="FFFFFF"/>
              <w:right w:val="single" w:sz="8" w:space="0" w:color="FFFFFF"/>
            </w:tcBorders>
            <w:shd w:val="clear" w:color="000000" w:fill="4472C4"/>
            <w:noWrap/>
            <w:vAlign w:val="center"/>
            <w:hideMark/>
          </w:tcPr>
          <w:p w14:paraId="5C1B136B"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Total</w:t>
            </w:r>
          </w:p>
        </w:tc>
        <w:tc>
          <w:tcPr>
            <w:tcW w:w="1276" w:type="pct"/>
            <w:tcBorders>
              <w:top w:val="single" w:sz="4" w:space="0" w:color="95B3D7"/>
              <w:left w:val="single" w:sz="8" w:space="0" w:color="FFFFFF"/>
              <w:bottom w:val="single" w:sz="8" w:space="0" w:color="FFFFFF"/>
              <w:right w:val="single" w:sz="8" w:space="0" w:color="FFFFFF"/>
            </w:tcBorders>
            <w:shd w:val="clear" w:color="000000" w:fill="B4C6E7"/>
            <w:noWrap/>
            <w:vAlign w:val="center"/>
            <w:hideMark/>
          </w:tcPr>
          <w:p w14:paraId="15C4D82D"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2.432.854.098</w:t>
            </w:r>
          </w:p>
        </w:tc>
        <w:tc>
          <w:tcPr>
            <w:tcW w:w="1080" w:type="pct"/>
            <w:tcBorders>
              <w:top w:val="single" w:sz="4" w:space="0" w:color="95B3D7"/>
              <w:left w:val="single" w:sz="8" w:space="0" w:color="FFFFFF"/>
              <w:bottom w:val="single" w:sz="8" w:space="0" w:color="FFFFFF"/>
              <w:right w:val="single" w:sz="8" w:space="0" w:color="FFFFFF"/>
            </w:tcBorders>
            <w:shd w:val="clear" w:color="000000" w:fill="B4C6E7"/>
            <w:noWrap/>
            <w:vAlign w:val="center"/>
            <w:hideMark/>
          </w:tcPr>
          <w:p w14:paraId="3BA5E3D4"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2.201.113.321</w:t>
            </w:r>
          </w:p>
        </w:tc>
        <w:tc>
          <w:tcPr>
            <w:tcW w:w="1080" w:type="pct"/>
            <w:tcBorders>
              <w:top w:val="single" w:sz="4" w:space="0" w:color="95B3D7"/>
              <w:left w:val="single" w:sz="8" w:space="0" w:color="FFFFFF"/>
              <w:bottom w:val="single" w:sz="8" w:space="0" w:color="FFFFFF"/>
              <w:right w:val="single" w:sz="8" w:space="0" w:color="FFFFFF"/>
            </w:tcBorders>
            <w:shd w:val="clear" w:color="000000" w:fill="B4C6E7"/>
            <w:noWrap/>
            <w:vAlign w:val="center"/>
            <w:hideMark/>
          </w:tcPr>
          <w:p w14:paraId="66221FAB" w14:textId="77777777" w:rsidR="0085505C" w:rsidRPr="002A7673" w:rsidRDefault="0085505C" w:rsidP="0048334E">
            <w:pPr>
              <w:spacing w:after="0" w:line="24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-231.740.777</w:t>
            </w:r>
          </w:p>
        </w:tc>
      </w:tr>
    </w:tbl>
    <w:p w14:paraId="34279480" w14:textId="77777777" w:rsidR="0085505C" w:rsidRPr="002A7673" w:rsidRDefault="0085505C" w:rsidP="0085505C">
      <w:pPr>
        <w:spacing w:after="0" w:line="240" w:lineRule="auto"/>
        <w:jc w:val="center"/>
        <w:rPr>
          <w:rFonts w:ascii="Times New Roman" w:hAnsi="Times New Roman" w:cs="Times New Roman"/>
        </w:rPr>
      </w:pPr>
    </w:p>
    <w:p w14:paraId="6D78CB70"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4E2178D4" w14:textId="77777777" w:rsidR="0085505C" w:rsidRPr="002A7673" w:rsidRDefault="0085505C" w:rsidP="0085505C">
      <w:pPr>
        <w:spacing w:after="0" w:line="240" w:lineRule="auto"/>
        <w:ind w:left="851" w:right="851" w:firstLine="709"/>
        <w:jc w:val="both"/>
        <w:rPr>
          <w:rFonts w:ascii="Times New Roman" w:hAnsi="Times New Roman" w:cs="Times New Roman"/>
          <w:bCs/>
          <w:iCs/>
          <w:color w:val="000000" w:themeColor="text1"/>
          <w:sz w:val="26"/>
          <w:szCs w:val="26"/>
        </w:rPr>
      </w:pPr>
      <w:r w:rsidRPr="002A7673">
        <w:rPr>
          <w:rFonts w:ascii="Times New Roman" w:hAnsi="Times New Roman" w:cs="Times New Roman"/>
          <w:bCs/>
          <w:iCs/>
          <w:color w:val="000000" w:themeColor="text1"/>
          <w:sz w:val="26"/>
          <w:szCs w:val="26"/>
        </w:rPr>
        <w:t xml:space="preserve">    NOTA: Se incluye para 2021 y 2022, las áreas (construcciones, informática y vehículos), además los otros       </w:t>
      </w:r>
    </w:p>
    <w:p w14:paraId="752541A4" w14:textId="77777777" w:rsidR="0085505C" w:rsidRPr="002A7673" w:rsidRDefault="0085505C" w:rsidP="0085505C">
      <w:pPr>
        <w:spacing w:after="0" w:line="240" w:lineRule="auto"/>
        <w:ind w:left="851" w:right="851" w:firstLine="709"/>
        <w:jc w:val="both"/>
        <w:rPr>
          <w:rFonts w:ascii="Times New Roman" w:hAnsi="Times New Roman" w:cs="Times New Roman"/>
          <w:bCs/>
          <w:iCs/>
          <w:color w:val="000000" w:themeColor="text1"/>
          <w:sz w:val="26"/>
          <w:szCs w:val="26"/>
        </w:rPr>
      </w:pPr>
      <w:r w:rsidRPr="002A7673">
        <w:rPr>
          <w:rFonts w:ascii="Times New Roman" w:hAnsi="Times New Roman" w:cs="Times New Roman"/>
          <w:bCs/>
          <w:iCs/>
          <w:color w:val="000000" w:themeColor="text1"/>
          <w:sz w:val="26"/>
          <w:szCs w:val="26"/>
        </w:rPr>
        <w:t xml:space="preserve">    requerimientos aprobados y becas y capacitación.</w:t>
      </w:r>
    </w:p>
    <w:p w14:paraId="31542E9C"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b/>
          <w:i/>
          <w:color w:val="FF0000"/>
          <w:sz w:val="26"/>
          <w:szCs w:val="26"/>
          <w:lang w:val="es-ES" w:eastAsia="es-ES"/>
        </w:rPr>
      </w:pPr>
    </w:p>
    <w:p w14:paraId="058CDE3B" w14:textId="77777777" w:rsidR="0085505C" w:rsidRPr="002A7673" w:rsidRDefault="0085505C" w:rsidP="0085505C">
      <w:pPr>
        <w:spacing w:after="0" w:line="240" w:lineRule="auto"/>
        <w:ind w:left="851" w:right="851" w:firstLine="709"/>
        <w:jc w:val="both"/>
        <w:rPr>
          <w:rFonts w:ascii="Times New Roman" w:hAnsi="Times New Roman" w:cs="Times New Roman"/>
          <w:color w:val="000000" w:themeColor="text1"/>
          <w:sz w:val="26"/>
          <w:szCs w:val="26"/>
        </w:rPr>
      </w:pPr>
      <w:r w:rsidRPr="002A7673">
        <w:rPr>
          <w:rFonts w:ascii="Times New Roman" w:hAnsi="Times New Roman" w:cs="Times New Roman"/>
          <w:color w:val="000000" w:themeColor="text1"/>
          <w:sz w:val="26"/>
          <w:szCs w:val="26"/>
        </w:rPr>
        <w:t>Sin considerar los rubros indicados en la tabla número uno, es posible afirmar que el 85.6% del presupuesto de gasto variable de la Defensa Pública para el 2022 se concentra en 7 subpartidas representadas en el gráfico anexo y el restante 14.4% del presupuesto queda distribuido en 44 subpartidas y de éstas ninguna supera el 2.2% de representatividad.</w:t>
      </w:r>
    </w:p>
    <w:p w14:paraId="083642D2" w14:textId="77777777" w:rsidR="0085505C" w:rsidRPr="002A7673" w:rsidRDefault="0085505C" w:rsidP="0085505C">
      <w:pPr>
        <w:spacing w:after="0" w:line="360" w:lineRule="auto"/>
        <w:ind w:left="284"/>
        <w:jc w:val="both"/>
        <w:rPr>
          <w:rFonts w:ascii="Times New Roman" w:hAnsi="Times New Roman" w:cs="Times New Roman"/>
          <w:color w:val="000000" w:themeColor="text1"/>
          <w:sz w:val="28"/>
          <w:szCs w:val="28"/>
        </w:rPr>
      </w:pPr>
    </w:p>
    <w:p w14:paraId="24AE2D69" w14:textId="77777777" w:rsidR="0085505C" w:rsidRPr="002A7673" w:rsidRDefault="0085505C" w:rsidP="0085505C">
      <w:pPr>
        <w:spacing w:after="0" w:line="360" w:lineRule="auto"/>
        <w:ind w:left="426"/>
        <w:jc w:val="both"/>
        <w:rPr>
          <w:rFonts w:ascii="Times New Roman" w:hAnsi="Times New Roman" w:cs="Times New Roman"/>
          <w:color w:val="FF0000"/>
          <w:sz w:val="28"/>
          <w:szCs w:val="28"/>
        </w:rPr>
      </w:pPr>
      <w:r w:rsidRPr="002A7673">
        <w:rPr>
          <w:rFonts w:ascii="Times New Roman" w:hAnsi="Times New Roman" w:cs="Times New Roman"/>
          <w:noProof/>
        </w:rPr>
        <w:lastRenderedPageBreak/>
        <w:drawing>
          <wp:inline distT="0" distB="0" distL="0" distR="0" wp14:anchorId="59FD08D3" wp14:editId="5B487518">
            <wp:extent cx="5836920" cy="4257675"/>
            <wp:effectExtent l="0" t="0" r="49530" b="9525"/>
            <wp:docPr id="1263269102" name="Gráfico 1263269102">
              <a:extLst xmlns:a="http://schemas.openxmlformats.org/drawingml/2006/main">
                <a:ext uri="{FF2B5EF4-FFF2-40B4-BE49-F238E27FC236}">
                  <a16:creationId xmlns:a16="http://schemas.microsoft.com/office/drawing/2014/main" id="{FCAA9D2E-BB82-40AF-AD16-8C0AD93F66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14:paraId="4910D4AF" w14:textId="77777777" w:rsidR="0085505C" w:rsidRPr="002A7673" w:rsidRDefault="0085505C" w:rsidP="0085505C">
      <w:pPr>
        <w:spacing w:after="0" w:line="360" w:lineRule="auto"/>
        <w:ind w:left="142"/>
        <w:jc w:val="both"/>
        <w:rPr>
          <w:rFonts w:ascii="Times New Roman" w:hAnsi="Times New Roman" w:cs="Times New Roman"/>
          <w:color w:val="FF0000"/>
          <w:sz w:val="28"/>
          <w:szCs w:val="28"/>
        </w:rPr>
      </w:pPr>
    </w:p>
    <w:p w14:paraId="25BC189D" w14:textId="77777777" w:rsidR="0085505C" w:rsidRPr="002A7673" w:rsidRDefault="0085505C" w:rsidP="0085505C">
      <w:pPr>
        <w:spacing w:after="0" w:line="240" w:lineRule="auto"/>
        <w:ind w:left="851" w:right="851" w:firstLine="709"/>
        <w:jc w:val="both"/>
        <w:rPr>
          <w:rFonts w:ascii="Times New Roman" w:hAnsi="Times New Roman" w:cs="Times New Roman"/>
          <w:b/>
          <w:i/>
          <w:color w:val="000000" w:themeColor="text1"/>
          <w:sz w:val="26"/>
          <w:szCs w:val="26"/>
        </w:rPr>
      </w:pPr>
      <w:r w:rsidRPr="002A7673">
        <w:rPr>
          <w:rFonts w:ascii="Times New Roman" w:hAnsi="Times New Roman" w:cs="Times New Roman"/>
          <w:b/>
          <w:i/>
          <w:color w:val="000000" w:themeColor="text1"/>
          <w:sz w:val="26"/>
          <w:szCs w:val="26"/>
        </w:rPr>
        <w:t xml:space="preserve">Detalle de nuevos contratos  </w:t>
      </w:r>
    </w:p>
    <w:p w14:paraId="3C090D1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4248CF5A"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Para el 2022 no existen contratos nuevos</w:t>
      </w:r>
    </w:p>
    <w:p w14:paraId="7E4783E9"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89C8825" w14:textId="77777777" w:rsidR="0085505C" w:rsidRPr="002A7673" w:rsidRDefault="0085505C" w:rsidP="00FF3FAC">
      <w:pPr>
        <w:numPr>
          <w:ilvl w:val="1"/>
          <w:numId w:val="70"/>
        </w:numPr>
        <w:spacing w:after="0" w:line="240" w:lineRule="auto"/>
        <w:ind w:left="851" w:right="851" w:firstLine="709"/>
        <w:jc w:val="both"/>
        <w:rPr>
          <w:rFonts w:ascii="Times New Roman" w:eastAsia="Times New Roman" w:hAnsi="Times New Roman" w:cs="Times New Roman"/>
          <w:b/>
          <w:i/>
          <w:sz w:val="26"/>
          <w:szCs w:val="26"/>
          <w:lang w:val="es-ES" w:eastAsia="es-ES"/>
        </w:rPr>
      </w:pPr>
      <w:r w:rsidRPr="002A7673">
        <w:rPr>
          <w:rFonts w:ascii="Times New Roman" w:eastAsia="Times New Roman" w:hAnsi="Times New Roman" w:cs="Times New Roman"/>
          <w:b/>
          <w:i/>
          <w:sz w:val="26"/>
          <w:szCs w:val="26"/>
          <w:lang w:val="es-ES" w:eastAsia="es-ES"/>
        </w:rPr>
        <w:t>Aspectos relevantes de algunas subpartidas</w:t>
      </w:r>
    </w:p>
    <w:p w14:paraId="481FA8B7"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b/>
          <w:i/>
          <w:sz w:val="26"/>
          <w:szCs w:val="26"/>
          <w:lang w:val="es-ES" w:eastAsia="es-ES"/>
        </w:rPr>
      </w:pPr>
    </w:p>
    <w:p w14:paraId="019853F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i/>
          <w:iCs/>
          <w:sz w:val="26"/>
          <w:szCs w:val="26"/>
        </w:rPr>
        <w:t>10101 Alquiler de Edificios, Locales y Terrenos,</w:t>
      </w:r>
      <w:r w:rsidRPr="002A7673">
        <w:rPr>
          <w:rFonts w:ascii="Times New Roman" w:hAnsi="Times New Roman" w:cs="Times New Roman"/>
          <w:sz w:val="26"/>
          <w:szCs w:val="26"/>
        </w:rPr>
        <w:t xml:space="preserve"> el incremento en la subpartida se da principalmente por aumentos en los contratos de alquiler del Segundo Circuito de Alajuela en ¢11.214.348, Quepos que incrementa de ¢3.484.193 y la Defensa Pública de Pavas con un aumento en ¢2.734.306 con relación al monto aprobado para el 2022.</w:t>
      </w:r>
    </w:p>
    <w:p w14:paraId="4BD907C3" w14:textId="77777777" w:rsidR="0085505C" w:rsidRPr="002A7673" w:rsidRDefault="0085505C" w:rsidP="0085505C">
      <w:pPr>
        <w:spacing w:after="0" w:line="240" w:lineRule="auto"/>
        <w:ind w:left="851" w:right="851" w:firstLine="709"/>
        <w:jc w:val="both"/>
        <w:rPr>
          <w:rFonts w:ascii="Times New Roman" w:hAnsi="Times New Roman" w:cs="Times New Roman"/>
          <w:b/>
          <w:bCs/>
          <w:i/>
          <w:iCs/>
          <w:sz w:val="26"/>
          <w:szCs w:val="26"/>
        </w:rPr>
      </w:pPr>
    </w:p>
    <w:p w14:paraId="600B9B0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i/>
          <w:iCs/>
          <w:sz w:val="26"/>
          <w:szCs w:val="26"/>
        </w:rPr>
        <w:t>Grupo 102 Servicios Básicos</w:t>
      </w:r>
      <w:r w:rsidRPr="002A7673">
        <w:rPr>
          <w:rFonts w:ascii="Times New Roman" w:hAnsi="Times New Roman" w:cs="Times New Roman"/>
          <w:sz w:val="26"/>
          <w:szCs w:val="26"/>
        </w:rPr>
        <w:t>, aumento en las diferentes oficinas que integran esta Defensa Pública y que corresponden a proyecciones de Financiero Contable, por un total de ¢4.990.970.</w:t>
      </w:r>
    </w:p>
    <w:p w14:paraId="38485DE0"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b/>
          <w:bCs/>
          <w:sz w:val="26"/>
          <w:szCs w:val="26"/>
          <w:lang w:val="es-ES" w:eastAsia="es-ES"/>
        </w:rPr>
      </w:pPr>
    </w:p>
    <w:p w14:paraId="4B462288"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i/>
          <w:iCs/>
          <w:sz w:val="26"/>
          <w:szCs w:val="26"/>
        </w:rPr>
        <w:t>10303 Impresión, Encuadernación y Otros</w:t>
      </w:r>
      <w:r w:rsidRPr="002A7673">
        <w:rPr>
          <w:rFonts w:ascii="Times New Roman" w:hAnsi="Times New Roman" w:cs="Times New Roman"/>
          <w:sz w:val="26"/>
          <w:szCs w:val="26"/>
        </w:rPr>
        <w:t>, aumento en los contratos por servicio de fotocopiado, dentro de los que se pueden citar se tiene: contrato número 101120 de la Defensa Pública del Segundo Circuito de San José que pasó de ¢294.000 a ¢558.280 para el 2022, contrato 005120 de la Administración de la Defensa Pública que incrementó en ¢10.556.714 respecto al 2021.</w:t>
      </w:r>
    </w:p>
    <w:p w14:paraId="5CA7922C"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sz w:val="26"/>
          <w:szCs w:val="26"/>
          <w:lang w:val="es-ES" w:eastAsia="es-ES"/>
        </w:rPr>
      </w:pPr>
    </w:p>
    <w:p w14:paraId="239F88DD" w14:textId="77777777" w:rsidR="0085505C" w:rsidRPr="002A7673" w:rsidRDefault="0085505C" w:rsidP="0085505C">
      <w:pPr>
        <w:spacing w:after="0" w:line="240" w:lineRule="auto"/>
        <w:ind w:left="851" w:right="851" w:firstLine="709"/>
        <w:jc w:val="both"/>
        <w:rPr>
          <w:rFonts w:ascii="Times New Roman" w:hAnsi="Times New Roman" w:cs="Times New Roman"/>
          <w:color w:val="FF0000"/>
          <w:sz w:val="26"/>
          <w:szCs w:val="26"/>
        </w:rPr>
      </w:pPr>
      <w:r w:rsidRPr="002A7673">
        <w:rPr>
          <w:rFonts w:ascii="Times New Roman" w:hAnsi="Times New Roman" w:cs="Times New Roman"/>
          <w:b/>
          <w:bCs/>
          <w:i/>
          <w:iCs/>
          <w:sz w:val="26"/>
          <w:szCs w:val="26"/>
        </w:rPr>
        <w:t>10406 Servicios Generales</w:t>
      </w:r>
      <w:r w:rsidRPr="002A7673">
        <w:rPr>
          <w:rFonts w:ascii="Times New Roman" w:hAnsi="Times New Roman" w:cs="Times New Roman"/>
          <w:sz w:val="26"/>
          <w:szCs w:val="26"/>
        </w:rPr>
        <w:t>, un total de ¢35.437.682 debido a la inclusión del contrato número 016120 entrega según demanda para atención del servicio de vigilancia para las Defensas Públicas de Hatillo, Pavas y Sarapiquí.</w:t>
      </w:r>
    </w:p>
    <w:p w14:paraId="3A5248D2"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color w:val="FF0000"/>
          <w:sz w:val="26"/>
          <w:szCs w:val="26"/>
          <w:lang w:val="es-ES" w:eastAsia="es-ES"/>
        </w:rPr>
      </w:pPr>
    </w:p>
    <w:p w14:paraId="01C0858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i/>
          <w:iCs/>
          <w:sz w:val="26"/>
          <w:szCs w:val="26"/>
        </w:rPr>
        <w:t xml:space="preserve">10801 Mantenimiento de Edificios, Locales y Terrenos: </w:t>
      </w:r>
      <w:r w:rsidRPr="002A7673">
        <w:rPr>
          <w:rFonts w:ascii="Times New Roman" w:hAnsi="Times New Roman" w:cs="Times New Roman"/>
          <w:sz w:val="26"/>
          <w:szCs w:val="26"/>
        </w:rPr>
        <w:t>Se canalizan recursos para el mantenimiento y reparación de los edificios que conforma esta Defensa Pública según el siguiente detalle: Defensa Pública II Circuito de Alajuela ¢10.000.000, Defensa Pública del III Circuito Judicial de San José, ¢5.000.000, Defensa Pública de Santa Cruz ¢10.000.000, Defensa Pública de Atenas ¢3.000.000, Defensa Pública de Guatuso ¢500.000 y Defensa Pública de San Joaquín de Flores ¢3.000.000.</w:t>
      </w:r>
    </w:p>
    <w:p w14:paraId="51CF0200"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0D8CAD2C" w14:textId="77777777" w:rsidR="0085505C" w:rsidRPr="002A7673" w:rsidRDefault="0085505C" w:rsidP="0085505C">
      <w:pPr>
        <w:snapToGrid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Recursos solicitados para dar mantenimiento a las infraestructuras de esta Defensa, tales como: pinturas, reparación de techos por goteras, acondicionamiento de áreas por hacinamiento para Santa Cruz, existe estudio de Salud del Subproceso de Salud Ocupacional número PJ-DGH-SSO-3389-2020 sobre la carga de ocupantes de esa Defensa, donde se exponen conclusiones y acciones de control, dentro de ellas  se puede citar valorar la factibilidad técnica y administrativa de ampliar las áreas o distribuir el personal que permita cumplir con el criterio de carga de ocupación para cada caso en determinado momento de la jornada.</w:t>
      </w:r>
    </w:p>
    <w:p w14:paraId="68DC1C11" w14:textId="77777777" w:rsidR="0085505C" w:rsidRPr="002A7673" w:rsidRDefault="0085505C" w:rsidP="0085505C">
      <w:pPr>
        <w:snapToGrid w:val="0"/>
        <w:spacing w:after="0" w:line="240" w:lineRule="auto"/>
        <w:ind w:left="851" w:right="851" w:firstLine="709"/>
        <w:jc w:val="both"/>
        <w:rPr>
          <w:rFonts w:ascii="Times New Roman" w:hAnsi="Times New Roman" w:cs="Times New Roman"/>
          <w:sz w:val="26"/>
          <w:szCs w:val="26"/>
        </w:rPr>
      </w:pPr>
    </w:p>
    <w:p w14:paraId="5F2DA30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Además, a través de esta subpartida se solicita los recursos para el mantenimiento de los ascensores y cortinas metálicas.</w:t>
      </w:r>
    </w:p>
    <w:p w14:paraId="74D3F7C4"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sz w:val="26"/>
          <w:szCs w:val="26"/>
          <w:lang w:val="es-ES" w:eastAsia="es-ES"/>
        </w:rPr>
      </w:pPr>
    </w:p>
    <w:p w14:paraId="02D50B33" w14:textId="77777777" w:rsidR="0085505C" w:rsidRPr="002A7673" w:rsidRDefault="0085505C" w:rsidP="00FF3FAC">
      <w:pPr>
        <w:numPr>
          <w:ilvl w:val="1"/>
          <w:numId w:val="70"/>
        </w:numPr>
        <w:spacing w:after="0" w:line="240" w:lineRule="auto"/>
        <w:ind w:left="851" w:right="851" w:firstLine="709"/>
        <w:jc w:val="both"/>
        <w:rPr>
          <w:rFonts w:ascii="Times New Roman" w:eastAsia="Times New Roman" w:hAnsi="Times New Roman" w:cs="Times New Roman"/>
          <w:b/>
          <w:i/>
          <w:sz w:val="26"/>
          <w:szCs w:val="26"/>
          <w:lang w:val="es-ES" w:eastAsia="es-ES"/>
        </w:rPr>
      </w:pPr>
      <w:r w:rsidRPr="002A7673">
        <w:rPr>
          <w:rFonts w:ascii="Times New Roman" w:eastAsia="Times New Roman" w:hAnsi="Times New Roman" w:cs="Times New Roman"/>
          <w:b/>
          <w:i/>
          <w:sz w:val="26"/>
          <w:szCs w:val="26"/>
          <w:lang w:val="es-ES" w:eastAsia="es-ES"/>
        </w:rPr>
        <w:t>Aspectos relevantes en Inversión</w:t>
      </w:r>
    </w:p>
    <w:p w14:paraId="36C6A8C8" w14:textId="77777777" w:rsidR="00254538" w:rsidRPr="002A7673" w:rsidRDefault="00254538" w:rsidP="0085505C">
      <w:pPr>
        <w:spacing w:after="0" w:line="240" w:lineRule="auto"/>
        <w:ind w:left="851" w:right="851" w:firstLine="709"/>
        <w:jc w:val="both"/>
        <w:rPr>
          <w:rFonts w:ascii="Times New Roman" w:hAnsi="Times New Roman" w:cs="Times New Roman"/>
          <w:sz w:val="26"/>
          <w:szCs w:val="26"/>
        </w:rPr>
      </w:pPr>
    </w:p>
    <w:p w14:paraId="421B53B5" w14:textId="27D1CD88"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La Defensa Publica para el 2022 en la </w:t>
      </w:r>
      <w:r w:rsidRPr="002A7673">
        <w:rPr>
          <w:rFonts w:ascii="Times New Roman" w:hAnsi="Times New Roman" w:cs="Times New Roman"/>
          <w:b/>
          <w:sz w:val="26"/>
          <w:szCs w:val="26"/>
        </w:rPr>
        <w:t>Partida 5 Bienes Duraderos</w:t>
      </w:r>
      <w:r w:rsidRPr="002A7673">
        <w:rPr>
          <w:rFonts w:ascii="Times New Roman" w:hAnsi="Times New Roman" w:cs="Times New Roman"/>
          <w:sz w:val="26"/>
          <w:szCs w:val="26"/>
        </w:rPr>
        <w:t>, está solicitando un total de ¢60.770.980 y las subpartidas con mayor representatividad son:</w:t>
      </w:r>
    </w:p>
    <w:p w14:paraId="2D6718BB"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672C7D79" w14:textId="612FBAC1" w:rsidR="0085505C" w:rsidRPr="002A7673" w:rsidRDefault="0085505C" w:rsidP="00FF3FAC">
      <w:pPr>
        <w:pStyle w:val="Prrafodelista"/>
        <w:numPr>
          <w:ilvl w:val="0"/>
          <w:numId w:val="90"/>
        </w:numPr>
        <w:tabs>
          <w:tab w:val="left" w:pos="8708"/>
        </w:tabs>
        <w:ind w:left="1191" w:right="851"/>
        <w:jc w:val="both"/>
        <w:rPr>
          <w:rFonts w:ascii="Times New Roman" w:hAnsi="Times New Roman" w:cs="Times New Roman"/>
          <w:sz w:val="26"/>
          <w:szCs w:val="26"/>
        </w:rPr>
      </w:pPr>
      <w:r w:rsidRPr="002A7673">
        <w:rPr>
          <w:rFonts w:ascii="Times New Roman" w:hAnsi="Times New Roman" w:cs="Times New Roman"/>
          <w:sz w:val="26"/>
          <w:szCs w:val="26"/>
        </w:rPr>
        <w:lastRenderedPageBreak/>
        <w:t>50104 Equipo y Mobiliario de Oficina ¢52.121.950, necesarios para la compra de equipo y mobiliario de oficina para el desarrollo de las labores diarias durante al año, artículos tales como: escritorios, mesas para computadoras, ventiladores, sillas de diferentes tipos, archivadores, aires acondicionados de diferentes capacidades y estanterías.</w:t>
      </w:r>
    </w:p>
    <w:p w14:paraId="7F1C6CDB" w14:textId="77777777" w:rsidR="001F2174" w:rsidRPr="002A7673" w:rsidRDefault="001F2174" w:rsidP="001F2174">
      <w:pPr>
        <w:pStyle w:val="Prrafodelista"/>
        <w:tabs>
          <w:tab w:val="left" w:pos="8708"/>
        </w:tabs>
        <w:ind w:left="1191" w:right="851"/>
        <w:jc w:val="both"/>
        <w:rPr>
          <w:rFonts w:ascii="Times New Roman" w:hAnsi="Times New Roman" w:cs="Times New Roman"/>
          <w:sz w:val="26"/>
          <w:szCs w:val="26"/>
        </w:rPr>
      </w:pPr>
    </w:p>
    <w:p w14:paraId="2C13B5B7" w14:textId="77777777" w:rsidR="0085505C" w:rsidRPr="002A7673" w:rsidRDefault="0085505C" w:rsidP="00FF3FAC">
      <w:pPr>
        <w:pStyle w:val="Prrafodelista"/>
        <w:numPr>
          <w:ilvl w:val="0"/>
          <w:numId w:val="90"/>
        </w:numPr>
        <w:tabs>
          <w:tab w:val="left" w:pos="8708"/>
        </w:tabs>
        <w:ind w:left="1191" w:right="851"/>
        <w:jc w:val="both"/>
        <w:rPr>
          <w:rFonts w:ascii="Times New Roman" w:hAnsi="Times New Roman" w:cs="Times New Roman"/>
          <w:sz w:val="26"/>
          <w:szCs w:val="26"/>
        </w:rPr>
      </w:pPr>
      <w:r w:rsidRPr="002A7673">
        <w:rPr>
          <w:rFonts w:ascii="Times New Roman" w:hAnsi="Times New Roman" w:cs="Times New Roman"/>
          <w:sz w:val="26"/>
          <w:szCs w:val="26"/>
        </w:rPr>
        <w:t>59903 Bienes Intangibles ¢3.775.304 para la adquisición de dos líneas telefónicas y licencias de software o renovación necesarias para llevar a cabo las actividades del Proyecto “0032-DP-P01 Estrategia de Comunicación y Proyección de la Defensa Pública”.</w:t>
      </w:r>
    </w:p>
    <w:p w14:paraId="0B2EEB4D" w14:textId="77777777" w:rsidR="0085505C" w:rsidRPr="002A7673" w:rsidRDefault="0085505C" w:rsidP="0085505C">
      <w:pPr>
        <w:tabs>
          <w:tab w:val="left" w:pos="8708"/>
        </w:tabs>
        <w:spacing w:after="0" w:line="240" w:lineRule="auto"/>
        <w:ind w:left="851" w:right="851" w:firstLine="709"/>
        <w:jc w:val="both"/>
        <w:rPr>
          <w:rFonts w:ascii="Times New Roman" w:hAnsi="Times New Roman" w:cs="Times New Roman"/>
          <w:sz w:val="26"/>
          <w:szCs w:val="26"/>
        </w:rPr>
      </w:pPr>
    </w:p>
    <w:p w14:paraId="220596D5"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Análisis del presupuesto asociado a la ejecución de proyectos estratégicos</w:t>
      </w:r>
    </w:p>
    <w:p w14:paraId="4B78232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Como parte de la implementación del Sistema de Proyección Plurianual, a partir del mes de octubre del año 2020 se les solicitó a las oficinas realizar la inclusión de recursos en el citado sistema. De esta forma, en el caso específico de la Defensa Pública a continuación se tiene el detalle por estado de los proyectos estratégicos a cargo de este Programa Presupuestario:</w:t>
      </w:r>
    </w:p>
    <w:p w14:paraId="5AE9445E" w14:textId="77777777" w:rsidR="0085505C" w:rsidRPr="002A7673" w:rsidRDefault="0085505C" w:rsidP="0085505C">
      <w:pPr>
        <w:spacing w:after="0" w:line="240" w:lineRule="auto"/>
        <w:ind w:left="851" w:right="851" w:firstLine="709"/>
        <w:jc w:val="both"/>
        <w:rPr>
          <w:rFonts w:ascii="Times New Roman" w:hAnsi="Times New Roman" w:cs="Times New Roman"/>
          <w:color w:val="538135" w:themeColor="accent6" w:themeShade="BF"/>
          <w:sz w:val="26"/>
          <w:szCs w:val="26"/>
        </w:rPr>
      </w:pPr>
    </w:p>
    <w:p w14:paraId="41F0A2A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sz w:val="26"/>
          <w:szCs w:val="26"/>
        </w:rPr>
        <w:t>Tabla número 3.</w:t>
      </w:r>
      <w:r w:rsidRPr="002A7673">
        <w:rPr>
          <w:rFonts w:ascii="Times New Roman" w:hAnsi="Times New Roman" w:cs="Times New Roman"/>
          <w:color w:val="538135" w:themeColor="accent6" w:themeShade="BF"/>
          <w:sz w:val="26"/>
          <w:szCs w:val="26"/>
        </w:rPr>
        <w:t xml:space="preserve"> </w:t>
      </w:r>
      <w:r w:rsidRPr="002A7673">
        <w:rPr>
          <w:rFonts w:ascii="Times New Roman" w:hAnsi="Times New Roman" w:cs="Times New Roman"/>
          <w:sz w:val="26"/>
          <w:szCs w:val="26"/>
        </w:rPr>
        <w:t>Detalle de los proyectos estratégicos por estado</w:t>
      </w:r>
    </w:p>
    <w:p w14:paraId="479C34E9" w14:textId="77777777" w:rsidR="0085505C" w:rsidRPr="002A7673" w:rsidRDefault="0085505C" w:rsidP="0085505C">
      <w:pPr>
        <w:spacing w:after="0" w:line="240" w:lineRule="auto"/>
        <w:jc w:val="both"/>
        <w:rPr>
          <w:rFonts w:ascii="Times New Roman" w:hAnsi="Times New Roman" w:cs="Times New Roman"/>
        </w:rPr>
      </w:pPr>
    </w:p>
    <w:tbl>
      <w:tblPr>
        <w:tblW w:w="5000" w:type="pct"/>
        <w:jc w:val="center"/>
        <w:tblCellMar>
          <w:left w:w="70" w:type="dxa"/>
          <w:right w:w="70" w:type="dxa"/>
        </w:tblCellMar>
        <w:tblLook w:val="04A0" w:firstRow="1" w:lastRow="0" w:firstColumn="1" w:lastColumn="0" w:noHBand="0" w:noVBand="1"/>
      </w:tblPr>
      <w:tblGrid>
        <w:gridCol w:w="6199"/>
        <w:gridCol w:w="3459"/>
      </w:tblGrid>
      <w:tr w:rsidR="0085505C" w:rsidRPr="002A7673" w14:paraId="0695D69C" w14:textId="77777777" w:rsidTr="0048334E">
        <w:trPr>
          <w:trHeight w:val="290"/>
          <w:jc w:val="center"/>
        </w:trPr>
        <w:tc>
          <w:tcPr>
            <w:tcW w:w="3209" w:type="pc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EA6A57C"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rPr>
              <w:t>Estado</w:t>
            </w:r>
          </w:p>
        </w:tc>
        <w:tc>
          <w:tcPr>
            <w:tcW w:w="1791" w:type="pct"/>
            <w:tcBorders>
              <w:top w:val="single" w:sz="4" w:space="0" w:color="auto"/>
              <w:left w:val="nil"/>
              <w:bottom w:val="single" w:sz="4" w:space="0" w:color="auto"/>
              <w:right w:val="single" w:sz="4" w:space="0" w:color="auto"/>
            </w:tcBorders>
            <w:shd w:val="clear" w:color="000000" w:fill="D9E1F2"/>
            <w:noWrap/>
            <w:vAlign w:val="center"/>
            <w:hideMark/>
          </w:tcPr>
          <w:p w14:paraId="6A2773E4"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Cantidad de Proyectos</w:t>
            </w:r>
          </w:p>
        </w:tc>
      </w:tr>
      <w:tr w:rsidR="0085505C" w:rsidRPr="002A7673" w14:paraId="41AE8B8B" w14:textId="77777777" w:rsidTr="0048334E">
        <w:trPr>
          <w:trHeight w:val="290"/>
          <w:jc w:val="center"/>
        </w:trPr>
        <w:tc>
          <w:tcPr>
            <w:tcW w:w="3209" w:type="pct"/>
            <w:tcBorders>
              <w:top w:val="nil"/>
              <w:left w:val="single" w:sz="4" w:space="0" w:color="auto"/>
              <w:bottom w:val="single" w:sz="4" w:space="0" w:color="auto"/>
              <w:right w:val="single" w:sz="4" w:space="0" w:color="auto"/>
            </w:tcBorders>
            <w:shd w:val="clear" w:color="auto" w:fill="auto"/>
            <w:noWrap/>
            <w:vAlign w:val="center"/>
            <w:hideMark/>
          </w:tcPr>
          <w:p w14:paraId="3D56DDE9"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En progreso</w:t>
            </w:r>
          </w:p>
        </w:tc>
        <w:tc>
          <w:tcPr>
            <w:tcW w:w="1791" w:type="pct"/>
            <w:tcBorders>
              <w:top w:val="nil"/>
              <w:left w:val="nil"/>
              <w:bottom w:val="single" w:sz="4" w:space="0" w:color="auto"/>
              <w:right w:val="single" w:sz="4" w:space="0" w:color="auto"/>
            </w:tcBorders>
            <w:shd w:val="clear" w:color="auto" w:fill="auto"/>
            <w:noWrap/>
            <w:vAlign w:val="center"/>
            <w:hideMark/>
          </w:tcPr>
          <w:p w14:paraId="488C192C"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5</w:t>
            </w:r>
          </w:p>
        </w:tc>
      </w:tr>
      <w:tr w:rsidR="0085505C" w:rsidRPr="002A7673" w14:paraId="4B9B727F" w14:textId="77777777" w:rsidTr="0048334E">
        <w:trPr>
          <w:trHeight w:val="290"/>
          <w:jc w:val="center"/>
        </w:trPr>
        <w:tc>
          <w:tcPr>
            <w:tcW w:w="3209" w:type="pct"/>
            <w:tcBorders>
              <w:top w:val="nil"/>
              <w:left w:val="single" w:sz="4" w:space="0" w:color="auto"/>
              <w:bottom w:val="single" w:sz="4" w:space="0" w:color="auto"/>
              <w:right w:val="single" w:sz="4" w:space="0" w:color="auto"/>
            </w:tcBorders>
            <w:shd w:val="clear" w:color="auto" w:fill="auto"/>
            <w:noWrap/>
            <w:vAlign w:val="center"/>
            <w:hideMark/>
          </w:tcPr>
          <w:p w14:paraId="602C362D"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Pendiente Evaluación de Beneficios</w:t>
            </w:r>
          </w:p>
        </w:tc>
        <w:tc>
          <w:tcPr>
            <w:tcW w:w="1791" w:type="pct"/>
            <w:tcBorders>
              <w:top w:val="nil"/>
              <w:left w:val="nil"/>
              <w:bottom w:val="single" w:sz="4" w:space="0" w:color="auto"/>
              <w:right w:val="single" w:sz="4" w:space="0" w:color="auto"/>
            </w:tcBorders>
            <w:shd w:val="clear" w:color="auto" w:fill="auto"/>
            <w:noWrap/>
            <w:vAlign w:val="center"/>
            <w:hideMark/>
          </w:tcPr>
          <w:p w14:paraId="1B273EA8"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w:t>
            </w:r>
          </w:p>
        </w:tc>
      </w:tr>
      <w:tr w:rsidR="0085505C" w:rsidRPr="002A7673" w14:paraId="5D23EC95" w14:textId="77777777" w:rsidTr="0048334E">
        <w:trPr>
          <w:trHeight w:val="290"/>
          <w:jc w:val="center"/>
        </w:trPr>
        <w:tc>
          <w:tcPr>
            <w:tcW w:w="3209" w:type="pct"/>
            <w:tcBorders>
              <w:top w:val="nil"/>
              <w:left w:val="single" w:sz="4" w:space="0" w:color="auto"/>
              <w:bottom w:val="single" w:sz="4" w:space="0" w:color="auto"/>
              <w:right w:val="single" w:sz="4" w:space="0" w:color="auto"/>
            </w:tcBorders>
            <w:shd w:val="clear" w:color="000000" w:fill="D9E1F2"/>
            <w:noWrap/>
            <w:vAlign w:val="center"/>
            <w:hideMark/>
          </w:tcPr>
          <w:p w14:paraId="25844635" w14:textId="77777777" w:rsidR="0085505C" w:rsidRPr="002A7673" w:rsidRDefault="0085505C" w:rsidP="0048334E">
            <w:pPr>
              <w:spacing w:after="0" w:line="240" w:lineRule="auto"/>
              <w:rPr>
                <w:rFonts w:ascii="Times New Roman" w:hAnsi="Times New Roman" w:cs="Times New Roman"/>
                <w:b/>
                <w:bCs/>
                <w:color w:val="000000"/>
                <w:sz w:val="24"/>
                <w:szCs w:val="24"/>
              </w:rPr>
            </w:pPr>
            <w:proofErr w:type="gramStart"/>
            <w:r w:rsidRPr="002A7673">
              <w:rPr>
                <w:rFonts w:ascii="Times New Roman" w:hAnsi="Times New Roman" w:cs="Times New Roman"/>
                <w:b/>
                <w:bCs/>
                <w:color w:val="000000"/>
                <w:sz w:val="24"/>
                <w:szCs w:val="24"/>
              </w:rPr>
              <w:t>Total</w:t>
            </w:r>
            <w:proofErr w:type="gramEnd"/>
            <w:r w:rsidRPr="002A7673">
              <w:rPr>
                <w:rFonts w:ascii="Times New Roman" w:hAnsi="Times New Roman" w:cs="Times New Roman"/>
                <w:b/>
                <w:bCs/>
                <w:color w:val="000000"/>
                <w:sz w:val="24"/>
                <w:szCs w:val="24"/>
              </w:rPr>
              <w:t xml:space="preserve"> general</w:t>
            </w:r>
          </w:p>
        </w:tc>
        <w:tc>
          <w:tcPr>
            <w:tcW w:w="1791" w:type="pct"/>
            <w:tcBorders>
              <w:top w:val="nil"/>
              <w:left w:val="nil"/>
              <w:bottom w:val="single" w:sz="4" w:space="0" w:color="auto"/>
              <w:right w:val="single" w:sz="4" w:space="0" w:color="auto"/>
            </w:tcBorders>
            <w:shd w:val="clear" w:color="000000" w:fill="D9E1F2"/>
            <w:noWrap/>
            <w:vAlign w:val="center"/>
            <w:hideMark/>
          </w:tcPr>
          <w:p w14:paraId="5E863173"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6</w:t>
            </w:r>
          </w:p>
        </w:tc>
      </w:tr>
    </w:tbl>
    <w:p w14:paraId="4637E7DF" w14:textId="77777777" w:rsidR="0085505C" w:rsidRPr="002A7673" w:rsidRDefault="0085505C" w:rsidP="0085505C">
      <w:pPr>
        <w:spacing w:after="0" w:line="240" w:lineRule="auto"/>
        <w:ind w:left="851" w:right="851" w:firstLine="709"/>
        <w:jc w:val="both"/>
        <w:rPr>
          <w:rFonts w:ascii="Times New Roman" w:hAnsi="Times New Roman" w:cs="Times New Roman"/>
          <w:color w:val="538135" w:themeColor="accent6" w:themeShade="BF"/>
          <w:sz w:val="26"/>
          <w:szCs w:val="26"/>
        </w:rPr>
      </w:pPr>
      <w:r w:rsidRPr="002A7673">
        <w:rPr>
          <w:rFonts w:ascii="Times New Roman" w:hAnsi="Times New Roman" w:cs="Times New Roman"/>
          <w:color w:val="538135" w:themeColor="accent6" w:themeShade="BF"/>
        </w:rPr>
        <w:t xml:space="preserve">  </w:t>
      </w:r>
      <w:r w:rsidRPr="002A7673">
        <w:rPr>
          <w:rFonts w:ascii="Times New Roman" w:hAnsi="Times New Roman" w:cs="Times New Roman"/>
          <w:sz w:val="26"/>
          <w:szCs w:val="26"/>
        </w:rPr>
        <w:t>Fuente: Reporte generado del MS Project Online al 23-02-2021.</w:t>
      </w:r>
    </w:p>
    <w:p w14:paraId="69C7246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7CBC3A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Del detalle de proyectos actualmente incorporados en el portafolio, se tiene que sólo uno de los proyectos tiene previsto estar en ejecución durante el año 2022, de acuerdo con la programación y cronogramas que actualmente se encuentran cargados en la plataforma de MS Project Online.</w:t>
      </w:r>
    </w:p>
    <w:p w14:paraId="7F1DC7C3" w14:textId="77777777" w:rsidR="0085505C" w:rsidRPr="002A7673" w:rsidRDefault="0085505C" w:rsidP="0085505C">
      <w:pPr>
        <w:spacing w:after="0" w:line="240" w:lineRule="auto"/>
        <w:ind w:left="851" w:right="851" w:firstLine="709"/>
        <w:jc w:val="both"/>
        <w:rPr>
          <w:rFonts w:ascii="Times New Roman" w:hAnsi="Times New Roman" w:cs="Times New Roman"/>
          <w:color w:val="538135" w:themeColor="accent6" w:themeShade="BF"/>
          <w:sz w:val="26"/>
          <w:szCs w:val="26"/>
        </w:rPr>
      </w:pPr>
    </w:p>
    <w:p w14:paraId="34858BD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 continuación, se muestra la cantidad de proyectos agrupados por año de acuerdo con el período previsto de finalización de cada uno:</w:t>
      </w:r>
    </w:p>
    <w:p w14:paraId="02525E4C" w14:textId="77777777" w:rsidR="0085505C" w:rsidRPr="002A7673" w:rsidRDefault="0085505C" w:rsidP="0085505C">
      <w:pPr>
        <w:spacing w:after="0" w:line="240" w:lineRule="auto"/>
        <w:ind w:left="851" w:right="851" w:firstLine="709"/>
        <w:jc w:val="both"/>
        <w:rPr>
          <w:rFonts w:ascii="Times New Roman" w:hAnsi="Times New Roman" w:cs="Times New Roman"/>
          <w:color w:val="538135" w:themeColor="accent6" w:themeShade="BF"/>
          <w:sz w:val="26"/>
          <w:szCs w:val="26"/>
        </w:rPr>
      </w:pPr>
    </w:p>
    <w:p w14:paraId="2CF83D0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sz w:val="26"/>
          <w:szCs w:val="26"/>
        </w:rPr>
        <w:t>Tabla número 4.</w:t>
      </w:r>
      <w:r w:rsidRPr="002A7673">
        <w:rPr>
          <w:rFonts w:ascii="Times New Roman" w:hAnsi="Times New Roman" w:cs="Times New Roman"/>
          <w:sz w:val="26"/>
          <w:szCs w:val="26"/>
        </w:rPr>
        <w:t xml:space="preserve"> Años de proyección de finalización de los proyectos estratégicos</w:t>
      </w:r>
    </w:p>
    <w:tbl>
      <w:tblPr>
        <w:tblW w:w="5000" w:type="pct"/>
        <w:tblCellMar>
          <w:left w:w="70" w:type="dxa"/>
          <w:right w:w="70" w:type="dxa"/>
        </w:tblCellMar>
        <w:tblLook w:val="04A0" w:firstRow="1" w:lastRow="0" w:firstColumn="1" w:lastColumn="0" w:noHBand="0" w:noVBand="1"/>
      </w:tblPr>
      <w:tblGrid>
        <w:gridCol w:w="2473"/>
        <w:gridCol w:w="1189"/>
        <w:gridCol w:w="1189"/>
        <w:gridCol w:w="1189"/>
        <w:gridCol w:w="1190"/>
        <w:gridCol w:w="1190"/>
        <w:gridCol w:w="1248"/>
      </w:tblGrid>
      <w:tr w:rsidR="0085505C" w:rsidRPr="002A7673" w14:paraId="0807C521" w14:textId="77777777" w:rsidTr="0048334E">
        <w:trPr>
          <w:trHeight w:val="441"/>
        </w:trPr>
        <w:tc>
          <w:tcPr>
            <w:tcW w:w="1214" w:type="pct"/>
            <w:vMerge w:val="restart"/>
            <w:tcBorders>
              <w:top w:val="nil"/>
              <w:left w:val="nil"/>
              <w:bottom w:val="single" w:sz="8" w:space="0" w:color="8EA9DB"/>
              <w:right w:val="nil"/>
            </w:tcBorders>
            <w:shd w:val="clear" w:color="000000" w:fill="D9E1F2"/>
            <w:noWrap/>
            <w:vAlign w:val="center"/>
            <w:hideMark/>
          </w:tcPr>
          <w:p w14:paraId="4A4966CC" w14:textId="77777777" w:rsidR="0085505C" w:rsidRPr="002A7673" w:rsidRDefault="0085505C" w:rsidP="0048334E">
            <w:pPr>
              <w:spacing w:after="0" w:line="240" w:lineRule="auto"/>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rPr>
              <w:t>Categoría del proyecto</w:t>
            </w:r>
          </w:p>
        </w:tc>
        <w:tc>
          <w:tcPr>
            <w:tcW w:w="3786" w:type="pct"/>
            <w:gridSpan w:val="6"/>
            <w:tcBorders>
              <w:top w:val="nil"/>
              <w:left w:val="nil"/>
              <w:bottom w:val="single" w:sz="8" w:space="0" w:color="8EA9DB"/>
              <w:right w:val="nil"/>
            </w:tcBorders>
            <w:shd w:val="clear" w:color="000000" w:fill="D9E1F2"/>
            <w:noWrap/>
            <w:vAlign w:val="center"/>
            <w:hideMark/>
          </w:tcPr>
          <w:p w14:paraId="7CF96E42"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Cantidad de proyectos que finalizan en el año</w:t>
            </w:r>
          </w:p>
        </w:tc>
      </w:tr>
      <w:tr w:rsidR="0085505C" w:rsidRPr="002A7673" w14:paraId="5F36E802" w14:textId="77777777" w:rsidTr="0048334E">
        <w:trPr>
          <w:trHeight w:val="441"/>
        </w:trPr>
        <w:tc>
          <w:tcPr>
            <w:tcW w:w="1214" w:type="pct"/>
            <w:vMerge/>
            <w:tcBorders>
              <w:top w:val="nil"/>
              <w:left w:val="nil"/>
              <w:bottom w:val="single" w:sz="8" w:space="0" w:color="8EA9DB"/>
              <w:right w:val="nil"/>
            </w:tcBorders>
            <w:vAlign w:val="center"/>
            <w:hideMark/>
          </w:tcPr>
          <w:p w14:paraId="2D222CE0" w14:textId="77777777" w:rsidR="0085505C" w:rsidRPr="002A7673" w:rsidRDefault="0085505C" w:rsidP="0048334E">
            <w:pPr>
              <w:spacing w:after="0" w:line="240" w:lineRule="auto"/>
              <w:rPr>
                <w:rFonts w:ascii="Times New Roman" w:hAnsi="Times New Roman" w:cs="Times New Roman"/>
                <w:b/>
                <w:bCs/>
                <w:color w:val="000000"/>
                <w:sz w:val="24"/>
                <w:szCs w:val="24"/>
              </w:rPr>
            </w:pPr>
          </w:p>
        </w:tc>
        <w:tc>
          <w:tcPr>
            <w:tcW w:w="626" w:type="pct"/>
            <w:tcBorders>
              <w:top w:val="nil"/>
              <w:left w:val="nil"/>
              <w:bottom w:val="single" w:sz="8" w:space="0" w:color="8EA9DB"/>
              <w:right w:val="nil"/>
            </w:tcBorders>
            <w:shd w:val="clear" w:color="000000" w:fill="D9E1F2"/>
            <w:noWrap/>
            <w:vAlign w:val="center"/>
            <w:hideMark/>
          </w:tcPr>
          <w:p w14:paraId="13205576"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2020</w:t>
            </w:r>
          </w:p>
        </w:tc>
        <w:tc>
          <w:tcPr>
            <w:tcW w:w="626" w:type="pct"/>
            <w:tcBorders>
              <w:top w:val="nil"/>
              <w:left w:val="nil"/>
              <w:bottom w:val="single" w:sz="8" w:space="0" w:color="8EA9DB"/>
              <w:right w:val="nil"/>
            </w:tcBorders>
            <w:shd w:val="clear" w:color="000000" w:fill="D9E1F2"/>
            <w:noWrap/>
            <w:vAlign w:val="center"/>
            <w:hideMark/>
          </w:tcPr>
          <w:p w14:paraId="5A7B394D"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2021</w:t>
            </w:r>
          </w:p>
        </w:tc>
        <w:tc>
          <w:tcPr>
            <w:tcW w:w="626" w:type="pct"/>
            <w:tcBorders>
              <w:top w:val="nil"/>
              <w:left w:val="nil"/>
              <w:bottom w:val="single" w:sz="8" w:space="0" w:color="8EA9DB"/>
              <w:right w:val="nil"/>
            </w:tcBorders>
            <w:shd w:val="clear" w:color="000000" w:fill="D9E1F2"/>
            <w:noWrap/>
            <w:vAlign w:val="center"/>
            <w:hideMark/>
          </w:tcPr>
          <w:p w14:paraId="445229F8"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2022</w:t>
            </w:r>
          </w:p>
        </w:tc>
        <w:tc>
          <w:tcPr>
            <w:tcW w:w="626" w:type="pct"/>
            <w:tcBorders>
              <w:top w:val="nil"/>
              <w:left w:val="nil"/>
              <w:bottom w:val="single" w:sz="8" w:space="0" w:color="8EA9DB"/>
              <w:right w:val="nil"/>
            </w:tcBorders>
            <w:shd w:val="clear" w:color="000000" w:fill="D9E1F2"/>
            <w:noWrap/>
            <w:vAlign w:val="center"/>
            <w:hideMark/>
          </w:tcPr>
          <w:p w14:paraId="1F20F79F"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2023</w:t>
            </w:r>
          </w:p>
        </w:tc>
        <w:tc>
          <w:tcPr>
            <w:tcW w:w="626" w:type="pct"/>
            <w:tcBorders>
              <w:top w:val="nil"/>
              <w:left w:val="nil"/>
              <w:bottom w:val="single" w:sz="8" w:space="0" w:color="8EA9DB"/>
              <w:right w:val="nil"/>
            </w:tcBorders>
            <w:shd w:val="clear" w:color="000000" w:fill="D9E1F2"/>
            <w:noWrap/>
            <w:vAlign w:val="center"/>
            <w:hideMark/>
          </w:tcPr>
          <w:p w14:paraId="4EC85126"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2024</w:t>
            </w:r>
          </w:p>
        </w:tc>
        <w:tc>
          <w:tcPr>
            <w:tcW w:w="658" w:type="pct"/>
            <w:tcBorders>
              <w:top w:val="nil"/>
              <w:left w:val="nil"/>
              <w:bottom w:val="single" w:sz="8" w:space="0" w:color="8EA9DB"/>
              <w:right w:val="nil"/>
            </w:tcBorders>
            <w:shd w:val="clear" w:color="000000" w:fill="D9E1F2"/>
            <w:noWrap/>
            <w:vAlign w:val="center"/>
            <w:hideMark/>
          </w:tcPr>
          <w:p w14:paraId="75DDF618"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Total</w:t>
            </w:r>
          </w:p>
        </w:tc>
      </w:tr>
      <w:tr w:rsidR="0085505C" w:rsidRPr="002A7673" w14:paraId="2BC88D14" w14:textId="77777777" w:rsidTr="0048334E">
        <w:trPr>
          <w:trHeight w:val="441"/>
        </w:trPr>
        <w:tc>
          <w:tcPr>
            <w:tcW w:w="1214" w:type="pct"/>
            <w:tcBorders>
              <w:top w:val="nil"/>
              <w:left w:val="nil"/>
              <w:bottom w:val="nil"/>
              <w:right w:val="nil"/>
            </w:tcBorders>
            <w:shd w:val="clear" w:color="auto" w:fill="auto"/>
            <w:noWrap/>
            <w:vAlign w:val="center"/>
            <w:hideMark/>
          </w:tcPr>
          <w:p w14:paraId="586F8724"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Estratégico</w:t>
            </w:r>
          </w:p>
        </w:tc>
        <w:tc>
          <w:tcPr>
            <w:tcW w:w="626" w:type="pct"/>
            <w:tcBorders>
              <w:top w:val="nil"/>
              <w:left w:val="nil"/>
              <w:bottom w:val="nil"/>
              <w:right w:val="nil"/>
            </w:tcBorders>
            <w:shd w:val="clear" w:color="auto" w:fill="auto"/>
            <w:noWrap/>
            <w:vAlign w:val="center"/>
            <w:hideMark/>
          </w:tcPr>
          <w:p w14:paraId="49A057EE"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w:t>
            </w:r>
          </w:p>
        </w:tc>
        <w:tc>
          <w:tcPr>
            <w:tcW w:w="626" w:type="pct"/>
            <w:tcBorders>
              <w:top w:val="nil"/>
              <w:left w:val="nil"/>
              <w:bottom w:val="nil"/>
              <w:right w:val="nil"/>
            </w:tcBorders>
            <w:shd w:val="clear" w:color="auto" w:fill="auto"/>
            <w:noWrap/>
            <w:vAlign w:val="center"/>
            <w:hideMark/>
          </w:tcPr>
          <w:p w14:paraId="275A15DC"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w:t>
            </w:r>
          </w:p>
        </w:tc>
        <w:tc>
          <w:tcPr>
            <w:tcW w:w="626" w:type="pct"/>
            <w:tcBorders>
              <w:top w:val="nil"/>
              <w:left w:val="nil"/>
              <w:bottom w:val="nil"/>
              <w:right w:val="nil"/>
            </w:tcBorders>
            <w:shd w:val="clear" w:color="auto" w:fill="auto"/>
            <w:noWrap/>
            <w:vAlign w:val="center"/>
            <w:hideMark/>
          </w:tcPr>
          <w:p w14:paraId="46056EF1"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w:t>
            </w:r>
          </w:p>
        </w:tc>
        <w:tc>
          <w:tcPr>
            <w:tcW w:w="626" w:type="pct"/>
            <w:tcBorders>
              <w:top w:val="nil"/>
              <w:left w:val="nil"/>
              <w:bottom w:val="nil"/>
              <w:right w:val="nil"/>
            </w:tcBorders>
            <w:shd w:val="clear" w:color="auto" w:fill="auto"/>
            <w:noWrap/>
            <w:vAlign w:val="center"/>
            <w:hideMark/>
          </w:tcPr>
          <w:p w14:paraId="597DDB1B"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w:t>
            </w:r>
          </w:p>
        </w:tc>
        <w:tc>
          <w:tcPr>
            <w:tcW w:w="626" w:type="pct"/>
            <w:tcBorders>
              <w:top w:val="nil"/>
              <w:left w:val="nil"/>
              <w:bottom w:val="nil"/>
              <w:right w:val="nil"/>
            </w:tcBorders>
            <w:shd w:val="clear" w:color="auto" w:fill="auto"/>
            <w:noWrap/>
            <w:vAlign w:val="center"/>
            <w:hideMark/>
          </w:tcPr>
          <w:p w14:paraId="4C4B868E"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1</w:t>
            </w:r>
          </w:p>
        </w:tc>
        <w:tc>
          <w:tcPr>
            <w:tcW w:w="658" w:type="pct"/>
            <w:tcBorders>
              <w:top w:val="nil"/>
              <w:left w:val="nil"/>
              <w:bottom w:val="nil"/>
              <w:right w:val="nil"/>
            </w:tcBorders>
            <w:shd w:val="clear" w:color="auto" w:fill="auto"/>
            <w:noWrap/>
            <w:vAlign w:val="center"/>
            <w:hideMark/>
          </w:tcPr>
          <w:p w14:paraId="0875D712"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6</w:t>
            </w:r>
          </w:p>
        </w:tc>
      </w:tr>
      <w:tr w:rsidR="0085505C" w:rsidRPr="002A7673" w14:paraId="56BCF4F6" w14:textId="77777777" w:rsidTr="0048334E">
        <w:trPr>
          <w:trHeight w:val="426"/>
        </w:trPr>
        <w:tc>
          <w:tcPr>
            <w:tcW w:w="1214" w:type="pct"/>
            <w:tcBorders>
              <w:top w:val="single" w:sz="8" w:space="0" w:color="8EA9DB"/>
              <w:left w:val="nil"/>
              <w:bottom w:val="nil"/>
              <w:right w:val="nil"/>
            </w:tcBorders>
            <w:shd w:val="clear" w:color="000000" w:fill="D9E1F2"/>
            <w:noWrap/>
            <w:vAlign w:val="center"/>
            <w:hideMark/>
          </w:tcPr>
          <w:p w14:paraId="47D9134E" w14:textId="77777777" w:rsidR="0085505C" w:rsidRPr="002A7673" w:rsidRDefault="0085505C" w:rsidP="0048334E">
            <w:pPr>
              <w:spacing w:after="0" w:line="240" w:lineRule="auto"/>
              <w:rPr>
                <w:rFonts w:ascii="Times New Roman" w:hAnsi="Times New Roman" w:cs="Times New Roman"/>
                <w:b/>
                <w:bCs/>
                <w:color w:val="000000"/>
                <w:sz w:val="24"/>
                <w:szCs w:val="24"/>
              </w:rPr>
            </w:pPr>
            <w:proofErr w:type="gramStart"/>
            <w:r w:rsidRPr="002A7673">
              <w:rPr>
                <w:rFonts w:ascii="Times New Roman" w:hAnsi="Times New Roman" w:cs="Times New Roman"/>
                <w:b/>
                <w:bCs/>
                <w:color w:val="000000"/>
                <w:sz w:val="24"/>
                <w:szCs w:val="24"/>
              </w:rPr>
              <w:t>Total</w:t>
            </w:r>
            <w:proofErr w:type="gramEnd"/>
            <w:r w:rsidRPr="002A7673">
              <w:rPr>
                <w:rFonts w:ascii="Times New Roman" w:hAnsi="Times New Roman" w:cs="Times New Roman"/>
                <w:b/>
                <w:bCs/>
                <w:color w:val="000000"/>
                <w:sz w:val="24"/>
                <w:szCs w:val="24"/>
              </w:rPr>
              <w:t xml:space="preserve"> general</w:t>
            </w:r>
          </w:p>
        </w:tc>
        <w:tc>
          <w:tcPr>
            <w:tcW w:w="626" w:type="pct"/>
            <w:tcBorders>
              <w:top w:val="single" w:sz="8" w:space="0" w:color="8EA9DB"/>
              <w:left w:val="nil"/>
              <w:bottom w:val="nil"/>
              <w:right w:val="nil"/>
            </w:tcBorders>
            <w:shd w:val="clear" w:color="000000" w:fill="D9E1F2"/>
            <w:noWrap/>
            <w:vAlign w:val="center"/>
            <w:hideMark/>
          </w:tcPr>
          <w:p w14:paraId="6DC66569"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w:t>
            </w:r>
          </w:p>
        </w:tc>
        <w:tc>
          <w:tcPr>
            <w:tcW w:w="626" w:type="pct"/>
            <w:tcBorders>
              <w:top w:val="single" w:sz="8" w:space="0" w:color="8EA9DB"/>
              <w:left w:val="nil"/>
              <w:bottom w:val="nil"/>
              <w:right w:val="nil"/>
            </w:tcBorders>
            <w:shd w:val="clear" w:color="000000" w:fill="D9E1F2"/>
            <w:noWrap/>
            <w:vAlign w:val="center"/>
            <w:hideMark/>
          </w:tcPr>
          <w:p w14:paraId="6F2D5152"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2</w:t>
            </w:r>
          </w:p>
        </w:tc>
        <w:tc>
          <w:tcPr>
            <w:tcW w:w="626" w:type="pct"/>
            <w:tcBorders>
              <w:top w:val="single" w:sz="8" w:space="0" w:color="8EA9DB"/>
              <w:left w:val="nil"/>
              <w:bottom w:val="nil"/>
              <w:right w:val="nil"/>
            </w:tcBorders>
            <w:shd w:val="clear" w:color="000000" w:fill="D9E1F2"/>
            <w:noWrap/>
            <w:vAlign w:val="center"/>
            <w:hideMark/>
          </w:tcPr>
          <w:p w14:paraId="3895B173"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w:t>
            </w:r>
          </w:p>
        </w:tc>
        <w:tc>
          <w:tcPr>
            <w:tcW w:w="626" w:type="pct"/>
            <w:tcBorders>
              <w:top w:val="single" w:sz="8" w:space="0" w:color="8EA9DB"/>
              <w:left w:val="nil"/>
              <w:bottom w:val="nil"/>
              <w:right w:val="nil"/>
            </w:tcBorders>
            <w:shd w:val="clear" w:color="000000" w:fill="D9E1F2"/>
            <w:noWrap/>
            <w:vAlign w:val="center"/>
            <w:hideMark/>
          </w:tcPr>
          <w:p w14:paraId="61C54997"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w:t>
            </w:r>
          </w:p>
        </w:tc>
        <w:tc>
          <w:tcPr>
            <w:tcW w:w="626" w:type="pct"/>
            <w:tcBorders>
              <w:top w:val="single" w:sz="8" w:space="0" w:color="8EA9DB"/>
              <w:left w:val="nil"/>
              <w:bottom w:val="nil"/>
              <w:right w:val="nil"/>
            </w:tcBorders>
            <w:shd w:val="clear" w:color="000000" w:fill="D9E1F2"/>
            <w:noWrap/>
            <w:vAlign w:val="center"/>
            <w:hideMark/>
          </w:tcPr>
          <w:p w14:paraId="68A50443"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1</w:t>
            </w:r>
          </w:p>
        </w:tc>
        <w:tc>
          <w:tcPr>
            <w:tcW w:w="658" w:type="pct"/>
            <w:tcBorders>
              <w:top w:val="single" w:sz="8" w:space="0" w:color="8EA9DB"/>
              <w:left w:val="nil"/>
              <w:bottom w:val="nil"/>
              <w:right w:val="nil"/>
            </w:tcBorders>
            <w:shd w:val="clear" w:color="000000" w:fill="D9E1F2"/>
            <w:noWrap/>
            <w:vAlign w:val="center"/>
            <w:hideMark/>
          </w:tcPr>
          <w:p w14:paraId="1DA17973" w14:textId="77777777" w:rsidR="0085505C" w:rsidRPr="002A7673" w:rsidRDefault="0085505C" w:rsidP="0048334E">
            <w:pPr>
              <w:spacing w:after="0" w:line="240" w:lineRule="auto"/>
              <w:jc w:val="center"/>
              <w:rPr>
                <w:rFonts w:ascii="Times New Roman" w:hAnsi="Times New Roman" w:cs="Times New Roman"/>
                <w:b/>
                <w:bCs/>
                <w:color w:val="000000"/>
                <w:sz w:val="24"/>
                <w:szCs w:val="24"/>
              </w:rPr>
            </w:pPr>
            <w:r w:rsidRPr="002A7673">
              <w:rPr>
                <w:rFonts w:ascii="Times New Roman" w:hAnsi="Times New Roman" w:cs="Times New Roman"/>
                <w:b/>
                <w:bCs/>
                <w:color w:val="000000"/>
                <w:sz w:val="24"/>
                <w:szCs w:val="24"/>
              </w:rPr>
              <w:t>6</w:t>
            </w:r>
          </w:p>
        </w:tc>
      </w:tr>
    </w:tbl>
    <w:p w14:paraId="2A0E667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Fuente: Elaboración propia a partir del reporte generado del MS Project Online al 23-02-2021.</w:t>
      </w:r>
    </w:p>
    <w:p w14:paraId="057CFE88" w14:textId="77777777" w:rsidR="0085505C" w:rsidRPr="002A7673" w:rsidRDefault="0085505C" w:rsidP="0085505C">
      <w:pPr>
        <w:spacing w:after="0" w:line="240" w:lineRule="auto"/>
        <w:ind w:left="851" w:right="851" w:firstLine="709"/>
        <w:jc w:val="both"/>
        <w:rPr>
          <w:rFonts w:ascii="Times New Roman" w:hAnsi="Times New Roman" w:cs="Times New Roman"/>
          <w:color w:val="538135" w:themeColor="accent6" w:themeShade="BF"/>
          <w:sz w:val="26"/>
          <w:szCs w:val="26"/>
        </w:rPr>
      </w:pPr>
    </w:p>
    <w:p w14:paraId="273D5617"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Como se muestra, para el 2022 contemplando los proyectos que finalizan ese año y los de años posteriores se tendrían un total de 3 proyectos activos. </w:t>
      </w:r>
    </w:p>
    <w:p w14:paraId="771C6A0C" w14:textId="77777777" w:rsidR="0085505C" w:rsidRPr="002A7673" w:rsidRDefault="0085505C" w:rsidP="0085505C">
      <w:pPr>
        <w:spacing w:after="0" w:line="240" w:lineRule="auto"/>
        <w:ind w:left="851" w:right="851" w:firstLine="709"/>
        <w:jc w:val="both"/>
        <w:rPr>
          <w:rFonts w:ascii="Times New Roman" w:hAnsi="Times New Roman" w:cs="Times New Roman"/>
          <w:color w:val="538135" w:themeColor="accent6" w:themeShade="BF"/>
          <w:sz w:val="26"/>
          <w:szCs w:val="26"/>
        </w:rPr>
      </w:pPr>
    </w:p>
    <w:p w14:paraId="181D4952" w14:textId="77777777" w:rsidR="0085505C" w:rsidRPr="002A7673" w:rsidRDefault="0085505C" w:rsidP="00FF3FAC">
      <w:pPr>
        <w:keepNext/>
        <w:keepLines/>
        <w:numPr>
          <w:ilvl w:val="1"/>
          <w:numId w:val="70"/>
        </w:numPr>
        <w:spacing w:after="0" w:line="240" w:lineRule="auto"/>
        <w:ind w:left="851" w:right="851" w:firstLine="709"/>
        <w:jc w:val="both"/>
        <w:outlineLvl w:val="1"/>
        <w:rPr>
          <w:rFonts w:ascii="Times New Roman" w:eastAsia="Times New Roman" w:hAnsi="Times New Roman" w:cs="Times New Roman"/>
          <w:b/>
          <w:bCs/>
          <w:iCs/>
          <w:sz w:val="26"/>
          <w:szCs w:val="26"/>
          <w:lang w:val="es-ES" w:eastAsia="es-ES"/>
        </w:rPr>
      </w:pPr>
      <w:bookmarkStart w:id="231" w:name="_Hlk65574918"/>
      <w:r w:rsidRPr="002A7673">
        <w:rPr>
          <w:rFonts w:ascii="Times New Roman" w:eastAsia="Times New Roman" w:hAnsi="Times New Roman" w:cs="Times New Roman"/>
          <w:b/>
          <w:bCs/>
          <w:iCs/>
          <w:sz w:val="26"/>
          <w:szCs w:val="26"/>
          <w:lang w:val="es-ES" w:eastAsia="es-ES"/>
        </w:rPr>
        <w:t>Proyectos que formularon recursos en el SPP:</w:t>
      </w:r>
    </w:p>
    <w:bookmarkEnd w:id="231"/>
    <w:p w14:paraId="3692851D"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Dentro de las proyecciones de recursos incluidas en el Sistemas de Proyección Plurianual, se tiene que sólo un proyecto tiene contemplados recursos presupuestarios para el año 2022, según lo que se muestra a continuación: </w:t>
      </w:r>
    </w:p>
    <w:p w14:paraId="2E097776" w14:textId="77777777" w:rsidR="0085505C" w:rsidRPr="002A7673" w:rsidRDefault="0085505C" w:rsidP="0085505C">
      <w:pPr>
        <w:spacing w:after="0" w:line="360" w:lineRule="auto"/>
        <w:jc w:val="both"/>
        <w:rPr>
          <w:rFonts w:ascii="Times New Roman" w:hAnsi="Times New Roman" w:cs="Times New Roman"/>
        </w:rPr>
      </w:pPr>
    </w:p>
    <w:p w14:paraId="3C38C01C" w14:textId="77777777" w:rsidR="0085505C" w:rsidRPr="002A7673" w:rsidRDefault="0085505C" w:rsidP="0085505C">
      <w:pPr>
        <w:spacing w:after="0" w:line="360" w:lineRule="auto"/>
        <w:jc w:val="center"/>
        <w:rPr>
          <w:rFonts w:ascii="Times New Roman" w:hAnsi="Times New Roman" w:cs="Times New Roman"/>
          <w:b/>
          <w:bCs/>
          <w:sz w:val="26"/>
          <w:szCs w:val="26"/>
        </w:rPr>
      </w:pPr>
      <w:r w:rsidRPr="002A7673">
        <w:rPr>
          <w:rFonts w:ascii="Times New Roman" w:hAnsi="Times New Roman" w:cs="Times New Roman"/>
          <w:b/>
          <w:bCs/>
          <w:sz w:val="26"/>
          <w:szCs w:val="26"/>
        </w:rPr>
        <w:t>Tabla número 5. Detalle de los recursos presupuestarios anuales para la ejecución de los proyectos estratégicos de la Defensa Pública</w:t>
      </w:r>
    </w:p>
    <w:p w14:paraId="682ECEA2" w14:textId="77777777" w:rsidR="0085505C" w:rsidRPr="002A7673" w:rsidRDefault="0085505C" w:rsidP="0085505C">
      <w:pPr>
        <w:spacing w:before="120" w:after="0" w:line="240" w:lineRule="auto"/>
        <w:jc w:val="both"/>
        <w:rPr>
          <w:rFonts w:ascii="Times New Roman" w:hAnsi="Times New Roman" w:cs="Times New Roman"/>
          <w:color w:val="00B050"/>
          <w:sz w:val="20"/>
          <w:szCs w:val="20"/>
        </w:rPr>
      </w:pPr>
      <w:r w:rsidRPr="002A7673">
        <w:rPr>
          <w:rFonts w:ascii="Times New Roman" w:hAnsi="Times New Roman" w:cs="Times New Roman"/>
          <w:noProof/>
        </w:rPr>
        <w:drawing>
          <wp:inline distT="0" distB="0" distL="0" distR="0" wp14:anchorId="05C10FE2" wp14:editId="5A8B15BC">
            <wp:extent cx="6301105" cy="1616075"/>
            <wp:effectExtent l="0" t="0" r="4445" b="3175"/>
            <wp:docPr id="1263269104" name="Imagen 126326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303636" cy="1616724"/>
                    </a:xfrm>
                    <a:prstGeom prst="rect">
                      <a:avLst/>
                    </a:prstGeom>
                    <a:noFill/>
                    <a:ln>
                      <a:noFill/>
                    </a:ln>
                  </pic:spPr>
                </pic:pic>
              </a:graphicData>
            </a:graphic>
          </wp:inline>
        </w:drawing>
      </w:r>
    </w:p>
    <w:p w14:paraId="66B9FC3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Fuente: Elaboración propia a partir del reporte generado del Sistema de Proyección Plurianual.</w:t>
      </w:r>
    </w:p>
    <w:p w14:paraId="080E6C68" w14:textId="77777777" w:rsidR="0085505C" w:rsidRPr="002A7673" w:rsidRDefault="0085505C" w:rsidP="0085505C">
      <w:pPr>
        <w:spacing w:after="0" w:line="240" w:lineRule="auto"/>
        <w:ind w:left="851" w:right="851" w:firstLine="709"/>
        <w:jc w:val="both"/>
        <w:rPr>
          <w:rFonts w:ascii="Times New Roman" w:hAnsi="Times New Roman" w:cs="Times New Roman"/>
          <w:color w:val="00B050"/>
          <w:sz w:val="26"/>
          <w:szCs w:val="26"/>
        </w:rPr>
      </w:pPr>
    </w:p>
    <w:p w14:paraId="2C6186C2" w14:textId="77777777" w:rsidR="0085505C" w:rsidRPr="002A7673" w:rsidRDefault="0085505C" w:rsidP="00FF3FAC">
      <w:pPr>
        <w:keepNext/>
        <w:keepLines/>
        <w:numPr>
          <w:ilvl w:val="1"/>
          <w:numId w:val="70"/>
        </w:numPr>
        <w:spacing w:after="0" w:line="240" w:lineRule="auto"/>
        <w:ind w:left="851" w:right="851" w:firstLine="709"/>
        <w:jc w:val="both"/>
        <w:outlineLvl w:val="1"/>
        <w:rPr>
          <w:rFonts w:ascii="Times New Roman" w:hAnsi="Times New Roman" w:cs="Times New Roman"/>
          <w:b/>
          <w:bCs/>
          <w:iCs/>
          <w:sz w:val="26"/>
          <w:szCs w:val="26"/>
        </w:rPr>
      </w:pPr>
      <w:bookmarkStart w:id="232" w:name="_Hlk65574950"/>
      <w:r w:rsidRPr="002A7673">
        <w:rPr>
          <w:rFonts w:ascii="Times New Roman" w:hAnsi="Times New Roman" w:cs="Times New Roman"/>
          <w:b/>
          <w:bCs/>
          <w:iCs/>
          <w:sz w:val="26"/>
          <w:szCs w:val="26"/>
        </w:rPr>
        <w:t>Detalle de los Proyectos que NO formularon recursos en el SPP:</w:t>
      </w:r>
    </w:p>
    <w:bookmarkEnd w:id="232"/>
    <w:p w14:paraId="347B8410"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 acuerdo con lo señalado en el punto anterior, se tiene que dos proyectos no realizaron la inclusión de recursos en el sistema, a pesar de tener previsto estar en ejecución durante el 2022. Por tal motivo, a continuación, se incluye la respectiva justificación brindada por la oficina por la cual no fue necesaria la inclusión de recursos: </w:t>
      </w:r>
    </w:p>
    <w:p w14:paraId="01862D83" w14:textId="77777777" w:rsidR="0085505C" w:rsidRPr="002A7673" w:rsidRDefault="0085505C" w:rsidP="0085505C">
      <w:pPr>
        <w:spacing w:after="0" w:line="240" w:lineRule="auto"/>
        <w:ind w:left="851" w:right="851" w:firstLine="709"/>
        <w:jc w:val="both"/>
        <w:rPr>
          <w:rFonts w:ascii="Times New Roman" w:hAnsi="Times New Roman" w:cs="Times New Roman"/>
          <w:color w:val="00B050"/>
          <w:sz w:val="26"/>
          <w:szCs w:val="26"/>
        </w:rPr>
      </w:pPr>
    </w:p>
    <w:p w14:paraId="138CA9F3"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Tabla número 6. Justificación de los proyectos que no contemplaron recursos para el 2022</w:t>
      </w:r>
    </w:p>
    <w:p w14:paraId="16607AF7" w14:textId="77777777" w:rsidR="0085505C" w:rsidRPr="002A7673" w:rsidRDefault="0085505C" w:rsidP="0085505C">
      <w:pPr>
        <w:spacing w:after="0" w:line="240" w:lineRule="auto"/>
        <w:jc w:val="center"/>
        <w:rPr>
          <w:rFonts w:ascii="Times New Roman" w:hAnsi="Times New Roman" w:cs="Times New Roman"/>
          <w:b/>
          <w:bCs/>
          <w:color w:val="00B050"/>
        </w:rPr>
      </w:pPr>
    </w:p>
    <w:tbl>
      <w:tblPr>
        <w:tblW w:w="8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2551"/>
        <w:gridCol w:w="998"/>
        <w:gridCol w:w="4015"/>
      </w:tblGrid>
      <w:tr w:rsidR="0085505C" w:rsidRPr="002A7673" w14:paraId="64CEB296" w14:textId="77777777" w:rsidTr="0048334E">
        <w:trPr>
          <w:trHeight w:val="488"/>
          <w:jc w:val="center"/>
        </w:trPr>
        <w:tc>
          <w:tcPr>
            <w:tcW w:w="1413" w:type="dxa"/>
            <w:shd w:val="clear" w:color="auto" w:fill="1F3864" w:themeFill="accent5" w:themeFillShade="80"/>
            <w:vAlign w:val="center"/>
            <w:hideMark/>
          </w:tcPr>
          <w:p w14:paraId="0E5A10BD" w14:textId="77777777" w:rsidR="0085505C" w:rsidRPr="002A7673" w:rsidRDefault="0085505C" w:rsidP="0048334E">
            <w:pPr>
              <w:spacing w:after="0" w:line="240" w:lineRule="auto"/>
              <w:jc w:val="center"/>
              <w:rPr>
                <w:rFonts w:ascii="Times New Roman" w:hAnsi="Times New Roman" w:cs="Times New Roman"/>
                <w:color w:val="FFFFFF" w:themeColor="background1"/>
                <w:sz w:val="24"/>
                <w:szCs w:val="24"/>
                <w:lang w:eastAsia="es-CR"/>
              </w:rPr>
            </w:pPr>
            <w:r w:rsidRPr="002A7673">
              <w:rPr>
                <w:rFonts w:ascii="Times New Roman" w:hAnsi="Times New Roman" w:cs="Times New Roman"/>
                <w:color w:val="FFFFFF" w:themeColor="background1"/>
                <w:sz w:val="24"/>
                <w:szCs w:val="24"/>
              </w:rPr>
              <w:t>Cod Proyecto</w:t>
            </w:r>
          </w:p>
        </w:tc>
        <w:tc>
          <w:tcPr>
            <w:tcW w:w="2551" w:type="dxa"/>
            <w:shd w:val="clear" w:color="auto" w:fill="1F3864" w:themeFill="accent5" w:themeFillShade="80"/>
            <w:vAlign w:val="center"/>
            <w:hideMark/>
          </w:tcPr>
          <w:p w14:paraId="3040EAEE"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Nombre del Proyecto</w:t>
            </w:r>
          </w:p>
        </w:tc>
        <w:tc>
          <w:tcPr>
            <w:tcW w:w="998" w:type="dxa"/>
            <w:shd w:val="clear" w:color="auto" w:fill="1F3864" w:themeFill="accent5" w:themeFillShade="80"/>
            <w:vAlign w:val="center"/>
            <w:hideMark/>
          </w:tcPr>
          <w:p w14:paraId="45817A80"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Año de fin</w:t>
            </w:r>
          </w:p>
        </w:tc>
        <w:tc>
          <w:tcPr>
            <w:tcW w:w="4015" w:type="dxa"/>
            <w:shd w:val="clear" w:color="auto" w:fill="1F3864" w:themeFill="accent5" w:themeFillShade="80"/>
            <w:vAlign w:val="center"/>
            <w:hideMark/>
          </w:tcPr>
          <w:p w14:paraId="13454E04"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b/>
                <w:bCs/>
                <w:color w:val="FFFFFF" w:themeColor="background1"/>
                <w:sz w:val="24"/>
                <w:szCs w:val="24"/>
              </w:rPr>
              <w:t>Justificación de la no inclusión de recursos en el sistema</w:t>
            </w:r>
          </w:p>
        </w:tc>
      </w:tr>
      <w:tr w:rsidR="0085505C" w:rsidRPr="002A7673" w14:paraId="379032CA" w14:textId="77777777" w:rsidTr="0048334E">
        <w:trPr>
          <w:trHeight w:val="488"/>
          <w:jc w:val="center"/>
        </w:trPr>
        <w:tc>
          <w:tcPr>
            <w:tcW w:w="1413" w:type="dxa"/>
            <w:shd w:val="clear" w:color="auto" w:fill="FFFFFF" w:themeFill="background1"/>
            <w:vAlign w:val="center"/>
          </w:tcPr>
          <w:p w14:paraId="68A61B1A" w14:textId="77777777" w:rsidR="0085505C" w:rsidRPr="002A7673" w:rsidRDefault="0085505C" w:rsidP="0048334E">
            <w:pPr>
              <w:spacing w:after="0" w:line="240" w:lineRule="auto"/>
              <w:jc w:val="center"/>
              <w:rPr>
                <w:rFonts w:ascii="Times New Roman" w:hAnsi="Times New Roman" w:cs="Times New Roman"/>
                <w:color w:val="FFFFFF" w:themeColor="background1"/>
                <w:sz w:val="24"/>
                <w:szCs w:val="24"/>
              </w:rPr>
            </w:pPr>
            <w:r w:rsidRPr="002A7673">
              <w:rPr>
                <w:rFonts w:ascii="Times New Roman" w:hAnsi="Times New Roman" w:cs="Times New Roman"/>
                <w:color w:val="000000"/>
                <w:sz w:val="24"/>
                <w:szCs w:val="24"/>
              </w:rPr>
              <w:t>0032-DP-P05</w:t>
            </w:r>
          </w:p>
        </w:tc>
        <w:tc>
          <w:tcPr>
            <w:tcW w:w="2551" w:type="dxa"/>
            <w:shd w:val="clear" w:color="auto" w:fill="FFFFFF" w:themeFill="background1"/>
            <w:vAlign w:val="center"/>
          </w:tcPr>
          <w:p w14:paraId="476AA2E4"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color w:val="000000"/>
                <w:sz w:val="24"/>
                <w:szCs w:val="24"/>
              </w:rPr>
              <w:t>Implantación del Sistema de Seguimiento de Casos</w:t>
            </w:r>
          </w:p>
        </w:tc>
        <w:tc>
          <w:tcPr>
            <w:tcW w:w="998" w:type="dxa"/>
            <w:shd w:val="clear" w:color="auto" w:fill="FFFFFF" w:themeFill="background1"/>
            <w:vAlign w:val="center"/>
          </w:tcPr>
          <w:p w14:paraId="60F7D4A0"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rPr>
            </w:pPr>
            <w:r w:rsidRPr="002A7673">
              <w:rPr>
                <w:rFonts w:ascii="Times New Roman" w:hAnsi="Times New Roman" w:cs="Times New Roman"/>
                <w:color w:val="000000"/>
                <w:sz w:val="24"/>
                <w:szCs w:val="24"/>
              </w:rPr>
              <w:t>2022</w:t>
            </w:r>
          </w:p>
        </w:tc>
        <w:tc>
          <w:tcPr>
            <w:tcW w:w="4015" w:type="dxa"/>
            <w:shd w:val="clear" w:color="auto" w:fill="FFFFFF" w:themeFill="background1"/>
            <w:vAlign w:val="center"/>
          </w:tcPr>
          <w:p w14:paraId="1EA4E920" w14:textId="77777777" w:rsidR="0085505C" w:rsidRPr="002A7673" w:rsidRDefault="0085505C" w:rsidP="0048334E">
            <w:pPr>
              <w:spacing w:after="0" w:line="240" w:lineRule="auto"/>
              <w:jc w:val="both"/>
              <w:rPr>
                <w:rFonts w:ascii="Times New Roman" w:hAnsi="Times New Roman" w:cs="Times New Roman"/>
                <w:sz w:val="24"/>
                <w:szCs w:val="24"/>
              </w:rPr>
            </w:pPr>
            <w:r w:rsidRPr="002A7673">
              <w:rPr>
                <w:rFonts w:ascii="Times New Roman" w:hAnsi="Times New Roman" w:cs="Times New Roman"/>
                <w:sz w:val="24"/>
                <w:szCs w:val="24"/>
              </w:rPr>
              <w:t>Para el 2022 solo se requiere el recurso humano para llevar a cabo la ejecución del proyecto, las otras necesidades se pueden cubrir con los recursos ordinarios.</w:t>
            </w:r>
          </w:p>
        </w:tc>
      </w:tr>
      <w:tr w:rsidR="0085505C" w:rsidRPr="002A7673" w14:paraId="3A47B2BD" w14:textId="77777777" w:rsidTr="0048334E">
        <w:trPr>
          <w:trHeight w:val="300"/>
          <w:jc w:val="center"/>
        </w:trPr>
        <w:tc>
          <w:tcPr>
            <w:tcW w:w="1413" w:type="dxa"/>
            <w:shd w:val="clear" w:color="auto" w:fill="auto"/>
            <w:noWrap/>
            <w:vAlign w:val="center"/>
          </w:tcPr>
          <w:p w14:paraId="31F931C5"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0032-DP-P02</w:t>
            </w:r>
          </w:p>
        </w:tc>
        <w:tc>
          <w:tcPr>
            <w:tcW w:w="2551" w:type="dxa"/>
            <w:shd w:val="clear" w:color="auto" w:fill="auto"/>
            <w:noWrap/>
            <w:vAlign w:val="center"/>
          </w:tcPr>
          <w:p w14:paraId="3FF729DC"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Estrategias de Coordinación de la Defensa Pública</w:t>
            </w:r>
          </w:p>
        </w:tc>
        <w:tc>
          <w:tcPr>
            <w:tcW w:w="998" w:type="dxa"/>
            <w:shd w:val="clear" w:color="auto" w:fill="auto"/>
            <w:noWrap/>
            <w:vAlign w:val="center"/>
          </w:tcPr>
          <w:p w14:paraId="080DA7DB" w14:textId="77777777" w:rsidR="0085505C" w:rsidRPr="002A7673" w:rsidRDefault="0085505C" w:rsidP="0048334E">
            <w:pPr>
              <w:spacing w:after="0" w:line="240" w:lineRule="auto"/>
              <w:jc w:val="center"/>
              <w:rPr>
                <w:rFonts w:ascii="Times New Roman" w:hAnsi="Times New Roman" w:cs="Times New Roman"/>
                <w:color w:val="000000"/>
                <w:sz w:val="24"/>
                <w:szCs w:val="24"/>
              </w:rPr>
            </w:pPr>
            <w:r w:rsidRPr="002A7673">
              <w:rPr>
                <w:rFonts w:ascii="Times New Roman" w:hAnsi="Times New Roman" w:cs="Times New Roman"/>
                <w:color w:val="000000"/>
                <w:sz w:val="24"/>
                <w:szCs w:val="24"/>
              </w:rPr>
              <w:t>2023</w:t>
            </w:r>
          </w:p>
        </w:tc>
        <w:tc>
          <w:tcPr>
            <w:tcW w:w="4015" w:type="dxa"/>
            <w:shd w:val="clear" w:color="auto" w:fill="auto"/>
            <w:noWrap/>
            <w:vAlign w:val="center"/>
            <w:hideMark/>
          </w:tcPr>
          <w:p w14:paraId="0EED2240" w14:textId="77777777" w:rsidR="0085505C" w:rsidRPr="002A7673" w:rsidRDefault="0085505C" w:rsidP="0048334E">
            <w:pPr>
              <w:spacing w:after="0" w:line="240" w:lineRule="auto"/>
              <w:jc w:val="both"/>
              <w:rPr>
                <w:rFonts w:ascii="Times New Roman" w:hAnsi="Times New Roman" w:cs="Times New Roman"/>
                <w:i/>
                <w:iCs/>
                <w:sz w:val="24"/>
                <w:szCs w:val="24"/>
              </w:rPr>
            </w:pPr>
            <w:r w:rsidRPr="002A7673">
              <w:rPr>
                <w:rFonts w:ascii="Times New Roman" w:hAnsi="Times New Roman" w:cs="Times New Roman"/>
                <w:sz w:val="24"/>
                <w:szCs w:val="24"/>
              </w:rPr>
              <w:t>Para este proyecto se requiere recurso tecnológico que se canalizará por otra vía y los recursos adicionales se cubrirán con el presupuesto ordinario por las limitaciones presupuestarias.</w:t>
            </w:r>
          </w:p>
        </w:tc>
      </w:tr>
    </w:tbl>
    <w:p w14:paraId="6BA0CD0E" w14:textId="77777777" w:rsidR="0085505C" w:rsidRPr="002A7673" w:rsidRDefault="0085505C" w:rsidP="0085505C">
      <w:pPr>
        <w:spacing w:after="0" w:line="360" w:lineRule="auto"/>
        <w:jc w:val="both"/>
        <w:rPr>
          <w:rFonts w:ascii="Times New Roman" w:hAnsi="Times New Roman" w:cs="Times New Roman"/>
          <w:color w:val="00B050"/>
        </w:rPr>
      </w:pPr>
    </w:p>
    <w:p w14:paraId="12E78E78" w14:textId="77777777" w:rsidR="0085505C" w:rsidRPr="002A7673" w:rsidRDefault="0085505C" w:rsidP="00FF3FAC">
      <w:pPr>
        <w:keepNext/>
        <w:keepLines/>
        <w:numPr>
          <w:ilvl w:val="1"/>
          <w:numId w:val="70"/>
        </w:numPr>
        <w:spacing w:after="0" w:line="240" w:lineRule="auto"/>
        <w:ind w:left="851" w:right="851" w:firstLine="1440"/>
        <w:jc w:val="both"/>
        <w:outlineLvl w:val="1"/>
        <w:rPr>
          <w:rFonts w:ascii="Times New Roman" w:hAnsi="Times New Roman" w:cs="Times New Roman"/>
          <w:b/>
          <w:bCs/>
          <w:iCs/>
          <w:sz w:val="26"/>
          <w:szCs w:val="26"/>
        </w:rPr>
      </w:pPr>
      <w:bookmarkStart w:id="233" w:name="_Hlk65574972"/>
      <w:r w:rsidRPr="002A7673">
        <w:rPr>
          <w:rFonts w:ascii="Times New Roman" w:hAnsi="Times New Roman" w:cs="Times New Roman"/>
          <w:b/>
          <w:bCs/>
          <w:iCs/>
          <w:sz w:val="26"/>
          <w:szCs w:val="26"/>
        </w:rPr>
        <w:t xml:space="preserve">Análisis de los recursos formulados para el 2022 relacionados con la ejecución de los proyectos estratégicos: </w:t>
      </w:r>
    </w:p>
    <w:p w14:paraId="58515926" w14:textId="77777777" w:rsidR="0085505C" w:rsidRPr="002A7673" w:rsidRDefault="0085505C" w:rsidP="00CB2D90">
      <w:pPr>
        <w:pStyle w:val="AAgestin0"/>
      </w:pPr>
    </w:p>
    <w:bookmarkEnd w:id="233"/>
    <w:p w14:paraId="43D5F28D" w14:textId="77777777" w:rsidR="0085505C" w:rsidRPr="002A7673" w:rsidRDefault="0085505C" w:rsidP="0085505C">
      <w:pPr>
        <w:spacing w:after="0" w:line="240" w:lineRule="auto"/>
        <w:ind w:left="851" w:right="851" w:firstLine="1440"/>
        <w:jc w:val="both"/>
        <w:rPr>
          <w:rFonts w:ascii="Times New Roman" w:hAnsi="Times New Roman" w:cs="Times New Roman"/>
          <w:sz w:val="26"/>
          <w:szCs w:val="26"/>
        </w:rPr>
      </w:pPr>
      <w:r w:rsidRPr="002A7673">
        <w:rPr>
          <w:rFonts w:ascii="Times New Roman" w:hAnsi="Times New Roman" w:cs="Times New Roman"/>
          <w:sz w:val="26"/>
          <w:szCs w:val="26"/>
        </w:rPr>
        <w:t>En cuanto al análisis de los recursos formulados asociados a proyectos, a continuación, se incluye el detalle por subpartida de los montos proyectados para el 2022.</w:t>
      </w:r>
    </w:p>
    <w:p w14:paraId="01C6ECB5" w14:textId="77777777" w:rsidR="0085505C" w:rsidRPr="002A7673" w:rsidRDefault="0085505C" w:rsidP="0085505C">
      <w:pPr>
        <w:spacing w:after="0" w:line="240" w:lineRule="auto"/>
        <w:ind w:left="851" w:right="851" w:firstLine="1440"/>
        <w:jc w:val="both"/>
        <w:rPr>
          <w:rFonts w:ascii="Times New Roman" w:hAnsi="Times New Roman" w:cs="Times New Roman"/>
          <w:b/>
          <w:bCs/>
          <w:sz w:val="26"/>
          <w:szCs w:val="26"/>
        </w:rPr>
      </w:pPr>
    </w:p>
    <w:p w14:paraId="47739B4B" w14:textId="77777777" w:rsidR="0085505C" w:rsidRPr="002A7673" w:rsidRDefault="0085505C" w:rsidP="0085505C">
      <w:pPr>
        <w:spacing w:after="0" w:line="240" w:lineRule="auto"/>
        <w:ind w:left="851" w:right="851" w:firstLine="1440"/>
        <w:jc w:val="both"/>
        <w:rPr>
          <w:rFonts w:ascii="Times New Roman" w:hAnsi="Times New Roman" w:cs="Times New Roman"/>
          <w:b/>
          <w:bCs/>
          <w:sz w:val="26"/>
          <w:szCs w:val="26"/>
        </w:rPr>
      </w:pPr>
      <w:r w:rsidRPr="002A7673">
        <w:rPr>
          <w:rFonts w:ascii="Times New Roman" w:hAnsi="Times New Roman" w:cs="Times New Roman"/>
          <w:b/>
          <w:bCs/>
          <w:sz w:val="26"/>
          <w:szCs w:val="26"/>
        </w:rPr>
        <w:t xml:space="preserve">Tabla número 7. </w:t>
      </w:r>
      <w:r w:rsidRPr="002A7673">
        <w:rPr>
          <w:rFonts w:ascii="Times New Roman" w:hAnsi="Times New Roman" w:cs="Times New Roman"/>
          <w:sz w:val="26"/>
          <w:szCs w:val="26"/>
        </w:rPr>
        <w:t>Recursos formulados</w:t>
      </w:r>
    </w:p>
    <w:tbl>
      <w:tblPr>
        <w:tblW w:w="5292" w:type="pct"/>
        <w:tblLayout w:type="fixed"/>
        <w:tblCellMar>
          <w:left w:w="70" w:type="dxa"/>
          <w:right w:w="70" w:type="dxa"/>
        </w:tblCellMar>
        <w:tblLook w:val="04A0" w:firstRow="1" w:lastRow="0" w:firstColumn="1" w:lastColumn="0" w:noHBand="0" w:noVBand="1"/>
      </w:tblPr>
      <w:tblGrid>
        <w:gridCol w:w="965"/>
        <w:gridCol w:w="1379"/>
        <w:gridCol w:w="1107"/>
        <w:gridCol w:w="2311"/>
        <w:gridCol w:w="10"/>
        <w:gridCol w:w="1305"/>
        <w:gridCol w:w="10"/>
        <w:gridCol w:w="3132"/>
        <w:gridCol w:w="8"/>
      </w:tblGrid>
      <w:tr w:rsidR="0085505C" w:rsidRPr="002A7673" w14:paraId="5314F41A" w14:textId="77777777" w:rsidTr="0048334E">
        <w:trPr>
          <w:trHeight w:val="645"/>
        </w:trPr>
        <w:tc>
          <w:tcPr>
            <w:tcW w:w="472" w:type="pct"/>
            <w:tcBorders>
              <w:top w:val="single" w:sz="4" w:space="0" w:color="auto"/>
              <w:left w:val="single" w:sz="4" w:space="0" w:color="auto"/>
              <w:bottom w:val="nil"/>
              <w:right w:val="single" w:sz="4" w:space="0" w:color="auto"/>
            </w:tcBorders>
            <w:shd w:val="clear" w:color="000000" w:fill="1F4E78"/>
            <w:vAlign w:val="center"/>
            <w:hideMark/>
          </w:tcPr>
          <w:p w14:paraId="39196749" w14:textId="77777777" w:rsidR="0085505C" w:rsidRPr="002A7673" w:rsidRDefault="0085505C" w:rsidP="0048334E">
            <w:pPr>
              <w:spacing w:after="0" w:line="24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color w:val="FFFFFF"/>
                <w:sz w:val="24"/>
                <w:szCs w:val="24"/>
              </w:rPr>
              <w:t>Cod Proyecto</w:t>
            </w:r>
          </w:p>
        </w:tc>
        <w:tc>
          <w:tcPr>
            <w:tcW w:w="674" w:type="pct"/>
            <w:tcBorders>
              <w:top w:val="single" w:sz="4" w:space="0" w:color="auto"/>
              <w:left w:val="nil"/>
              <w:bottom w:val="nil"/>
              <w:right w:val="single" w:sz="4" w:space="0" w:color="auto"/>
            </w:tcBorders>
            <w:shd w:val="clear" w:color="D9E1F2" w:fill="1F4E78"/>
            <w:vAlign w:val="center"/>
            <w:hideMark/>
          </w:tcPr>
          <w:p w14:paraId="1E9C409A"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Nombre del Proyecto</w:t>
            </w:r>
          </w:p>
        </w:tc>
        <w:tc>
          <w:tcPr>
            <w:tcW w:w="1676" w:type="pct"/>
            <w:gridSpan w:val="3"/>
            <w:tcBorders>
              <w:top w:val="nil"/>
              <w:left w:val="nil"/>
              <w:bottom w:val="nil"/>
              <w:right w:val="nil"/>
            </w:tcBorders>
            <w:shd w:val="clear" w:color="000000" w:fill="1F4E78"/>
            <w:vAlign w:val="center"/>
            <w:hideMark/>
          </w:tcPr>
          <w:p w14:paraId="6B6708B1"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Subpartida</w:t>
            </w:r>
          </w:p>
        </w:tc>
        <w:tc>
          <w:tcPr>
            <w:tcW w:w="643" w:type="pct"/>
            <w:gridSpan w:val="2"/>
            <w:tcBorders>
              <w:top w:val="nil"/>
              <w:left w:val="nil"/>
              <w:bottom w:val="nil"/>
              <w:right w:val="nil"/>
            </w:tcBorders>
            <w:shd w:val="clear" w:color="000000" w:fill="1F4E78"/>
            <w:vAlign w:val="center"/>
            <w:hideMark/>
          </w:tcPr>
          <w:p w14:paraId="6AC569B5"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Recursos proyectados</w:t>
            </w:r>
          </w:p>
        </w:tc>
        <w:tc>
          <w:tcPr>
            <w:tcW w:w="1536" w:type="pct"/>
            <w:gridSpan w:val="2"/>
            <w:tcBorders>
              <w:top w:val="nil"/>
              <w:left w:val="nil"/>
              <w:bottom w:val="single" w:sz="4" w:space="0" w:color="auto"/>
              <w:right w:val="nil"/>
            </w:tcBorders>
            <w:shd w:val="clear" w:color="000000" w:fill="1F4E78"/>
            <w:vAlign w:val="center"/>
            <w:hideMark/>
          </w:tcPr>
          <w:p w14:paraId="327524E3" w14:textId="77777777" w:rsidR="0085505C" w:rsidRPr="002A7673" w:rsidRDefault="0085505C" w:rsidP="0048334E">
            <w:pPr>
              <w:spacing w:after="0" w:line="240" w:lineRule="auto"/>
              <w:jc w:val="center"/>
              <w:rPr>
                <w:rFonts w:ascii="Times New Roman" w:hAnsi="Times New Roman" w:cs="Times New Roman"/>
                <w:b/>
                <w:bCs/>
                <w:color w:val="FFFFFF"/>
                <w:sz w:val="24"/>
                <w:szCs w:val="24"/>
              </w:rPr>
            </w:pPr>
            <w:r w:rsidRPr="002A7673">
              <w:rPr>
                <w:rFonts w:ascii="Times New Roman" w:hAnsi="Times New Roman" w:cs="Times New Roman"/>
                <w:b/>
                <w:bCs/>
                <w:color w:val="FFFFFF"/>
                <w:sz w:val="24"/>
                <w:szCs w:val="24"/>
              </w:rPr>
              <w:t>Justificación de los recursos</w:t>
            </w:r>
          </w:p>
        </w:tc>
      </w:tr>
      <w:tr w:rsidR="0085505C" w:rsidRPr="002A7673" w14:paraId="1B48E607" w14:textId="77777777" w:rsidTr="0048334E">
        <w:trPr>
          <w:gridAfter w:val="1"/>
          <w:wAfter w:w="5" w:type="pct"/>
          <w:trHeight w:val="270"/>
        </w:trPr>
        <w:tc>
          <w:tcPr>
            <w:tcW w:w="4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E568E7" w14:textId="77777777" w:rsidR="0085505C" w:rsidRPr="002A7673" w:rsidRDefault="0085505C" w:rsidP="0048334E">
            <w:pPr>
              <w:spacing w:after="0" w:line="240" w:lineRule="auto"/>
              <w:rPr>
                <w:rFonts w:ascii="Times New Roman" w:hAnsi="Times New Roman" w:cs="Times New Roman"/>
                <w:b/>
                <w:bCs/>
                <w:sz w:val="24"/>
                <w:szCs w:val="24"/>
              </w:rPr>
            </w:pPr>
            <w:r w:rsidRPr="002A7673">
              <w:rPr>
                <w:rFonts w:ascii="Times New Roman" w:hAnsi="Times New Roman" w:cs="Times New Roman"/>
                <w:b/>
                <w:bCs/>
                <w:sz w:val="24"/>
                <w:szCs w:val="24"/>
              </w:rPr>
              <w:t>0032-DP-P01</w:t>
            </w:r>
          </w:p>
        </w:tc>
        <w:tc>
          <w:tcPr>
            <w:tcW w:w="6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F64F7E" w14:textId="77777777" w:rsidR="0085505C" w:rsidRPr="002A7673" w:rsidRDefault="0085505C" w:rsidP="0048334E">
            <w:pPr>
              <w:spacing w:after="0" w:line="24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Estrategia de Comunicación y Proyección de la Defensa Pública</w:t>
            </w:r>
          </w:p>
        </w:tc>
        <w:tc>
          <w:tcPr>
            <w:tcW w:w="541" w:type="pct"/>
            <w:tcBorders>
              <w:top w:val="single" w:sz="4" w:space="0" w:color="auto"/>
              <w:left w:val="nil"/>
              <w:bottom w:val="single" w:sz="4" w:space="0" w:color="auto"/>
              <w:right w:val="single" w:sz="4" w:space="0" w:color="auto"/>
            </w:tcBorders>
            <w:shd w:val="clear" w:color="auto" w:fill="auto"/>
            <w:noWrap/>
            <w:vAlign w:val="center"/>
          </w:tcPr>
          <w:p w14:paraId="00546BFF"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10502</w:t>
            </w:r>
          </w:p>
        </w:tc>
        <w:tc>
          <w:tcPr>
            <w:tcW w:w="1130" w:type="pct"/>
            <w:tcBorders>
              <w:top w:val="single" w:sz="4" w:space="0" w:color="auto"/>
              <w:left w:val="nil"/>
              <w:bottom w:val="single" w:sz="4" w:space="0" w:color="auto"/>
              <w:right w:val="single" w:sz="4" w:space="0" w:color="auto"/>
            </w:tcBorders>
            <w:shd w:val="clear" w:color="auto" w:fill="auto"/>
            <w:noWrap/>
            <w:vAlign w:val="center"/>
          </w:tcPr>
          <w:p w14:paraId="41BFB33C"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Viáticos dentro del País</w:t>
            </w:r>
          </w:p>
        </w:tc>
        <w:tc>
          <w:tcPr>
            <w:tcW w:w="643" w:type="pct"/>
            <w:gridSpan w:val="2"/>
            <w:tcBorders>
              <w:top w:val="single" w:sz="4" w:space="0" w:color="auto"/>
              <w:left w:val="nil"/>
              <w:bottom w:val="single" w:sz="4" w:space="0" w:color="auto"/>
              <w:right w:val="single" w:sz="4" w:space="0" w:color="auto"/>
            </w:tcBorders>
            <w:shd w:val="clear" w:color="auto" w:fill="auto"/>
            <w:noWrap/>
            <w:vAlign w:val="center"/>
          </w:tcPr>
          <w:p w14:paraId="724BD4F8"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¢1.500.000</w:t>
            </w:r>
          </w:p>
        </w:tc>
        <w:tc>
          <w:tcPr>
            <w:tcW w:w="1536" w:type="pct"/>
            <w:gridSpan w:val="2"/>
            <w:vMerge w:val="restart"/>
            <w:tcBorders>
              <w:top w:val="single" w:sz="4" w:space="0" w:color="auto"/>
              <w:left w:val="nil"/>
              <w:bottom w:val="single" w:sz="4" w:space="0" w:color="auto"/>
              <w:right w:val="single" w:sz="4" w:space="0" w:color="auto"/>
            </w:tcBorders>
            <w:shd w:val="clear" w:color="auto" w:fill="auto"/>
            <w:noWrap/>
            <w:vAlign w:val="center"/>
          </w:tcPr>
          <w:p w14:paraId="623623F4" w14:textId="77777777" w:rsidR="0085505C" w:rsidRPr="002A7673" w:rsidRDefault="0085505C" w:rsidP="0048334E">
            <w:pPr>
              <w:spacing w:after="0" w:line="240" w:lineRule="auto"/>
              <w:jc w:val="both"/>
              <w:rPr>
                <w:rFonts w:ascii="Times New Roman" w:hAnsi="Times New Roman" w:cs="Times New Roman"/>
                <w:i/>
                <w:iCs/>
                <w:color w:val="000000"/>
                <w:sz w:val="24"/>
                <w:szCs w:val="24"/>
              </w:rPr>
            </w:pPr>
            <w:r w:rsidRPr="002A7673">
              <w:rPr>
                <w:rFonts w:ascii="Times New Roman" w:hAnsi="Times New Roman" w:cs="Times New Roman"/>
                <w:i/>
                <w:iCs/>
                <w:color w:val="000000"/>
                <w:sz w:val="24"/>
                <w:szCs w:val="24"/>
              </w:rPr>
              <w:t xml:space="preserve">Los recursos solicitados son necesarios para la compra de artículos como: cámara fotográfica, </w:t>
            </w:r>
            <w:proofErr w:type="gramStart"/>
            <w:r w:rsidRPr="002A7673">
              <w:rPr>
                <w:rFonts w:ascii="Times New Roman" w:hAnsi="Times New Roman" w:cs="Times New Roman"/>
                <w:i/>
                <w:iCs/>
                <w:color w:val="000000"/>
                <w:sz w:val="24"/>
                <w:szCs w:val="24"/>
              </w:rPr>
              <w:t>flash</w:t>
            </w:r>
            <w:proofErr w:type="gramEnd"/>
            <w:r w:rsidRPr="002A7673">
              <w:rPr>
                <w:rFonts w:ascii="Times New Roman" w:hAnsi="Times New Roman" w:cs="Times New Roman"/>
                <w:i/>
                <w:iCs/>
                <w:color w:val="000000"/>
                <w:sz w:val="24"/>
                <w:szCs w:val="24"/>
              </w:rPr>
              <w:t xml:space="preserve"> para cámara, trípode y licencias de software. Adicionalmente se contemplan los recursos para cubrir los viáticos del profesional a cargo de este proyecto. </w:t>
            </w:r>
          </w:p>
          <w:p w14:paraId="520E3D34" w14:textId="77777777" w:rsidR="0085505C" w:rsidRPr="002A7673" w:rsidRDefault="0085505C" w:rsidP="0048334E">
            <w:pPr>
              <w:spacing w:after="0" w:line="240" w:lineRule="auto"/>
              <w:jc w:val="both"/>
              <w:rPr>
                <w:rFonts w:ascii="Times New Roman" w:hAnsi="Times New Roman" w:cs="Times New Roman"/>
                <w:i/>
                <w:iCs/>
                <w:color w:val="000000"/>
                <w:sz w:val="24"/>
                <w:szCs w:val="24"/>
              </w:rPr>
            </w:pPr>
          </w:p>
          <w:p w14:paraId="074ECD82" w14:textId="77777777" w:rsidR="0085505C" w:rsidRPr="002A7673" w:rsidRDefault="0085505C" w:rsidP="0048334E">
            <w:pPr>
              <w:spacing w:after="0" w:line="240" w:lineRule="auto"/>
              <w:jc w:val="both"/>
              <w:rPr>
                <w:rFonts w:ascii="Times New Roman" w:hAnsi="Times New Roman" w:cs="Times New Roman"/>
                <w:color w:val="000000"/>
                <w:sz w:val="24"/>
                <w:szCs w:val="24"/>
              </w:rPr>
            </w:pPr>
            <w:r w:rsidRPr="002A7673">
              <w:rPr>
                <w:rFonts w:ascii="Times New Roman" w:hAnsi="Times New Roman" w:cs="Times New Roman"/>
                <w:i/>
                <w:iCs/>
                <w:color w:val="000000"/>
                <w:sz w:val="24"/>
                <w:szCs w:val="24"/>
              </w:rPr>
              <w:t xml:space="preserve">Recursos necesarios para poder definir una estrategia de comunicación, e implementar </w:t>
            </w:r>
            <w:r w:rsidRPr="002A7673">
              <w:rPr>
                <w:rFonts w:ascii="Times New Roman" w:hAnsi="Times New Roman" w:cs="Times New Roman"/>
                <w:i/>
                <w:iCs/>
                <w:color w:val="000000"/>
                <w:sz w:val="24"/>
                <w:szCs w:val="24"/>
              </w:rPr>
              <w:lastRenderedPageBreak/>
              <w:t>una proyección de la Defensa Pública que permita reafirmar la confianza, transparencia, cooperación y rendición de cuentas institucional. </w:t>
            </w:r>
          </w:p>
          <w:p w14:paraId="752EB0FE"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w:t>
            </w:r>
          </w:p>
        </w:tc>
      </w:tr>
      <w:tr w:rsidR="0085505C" w:rsidRPr="002A7673" w14:paraId="5A9EEBDE" w14:textId="77777777" w:rsidTr="0048334E">
        <w:trPr>
          <w:gridAfter w:val="1"/>
          <w:wAfter w:w="5" w:type="pct"/>
          <w:trHeight w:val="475"/>
        </w:trPr>
        <w:tc>
          <w:tcPr>
            <w:tcW w:w="472"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6AD67CB" w14:textId="77777777" w:rsidR="0085505C" w:rsidRPr="002A7673" w:rsidRDefault="0085505C" w:rsidP="0048334E">
            <w:pPr>
              <w:spacing w:after="0" w:line="240" w:lineRule="auto"/>
              <w:rPr>
                <w:rFonts w:ascii="Times New Roman" w:hAnsi="Times New Roman" w:cs="Times New Roman"/>
                <w:b/>
                <w:bCs/>
                <w:sz w:val="24"/>
                <w:szCs w:val="24"/>
              </w:rPr>
            </w:pPr>
          </w:p>
        </w:tc>
        <w:tc>
          <w:tcPr>
            <w:tcW w:w="674"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573BB00" w14:textId="77777777" w:rsidR="0085505C" w:rsidRPr="002A7673" w:rsidRDefault="0085505C" w:rsidP="0048334E">
            <w:pPr>
              <w:spacing w:after="0" w:line="240" w:lineRule="auto"/>
              <w:jc w:val="center"/>
              <w:rPr>
                <w:rFonts w:ascii="Times New Roman" w:hAnsi="Times New Roman" w:cs="Times New Roman"/>
                <w:b/>
                <w:bCs/>
                <w:sz w:val="24"/>
                <w:szCs w:val="24"/>
              </w:rPr>
            </w:pPr>
          </w:p>
        </w:tc>
        <w:tc>
          <w:tcPr>
            <w:tcW w:w="541" w:type="pct"/>
            <w:tcBorders>
              <w:top w:val="single" w:sz="4" w:space="0" w:color="auto"/>
              <w:left w:val="nil"/>
              <w:bottom w:val="single" w:sz="4" w:space="0" w:color="auto"/>
              <w:right w:val="single" w:sz="4" w:space="0" w:color="auto"/>
            </w:tcBorders>
            <w:shd w:val="clear" w:color="auto" w:fill="auto"/>
            <w:noWrap/>
            <w:vAlign w:val="center"/>
          </w:tcPr>
          <w:p w14:paraId="53D9CA30"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20402</w:t>
            </w:r>
          </w:p>
        </w:tc>
        <w:tc>
          <w:tcPr>
            <w:tcW w:w="1130" w:type="pct"/>
            <w:tcBorders>
              <w:top w:val="single" w:sz="4" w:space="0" w:color="auto"/>
              <w:left w:val="nil"/>
              <w:bottom w:val="single" w:sz="4" w:space="0" w:color="auto"/>
              <w:right w:val="single" w:sz="4" w:space="0" w:color="auto"/>
            </w:tcBorders>
            <w:shd w:val="clear" w:color="auto" w:fill="auto"/>
            <w:noWrap/>
            <w:vAlign w:val="center"/>
          </w:tcPr>
          <w:p w14:paraId="652E6F73"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Repuestos y accesorios</w:t>
            </w:r>
          </w:p>
        </w:tc>
        <w:tc>
          <w:tcPr>
            <w:tcW w:w="643" w:type="pct"/>
            <w:gridSpan w:val="2"/>
            <w:tcBorders>
              <w:top w:val="single" w:sz="4" w:space="0" w:color="auto"/>
              <w:left w:val="nil"/>
              <w:bottom w:val="single" w:sz="4" w:space="0" w:color="auto"/>
              <w:right w:val="single" w:sz="4" w:space="0" w:color="auto"/>
            </w:tcBorders>
            <w:shd w:val="clear" w:color="auto" w:fill="auto"/>
            <w:noWrap/>
            <w:vAlign w:val="center"/>
          </w:tcPr>
          <w:p w14:paraId="41766AB7"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¢474.600</w:t>
            </w:r>
          </w:p>
        </w:tc>
        <w:tc>
          <w:tcPr>
            <w:tcW w:w="1536" w:type="pct"/>
            <w:gridSpan w:val="2"/>
            <w:vMerge/>
            <w:tcBorders>
              <w:top w:val="single" w:sz="4" w:space="0" w:color="auto"/>
              <w:left w:val="nil"/>
              <w:bottom w:val="single" w:sz="4" w:space="0" w:color="auto"/>
              <w:right w:val="single" w:sz="4" w:space="0" w:color="auto"/>
            </w:tcBorders>
            <w:shd w:val="clear" w:color="auto" w:fill="auto"/>
            <w:noWrap/>
            <w:vAlign w:val="center"/>
          </w:tcPr>
          <w:p w14:paraId="76E8C372" w14:textId="77777777" w:rsidR="0085505C" w:rsidRPr="002A7673" w:rsidRDefault="0085505C" w:rsidP="0048334E">
            <w:pPr>
              <w:spacing w:after="0" w:line="240" w:lineRule="auto"/>
              <w:rPr>
                <w:rFonts w:ascii="Times New Roman" w:hAnsi="Times New Roman" w:cs="Times New Roman"/>
                <w:i/>
                <w:iCs/>
                <w:color w:val="000000"/>
                <w:sz w:val="24"/>
                <w:szCs w:val="24"/>
                <w:highlight w:val="yellow"/>
              </w:rPr>
            </w:pPr>
          </w:p>
        </w:tc>
      </w:tr>
      <w:tr w:rsidR="0085505C" w:rsidRPr="002A7673" w14:paraId="5A033692" w14:textId="77777777" w:rsidTr="0048334E">
        <w:trPr>
          <w:gridAfter w:val="1"/>
          <w:wAfter w:w="5" w:type="pct"/>
          <w:trHeight w:val="620"/>
        </w:trPr>
        <w:tc>
          <w:tcPr>
            <w:tcW w:w="472" w:type="pct"/>
            <w:vMerge/>
            <w:tcBorders>
              <w:top w:val="single" w:sz="4" w:space="0" w:color="auto"/>
              <w:left w:val="single" w:sz="4" w:space="0" w:color="auto"/>
              <w:bottom w:val="single" w:sz="4" w:space="0" w:color="auto"/>
              <w:right w:val="single" w:sz="4" w:space="0" w:color="auto"/>
            </w:tcBorders>
            <w:vAlign w:val="center"/>
            <w:hideMark/>
          </w:tcPr>
          <w:p w14:paraId="1DCB7C71" w14:textId="77777777" w:rsidR="0085505C" w:rsidRPr="002A7673" w:rsidRDefault="0085505C" w:rsidP="0048334E">
            <w:pPr>
              <w:spacing w:after="0" w:line="240" w:lineRule="auto"/>
              <w:rPr>
                <w:rFonts w:ascii="Times New Roman" w:hAnsi="Times New Roman" w:cs="Times New Roman"/>
                <w:b/>
                <w:bCs/>
                <w:sz w:val="24"/>
                <w:szCs w:val="24"/>
              </w:rPr>
            </w:pPr>
          </w:p>
        </w:tc>
        <w:tc>
          <w:tcPr>
            <w:tcW w:w="674" w:type="pct"/>
            <w:vMerge/>
            <w:tcBorders>
              <w:top w:val="single" w:sz="4" w:space="0" w:color="auto"/>
              <w:left w:val="single" w:sz="4" w:space="0" w:color="auto"/>
              <w:bottom w:val="single" w:sz="4" w:space="0" w:color="auto"/>
              <w:right w:val="single" w:sz="4" w:space="0" w:color="auto"/>
            </w:tcBorders>
            <w:vAlign w:val="center"/>
            <w:hideMark/>
          </w:tcPr>
          <w:p w14:paraId="2271B7E5" w14:textId="77777777" w:rsidR="0085505C" w:rsidRPr="002A7673" w:rsidRDefault="0085505C" w:rsidP="0048334E">
            <w:pPr>
              <w:spacing w:after="0" w:line="240" w:lineRule="auto"/>
              <w:rPr>
                <w:rFonts w:ascii="Times New Roman" w:hAnsi="Times New Roman" w:cs="Times New Roman"/>
                <w:b/>
                <w:bCs/>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14:paraId="7FA8928C"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50199</w:t>
            </w:r>
          </w:p>
        </w:tc>
        <w:tc>
          <w:tcPr>
            <w:tcW w:w="1130" w:type="pct"/>
            <w:tcBorders>
              <w:top w:val="nil"/>
              <w:left w:val="nil"/>
              <w:bottom w:val="single" w:sz="4" w:space="0" w:color="auto"/>
              <w:right w:val="single" w:sz="4" w:space="0" w:color="auto"/>
            </w:tcBorders>
            <w:shd w:val="clear" w:color="auto" w:fill="auto"/>
            <w:noWrap/>
            <w:vAlign w:val="center"/>
          </w:tcPr>
          <w:p w14:paraId="010AF435"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Maquinaria y equipo diverso</w:t>
            </w:r>
          </w:p>
        </w:tc>
        <w:tc>
          <w:tcPr>
            <w:tcW w:w="643" w:type="pct"/>
            <w:gridSpan w:val="2"/>
            <w:tcBorders>
              <w:top w:val="nil"/>
              <w:left w:val="nil"/>
              <w:bottom w:val="single" w:sz="4" w:space="0" w:color="auto"/>
              <w:right w:val="single" w:sz="4" w:space="0" w:color="auto"/>
            </w:tcBorders>
            <w:shd w:val="clear" w:color="auto" w:fill="auto"/>
            <w:noWrap/>
            <w:vAlign w:val="center"/>
          </w:tcPr>
          <w:p w14:paraId="1C4745BC"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¢1.471.995</w:t>
            </w:r>
          </w:p>
        </w:tc>
        <w:tc>
          <w:tcPr>
            <w:tcW w:w="1536" w:type="pct"/>
            <w:gridSpan w:val="2"/>
            <w:vMerge/>
            <w:tcBorders>
              <w:top w:val="single" w:sz="4" w:space="0" w:color="auto"/>
              <w:left w:val="nil"/>
              <w:bottom w:val="single" w:sz="4" w:space="0" w:color="auto"/>
              <w:right w:val="single" w:sz="4" w:space="0" w:color="auto"/>
            </w:tcBorders>
            <w:shd w:val="clear" w:color="auto" w:fill="auto"/>
            <w:noWrap/>
            <w:vAlign w:val="center"/>
            <w:hideMark/>
          </w:tcPr>
          <w:p w14:paraId="754B04C7"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02DE8D1A" w14:textId="77777777" w:rsidTr="0048334E">
        <w:trPr>
          <w:gridAfter w:val="1"/>
          <w:wAfter w:w="5" w:type="pct"/>
          <w:trHeight w:val="270"/>
        </w:trPr>
        <w:tc>
          <w:tcPr>
            <w:tcW w:w="472" w:type="pct"/>
            <w:vMerge/>
            <w:tcBorders>
              <w:top w:val="single" w:sz="4" w:space="0" w:color="auto"/>
              <w:left w:val="single" w:sz="4" w:space="0" w:color="auto"/>
              <w:bottom w:val="single" w:sz="4" w:space="0" w:color="auto"/>
              <w:right w:val="single" w:sz="4" w:space="0" w:color="auto"/>
            </w:tcBorders>
            <w:vAlign w:val="center"/>
            <w:hideMark/>
          </w:tcPr>
          <w:p w14:paraId="48517367" w14:textId="77777777" w:rsidR="0085505C" w:rsidRPr="002A7673" w:rsidRDefault="0085505C" w:rsidP="0048334E">
            <w:pPr>
              <w:spacing w:after="0" w:line="240" w:lineRule="auto"/>
              <w:rPr>
                <w:rFonts w:ascii="Times New Roman" w:hAnsi="Times New Roman" w:cs="Times New Roman"/>
                <w:b/>
                <w:bCs/>
                <w:sz w:val="24"/>
                <w:szCs w:val="24"/>
              </w:rPr>
            </w:pPr>
          </w:p>
        </w:tc>
        <w:tc>
          <w:tcPr>
            <w:tcW w:w="674" w:type="pct"/>
            <w:vMerge/>
            <w:tcBorders>
              <w:top w:val="single" w:sz="4" w:space="0" w:color="auto"/>
              <w:left w:val="single" w:sz="4" w:space="0" w:color="auto"/>
              <w:bottom w:val="single" w:sz="4" w:space="0" w:color="auto"/>
              <w:right w:val="single" w:sz="4" w:space="0" w:color="auto"/>
            </w:tcBorders>
            <w:vAlign w:val="center"/>
            <w:hideMark/>
          </w:tcPr>
          <w:p w14:paraId="77C513A0" w14:textId="77777777" w:rsidR="0085505C" w:rsidRPr="002A7673" w:rsidRDefault="0085505C" w:rsidP="0048334E">
            <w:pPr>
              <w:spacing w:after="0" w:line="240" w:lineRule="auto"/>
              <w:rPr>
                <w:rFonts w:ascii="Times New Roman" w:hAnsi="Times New Roman" w:cs="Times New Roman"/>
                <w:b/>
                <w:bCs/>
                <w:sz w:val="24"/>
                <w:szCs w:val="24"/>
              </w:rPr>
            </w:pPr>
          </w:p>
        </w:tc>
        <w:tc>
          <w:tcPr>
            <w:tcW w:w="541" w:type="pct"/>
            <w:tcBorders>
              <w:top w:val="nil"/>
              <w:left w:val="nil"/>
              <w:bottom w:val="single" w:sz="4" w:space="0" w:color="auto"/>
              <w:right w:val="single" w:sz="4" w:space="0" w:color="auto"/>
            </w:tcBorders>
            <w:shd w:val="clear" w:color="auto" w:fill="auto"/>
            <w:noWrap/>
            <w:vAlign w:val="center"/>
            <w:hideMark/>
          </w:tcPr>
          <w:p w14:paraId="5E8EDFD4"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59903</w:t>
            </w:r>
          </w:p>
        </w:tc>
        <w:tc>
          <w:tcPr>
            <w:tcW w:w="1130" w:type="pct"/>
            <w:tcBorders>
              <w:top w:val="nil"/>
              <w:left w:val="nil"/>
              <w:bottom w:val="single" w:sz="4" w:space="0" w:color="auto"/>
              <w:right w:val="single" w:sz="4" w:space="0" w:color="auto"/>
            </w:tcBorders>
            <w:shd w:val="clear" w:color="auto" w:fill="auto"/>
            <w:noWrap/>
            <w:vAlign w:val="center"/>
          </w:tcPr>
          <w:p w14:paraId="2A2DA7DA" w14:textId="77777777" w:rsidR="0085505C" w:rsidRPr="002A7673" w:rsidRDefault="0085505C" w:rsidP="0048334E">
            <w:pPr>
              <w:spacing w:after="0" w:line="240" w:lineRule="auto"/>
              <w:rPr>
                <w:rFonts w:ascii="Times New Roman" w:hAnsi="Times New Roman" w:cs="Times New Roman"/>
                <w:sz w:val="24"/>
                <w:szCs w:val="24"/>
              </w:rPr>
            </w:pPr>
            <w:r w:rsidRPr="002A7673">
              <w:rPr>
                <w:rFonts w:ascii="Times New Roman" w:hAnsi="Times New Roman" w:cs="Times New Roman"/>
                <w:sz w:val="24"/>
                <w:szCs w:val="24"/>
              </w:rPr>
              <w:t>Bienes intangibles</w:t>
            </w:r>
          </w:p>
        </w:tc>
        <w:tc>
          <w:tcPr>
            <w:tcW w:w="643" w:type="pct"/>
            <w:gridSpan w:val="2"/>
            <w:tcBorders>
              <w:top w:val="nil"/>
              <w:left w:val="nil"/>
              <w:bottom w:val="single" w:sz="4" w:space="0" w:color="auto"/>
              <w:right w:val="single" w:sz="4" w:space="0" w:color="auto"/>
            </w:tcBorders>
            <w:shd w:val="clear" w:color="auto" w:fill="auto"/>
            <w:noWrap/>
            <w:vAlign w:val="center"/>
          </w:tcPr>
          <w:p w14:paraId="348D15E3" w14:textId="77777777" w:rsidR="0085505C" w:rsidRPr="002A7673" w:rsidRDefault="0085505C" w:rsidP="0048334E">
            <w:pPr>
              <w:spacing w:after="0" w:line="240" w:lineRule="auto"/>
              <w:jc w:val="right"/>
              <w:rPr>
                <w:rFonts w:ascii="Times New Roman" w:hAnsi="Times New Roman" w:cs="Times New Roman"/>
                <w:sz w:val="24"/>
                <w:szCs w:val="24"/>
              </w:rPr>
            </w:pPr>
            <w:r w:rsidRPr="002A7673">
              <w:rPr>
                <w:rFonts w:ascii="Times New Roman" w:hAnsi="Times New Roman" w:cs="Times New Roman"/>
                <w:sz w:val="24"/>
                <w:szCs w:val="24"/>
              </w:rPr>
              <w:t>¢3.579.304</w:t>
            </w:r>
          </w:p>
        </w:tc>
        <w:tc>
          <w:tcPr>
            <w:tcW w:w="1536" w:type="pct"/>
            <w:gridSpan w:val="2"/>
            <w:vMerge/>
            <w:tcBorders>
              <w:top w:val="single" w:sz="4" w:space="0" w:color="auto"/>
              <w:left w:val="nil"/>
              <w:bottom w:val="single" w:sz="4" w:space="0" w:color="auto"/>
              <w:right w:val="single" w:sz="4" w:space="0" w:color="auto"/>
            </w:tcBorders>
            <w:shd w:val="clear" w:color="auto" w:fill="auto"/>
            <w:noWrap/>
            <w:vAlign w:val="center"/>
            <w:hideMark/>
          </w:tcPr>
          <w:p w14:paraId="238D6814" w14:textId="77777777" w:rsidR="0085505C" w:rsidRPr="002A7673" w:rsidRDefault="0085505C" w:rsidP="0048334E">
            <w:pPr>
              <w:spacing w:after="0" w:line="240" w:lineRule="auto"/>
              <w:rPr>
                <w:rFonts w:ascii="Times New Roman" w:hAnsi="Times New Roman" w:cs="Times New Roman"/>
                <w:color w:val="000000"/>
                <w:sz w:val="24"/>
                <w:szCs w:val="24"/>
              </w:rPr>
            </w:pPr>
          </w:p>
        </w:tc>
      </w:tr>
      <w:tr w:rsidR="0085505C" w:rsidRPr="002A7673" w14:paraId="236058C4" w14:textId="77777777" w:rsidTr="0048334E">
        <w:trPr>
          <w:trHeight w:val="285"/>
        </w:trPr>
        <w:tc>
          <w:tcPr>
            <w:tcW w:w="472" w:type="pct"/>
            <w:vMerge/>
            <w:tcBorders>
              <w:top w:val="single" w:sz="4" w:space="0" w:color="auto"/>
              <w:left w:val="single" w:sz="4" w:space="0" w:color="auto"/>
              <w:bottom w:val="single" w:sz="4" w:space="0" w:color="auto"/>
              <w:right w:val="single" w:sz="4" w:space="0" w:color="auto"/>
            </w:tcBorders>
            <w:vAlign w:val="center"/>
            <w:hideMark/>
          </w:tcPr>
          <w:p w14:paraId="2ED7DD03" w14:textId="77777777" w:rsidR="0085505C" w:rsidRPr="002A7673" w:rsidRDefault="0085505C" w:rsidP="0048334E">
            <w:pPr>
              <w:spacing w:after="0" w:line="240" w:lineRule="auto"/>
              <w:rPr>
                <w:rFonts w:ascii="Times New Roman" w:hAnsi="Times New Roman" w:cs="Times New Roman"/>
                <w:b/>
                <w:bCs/>
                <w:sz w:val="24"/>
                <w:szCs w:val="24"/>
              </w:rPr>
            </w:pPr>
          </w:p>
        </w:tc>
        <w:tc>
          <w:tcPr>
            <w:tcW w:w="674" w:type="pct"/>
            <w:vMerge/>
            <w:tcBorders>
              <w:top w:val="single" w:sz="4" w:space="0" w:color="auto"/>
              <w:left w:val="single" w:sz="4" w:space="0" w:color="auto"/>
              <w:bottom w:val="single" w:sz="4" w:space="0" w:color="auto"/>
              <w:right w:val="single" w:sz="4" w:space="0" w:color="auto"/>
            </w:tcBorders>
            <w:vAlign w:val="center"/>
            <w:hideMark/>
          </w:tcPr>
          <w:p w14:paraId="2A468945" w14:textId="77777777" w:rsidR="0085505C" w:rsidRPr="002A7673" w:rsidRDefault="0085505C" w:rsidP="0048334E">
            <w:pPr>
              <w:spacing w:after="0" w:line="240" w:lineRule="auto"/>
              <w:rPr>
                <w:rFonts w:ascii="Times New Roman" w:hAnsi="Times New Roman" w:cs="Times New Roman"/>
                <w:b/>
                <w:bCs/>
                <w:sz w:val="24"/>
                <w:szCs w:val="24"/>
              </w:rPr>
            </w:pPr>
          </w:p>
        </w:tc>
        <w:tc>
          <w:tcPr>
            <w:tcW w:w="1676" w:type="pct"/>
            <w:gridSpan w:val="3"/>
            <w:tcBorders>
              <w:top w:val="single" w:sz="4" w:space="0" w:color="auto"/>
              <w:left w:val="nil"/>
              <w:bottom w:val="single" w:sz="4" w:space="0" w:color="auto"/>
              <w:right w:val="single" w:sz="4" w:space="0" w:color="auto"/>
            </w:tcBorders>
            <w:shd w:val="clear" w:color="000000" w:fill="F2F2F2"/>
            <w:noWrap/>
            <w:vAlign w:val="center"/>
            <w:hideMark/>
          </w:tcPr>
          <w:p w14:paraId="6F0CE9FD" w14:textId="77777777" w:rsidR="0085505C" w:rsidRPr="002A7673" w:rsidRDefault="0085505C" w:rsidP="0048334E">
            <w:pPr>
              <w:spacing w:after="0" w:line="240" w:lineRule="auto"/>
              <w:jc w:val="right"/>
              <w:rPr>
                <w:rFonts w:ascii="Times New Roman" w:hAnsi="Times New Roman" w:cs="Times New Roman"/>
                <w:b/>
                <w:bCs/>
                <w:color w:val="1F4E78"/>
                <w:sz w:val="24"/>
                <w:szCs w:val="24"/>
              </w:rPr>
            </w:pPr>
            <w:proofErr w:type="gramStart"/>
            <w:r w:rsidRPr="002A7673">
              <w:rPr>
                <w:rFonts w:ascii="Times New Roman" w:hAnsi="Times New Roman" w:cs="Times New Roman"/>
                <w:b/>
                <w:bCs/>
                <w:color w:val="1F4E78"/>
                <w:sz w:val="24"/>
                <w:szCs w:val="24"/>
              </w:rPr>
              <w:t>Total</w:t>
            </w:r>
            <w:proofErr w:type="gramEnd"/>
            <w:r w:rsidRPr="002A7673">
              <w:rPr>
                <w:rFonts w:ascii="Times New Roman" w:hAnsi="Times New Roman" w:cs="Times New Roman"/>
                <w:b/>
                <w:bCs/>
                <w:color w:val="1F4E78"/>
                <w:sz w:val="24"/>
                <w:szCs w:val="24"/>
              </w:rPr>
              <w:t xml:space="preserve"> del proyecto</w:t>
            </w:r>
          </w:p>
        </w:tc>
        <w:tc>
          <w:tcPr>
            <w:tcW w:w="643" w:type="pct"/>
            <w:gridSpan w:val="2"/>
            <w:tcBorders>
              <w:top w:val="single" w:sz="4" w:space="0" w:color="auto"/>
              <w:left w:val="nil"/>
              <w:bottom w:val="single" w:sz="4" w:space="0" w:color="auto"/>
              <w:right w:val="single" w:sz="4" w:space="0" w:color="auto"/>
            </w:tcBorders>
            <w:shd w:val="clear" w:color="000000" w:fill="F2F2F2"/>
            <w:noWrap/>
            <w:vAlign w:val="center"/>
          </w:tcPr>
          <w:p w14:paraId="5D798B84" w14:textId="77777777" w:rsidR="0085505C" w:rsidRPr="002A7673" w:rsidRDefault="0085505C" w:rsidP="0048334E">
            <w:pPr>
              <w:spacing w:after="0" w:line="240" w:lineRule="auto"/>
              <w:jc w:val="right"/>
              <w:rPr>
                <w:rFonts w:ascii="Times New Roman" w:hAnsi="Times New Roman" w:cs="Times New Roman"/>
                <w:b/>
                <w:bCs/>
                <w:color w:val="1F4E78"/>
                <w:sz w:val="24"/>
                <w:szCs w:val="24"/>
              </w:rPr>
            </w:pPr>
            <w:r w:rsidRPr="002A7673">
              <w:rPr>
                <w:rFonts w:ascii="Times New Roman" w:hAnsi="Times New Roman" w:cs="Times New Roman"/>
                <w:b/>
                <w:bCs/>
                <w:color w:val="1F4E78"/>
                <w:sz w:val="24"/>
                <w:szCs w:val="24"/>
              </w:rPr>
              <w:t>¢7.025.899</w:t>
            </w:r>
          </w:p>
        </w:tc>
        <w:tc>
          <w:tcPr>
            <w:tcW w:w="1536" w:type="pct"/>
            <w:gridSpan w:val="2"/>
            <w:tcBorders>
              <w:top w:val="single" w:sz="4" w:space="0" w:color="auto"/>
              <w:left w:val="single" w:sz="4" w:space="0" w:color="auto"/>
            </w:tcBorders>
            <w:shd w:val="clear" w:color="auto" w:fill="auto"/>
            <w:noWrap/>
            <w:vAlign w:val="center"/>
            <w:hideMark/>
          </w:tcPr>
          <w:p w14:paraId="1AEA237E" w14:textId="77777777" w:rsidR="0085505C" w:rsidRPr="002A7673" w:rsidRDefault="0085505C" w:rsidP="0048334E">
            <w:pPr>
              <w:spacing w:after="0" w:line="240" w:lineRule="auto"/>
              <w:rPr>
                <w:rFonts w:ascii="Times New Roman" w:hAnsi="Times New Roman" w:cs="Times New Roman"/>
                <w:color w:val="000000"/>
                <w:sz w:val="24"/>
                <w:szCs w:val="24"/>
              </w:rPr>
            </w:pPr>
            <w:r w:rsidRPr="002A7673">
              <w:rPr>
                <w:rFonts w:ascii="Times New Roman" w:hAnsi="Times New Roman" w:cs="Times New Roman"/>
                <w:color w:val="000000"/>
                <w:sz w:val="24"/>
                <w:szCs w:val="24"/>
              </w:rPr>
              <w:t> </w:t>
            </w:r>
          </w:p>
        </w:tc>
      </w:tr>
    </w:tbl>
    <w:p w14:paraId="423A0F53" w14:textId="77777777" w:rsidR="0085505C" w:rsidRPr="002A7673" w:rsidRDefault="0085505C" w:rsidP="0085505C">
      <w:pPr>
        <w:spacing w:after="0" w:line="240" w:lineRule="auto"/>
        <w:rPr>
          <w:rFonts w:ascii="Times New Roman" w:hAnsi="Times New Roman" w:cs="Times New Roman"/>
        </w:rPr>
      </w:pPr>
    </w:p>
    <w:p w14:paraId="486ABEDD" w14:textId="77777777" w:rsidR="0085505C" w:rsidRPr="002A7673" w:rsidRDefault="0085505C" w:rsidP="00FF3FAC">
      <w:pPr>
        <w:numPr>
          <w:ilvl w:val="0"/>
          <w:numId w:val="70"/>
        </w:numPr>
        <w:tabs>
          <w:tab w:val="clear" w:pos="720"/>
          <w:tab w:val="num" w:pos="786"/>
        </w:tabs>
        <w:spacing w:after="0" w:line="240" w:lineRule="auto"/>
        <w:ind w:left="851" w:right="851" w:firstLine="720"/>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shd w:val="clear" w:color="auto" w:fill="FFFFFF" w:themeFill="background1"/>
          <w:lang w:val="es-ES" w:eastAsia="es-ES"/>
        </w:rPr>
        <w:t>Detalle de Rebajos por Subpartida</w:t>
      </w:r>
    </w:p>
    <w:p w14:paraId="42290AB6" w14:textId="77777777" w:rsidR="0085505C" w:rsidRPr="002A7673" w:rsidRDefault="0085505C" w:rsidP="0085505C">
      <w:pPr>
        <w:spacing w:after="0" w:line="240" w:lineRule="auto"/>
        <w:ind w:left="851" w:right="851" w:firstLine="720"/>
        <w:jc w:val="both"/>
        <w:rPr>
          <w:rFonts w:ascii="Times New Roman" w:hAnsi="Times New Roman" w:cs="Times New Roman"/>
          <w:sz w:val="26"/>
          <w:szCs w:val="26"/>
        </w:rPr>
      </w:pPr>
      <w:r w:rsidRPr="002A7673">
        <w:rPr>
          <w:rFonts w:ascii="Times New Roman" w:hAnsi="Times New Roman" w:cs="Times New Roman"/>
          <w:sz w:val="26"/>
          <w:szCs w:val="26"/>
        </w:rPr>
        <w:t>Conforme las Directrices Técnicas para la Formulación del Anteproyecto de Presupuesto 2022, y en coordinación con el Lic. Josué González Granados, se hicieron rebajos por un total de ¢177.774.942, tal como se detalla a continuación:</w:t>
      </w:r>
    </w:p>
    <w:p w14:paraId="3B8CCD92" w14:textId="77777777" w:rsidR="0085505C" w:rsidRPr="002A7673" w:rsidRDefault="0085505C" w:rsidP="0085505C">
      <w:pPr>
        <w:spacing w:after="0" w:line="240" w:lineRule="auto"/>
        <w:ind w:left="851" w:right="851" w:firstLine="720"/>
        <w:jc w:val="both"/>
        <w:rPr>
          <w:rFonts w:ascii="Times New Roman" w:hAnsi="Times New Roman" w:cs="Times New Roman"/>
          <w:b/>
          <w:bCs/>
          <w:sz w:val="26"/>
          <w:szCs w:val="26"/>
        </w:rPr>
      </w:pPr>
    </w:p>
    <w:p w14:paraId="23B731A2" w14:textId="77777777" w:rsidR="0085505C" w:rsidRPr="002A7673" w:rsidRDefault="0085505C" w:rsidP="0085505C">
      <w:pPr>
        <w:spacing w:after="0" w:line="240" w:lineRule="auto"/>
        <w:ind w:left="851" w:right="851" w:firstLine="720"/>
        <w:jc w:val="both"/>
        <w:rPr>
          <w:rFonts w:ascii="Times New Roman" w:hAnsi="Times New Roman" w:cs="Times New Roman"/>
          <w:color w:val="FF0000"/>
          <w:sz w:val="26"/>
          <w:szCs w:val="26"/>
        </w:rPr>
      </w:pPr>
      <w:r w:rsidRPr="002A7673">
        <w:rPr>
          <w:rFonts w:ascii="Times New Roman" w:hAnsi="Times New Roman" w:cs="Times New Roman"/>
          <w:b/>
          <w:bCs/>
          <w:sz w:val="26"/>
          <w:szCs w:val="26"/>
        </w:rPr>
        <w:t xml:space="preserve">Tabla número 8. </w:t>
      </w:r>
      <w:r w:rsidRPr="002A7673">
        <w:rPr>
          <w:rFonts w:ascii="Times New Roman" w:hAnsi="Times New Roman" w:cs="Times New Roman"/>
          <w:sz w:val="26"/>
          <w:szCs w:val="26"/>
        </w:rPr>
        <w:t>Rebajos por subpartida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0"/>
        <w:gridCol w:w="5295"/>
        <w:gridCol w:w="2293"/>
      </w:tblGrid>
      <w:tr w:rsidR="0085505C" w:rsidRPr="002A7673" w14:paraId="3C8BF352" w14:textId="77777777" w:rsidTr="0048334E">
        <w:trPr>
          <w:trHeight w:val="584"/>
          <w:jc w:val="center"/>
        </w:trPr>
        <w:tc>
          <w:tcPr>
            <w:tcW w:w="1072" w:type="pct"/>
            <w:shd w:val="clear" w:color="auto" w:fill="1F3864"/>
            <w:vAlign w:val="center"/>
          </w:tcPr>
          <w:p w14:paraId="45F7D44A"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Código Subpartida</w:t>
            </w:r>
          </w:p>
        </w:tc>
        <w:tc>
          <w:tcPr>
            <w:tcW w:w="2741" w:type="pct"/>
            <w:shd w:val="clear" w:color="auto" w:fill="1F3864"/>
            <w:vAlign w:val="center"/>
          </w:tcPr>
          <w:p w14:paraId="4F97FCD0"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Descripción de la Subpartida</w:t>
            </w:r>
          </w:p>
        </w:tc>
        <w:tc>
          <w:tcPr>
            <w:tcW w:w="1188" w:type="pct"/>
            <w:shd w:val="clear" w:color="auto" w:fill="1F3864"/>
            <w:vAlign w:val="center"/>
          </w:tcPr>
          <w:p w14:paraId="14CAA0EA"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Monto</w:t>
            </w:r>
          </w:p>
        </w:tc>
      </w:tr>
      <w:tr w:rsidR="0085505C" w:rsidRPr="002A7673" w14:paraId="655E4EFE" w14:textId="77777777" w:rsidTr="0048334E">
        <w:trPr>
          <w:trHeight w:val="512"/>
          <w:jc w:val="center"/>
        </w:trPr>
        <w:tc>
          <w:tcPr>
            <w:tcW w:w="1072" w:type="pct"/>
            <w:shd w:val="clear" w:color="auto" w:fill="auto"/>
            <w:vAlign w:val="center"/>
          </w:tcPr>
          <w:p w14:paraId="6002611C" w14:textId="77777777" w:rsidR="0085505C" w:rsidRPr="002A7673" w:rsidRDefault="0085505C" w:rsidP="0048334E">
            <w:pPr>
              <w:spacing w:after="0" w:line="240" w:lineRule="auto"/>
              <w:ind w:left="142"/>
              <w:jc w:val="center"/>
              <w:rPr>
                <w:rFonts w:ascii="Times New Roman" w:hAnsi="Times New Roman" w:cs="Times New Roman"/>
                <w:sz w:val="24"/>
                <w:szCs w:val="24"/>
              </w:rPr>
            </w:pPr>
            <w:r w:rsidRPr="002A7673">
              <w:rPr>
                <w:rFonts w:ascii="Times New Roman" w:hAnsi="Times New Roman" w:cs="Times New Roman"/>
                <w:sz w:val="24"/>
                <w:szCs w:val="24"/>
              </w:rPr>
              <w:t>10801</w:t>
            </w:r>
          </w:p>
        </w:tc>
        <w:tc>
          <w:tcPr>
            <w:tcW w:w="2741" w:type="pct"/>
            <w:shd w:val="clear" w:color="auto" w:fill="auto"/>
            <w:vAlign w:val="center"/>
          </w:tcPr>
          <w:p w14:paraId="56546495" w14:textId="77777777" w:rsidR="0085505C" w:rsidRPr="002A7673" w:rsidRDefault="0085505C" w:rsidP="0048334E">
            <w:pPr>
              <w:spacing w:after="0" w:line="240" w:lineRule="auto"/>
              <w:ind w:left="142"/>
              <w:rPr>
                <w:rFonts w:ascii="Times New Roman" w:hAnsi="Times New Roman" w:cs="Times New Roman"/>
                <w:sz w:val="24"/>
                <w:szCs w:val="24"/>
              </w:rPr>
            </w:pPr>
            <w:r w:rsidRPr="002A7673">
              <w:rPr>
                <w:rFonts w:ascii="Times New Roman" w:hAnsi="Times New Roman" w:cs="Times New Roman"/>
                <w:sz w:val="24"/>
                <w:szCs w:val="24"/>
              </w:rPr>
              <w:t>Mantenimiento de Edificios y Locales</w:t>
            </w:r>
          </w:p>
        </w:tc>
        <w:tc>
          <w:tcPr>
            <w:tcW w:w="1188" w:type="pct"/>
            <w:shd w:val="clear" w:color="auto" w:fill="auto"/>
            <w:vAlign w:val="center"/>
          </w:tcPr>
          <w:p w14:paraId="7EA39A2B" w14:textId="77777777" w:rsidR="0085505C" w:rsidRPr="002A7673" w:rsidRDefault="0085505C" w:rsidP="0048334E">
            <w:pPr>
              <w:spacing w:after="0" w:line="240" w:lineRule="auto"/>
              <w:ind w:left="142"/>
              <w:jc w:val="right"/>
              <w:rPr>
                <w:rFonts w:ascii="Times New Roman" w:hAnsi="Times New Roman" w:cs="Times New Roman"/>
                <w:sz w:val="24"/>
                <w:szCs w:val="24"/>
              </w:rPr>
            </w:pPr>
            <w:r w:rsidRPr="002A7673">
              <w:rPr>
                <w:rFonts w:ascii="Times New Roman" w:hAnsi="Times New Roman" w:cs="Times New Roman"/>
                <w:sz w:val="24"/>
                <w:szCs w:val="24"/>
              </w:rPr>
              <w:t>¢53.000.000</w:t>
            </w:r>
          </w:p>
        </w:tc>
      </w:tr>
      <w:tr w:rsidR="0085505C" w:rsidRPr="002A7673" w14:paraId="591022A8" w14:textId="77777777" w:rsidTr="0048334E">
        <w:trPr>
          <w:trHeight w:val="512"/>
          <w:jc w:val="center"/>
        </w:trPr>
        <w:tc>
          <w:tcPr>
            <w:tcW w:w="1072" w:type="pct"/>
            <w:shd w:val="clear" w:color="auto" w:fill="auto"/>
            <w:vAlign w:val="center"/>
          </w:tcPr>
          <w:p w14:paraId="6E094B59" w14:textId="77777777" w:rsidR="0085505C" w:rsidRPr="002A7673" w:rsidRDefault="0085505C" w:rsidP="0048334E">
            <w:pPr>
              <w:spacing w:after="0" w:line="240" w:lineRule="auto"/>
              <w:ind w:left="142"/>
              <w:jc w:val="center"/>
              <w:rPr>
                <w:rFonts w:ascii="Times New Roman" w:hAnsi="Times New Roman" w:cs="Times New Roman"/>
                <w:sz w:val="24"/>
                <w:szCs w:val="24"/>
              </w:rPr>
            </w:pPr>
            <w:r w:rsidRPr="002A7673">
              <w:rPr>
                <w:rFonts w:ascii="Times New Roman" w:hAnsi="Times New Roman" w:cs="Times New Roman"/>
                <w:sz w:val="24"/>
                <w:szCs w:val="24"/>
              </w:rPr>
              <w:t>50102</w:t>
            </w:r>
          </w:p>
        </w:tc>
        <w:tc>
          <w:tcPr>
            <w:tcW w:w="2741" w:type="pct"/>
            <w:shd w:val="clear" w:color="auto" w:fill="auto"/>
            <w:vAlign w:val="center"/>
          </w:tcPr>
          <w:p w14:paraId="759C96CE" w14:textId="77777777" w:rsidR="0085505C" w:rsidRPr="002A7673" w:rsidRDefault="0085505C" w:rsidP="0048334E">
            <w:pPr>
              <w:spacing w:after="0" w:line="240" w:lineRule="auto"/>
              <w:ind w:left="142"/>
              <w:rPr>
                <w:rFonts w:ascii="Times New Roman" w:hAnsi="Times New Roman" w:cs="Times New Roman"/>
                <w:sz w:val="24"/>
                <w:szCs w:val="24"/>
              </w:rPr>
            </w:pPr>
            <w:r w:rsidRPr="002A7673">
              <w:rPr>
                <w:rFonts w:ascii="Times New Roman" w:hAnsi="Times New Roman" w:cs="Times New Roman"/>
                <w:sz w:val="24"/>
                <w:szCs w:val="24"/>
              </w:rPr>
              <w:t>Equipo de Transporte</w:t>
            </w:r>
          </w:p>
        </w:tc>
        <w:tc>
          <w:tcPr>
            <w:tcW w:w="1188" w:type="pct"/>
            <w:shd w:val="clear" w:color="auto" w:fill="auto"/>
            <w:vAlign w:val="center"/>
          </w:tcPr>
          <w:p w14:paraId="1352583F" w14:textId="77777777" w:rsidR="0085505C" w:rsidRPr="002A7673" w:rsidRDefault="0085505C" w:rsidP="0048334E">
            <w:pPr>
              <w:spacing w:after="0" w:line="240" w:lineRule="auto"/>
              <w:ind w:left="142"/>
              <w:jc w:val="right"/>
              <w:rPr>
                <w:rFonts w:ascii="Times New Roman" w:hAnsi="Times New Roman" w:cs="Times New Roman"/>
                <w:sz w:val="24"/>
                <w:szCs w:val="24"/>
              </w:rPr>
            </w:pPr>
            <w:r w:rsidRPr="002A7673">
              <w:rPr>
                <w:rFonts w:ascii="Times New Roman" w:hAnsi="Times New Roman" w:cs="Times New Roman"/>
                <w:sz w:val="24"/>
                <w:szCs w:val="24"/>
              </w:rPr>
              <w:t>¢105.061.910</w:t>
            </w:r>
          </w:p>
        </w:tc>
      </w:tr>
      <w:tr w:rsidR="0085505C" w:rsidRPr="002A7673" w14:paraId="70CB8C9E" w14:textId="77777777" w:rsidTr="0048334E">
        <w:trPr>
          <w:trHeight w:val="512"/>
          <w:jc w:val="center"/>
        </w:trPr>
        <w:tc>
          <w:tcPr>
            <w:tcW w:w="1072" w:type="pct"/>
            <w:shd w:val="clear" w:color="auto" w:fill="auto"/>
            <w:vAlign w:val="center"/>
          </w:tcPr>
          <w:p w14:paraId="5B0E6298" w14:textId="77777777" w:rsidR="0085505C" w:rsidRPr="002A7673" w:rsidRDefault="0085505C" w:rsidP="0048334E">
            <w:pPr>
              <w:spacing w:after="0" w:line="240" w:lineRule="auto"/>
              <w:ind w:left="142"/>
              <w:jc w:val="center"/>
              <w:rPr>
                <w:rFonts w:ascii="Times New Roman" w:hAnsi="Times New Roman" w:cs="Times New Roman"/>
                <w:sz w:val="24"/>
                <w:szCs w:val="24"/>
              </w:rPr>
            </w:pPr>
            <w:r w:rsidRPr="002A7673">
              <w:rPr>
                <w:rFonts w:ascii="Times New Roman" w:hAnsi="Times New Roman" w:cs="Times New Roman"/>
                <w:sz w:val="24"/>
                <w:szCs w:val="24"/>
              </w:rPr>
              <w:t>50104</w:t>
            </w:r>
          </w:p>
        </w:tc>
        <w:tc>
          <w:tcPr>
            <w:tcW w:w="2741" w:type="pct"/>
            <w:shd w:val="clear" w:color="auto" w:fill="auto"/>
            <w:vAlign w:val="center"/>
          </w:tcPr>
          <w:p w14:paraId="51E939B5" w14:textId="77777777" w:rsidR="0085505C" w:rsidRPr="002A7673" w:rsidRDefault="0085505C" w:rsidP="0048334E">
            <w:pPr>
              <w:spacing w:after="0" w:line="240" w:lineRule="auto"/>
              <w:ind w:left="142"/>
              <w:rPr>
                <w:rFonts w:ascii="Times New Roman" w:hAnsi="Times New Roman" w:cs="Times New Roman"/>
                <w:sz w:val="24"/>
                <w:szCs w:val="24"/>
              </w:rPr>
            </w:pPr>
            <w:r w:rsidRPr="002A7673">
              <w:rPr>
                <w:rFonts w:ascii="Times New Roman" w:hAnsi="Times New Roman" w:cs="Times New Roman"/>
                <w:sz w:val="24"/>
                <w:szCs w:val="24"/>
              </w:rPr>
              <w:t>Equipo y Mobiliario de Oficina</w:t>
            </w:r>
          </w:p>
        </w:tc>
        <w:tc>
          <w:tcPr>
            <w:tcW w:w="1188" w:type="pct"/>
            <w:shd w:val="clear" w:color="auto" w:fill="auto"/>
            <w:vAlign w:val="center"/>
          </w:tcPr>
          <w:p w14:paraId="7B57C272" w14:textId="77777777" w:rsidR="0085505C" w:rsidRPr="002A7673" w:rsidRDefault="0085505C" w:rsidP="0048334E">
            <w:pPr>
              <w:spacing w:after="0" w:line="240" w:lineRule="auto"/>
              <w:ind w:left="142"/>
              <w:jc w:val="right"/>
              <w:rPr>
                <w:rFonts w:ascii="Times New Roman" w:hAnsi="Times New Roman" w:cs="Times New Roman"/>
                <w:sz w:val="24"/>
                <w:szCs w:val="24"/>
              </w:rPr>
            </w:pPr>
            <w:r w:rsidRPr="002A7673">
              <w:rPr>
                <w:rFonts w:ascii="Times New Roman" w:hAnsi="Times New Roman" w:cs="Times New Roman"/>
                <w:sz w:val="24"/>
                <w:szCs w:val="24"/>
              </w:rPr>
              <w:t>¢16.700.000</w:t>
            </w:r>
          </w:p>
        </w:tc>
      </w:tr>
      <w:tr w:rsidR="0085505C" w:rsidRPr="002A7673" w14:paraId="187E3407" w14:textId="77777777" w:rsidTr="0048334E">
        <w:trPr>
          <w:trHeight w:val="512"/>
          <w:jc w:val="center"/>
        </w:trPr>
        <w:tc>
          <w:tcPr>
            <w:tcW w:w="1072" w:type="pct"/>
            <w:shd w:val="clear" w:color="auto" w:fill="auto"/>
            <w:vAlign w:val="center"/>
          </w:tcPr>
          <w:p w14:paraId="4BDE7751" w14:textId="77777777" w:rsidR="0085505C" w:rsidRPr="002A7673" w:rsidRDefault="0085505C" w:rsidP="0048334E">
            <w:pPr>
              <w:spacing w:after="0" w:line="240" w:lineRule="auto"/>
              <w:ind w:left="142"/>
              <w:jc w:val="center"/>
              <w:rPr>
                <w:rFonts w:ascii="Times New Roman" w:hAnsi="Times New Roman" w:cs="Times New Roman"/>
                <w:sz w:val="24"/>
                <w:szCs w:val="24"/>
              </w:rPr>
            </w:pPr>
            <w:r w:rsidRPr="002A7673">
              <w:rPr>
                <w:rFonts w:ascii="Times New Roman" w:hAnsi="Times New Roman" w:cs="Times New Roman"/>
                <w:sz w:val="24"/>
                <w:szCs w:val="24"/>
              </w:rPr>
              <w:t>50199</w:t>
            </w:r>
          </w:p>
        </w:tc>
        <w:tc>
          <w:tcPr>
            <w:tcW w:w="2741" w:type="pct"/>
            <w:shd w:val="clear" w:color="auto" w:fill="auto"/>
            <w:vAlign w:val="center"/>
          </w:tcPr>
          <w:p w14:paraId="30944A40" w14:textId="77777777" w:rsidR="0085505C" w:rsidRPr="002A7673" w:rsidRDefault="0085505C" w:rsidP="0048334E">
            <w:pPr>
              <w:spacing w:after="0" w:line="240" w:lineRule="auto"/>
              <w:ind w:left="142"/>
              <w:rPr>
                <w:rFonts w:ascii="Times New Roman" w:hAnsi="Times New Roman" w:cs="Times New Roman"/>
                <w:sz w:val="24"/>
                <w:szCs w:val="24"/>
              </w:rPr>
            </w:pPr>
            <w:r w:rsidRPr="002A7673">
              <w:rPr>
                <w:rFonts w:ascii="Times New Roman" w:hAnsi="Times New Roman" w:cs="Times New Roman"/>
                <w:sz w:val="24"/>
                <w:szCs w:val="24"/>
              </w:rPr>
              <w:t>Maquinaria y Equipo Diverso</w:t>
            </w:r>
          </w:p>
        </w:tc>
        <w:tc>
          <w:tcPr>
            <w:tcW w:w="1188" w:type="pct"/>
            <w:shd w:val="clear" w:color="auto" w:fill="auto"/>
            <w:vAlign w:val="center"/>
          </w:tcPr>
          <w:p w14:paraId="43F13B56" w14:textId="77777777" w:rsidR="0085505C" w:rsidRPr="002A7673" w:rsidRDefault="0085505C" w:rsidP="0048334E">
            <w:pPr>
              <w:spacing w:after="0" w:line="240" w:lineRule="auto"/>
              <w:ind w:left="142"/>
              <w:jc w:val="right"/>
              <w:rPr>
                <w:rFonts w:ascii="Times New Roman" w:hAnsi="Times New Roman" w:cs="Times New Roman"/>
                <w:sz w:val="24"/>
                <w:szCs w:val="24"/>
              </w:rPr>
            </w:pPr>
            <w:r w:rsidRPr="002A7673">
              <w:rPr>
                <w:rFonts w:ascii="Times New Roman" w:hAnsi="Times New Roman" w:cs="Times New Roman"/>
                <w:sz w:val="24"/>
                <w:szCs w:val="24"/>
              </w:rPr>
              <w:t>¢3.013.032</w:t>
            </w:r>
          </w:p>
        </w:tc>
      </w:tr>
      <w:tr w:rsidR="0085505C" w:rsidRPr="002A7673" w14:paraId="26CBEBF5" w14:textId="77777777" w:rsidTr="0048334E">
        <w:trPr>
          <w:trHeight w:val="512"/>
          <w:jc w:val="center"/>
        </w:trPr>
        <w:tc>
          <w:tcPr>
            <w:tcW w:w="1072" w:type="pct"/>
            <w:shd w:val="clear" w:color="auto" w:fill="auto"/>
            <w:vAlign w:val="center"/>
          </w:tcPr>
          <w:p w14:paraId="3C9EA598" w14:textId="77777777" w:rsidR="0085505C" w:rsidRPr="002A7673" w:rsidRDefault="0085505C" w:rsidP="0048334E">
            <w:pPr>
              <w:spacing w:after="0" w:line="240" w:lineRule="auto"/>
              <w:ind w:left="142"/>
              <w:jc w:val="center"/>
              <w:rPr>
                <w:rFonts w:ascii="Times New Roman" w:hAnsi="Times New Roman" w:cs="Times New Roman"/>
                <w:sz w:val="24"/>
                <w:szCs w:val="24"/>
              </w:rPr>
            </w:pPr>
          </w:p>
        </w:tc>
        <w:tc>
          <w:tcPr>
            <w:tcW w:w="2741" w:type="pct"/>
            <w:shd w:val="clear" w:color="auto" w:fill="D0CECE" w:themeFill="background2" w:themeFillShade="E6"/>
            <w:vAlign w:val="center"/>
          </w:tcPr>
          <w:p w14:paraId="2D4382C6" w14:textId="77777777" w:rsidR="0085505C" w:rsidRPr="002A7673" w:rsidRDefault="0085505C" w:rsidP="0048334E">
            <w:pPr>
              <w:spacing w:after="0" w:line="240" w:lineRule="auto"/>
              <w:ind w:left="142"/>
              <w:jc w:val="center"/>
              <w:rPr>
                <w:rFonts w:ascii="Times New Roman" w:hAnsi="Times New Roman" w:cs="Times New Roman"/>
                <w:sz w:val="24"/>
                <w:szCs w:val="24"/>
              </w:rPr>
            </w:pPr>
            <w:r w:rsidRPr="002A7673">
              <w:rPr>
                <w:rFonts w:ascii="Times New Roman" w:hAnsi="Times New Roman" w:cs="Times New Roman"/>
                <w:b/>
                <w:bCs/>
                <w:sz w:val="24"/>
                <w:szCs w:val="24"/>
              </w:rPr>
              <w:t>Total</w:t>
            </w:r>
          </w:p>
        </w:tc>
        <w:tc>
          <w:tcPr>
            <w:tcW w:w="1188" w:type="pct"/>
            <w:shd w:val="clear" w:color="auto" w:fill="D0CECE" w:themeFill="background2" w:themeFillShade="E6"/>
            <w:vAlign w:val="center"/>
          </w:tcPr>
          <w:p w14:paraId="11FCB582" w14:textId="77777777" w:rsidR="0085505C" w:rsidRPr="002A7673" w:rsidRDefault="0085505C" w:rsidP="0048334E">
            <w:pPr>
              <w:spacing w:after="0" w:line="240" w:lineRule="auto"/>
              <w:ind w:left="142"/>
              <w:jc w:val="right"/>
              <w:rPr>
                <w:rFonts w:ascii="Times New Roman" w:hAnsi="Times New Roman" w:cs="Times New Roman"/>
                <w:b/>
                <w:bCs/>
                <w:sz w:val="24"/>
                <w:szCs w:val="24"/>
              </w:rPr>
            </w:pPr>
            <w:r w:rsidRPr="002A7673">
              <w:rPr>
                <w:rFonts w:ascii="Times New Roman" w:hAnsi="Times New Roman" w:cs="Times New Roman"/>
                <w:b/>
                <w:bCs/>
                <w:sz w:val="24"/>
                <w:szCs w:val="24"/>
              </w:rPr>
              <w:t>¢177.774.942</w:t>
            </w:r>
          </w:p>
        </w:tc>
      </w:tr>
    </w:tbl>
    <w:p w14:paraId="7827E487" w14:textId="77777777" w:rsidR="0085505C" w:rsidRPr="002A7673" w:rsidRDefault="0085505C" w:rsidP="0085505C">
      <w:pPr>
        <w:spacing w:after="0" w:line="240" w:lineRule="auto"/>
        <w:ind w:left="360"/>
        <w:jc w:val="both"/>
        <w:rPr>
          <w:rFonts w:ascii="Times New Roman" w:hAnsi="Times New Roman" w:cs="Times New Roman"/>
          <w:color w:val="FF0000"/>
          <w:sz w:val="28"/>
          <w:szCs w:val="28"/>
        </w:rPr>
      </w:pPr>
    </w:p>
    <w:p w14:paraId="2D76F6A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la subpartida 10801 Mantenimiento de Edificios y Locales se excluyen ¢53.000.000 solicitados por la Administración de la Defensa Pública para pintura de edificios y locales porque debieron ser canalizados mediante la comisión de construcciones.</w:t>
      </w:r>
    </w:p>
    <w:p w14:paraId="47E1E00D"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3F5D3C1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En la </w:t>
      </w:r>
      <w:proofErr w:type="gramStart"/>
      <w:r w:rsidRPr="002A7673">
        <w:rPr>
          <w:rFonts w:ascii="Times New Roman" w:hAnsi="Times New Roman" w:cs="Times New Roman"/>
          <w:sz w:val="26"/>
          <w:szCs w:val="26"/>
        </w:rPr>
        <w:t>subpartida  50102</w:t>
      </w:r>
      <w:proofErr w:type="gramEnd"/>
      <w:r w:rsidRPr="002A7673">
        <w:rPr>
          <w:rFonts w:ascii="Times New Roman" w:hAnsi="Times New Roman" w:cs="Times New Roman"/>
          <w:sz w:val="26"/>
          <w:szCs w:val="26"/>
        </w:rPr>
        <w:t xml:space="preserve"> Equipo de Transporte se excluyeron ¢105.061.910 del artículo 16371 vehículos incluidos en la oficina 709 Administración de la Defensa Publica por corresponder a solicitudes que se canalizan a través del área de vehículos. Es importante indicar que sobre este requerimiento se realizó consulta al Licenciado González Granados, Administrador de la Defensa Pública quien manifestó que no serán solicitados vehículos para el 2020 por cuanto 2021 serán asignados nuevos vehículos a esta Defensa Pública.</w:t>
      </w:r>
    </w:p>
    <w:p w14:paraId="76D6673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A42794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Subpartida 50104 Equipo y mobiliario de oficina se elimina la solicitud de 10 muebles modulares solicitados por diferentes oficinas que integran esta Defensa Pública por no contar con el aval técnico del Departamento de Servicios Generales.</w:t>
      </w:r>
    </w:p>
    <w:p w14:paraId="03347464" w14:textId="77777777" w:rsidR="0085505C" w:rsidRPr="002A7673" w:rsidRDefault="0085505C" w:rsidP="0085505C">
      <w:pPr>
        <w:spacing w:after="0" w:line="240" w:lineRule="auto"/>
        <w:ind w:left="851" w:right="851" w:firstLine="709"/>
        <w:jc w:val="both"/>
        <w:rPr>
          <w:rFonts w:ascii="Times New Roman" w:hAnsi="Times New Roman" w:cs="Times New Roman"/>
          <w:color w:val="FF0000"/>
          <w:sz w:val="26"/>
          <w:szCs w:val="26"/>
        </w:rPr>
      </w:pPr>
    </w:p>
    <w:p w14:paraId="0E61C5A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Subpartida 50199 Maquinaria y Equipo Diverso se eliminan las solicitudes de 8 </w:t>
      </w:r>
      <w:proofErr w:type="gramStart"/>
      <w:r w:rsidRPr="002A7673">
        <w:rPr>
          <w:rFonts w:ascii="Times New Roman" w:hAnsi="Times New Roman" w:cs="Times New Roman"/>
          <w:sz w:val="26"/>
          <w:szCs w:val="26"/>
        </w:rPr>
        <w:t>microondas ,</w:t>
      </w:r>
      <w:proofErr w:type="gramEnd"/>
      <w:r w:rsidRPr="002A7673">
        <w:rPr>
          <w:rFonts w:ascii="Times New Roman" w:hAnsi="Times New Roman" w:cs="Times New Roman"/>
          <w:sz w:val="26"/>
          <w:szCs w:val="26"/>
        </w:rPr>
        <w:t xml:space="preserve"> un sistema de alarma, 9 Coffe </w:t>
      </w:r>
      <w:proofErr w:type="spellStart"/>
      <w:r w:rsidRPr="002A7673">
        <w:rPr>
          <w:rFonts w:ascii="Times New Roman" w:hAnsi="Times New Roman" w:cs="Times New Roman"/>
          <w:sz w:val="26"/>
          <w:szCs w:val="26"/>
        </w:rPr>
        <w:t>maker</w:t>
      </w:r>
      <w:proofErr w:type="spellEnd"/>
      <w:r w:rsidRPr="002A7673">
        <w:rPr>
          <w:rFonts w:ascii="Times New Roman" w:hAnsi="Times New Roman" w:cs="Times New Roman"/>
          <w:sz w:val="26"/>
          <w:szCs w:val="26"/>
        </w:rPr>
        <w:t xml:space="preserve"> y un percolador por no contar el visto bueno de la Dirección Ejecutiva, con relación al sistema de alarma debió ser canalizada a través del Área de Seguridad conforme lo establece la directriz de formulación número 114.</w:t>
      </w:r>
    </w:p>
    <w:p w14:paraId="57E80FF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7CB8D948"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Detalle de Requerimientos Adicionales</w:t>
      </w:r>
    </w:p>
    <w:p w14:paraId="5A749099"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44DC17B9" w14:textId="77777777" w:rsidR="0085505C" w:rsidRPr="002A7673" w:rsidRDefault="0085505C" w:rsidP="00FF3FAC">
      <w:pPr>
        <w:numPr>
          <w:ilvl w:val="1"/>
          <w:numId w:val="70"/>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Como requerimientos adicionales y que no se encuentran contemplados en el presupuesto, para que sean valorados por el Consejo Superior, se tienen las siguientes solicitudes:</w:t>
      </w:r>
    </w:p>
    <w:p w14:paraId="4A86DB63" w14:textId="77777777" w:rsidR="0085505C" w:rsidRPr="002A7673" w:rsidRDefault="0085505C" w:rsidP="0085505C">
      <w:pPr>
        <w:spacing w:after="0" w:line="240" w:lineRule="auto"/>
        <w:ind w:left="851" w:right="851" w:firstLine="709"/>
        <w:jc w:val="both"/>
        <w:rPr>
          <w:rFonts w:ascii="Times New Roman" w:hAnsi="Times New Roman" w:cs="Times New Roman"/>
          <w:color w:val="FF0000"/>
          <w:sz w:val="26"/>
          <w:szCs w:val="26"/>
        </w:rPr>
      </w:pPr>
      <w:r w:rsidRPr="002A7673">
        <w:rPr>
          <w:rFonts w:ascii="Times New Roman" w:hAnsi="Times New Roman" w:cs="Times New Roman"/>
          <w:b/>
          <w:bCs/>
          <w:sz w:val="26"/>
          <w:szCs w:val="26"/>
        </w:rPr>
        <w:t xml:space="preserve">Tabla número 9. </w:t>
      </w:r>
      <w:r w:rsidRPr="002A7673">
        <w:rPr>
          <w:rFonts w:ascii="Times New Roman" w:hAnsi="Times New Roman" w:cs="Times New Roman"/>
          <w:sz w:val="26"/>
          <w:szCs w:val="26"/>
        </w:rPr>
        <w:t>Requerimientos adicionales</w:t>
      </w:r>
    </w:p>
    <w:tbl>
      <w:tblPr>
        <w:tblW w:w="972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2693"/>
        <w:gridCol w:w="1340"/>
        <w:gridCol w:w="3807"/>
      </w:tblGrid>
      <w:tr w:rsidR="0085505C" w:rsidRPr="002A7673" w14:paraId="5FC81269" w14:textId="77777777" w:rsidTr="0048334E">
        <w:trPr>
          <w:trHeight w:val="323"/>
        </w:trPr>
        <w:tc>
          <w:tcPr>
            <w:tcW w:w="1980" w:type="dxa"/>
            <w:shd w:val="clear" w:color="000000" w:fill="1F497D"/>
            <w:noWrap/>
            <w:vAlign w:val="center"/>
            <w:hideMark/>
          </w:tcPr>
          <w:p w14:paraId="329B543C"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Centro de Responsabilidad y/</w:t>
            </w:r>
            <w:proofErr w:type="spellStart"/>
            <w:r w:rsidRPr="002A7673">
              <w:rPr>
                <w:rFonts w:ascii="Times New Roman" w:hAnsi="Times New Roman" w:cs="Times New Roman"/>
                <w:b/>
                <w:bCs/>
                <w:color w:val="FFFFFF" w:themeColor="background1"/>
                <w:sz w:val="24"/>
                <w:szCs w:val="24"/>
                <w:lang w:eastAsia="es-CR"/>
              </w:rPr>
              <w:t>o</w:t>
            </w:r>
            <w:proofErr w:type="spellEnd"/>
            <w:r w:rsidRPr="002A7673">
              <w:rPr>
                <w:rFonts w:ascii="Times New Roman" w:hAnsi="Times New Roman" w:cs="Times New Roman"/>
                <w:b/>
                <w:bCs/>
                <w:color w:val="FFFFFF" w:themeColor="background1"/>
                <w:sz w:val="24"/>
                <w:szCs w:val="24"/>
                <w:lang w:eastAsia="es-CR"/>
              </w:rPr>
              <w:t xml:space="preserve"> Oficina</w:t>
            </w:r>
          </w:p>
        </w:tc>
        <w:tc>
          <w:tcPr>
            <w:tcW w:w="2693" w:type="dxa"/>
            <w:shd w:val="clear" w:color="000000" w:fill="1F497D"/>
            <w:noWrap/>
            <w:vAlign w:val="center"/>
            <w:hideMark/>
          </w:tcPr>
          <w:p w14:paraId="0BFB5186"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Subpartida</w:t>
            </w:r>
          </w:p>
        </w:tc>
        <w:tc>
          <w:tcPr>
            <w:tcW w:w="1240" w:type="dxa"/>
            <w:shd w:val="clear" w:color="000000" w:fill="1F497D"/>
            <w:noWrap/>
            <w:vAlign w:val="center"/>
            <w:hideMark/>
          </w:tcPr>
          <w:p w14:paraId="43733F59"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Monto</w:t>
            </w:r>
          </w:p>
        </w:tc>
        <w:tc>
          <w:tcPr>
            <w:tcW w:w="3807" w:type="dxa"/>
            <w:shd w:val="clear" w:color="000000" w:fill="1F497D"/>
            <w:noWrap/>
            <w:vAlign w:val="center"/>
            <w:hideMark/>
          </w:tcPr>
          <w:p w14:paraId="3751FF9E"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Justificación</w:t>
            </w:r>
          </w:p>
        </w:tc>
      </w:tr>
      <w:tr w:rsidR="0085505C" w:rsidRPr="002A7673" w14:paraId="4C1EBF3B" w14:textId="77777777" w:rsidTr="0048334E">
        <w:trPr>
          <w:trHeight w:val="788"/>
        </w:trPr>
        <w:tc>
          <w:tcPr>
            <w:tcW w:w="1980" w:type="dxa"/>
            <w:vMerge w:val="restart"/>
            <w:shd w:val="clear" w:color="000000" w:fill="FFFFFF"/>
            <w:noWrap/>
            <w:vAlign w:val="center"/>
          </w:tcPr>
          <w:p w14:paraId="197720F6" w14:textId="77777777" w:rsidR="0085505C" w:rsidRPr="002A7673" w:rsidRDefault="0085505C" w:rsidP="0048334E">
            <w:pPr>
              <w:spacing w:after="0" w:line="240" w:lineRule="auto"/>
              <w:jc w:val="both"/>
              <w:rPr>
                <w:rFonts w:ascii="Times New Roman" w:hAnsi="Times New Roman" w:cs="Times New Roman"/>
                <w:color w:val="FF0000"/>
                <w:sz w:val="24"/>
                <w:szCs w:val="24"/>
                <w:lang w:eastAsia="es-CR"/>
              </w:rPr>
            </w:pPr>
            <w:r w:rsidRPr="002A7673">
              <w:rPr>
                <w:rFonts w:ascii="Times New Roman" w:hAnsi="Times New Roman" w:cs="Times New Roman"/>
                <w:sz w:val="24"/>
                <w:szCs w:val="24"/>
              </w:rPr>
              <w:t>Programa 930 “Defensa Pública”</w:t>
            </w:r>
            <w:r w:rsidRPr="002A7673">
              <w:rPr>
                <w:rFonts w:ascii="Times New Roman" w:hAnsi="Times New Roman" w:cs="Times New Roman"/>
                <w:sz w:val="24"/>
                <w:szCs w:val="24"/>
                <w:lang w:eastAsia="es-CR"/>
              </w:rPr>
              <w:t> </w:t>
            </w:r>
          </w:p>
        </w:tc>
        <w:tc>
          <w:tcPr>
            <w:tcW w:w="2693" w:type="dxa"/>
            <w:shd w:val="clear" w:color="000000" w:fill="FFFFFF"/>
            <w:noWrap/>
            <w:vAlign w:val="center"/>
          </w:tcPr>
          <w:p w14:paraId="0A38368B" w14:textId="77777777" w:rsidR="0085505C" w:rsidRPr="002A7673" w:rsidRDefault="0085505C" w:rsidP="0048334E">
            <w:pPr>
              <w:spacing w:after="0" w:line="240" w:lineRule="auto"/>
              <w:jc w:val="both"/>
              <w:rPr>
                <w:rFonts w:ascii="Times New Roman" w:hAnsi="Times New Roman" w:cs="Times New Roman"/>
                <w:sz w:val="24"/>
                <w:szCs w:val="24"/>
                <w:lang w:eastAsia="es-CR"/>
              </w:rPr>
            </w:pPr>
            <w:r w:rsidRPr="002A7673">
              <w:rPr>
                <w:rFonts w:ascii="Times New Roman" w:hAnsi="Times New Roman" w:cs="Times New Roman"/>
                <w:sz w:val="24"/>
                <w:szCs w:val="24"/>
                <w:lang w:eastAsia="es-CR"/>
              </w:rPr>
              <w:t>10406 Servicios Generales</w:t>
            </w:r>
          </w:p>
        </w:tc>
        <w:tc>
          <w:tcPr>
            <w:tcW w:w="1240" w:type="dxa"/>
            <w:shd w:val="clear" w:color="000000" w:fill="FFFFFF"/>
            <w:noWrap/>
            <w:vAlign w:val="center"/>
          </w:tcPr>
          <w:p w14:paraId="29911650"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¢4.600.000</w:t>
            </w:r>
          </w:p>
        </w:tc>
        <w:tc>
          <w:tcPr>
            <w:tcW w:w="3807" w:type="dxa"/>
            <w:shd w:val="clear" w:color="000000" w:fill="FFFFFF"/>
            <w:noWrap/>
            <w:vAlign w:val="bottom"/>
          </w:tcPr>
          <w:p w14:paraId="3E11CE29" w14:textId="77777777" w:rsidR="0085505C" w:rsidRPr="002A7673" w:rsidRDefault="0085505C" w:rsidP="0048334E">
            <w:pPr>
              <w:spacing w:after="0" w:line="240" w:lineRule="auto"/>
              <w:jc w:val="both"/>
              <w:rPr>
                <w:rFonts w:ascii="Times New Roman" w:hAnsi="Times New Roman" w:cs="Times New Roman"/>
                <w:sz w:val="24"/>
                <w:szCs w:val="24"/>
              </w:rPr>
            </w:pPr>
            <w:r w:rsidRPr="002A7673">
              <w:rPr>
                <w:rFonts w:ascii="Times New Roman" w:hAnsi="Times New Roman" w:cs="Times New Roman"/>
                <w:sz w:val="24"/>
                <w:szCs w:val="24"/>
              </w:rPr>
              <w:t>Para cubrir el servicio de vigilancia de la nueva oficina de Quepos, corresponde a un monto complementario debido a que deben de cubrir la necesidad por el traslado a un nuevo edificio desde el 2021.</w:t>
            </w:r>
          </w:p>
        </w:tc>
      </w:tr>
      <w:tr w:rsidR="0085505C" w:rsidRPr="002A7673" w14:paraId="2343F4E8" w14:textId="77777777" w:rsidTr="0048334E">
        <w:trPr>
          <w:trHeight w:val="788"/>
        </w:trPr>
        <w:tc>
          <w:tcPr>
            <w:tcW w:w="1980" w:type="dxa"/>
            <w:vMerge/>
            <w:shd w:val="clear" w:color="000000" w:fill="FFFFFF"/>
            <w:noWrap/>
            <w:vAlign w:val="center"/>
          </w:tcPr>
          <w:p w14:paraId="529B0716" w14:textId="77777777" w:rsidR="0085505C" w:rsidRPr="002A7673" w:rsidRDefault="0085505C" w:rsidP="0048334E">
            <w:pPr>
              <w:spacing w:after="0" w:line="240" w:lineRule="auto"/>
              <w:jc w:val="both"/>
              <w:rPr>
                <w:rFonts w:ascii="Times New Roman" w:hAnsi="Times New Roman" w:cs="Times New Roman"/>
                <w:sz w:val="24"/>
                <w:szCs w:val="24"/>
              </w:rPr>
            </w:pPr>
          </w:p>
        </w:tc>
        <w:tc>
          <w:tcPr>
            <w:tcW w:w="2693" w:type="dxa"/>
            <w:shd w:val="clear" w:color="000000" w:fill="FFFFFF"/>
            <w:noWrap/>
            <w:vAlign w:val="center"/>
          </w:tcPr>
          <w:p w14:paraId="206BA9DD" w14:textId="77777777" w:rsidR="0085505C" w:rsidRPr="002A7673" w:rsidRDefault="0085505C" w:rsidP="0048334E">
            <w:pPr>
              <w:spacing w:after="0" w:line="240" w:lineRule="auto"/>
              <w:jc w:val="both"/>
              <w:rPr>
                <w:rFonts w:ascii="Times New Roman" w:hAnsi="Times New Roman" w:cs="Times New Roman"/>
                <w:sz w:val="24"/>
                <w:szCs w:val="24"/>
                <w:lang w:eastAsia="es-CR"/>
              </w:rPr>
            </w:pPr>
            <w:r w:rsidRPr="002A7673">
              <w:rPr>
                <w:rFonts w:ascii="Times New Roman" w:hAnsi="Times New Roman" w:cs="Times New Roman"/>
                <w:sz w:val="24"/>
                <w:szCs w:val="24"/>
                <w:lang w:eastAsia="es-CR"/>
              </w:rPr>
              <w:t>10807 “Mantenimiento y Reparación de Equipo y Mobiliario de Oficina”</w:t>
            </w:r>
          </w:p>
        </w:tc>
        <w:tc>
          <w:tcPr>
            <w:tcW w:w="1240" w:type="dxa"/>
            <w:shd w:val="clear" w:color="000000" w:fill="FFFFFF"/>
            <w:noWrap/>
            <w:vAlign w:val="center"/>
          </w:tcPr>
          <w:p w14:paraId="5D605914"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¢3.000.000</w:t>
            </w:r>
          </w:p>
        </w:tc>
        <w:tc>
          <w:tcPr>
            <w:tcW w:w="3807" w:type="dxa"/>
            <w:shd w:val="clear" w:color="000000" w:fill="FFFFFF"/>
            <w:noWrap/>
            <w:vAlign w:val="bottom"/>
          </w:tcPr>
          <w:p w14:paraId="54462D48" w14:textId="77777777" w:rsidR="0085505C" w:rsidRPr="002A7673" w:rsidRDefault="0085505C" w:rsidP="0048334E">
            <w:pPr>
              <w:spacing w:after="0" w:line="240" w:lineRule="auto"/>
              <w:jc w:val="both"/>
              <w:rPr>
                <w:rFonts w:ascii="Times New Roman" w:hAnsi="Times New Roman" w:cs="Times New Roman"/>
                <w:color w:val="FF0000"/>
                <w:sz w:val="24"/>
                <w:szCs w:val="24"/>
                <w:lang w:eastAsia="es-CR"/>
              </w:rPr>
            </w:pPr>
            <w:r w:rsidRPr="002A7673">
              <w:rPr>
                <w:rFonts w:ascii="Times New Roman" w:hAnsi="Times New Roman" w:cs="Times New Roman"/>
                <w:sz w:val="24"/>
                <w:szCs w:val="24"/>
              </w:rPr>
              <w:t>En vista de los nuevos lineamientos se requiere un mantenimiento preventivo periódico de los aires acondicionados. Actualmente muchas oficinas de zonas en las que se justifica el recurso cuentan con aparatos en mal estado por la falta de mantenimiento, y que eventualmente puedan llegar a suspenderse.  </w:t>
            </w:r>
          </w:p>
        </w:tc>
      </w:tr>
      <w:tr w:rsidR="0085505C" w:rsidRPr="002A7673" w14:paraId="1C00E345" w14:textId="77777777" w:rsidTr="0048334E">
        <w:trPr>
          <w:trHeight w:val="788"/>
        </w:trPr>
        <w:tc>
          <w:tcPr>
            <w:tcW w:w="1980" w:type="dxa"/>
            <w:vMerge/>
            <w:shd w:val="clear" w:color="000000" w:fill="FFFFFF"/>
            <w:noWrap/>
            <w:vAlign w:val="center"/>
          </w:tcPr>
          <w:p w14:paraId="01172248" w14:textId="77777777" w:rsidR="0085505C" w:rsidRPr="002A7673" w:rsidRDefault="0085505C" w:rsidP="0048334E">
            <w:pPr>
              <w:spacing w:after="0" w:line="240" w:lineRule="auto"/>
              <w:jc w:val="both"/>
              <w:rPr>
                <w:rFonts w:ascii="Times New Roman" w:hAnsi="Times New Roman" w:cs="Times New Roman"/>
                <w:sz w:val="24"/>
                <w:szCs w:val="24"/>
              </w:rPr>
            </w:pPr>
          </w:p>
        </w:tc>
        <w:tc>
          <w:tcPr>
            <w:tcW w:w="2693" w:type="dxa"/>
            <w:shd w:val="clear" w:color="000000" w:fill="FFFFFF"/>
            <w:noWrap/>
            <w:vAlign w:val="center"/>
          </w:tcPr>
          <w:p w14:paraId="6F8AC7E5" w14:textId="77777777" w:rsidR="0085505C" w:rsidRPr="002A7673" w:rsidRDefault="0085505C" w:rsidP="0048334E">
            <w:pPr>
              <w:spacing w:after="0" w:line="240" w:lineRule="auto"/>
              <w:jc w:val="both"/>
              <w:rPr>
                <w:rFonts w:ascii="Times New Roman" w:hAnsi="Times New Roman" w:cs="Times New Roman"/>
                <w:sz w:val="24"/>
                <w:szCs w:val="24"/>
                <w:lang w:eastAsia="es-CR"/>
              </w:rPr>
            </w:pPr>
            <w:r w:rsidRPr="002A7673">
              <w:rPr>
                <w:rFonts w:ascii="Times New Roman" w:hAnsi="Times New Roman" w:cs="Times New Roman"/>
                <w:sz w:val="24"/>
                <w:szCs w:val="24"/>
                <w:lang w:eastAsia="es-CR"/>
              </w:rPr>
              <w:t>50104 “Equipo y Mobiliario de Oficina”</w:t>
            </w:r>
          </w:p>
        </w:tc>
        <w:tc>
          <w:tcPr>
            <w:tcW w:w="1240" w:type="dxa"/>
            <w:shd w:val="clear" w:color="000000" w:fill="FFFFFF"/>
            <w:noWrap/>
            <w:vAlign w:val="center"/>
          </w:tcPr>
          <w:p w14:paraId="3A238EAF"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¢17.800.000</w:t>
            </w:r>
          </w:p>
        </w:tc>
        <w:tc>
          <w:tcPr>
            <w:tcW w:w="3807" w:type="dxa"/>
            <w:shd w:val="clear" w:color="000000" w:fill="FFFFFF"/>
            <w:noWrap/>
            <w:vAlign w:val="bottom"/>
          </w:tcPr>
          <w:p w14:paraId="0125A393" w14:textId="77777777" w:rsidR="0085505C" w:rsidRPr="002A7673" w:rsidRDefault="0085505C" w:rsidP="0048334E">
            <w:pPr>
              <w:spacing w:after="0" w:line="240" w:lineRule="auto"/>
              <w:jc w:val="both"/>
              <w:rPr>
                <w:rFonts w:ascii="Times New Roman" w:hAnsi="Times New Roman" w:cs="Times New Roman"/>
                <w:color w:val="FF0000"/>
                <w:sz w:val="24"/>
                <w:szCs w:val="24"/>
                <w:lang w:eastAsia="es-CR"/>
              </w:rPr>
            </w:pPr>
            <w:r w:rsidRPr="002A7673">
              <w:rPr>
                <w:rFonts w:ascii="Times New Roman" w:hAnsi="Times New Roman" w:cs="Times New Roman"/>
                <w:sz w:val="24"/>
                <w:szCs w:val="24"/>
              </w:rPr>
              <w:t>Para la sustitución de aires acondicionados que se encuentran en mal estado en oficinas de Bataan, Cañas y Corredores. </w:t>
            </w:r>
          </w:p>
        </w:tc>
      </w:tr>
      <w:tr w:rsidR="0085505C" w:rsidRPr="002A7673" w14:paraId="610509BA" w14:textId="77777777" w:rsidTr="0048334E">
        <w:trPr>
          <w:trHeight w:val="788"/>
        </w:trPr>
        <w:tc>
          <w:tcPr>
            <w:tcW w:w="1980" w:type="dxa"/>
            <w:shd w:val="clear" w:color="000000" w:fill="FFFFFF"/>
            <w:noWrap/>
            <w:vAlign w:val="center"/>
          </w:tcPr>
          <w:p w14:paraId="691B8FA1" w14:textId="77777777" w:rsidR="0085505C" w:rsidRPr="002A7673" w:rsidRDefault="0085505C" w:rsidP="0048334E">
            <w:pPr>
              <w:spacing w:after="0" w:line="240" w:lineRule="auto"/>
              <w:jc w:val="both"/>
              <w:rPr>
                <w:rFonts w:ascii="Times New Roman" w:hAnsi="Times New Roman" w:cs="Times New Roman"/>
                <w:sz w:val="24"/>
                <w:szCs w:val="24"/>
              </w:rPr>
            </w:pPr>
          </w:p>
        </w:tc>
        <w:tc>
          <w:tcPr>
            <w:tcW w:w="2693" w:type="dxa"/>
            <w:shd w:val="clear" w:color="000000" w:fill="FFFFFF"/>
            <w:noWrap/>
            <w:vAlign w:val="center"/>
          </w:tcPr>
          <w:p w14:paraId="6161F65B" w14:textId="77777777" w:rsidR="0085505C" w:rsidRPr="002A7673" w:rsidRDefault="0085505C" w:rsidP="0048334E">
            <w:pPr>
              <w:spacing w:after="0" w:line="240" w:lineRule="auto"/>
              <w:jc w:val="both"/>
              <w:rPr>
                <w:rFonts w:ascii="Times New Roman" w:hAnsi="Times New Roman" w:cs="Times New Roman"/>
                <w:sz w:val="24"/>
                <w:szCs w:val="24"/>
                <w:lang w:eastAsia="es-CR"/>
              </w:rPr>
            </w:pPr>
            <w:r w:rsidRPr="002A7673">
              <w:rPr>
                <w:rFonts w:ascii="Times New Roman" w:hAnsi="Times New Roman" w:cs="Times New Roman"/>
                <w:sz w:val="24"/>
                <w:szCs w:val="24"/>
                <w:lang w:eastAsia="es-CR"/>
              </w:rPr>
              <w:t>50199 “Maquinaria y Equipo Diverso”</w:t>
            </w:r>
          </w:p>
        </w:tc>
        <w:tc>
          <w:tcPr>
            <w:tcW w:w="1240" w:type="dxa"/>
            <w:shd w:val="clear" w:color="000000" w:fill="FFFFFF"/>
            <w:noWrap/>
            <w:vAlign w:val="center"/>
          </w:tcPr>
          <w:p w14:paraId="0634E192"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¢525.450</w:t>
            </w:r>
          </w:p>
        </w:tc>
        <w:tc>
          <w:tcPr>
            <w:tcW w:w="3807" w:type="dxa"/>
            <w:shd w:val="clear" w:color="000000" w:fill="FFFFFF"/>
            <w:noWrap/>
            <w:vAlign w:val="bottom"/>
          </w:tcPr>
          <w:p w14:paraId="35BE4FB8" w14:textId="77777777" w:rsidR="0085505C" w:rsidRPr="002A7673" w:rsidRDefault="0085505C" w:rsidP="0048334E">
            <w:pPr>
              <w:spacing w:after="0" w:line="240" w:lineRule="auto"/>
              <w:jc w:val="both"/>
              <w:rPr>
                <w:rFonts w:ascii="Times New Roman" w:hAnsi="Times New Roman" w:cs="Times New Roman"/>
                <w:sz w:val="24"/>
                <w:szCs w:val="24"/>
              </w:rPr>
            </w:pPr>
            <w:r w:rsidRPr="002A7673">
              <w:rPr>
                <w:rFonts w:ascii="Times New Roman" w:hAnsi="Times New Roman" w:cs="Times New Roman"/>
                <w:sz w:val="24"/>
                <w:szCs w:val="24"/>
              </w:rPr>
              <w:t>Necesarios para la compra de un refrigerador para la Defensa Pública de Sarapiquí, se instalará en el área común de comedor ya que actualmente cuentan con uno en mal estado que compraron con recursos del personal.</w:t>
            </w:r>
          </w:p>
        </w:tc>
      </w:tr>
      <w:tr w:rsidR="0085505C" w:rsidRPr="002A7673" w14:paraId="048C1675" w14:textId="77777777" w:rsidTr="0048334E">
        <w:trPr>
          <w:trHeight w:val="788"/>
        </w:trPr>
        <w:tc>
          <w:tcPr>
            <w:tcW w:w="4673" w:type="dxa"/>
            <w:gridSpan w:val="2"/>
            <w:shd w:val="clear" w:color="auto" w:fill="002060"/>
            <w:noWrap/>
            <w:vAlign w:val="center"/>
          </w:tcPr>
          <w:p w14:paraId="19531424" w14:textId="77777777" w:rsidR="0085505C" w:rsidRPr="002A7673" w:rsidRDefault="0085505C" w:rsidP="0048334E">
            <w:pPr>
              <w:spacing w:after="0" w:line="240" w:lineRule="auto"/>
              <w:jc w:val="right"/>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Total</w:t>
            </w:r>
          </w:p>
        </w:tc>
        <w:tc>
          <w:tcPr>
            <w:tcW w:w="1240" w:type="dxa"/>
            <w:shd w:val="clear" w:color="auto" w:fill="002060"/>
            <w:noWrap/>
            <w:vAlign w:val="center"/>
          </w:tcPr>
          <w:p w14:paraId="23386E50" w14:textId="77777777" w:rsidR="0085505C" w:rsidRPr="002A7673" w:rsidRDefault="0085505C" w:rsidP="0048334E">
            <w:pPr>
              <w:spacing w:after="0" w:line="240" w:lineRule="auto"/>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¢25.925.450</w:t>
            </w:r>
          </w:p>
        </w:tc>
        <w:tc>
          <w:tcPr>
            <w:tcW w:w="3807" w:type="dxa"/>
            <w:shd w:val="clear" w:color="auto" w:fill="002060"/>
            <w:noWrap/>
            <w:vAlign w:val="bottom"/>
          </w:tcPr>
          <w:p w14:paraId="46ECC69C" w14:textId="77777777" w:rsidR="0085505C" w:rsidRPr="002A7673" w:rsidRDefault="0085505C" w:rsidP="0048334E">
            <w:pPr>
              <w:spacing w:after="0" w:line="240" w:lineRule="auto"/>
              <w:jc w:val="both"/>
              <w:rPr>
                <w:rFonts w:ascii="Times New Roman" w:hAnsi="Times New Roman" w:cs="Times New Roman"/>
                <w:b/>
                <w:bCs/>
                <w:color w:val="FF0000"/>
                <w:sz w:val="24"/>
                <w:szCs w:val="24"/>
                <w:lang w:eastAsia="es-CR"/>
              </w:rPr>
            </w:pPr>
          </w:p>
        </w:tc>
      </w:tr>
    </w:tbl>
    <w:p w14:paraId="0D463A6F"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A3C6314" w14:textId="77777777" w:rsidR="0085505C" w:rsidRPr="002A7673" w:rsidRDefault="0085505C" w:rsidP="00FF3FAC">
      <w:pPr>
        <w:numPr>
          <w:ilvl w:val="1"/>
          <w:numId w:val="70"/>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Es importante indicar que adicionalmente a los recursos solicitados en el cuadro anterior la Defensa Pública incorporó en el análisis de subpartidas sensibles la suma de ¢4.000.000 en la subpartida 10805 “Mantenimiento y Reparación de Equipo de Transporte”, justificado de la siguiente forma: Se requiere gestionar de manera oportuna el mantenimiento de la flotilla vehicular. Históricamente el presupuesto en esta subpartida es insuficiente y genera que los vehículos se mantengan detenidos hasta que se cuente con los recursos del periodo presupuestario siguiente.   </w:t>
      </w:r>
    </w:p>
    <w:p w14:paraId="59B1DD4A"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sz w:val="26"/>
          <w:szCs w:val="26"/>
          <w:lang w:val="es-ES" w:eastAsia="es-ES"/>
        </w:rPr>
      </w:pPr>
    </w:p>
    <w:p w14:paraId="178356B9"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reunión de trabajo del Consejo Superior del pasado 16 de abril, al conocer el detalle de los requerimientos de las Subpartidas 10805 Mantenimiento y Reparación de Equipos de Transporte, con respecto a esta petición se acordó lo siguiente:</w:t>
      </w:r>
    </w:p>
    <w:p w14:paraId="24A2ADD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0FF387D1"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proofErr w:type="gramStart"/>
      <w:r w:rsidRPr="002A7673">
        <w:rPr>
          <w:rFonts w:ascii="Times New Roman" w:hAnsi="Times New Roman" w:cs="Times New Roman"/>
          <w:i/>
          <w:iCs/>
          <w:sz w:val="26"/>
          <w:szCs w:val="26"/>
        </w:rPr>
        <w:t>“  2</w:t>
      </w:r>
      <w:proofErr w:type="gramEnd"/>
      <w:r w:rsidRPr="002A7673">
        <w:rPr>
          <w:rFonts w:ascii="Times New Roman" w:hAnsi="Times New Roman" w:cs="Times New Roman"/>
          <w:i/>
          <w:iCs/>
          <w:sz w:val="26"/>
          <w:szCs w:val="26"/>
        </w:rPr>
        <w:t>) Solicitar a la Dirección Ejecutiva una ampliación de la justificación ofrecida por la Defensa Pública en torno a los requerimientos adicionales solicitados en la Subpartida 10805 Mantenimiento y Reparación de equipo de Transporte, por la suma de ¢4.000.000”.</w:t>
      </w:r>
    </w:p>
    <w:p w14:paraId="0CAE22B0"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sz w:val="26"/>
          <w:szCs w:val="26"/>
          <w:lang w:val="es-ES" w:eastAsia="es-ES"/>
        </w:rPr>
      </w:pPr>
    </w:p>
    <w:p w14:paraId="0F75718A"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Otros Requerimientos Operativos</w:t>
      </w:r>
    </w:p>
    <w:p w14:paraId="27916612" w14:textId="77777777" w:rsidR="0085505C" w:rsidRPr="002A7673" w:rsidRDefault="0085505C" w:rsidP="0085505C">
      <w:p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eastAsia="es-ES"/>
        </w:rPr>
      </w:pPr>
      <w:r w:rsidRPr="002A7673">
        <w:rPr>
          <w:rFonts w:ascii="Times New Roman" w:eastAsia="Times New Roman" w:hAnsi="Times New Roman" w:cs="Times New Roman"/>
          <w:sz w:val="26"/>
          <w:szCs w:val="26"/>
          <w:lang w:eastAsia="es-ES"/>
        </w:rPr>
        <w:t>Conforme el acuerdo del Consejo Superior tomado en la sesión N°21-2021, del 12 de marzo, artículo X, en el cual se acordó: “Solicitar a la Dirección Ejecutiva que en coordinación con la Dirección de Planificación y debido a las limitaciones presupuestarias, realice un análisis de las necesidades adicionales solicitadas por cada una de las oficinas estableciendo una propuesta de priorización a nivel institucional.”, se indica que para el programa presupuestario 930 Defensa Pública se está solicitando un total de ¢31.874.862 en la subpartida 10101 Alquiler de Edificios, Locales y Terrenos.</w:t>
      </w:r>
    </w:p>
    <w:p w14:paraId="10057717" w14:textId="77777777" w:rsidR="0085505C" w:rsidRPr="002A7673" w:rsidRDefault="0085505C" w:rsidP="0085505C">
      <w:pPr>
        <w:autoSpaceDE w:val="0"/>
        <w:autoSpaceDN w:val="0"/>
        <w:adjustRightInd w:val="0"/>
        <w:spacing w:after="0" w:line="240" w:lineRule="auto"/>
        <w:rPr>
          <w:rFonts w:ascii="Times New Roman" w:eastAsia="Times New Roman" w:hAnsi="Times New Roman" w:cs="Times New Roman"/>
          <w:sz w:val="28"/>
          <w:szCs w:val="28"/>
          <w:lang w:eastAsia="es-ES"/>
        </w:rPr>
      </w:pPr>
    </w:p>
    <w:p w14:paraId="3CB669D3" w14:textId="77777777" w:rsidR="0085505C" w:rsidRPr="002A7673" w:rsidRDefault="0085505C" w:rsidP="0085505C">
      <w:pPr>
        <w:autoSpaceDE w:val="0"/>
        <w:autoSpaceDN w:val="0"/>
        <w:adjustRightInd w:val="0"/>
        <w:spacing w:after="0" w:line="240" w:lineRule="auto"/>
        <w:rPr>
          <w:rFonts w:ascii="Times New Roman" w:eastAsia="Times New Roman" w:hAnsi="Times New Roman" w:cs="Times New Roman"/>
          <w:sz w:val="28"/>
          <w:szCs w:val="28"/>
          <w:highlight w:val="yellow"/>
          <w:lang w:eastAsia="es-ES"/>
        </w:rPr>
      </w:pPr>
      <w:r w:rsidRPr="002A7673">
        <w:rPr>
          <w:rFonts w:ascii="Times New Roman" w:eastAsia="Times New Roman" w:hAnsi="Times New Roman" w:cs="Times New Roman"/>
          <w:color w:val="000000"/>
          <w:sz w:val="24"/>
          <w:szCs w:val="24"/>
          <w:lang w:eastAsia="es-CR"/>
        </w:rPr>
        <w:t xml:space="preserve">| </w:t>
      </w:r>
      <w:r w:rsidRPr="002A7673">
        <w:rPr>
          <w:rFonts w:ascii="Times New Roman" w:eastAsia="Times New Roman" w:hAnsi="Times New Roman" w:cs="Times New Roman"/>
          <w:noProof/>
          <w:color w:val="000000"/>
          <w:sz w:val="24"/>
          <w:szCs w:val="24"/>
          <w:lang w:eastAsia="es-CR"/>
        </w:rPr>
        <w:drawing>
          <wp:inline distT="0" distB="0" distL="0" distR="0" wp14:anchorId="24CDB5D3" wp14:editId="02C5220B">
            <wp:extent cx="6301105" cy="2616835"/>
            <wp:effectExtent l="0" t="0" r="4445" b="0"/>
            <wp:docPr id="1263269105" name="Imagen 126326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6301105" cy="2616835"/>
                    </a:xfrm>
                    <a:prstGeom prst="rect">
                      <a:avLst/>
                    </a:prstGeom>
                    <a:noFill/>
                    <a:ln>
                      <a:noFill/>
                    </a:ln>
                  </pic:spPr>
                </pic:pic>
              </a:graphicData>
            </a:graphic>
          </wp:inline>
        </w:drawing>
      </w:r>
    </w:p>
    <w:p w14:paraId="3D068D88" w14:textId="77777777" w:rsidR="0085505C" w:rsidRPr="002A7673" w:rsidRDefault="0085505C" w:rsidP="0085505C">
      <w:pPr>
        <w:autoSpaceDE w:val="0"/>
        <w:autoSpaceDN w:val="0"/>
        <w:adjustRightInd w:val="0"/>
        <w:spacing w:after="0" w:line="240" w:lineRule="auto"/>
        <w:rPr>
          <w:rFonts w:ascii="Times New Roman" w:eastAsia="Times New Roman" w:hAnsi="Times New Roman" w:cs="Times New Roman"/>
          <w:sz w:val="28"/>
          <w:szCs w:val="28"/>
          <w:highlight w:val="yellow"/>
          <w:lang w:eastAsia="es-ES"/>
        </w:rPr>
      </w:pPr>
    </w:p>
    <w:p w14:paraId="3F7077F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Es importante señalar </w:t>
      </w:r>
      <w:proofErr w:type="gramStart"/>
      <w:r w:rsidRPr="002A7673">
        <w:rPr>
          <w:rFonts w:ascii="Times New Roman" w:hAnsi="Times New Roman" w:cs="Times New Roman"/>
          <w:sz w:val="26"/>
          <w:szCs w:val="26"/>
        </w:rPr>
        <w:t>que</w:t>
      </w:r>
      <w:proofErr w:type="gramEnd"/>
      <w:r w:rsidRPr="002A7673">
        <w:rPr>
          <w:rFonts w:ascii="Times New Roman" w:hAnsi="Times New Roman" w:cs="Times New Roman"/>
          <w:sz w:val="26"/>
          <w:szCs w:val="26"/>
        </w:rPr>
        <w:t xml:space="preserve"> en cuanto a estos requerimientos operativos, el Consejo Superior en sesión del trabajo del pasado 16 de abril, al conocer el detalle de los requerimientos de la subpartida 10101 Alquiler de Edificios, locales y terrenos, dispuso lo siguiente:  </w:t>
      </w:r>
    </w:p>
    <w:p w14:paraId="58B82017"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2AB403E0"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proofErr w:type="gramStart"/>
      <w:r w:rsidRPr="002A7673">
        <w:rPr>
          <w:rFonts w:ascii="Times New Roman" w:hAnsi="Times New Roman" w:cs="Times New Roman"/>
          <w:i/>
          <w:iCs/>
          <w:sz w:val="26"/>
          <w:szCs w:val="26"/>
        </w:rPr>
        <w:t>“ 4</w:t>
      </w:r>
      <w:proofErr w:type="gramEnd"/>
      <w:r w:rsidRPr="002A7673">
        <w:rPr>
          <w:rFonts w:ascii="Times New Roman" w:hAnsi="Times New Roman" w:cs="Times New Roman"/>
          <w:i/>
          <w:iCs/>
          <w:sz w:val="26"/>
          <w:szCs w:val="26"/>
        </w:rPr>
        <w:t>) Se aprueban los recursos adicionales solicitados por ¢818,797,256 en la subpartida 10101 Alquiler de Edificios, Locales y Terrenos, estos montos corresponden a traslados a unos nuevos locales, adendum a contratos, ampliaciones y lo correspondiente al fideicomiso de Puntarenas.”</w:t>
      </w:r>
    </w:p>
    <w:p w14:paraId="570562F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04B29F96" w14:textId="77777777" w:rsidR="0085505C" w:rsidRPr="002A7673" w:rsidRDefault="0085505C" w:rsidP="0085505C">
      <w:p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eastAsia="es-ES"/>
        </w:rPr>
      </w:pPr>
      <w:r w:rsidRPr="002A7673">
        <w:rPr>
          <w:rFonts w:ascii="Times New Roman" w:eastAsia="Times New Roman" w:hAnsi="Times New Roman" w:cs="Times New Roman"/>
          <w:sz w:val="26"/>
          <w:szCs w:val="26"/>
          <w:lang w:eastAsia="es-ES"/>
        </w:rPr>
        <w:t xml:space="preserve">Cabe indicar </w:t>
      </w:r>
      <w:proofErr w:type="gramStart"/>
      <w:r w:rsidRPr="002A7673">
        <w:rPr>
          <w:rFonts w:ascii="Times New Roman" w:eastAsia="Times New Roman" w:hAnsi="Times New Roman" w:cs="Times New Roman"/>
          <w:sz w:val="26"/>
          <w:szCs w:val="26"/>
          <w:lang w:eastAsia="es-ES"/>
        </w:rPr>
        <w:t>que</w:t>
      </w:r>
      <w:proofErr w:type="gramEnd"/>
      <w:r w:rsidRPr="002A7673">
        <w:rPr>
          <w:rFonts w:ascii="Times New Roman" w:eastAsia="Times New Roman" w:hAnsi="Times New Roman" w:cs="Times New Roman"/>
          <w:sz w:val="26"/>
          <w:szCs w:val="26"/>
          <w:lang w:eastAsia="es-ES"/>
        </w:rPr>
        <w:t xml:space="preserve"> como parte de este monto, se incluyeron los ¢31.874.862 en la subpartida 10101 Alquiler de Edificios, Locales y Terrenos solicitados por la Defensa Pública. </w:t>
      </w:r>
    </w:p>
    <w:p w14:paraId="53A0E8A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F0A1A1F"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 xml:space="preserve">Con la inclusión tanto de los requerimientos operativos como los adicionales que en total suman ¢61.800.312, el monto total del programa presupuestario asciende a ¢2.262.801.367, lo que representa una variación del -6.99%. </w:t>
      </w:r>
    </w:p>
    <w:p w14:paraId="2198EDBB"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p>
    <w:p w14:paraId="02E4E9F1"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hAnsi="Times New Roman" w:cs="Times New Roman"/>
          <w:b/>
          <w:sz w:val="26"/>
          <w:szCs w:val="26"/>
        </w:rPr>
      </w:pPr>
      <w:bookmarkStart w:id="234" w:name="_Hlk499110055"/>
      <w:r w:rsidRPr="002A7673">
        <w:rPr>
          <w:rFonts w:ascii="Times New Roman" w:hAnsi="Times New Roman" w:cs="Times New Roman"/>
          <w:b/>
          <w:sz w:val="26"/>
          <w:szCs w:val="26"/>
        </w:rPr>
        <w:t>Detalle del Presupuesto Formulado para 2022</w:t>
      </w:r>
    </w:p>
    <w:p w14:paraId="22EF6F36" w14:textId="77777777" w:rsidR="0085505C" w:rsidRPr="002A7673" w:rsidRDefault="0085505C" w:rsidP="0085505C">
      <w:pPr>
        <w:spacing w:after="0" w:line="240" w:lineRule="auto"/>
        <w:ind w:left="851" w:right="851" w:firstLine="709"/>
        <w:jc w:val="both"/>
        <w:rPr>
          <w:rFonts w:ascii="Times New Roman" w:hAnsi="Times New Roman" w:cs="Times New Roman"/>
          <w:color w:val="FF0000"/>
          <w:sz w:val="26"/>
          <w:szCs w:val="26"/>
        </w:rPr>
      </w:pPr>
    </w:p>
    <w:p w14:paraId="568A27F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lastRenderedPageBreak/>
        <w:t xml:space="preserve">A continuación, se incluyen los archivos que contienen el detalle del gasto de los recursos formulados para el 2022. </w:t>
      </w:r>
    </w:p>
    <w:p w14:paraId="0D2CD653" w14:textId="77777777" w:rsidR="0085505C" w:rsidRPr="002A7673" w:rsidRDefault="0085505C" w:rsidP="0085505C">
      <w:pPr>
        <w:spacing w:after="0" w:line="240" w:lineRule="auto"/>
        <w:ind w:left="851" w:right="851"/>
        <w:jc w:val="center"/>
        <w:rPr>
          <w:rFonts w:ascii="Times New Roman" w:hAnsi="Times New Roman" w:cs="Times New Roman"/>
          <w:color w:val="FF0000"/>
          <w:sz w:val="26"/>
          <w:szCs w:val="26"/>
        </w:rPr>
      </w:pPr>
      <w:r w:rsidRPr="002A7673">
        <w:rPr>
          <w:rFonts w:ascii="Times New Roman" w:hAnsi="Times New Roman" w:cs="Times New Roman"/>
          <w:color w:val="FF0000"/>
          <w:sz w:val="26"/>
          <w:szCs w:val="26"/>
        </w:rPr>
        <w:object w:dxaOrig="1376" w:dyaOrig="893" w14:anchorId="23808E97">
          <v:shape id="_x0000_i1157" type="#_x0000_t75" style="width:65pt;height:42.5pt" o:ole="">
            <v:imagedata r:id="rId356" o:title=""/>
          </v:shape>
          <o:OLEObject Type="Embed" ProgID="Excel.Sheet.12" ShapeID="_x0000_i1157" DrawAspect="Icon" ObjectID="_1684067100" r:id="rId357"/>
        </w:object>
      </w:r>
    </w:p>
    <w:p w14:paraId="0C26F796" w14:textId="77777777" w:rsidR="0085505C" w:rsidRPr="002A7673" w:rsidRDefault="0085505C" w:rsidP="0085505C">
      <w:pPr>
        <w:spacing w:after="0" w:line="240" w:lineRule="auto"/>
        <w:ind w:left="851" w:right="851" w:firstLine="709"/>
        <w:jc w:val="both"/>
        <w:rPr>
          <w:rFonts w:ascii="Times New Roman" w:hAnsi="Times New Roman" w:cs="Times New Roman"/>
          <w:color w:val="FF0000"/>
          <w:sz w:val="26"/>
          <w:szCs w:val="26"/>
        </w:rPr>
      </w:pPr>
    </w:p>
    <w:p w14:paraId="4DF4E944"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 xml:space="preserve">Carga de Trabajo de los Circuitos Judiciales y Centros de Responsabilidad </w:t>
      </w:r>
    </w:p>
    <w:p w14:paraId="47A5C340"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3D40372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 continuación, se detalla la carga de trabajo correspondiente al bienio 2019-2020 para la Defensa Pública. Los datos fueron proporcionados por parte del Subproceso de Estadística.</w:t>
      </w:r>
    </w:p>
    <w:p w14:paraId="6390C94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4485A6A5" w14:textId="77777777" w:rsidR="0085505C" w:rsidRPr="002A7673" w:rsidRDefault="0085505C" w:rsidP="0085505C">
      <w:pPr>
        <w:keepNext/>
        <w:widowControl w:val="0"/>
        <w:autoSpaceDE w:val="0"/>
        <w:autoSpaceDN w:val="0"/>
        <w:adjustRightInd w:val="0"/>
        <w:spacing w:after="0" w:line="240" w:lineRule="auto"/>
        <w:ind w:left="851" w:right="851" w:firstLine="709"/>
        <w:jc w:val="both"/>
        <w:rPr>
          <w:rFonts w:ascii="Times New Roman" w:eastAsia="Times New Roman" w:hAnsi="Times New Roman" w:cs="Times New Roman"/>
          <w:b/>
          <w:bCs/>
          <w:sz w:val="26"/>
          <w:szCs w:val="26"/>
          <w:lang w:val="es-ES" w:eastAsia="es-ES"/>
        </w:rPr>
      </w:pPr>
      <w:bookmarkStart w:id="235" w:name="_Hlk4489462"/>
      <w:r w:rsidRPr="002A7673">
        <w:rPr>
          <w:rFonts w:ascii="Times New Roman" w:eastAsia="Times New Roman" w:hAnsi="Times New Roman" w:cs="Times New Roman"/>
          <w:b/>
          <w:bCs/>
          <w:sz w:val="26"/>
          <w:szCs w:val="26"/>
          <w:lang w:val="es-ES" w:eastAsia="es-ES"/>
        </w:rPr>
        <w:t xml:space="preserve">Cuadro </w:t>
      </w:r>
      <w:r w:rsidRPr="002A7673">
        <w:rPr>
          <w:rFonts w:ascii="Times New Roman" w:eastAsia="Times New Roman" w:hAnsi="Times New Roman" w:cs="Times New Roman"/>
          <w:b/>
          <w:bCs/>
          <w:sz w:val="26"/>
          <w:szCs w:val="26"/>
          <w:lang w:val="es-ES" w:eastAsia="es-ES"/>
        </w:rPr>
        <w:fldChar w:fldCharType="begin"/>
      </w:r>
      <w:r w:rsidRPr="002A7673">
        <w:rPr>
          <w:rFonts w:ascii="Times New Roman" w:eastAsia="Times New Roman" w:hAnsi="Times New Roman" w:cs="Times New Roman"/>
          <w:b/>
          <w:bCs/>
          <w:sz w:val="26"/>
          <w:szCs w:val="26"/>
          <w:lang w:val="es-ES" w:eastAsia="es-ES"/>
        </w:rPr>
        <w:instrText xml:space="preserve"> SEQ Cuadro \* ARABIC </w:instrText>
      </w:r>
      <w:r w:rsidRPr="002A7673">
        <w:rPr>
          <w:rFonts w:ascii="Times New Roman" w:eastAsia="Times New Roman" w:hAnsi="Times New Roman" w:cs="Times New Roman"/>
          <w:b/>
          <w:bCs/>
          <w:sz w:val="26"/>
          <w:szCs w:val="26"/>
          <w:lang w:val="es-ES" w:eastAsia="es-ES"/>
        </w:rPr>
        <w:fldChar w:fldCharType="separate"/>
      </w:r>
      <w:r w:rsidRPr="002A7673">
        <w:rPr>
          <w:rFonts w:ascii="Times New Roman" w:eastAsia="Times New Roman" w:hAnsi="Times New Roman" w:cs="Times New Roman"/>
          <w:b/>
          <w:bCs/>
          <w:noProof/>
          <w:sz w:val="26"/>
          <w:szCs w:val="26"/>
          <w:lang w:val="es-ES" w:eastAsia="es-ES"/>
        </w:rPr>
        <w:t>1</w:t>
      </w:r>
      <w:r w:rsidRPr="002A7673">
        <w:rPr>
          <w:rFonts w:ascii="Times New Roman" w:eastAsia="Times New Roman" w:hAnsi="Times New Roman" w:cs="Times New Roman"/>
          <w:b/>
          <w:bCs/>
          <w:sz w:val="26"/>
          <w:szCs w:val="26"/>
          <w:lang w:val="es-ES" w:eastAsia="es-ES"/>
        </w:rPr>
        <w:fldChar w:fldCharType="end"/>
      </w:r>
      <w:r w:rsidRPr="002A7673">
        <w:rPr>
          <w:rFonts w:ascii="Times New Roman" w:eastAsia="Times New Roman" w:hAnsi="Times New Roman" w:cs="Times New Roman"/>
          <w:b/>
          <w:bCs/>
          <w:sz w:val="26"/>
          <w:szCs w:val="26"/>
          <w:lang w:val="es-ES" w:eastAsia="es-ES"/>
        </w:rPr>
        <w:t xml:space="preserve"> </w:t>
      </w:r>
    </w:p>
    <w:p w14:paraId="5656CE39" w14:textId="77777777" w:rsidR="0085505C" w:rsidRPr="002A7673" w:rsidRDefault="0085505C" w:rsidP="0085505C">
      <w:pPr>
        <w:keepNext/>
        <w:widowControl w:val="0"/>
        <w:autoSpaceDE w:val="0"/>
        <w:autoSpaceDN w:val="0"/>
        <w:adjustRightInd w:val="0"/>
        <w:spacing w:after="0" w:line="240" w:lineRule="auto"/>
        <w:ind w:left="851" w:right="851"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Movimientos generales de trabajo para el Centro de Responsabilidad de la Defensa Pública durante el bienio 2019-2020</w:t>
      </w:r>
    </w:p>
    <w:tbl>
      <w:tblPr>
        <w:tblW w:w="5000" w:type="pct"/>
        <w:tblBorders>
          <w:top w:val="single" w:sz="8" w:space="0" w:color="auto"/>
          <w:bottom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903"/>
        <w:gridCol w:w="1062"/>
        <w:gridCol w:w="1063"/>
        <w:gridCol w:w="1263"/>
        <w:gridCol w:w="1377"/>
      </w:tblGrid>
      <w:tr w:rsidR="0085505C" w:rsidRPr="002A7673" w14:paraId="0747A496" w14:textId="77777777" w:rsidTr="0048334E">
        <w:trPr>
          <w:trHeight w:val="20"/>
        </w:trPr>
        <w:tc>
          <w:tcPr>
            <w:tcW w:w="2536" w:type="pct"/>
            <w:vMerge w:val="restart"/>
            <w:shd w:val="clear" w:color="auto" w:fill="auto"/>
            <w:vAlign w:val="center"/>
          </w:tcPr>
          <w:p w14:paraId="5B324915"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Variable</w:t>
            </w:r>
          </w:p>
        </w:tc>
        <w:tc>
          <w:tcPr>
            <w:tcW w:w="1099" w:type="pct"/>
            <w:gridSpan w:val="2"/>
            <w:shd w:val="clear" w:color="auto" w:fill="auto"/>
            <w:vAlign w:val="center"/>
          </w:tcPr>
          <w:p w14:paraId="332A8571"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Año</w:t>
            </w:r>
          </w:p>
        </w:tc>
        <w:tc>
          <w:tcPr>
            <w:tcW w:w="653" w:type="pct"/>
            <w:vMerge w:val="restart"/>
            <w:shd w:val="clear" w:color="auto" w:fill="auto"/>
            <w:vAlign w:val="center"/>
          </w:tcPr>
          <w:p w14:paraId="014E1F97"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Variación absoluta</w:t>
            </w:r>
          </w:p>
        </w:tc>
        <w:tc>
          <w:tcPr>
            <w:tcW w:w="713" w:type="pct"/>
            <w:vMerge w:val="restart"/>
            <w:shd w:val="clear" w:color="auto" w:fill="auto"/>
            <w:vAlign w:val="center"/>
          </w:tcPr>
          <w:p w14:paraId="2D1E87AC"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Variación Porcentual</w:t>
            </w:r>
          </w:p>
        </w:tc>
      </w:tr>
      <w:tr w:rsidR="0085505C" w:rsidRPr="002A7673" w14:paraId="28D0EBB1" w14:textId="77777777" w:rsidTr="0048334E">
        <w:trPr>
          <w:trHeight w:val="20"/>
        </w:trPr>
        <w:tc>
          <w:tcPr>
            <w:tcW w:w="2536" w:type="pct"/>
            <w:vMerge/>
            <w:tcBorders>
              <w:bottom w:val="single" w:sz="8" w:space="0" w:color="auto"/>
            </w:tcBorders>
            <w:shd w:val="clear" w:color="auto" w:fill="auto"/>
            <w:vAlign w:val="center"/>
          </w:tcPr>
          <w:p w14:paraId="6281B7F7" w14:textId="77777777" w:rsidR="0085505C" w:rsidRPr="002A7673" w:rsidRDefault="0085505C" w:rsidP="0048334E">
            <w:pPr>
              <w:spacing w:after="0" w:line="240" w:lineRule="auto"/>
              <w:rPr>
                <w:rFonts w:ascii="Times New Roman" w:hAnsi="Times New Roman" w:cs="Times New Roman"/>
                <w:b/>
                <w:bCs/>
                <w:sz w:val="24"/>
                <w:szCs w:val="24"/>
                <w:lang w:eastAsia="es-CR"/>
              </w:rPr>
            </w:pPr>
          </w:p>
        </w:tc>
        <w:tc>
          <w:tcPr>
            <w:tcW w:w="549" w:type="pct"/>
            <w:tcBorders>
              <w:bottom w:val="single" w:sz="8" w:space="0" w:color="auto"/>
            </w:tcBorders>
            <w:shd w:val="clear" w:color="auto" w:fill="auto"/>
            <w:vAlign w:val="center"/>
          </w:tcPr>
          <w:p w14:paraId="257B5A08"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2019</w:t>
            </w:r>
          </w:p>
        </w:tc>
        <w:tc>
          <w:tcPr>
            <w:tcW w:w="549" w:type="pct"/>
            <w:tcBorders>
              <w:bottom w:val="single" w:sz="8" w:space="0" w:color="auto"/>
            </w:tcBorders>
            <w:shd w:val="clear" w:color="auto" w:fill="auto"/>
            <w:vAlign w:val="center"/>
          </w:tcPr>
          <w:p w14:paraId="0839B83B" w14:textId="77777777" w:rsidR="0085505C" w:rsidRPr="002A7673" w:rsidRDefault="0085505C" w:rsidP="0048334E">
            <w:pPr>
              <w:spacing w:after="0" w:line="24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2020*</w:t>
            </w:r>
          </w:p>
        </w:tc>
        <w:tc>
          <w:tcPr>
            <w:tcW w:w="653" w:type="pct"/>
            <w:vMerge/>
            <w:tcBorders>
              <w:bottom w:val="single" w:sz="8" w:space="0" w:color="auto"/>
            </w:tcBorders>
            <w:shd w:val="clear" w:color="auto" w:fill="auto"/>
            <w:vAlign w:val="center"/>
          </w:tcPr>
          <w:p w14:paraId="295D6250" w14:textId="77777777" w:rsidR="0085505C" w:rsidRPr="002A7673" w:rsidRDefault="0085505C" w:rsidP="0048334E">
            <w:pPr>
              <w:spacing w:after="0" w:line="240" w:lineRule="auto"/>
              <w:rPr>
                <w:rFonts w:ascii="Times New Roman" w:hAnsi="Times New Roman" w:cs="Times New Roman"/>
                <w:b/>
                <w:bCs/>
                <w:sz w:val="24"/>
                <w:szCs w:val="24"/>
                <w:lang w:eastAsia="es-CR"/>
              </w:rPr>
            </w:pPr>
          </w:p>
        </w:tc>
        <w:tc>
          <w:tcPr>
            <w:tcW w:w="713" w:type="pct"/>
            <w:vMerge/>
            <w:tcBorders>
              <w:bottom w:val="single" w:sz="8" w:space="0" w:color="auto"/>
            </w:tcBorders>
            <w:shd w:val="clear" w:color="auto" w:fill="auto"/>
            <w:vAlign w:val="center"/>
          </w:tcPr>
          <w:p w14:paraId="7E915759" w14:textId="77777777" w:rsidR="0085505C" w:rsidRPr="002A7673" w:rsidRDefault="0085505C" w:rsidP="0048334E">
            <w:pPr>
              <w:spacing w:after="0" w:line="240" w:lineRule="auto"/>
              <w:rPr>
                <w:rFonts w:ascii="Times New Roman" w:hAnsi="Times New Roman" w:cs="Times New Roman"/>
                <w:b/>
                <w:bCs/>
                <w:sz w:val="24"/>
                <w:szCs w:val="24"/>
                <w:lang w:eastAsia="es-CR"/>
              </w:rPr>
            </w:pPr>
          </w:p>
        </w:tc>
      </w:tr>
      <w:tr w:rsidR="0085505C" w:rsidRPr="002A7673" w14:paraId="4B010F60" w14:textId="77777777" w:rsidTr="0048334E">
        <w:trPr>
          <w:trHeight w:val="20"/>
        </w:trPr>
        <w:tc>
          <w:tcPr>
            <w:tcW w:w="2536" w:type="pct"/>
            <w:tcBorders>
              <w:bottom w:val="nil"/>
            </w:tcBorders>
            <w:shd w:val="clear" w:color="auto" w:fill="auto"/>
            <w:vAlign w:val="bottom"/>
            <w:hideMark/>
          </w:tcPr>
          <w:p w14:paraId="71EEB09A"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49" w:type="pct"/>
            <w:tcBorders>
              <w:bottom w:val="nil"/>
            </w:tcBorders>
            <w:shd w:val="clear" w:color="auto" w:fill="auto"/>
            <w:vAlign w:val="bottom"/>
            <w:hideMark/>
          </w:tcPr>
          <w:p w14:paraId="6CF9F2D6"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49" w:type="pct"/>
            <w:tcBorders>
              <w:bottom w:val="nil"/>
            </w:tcBorders>
            <w:shd w:val="clear" w:color="auto" w:fill="auto"/>
            <w:vAlign w:val="bottom"/>
            <w:hideMark/>
          </w:tcPr>
          <w:p w14:paraId="4BE5F55A"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653" w:type="pct"/>
            <w:tcBorders>
              <w:bottom w:val="nil"/>
            </w:tcBorders>
            <w:shd w:val="clear" w:color="auto" w:fill="auto"/>
            <w:vAlign w:val="bottom"/>
            <w:hideMark/>
          </w:tcPr>
          <w:p w14:paraId="5002500A"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713" w:type="pct"/>
            <w:tcBorders>
              <w:bottom w:val="nil"/>
            </w:tcBorders>
            <w:shd w:val="clear" w:color="auto" w:fill="auto"/>
            <w:vAlign w:val="bottom"/>
            <w:hideMark/>
          </w:tcPr>
          <w:p w14:paraId="03C58161"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r>
      <w:tr w:rsidR="0085505C" w:rsidRPr="002A7673" w14:paraId="7927A24F" w14:textId="77777777" w:rsidTr="0048334E">
        <w:trPr>
          <w:trHeight w:val="20"/>
        </w:trPr>
        <w:tc>
          <w:tcPr>
            <w:tcW w:w="2536" w:type="pct"/>
            <w:tcBorders>
              <w:top w:val="nil"/>
              <w:left w:val="nil"/>
              <w:bottom w:val="nil"/>
              <w:right w:val="single" w:sz="8" w:space="0" w:color="auto"/>
            </w:tcBorders>
            <w:shd w:val="clear" w:color="auto" w:fill="auto"/>
            <w:vAlign w:val="bottom"/>
          </w:tcPr>
          <w:p w14:paraId="02B7A501"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rPr>
              <w:t>Circulante al iniciar**</w:t>
            </w:r>
          </w:p>
        </w:tc>
        <w:tc>
          <w:tcPr>
            <w:tcW w:w="549" w:type="pct"/>
            <w:tcBorders>
              <w:top w:val="nil"/>
              <w:left w:val="nil"/>
              <w:bottom w:val="nil"/>
              <w:right w:val="single" w:sz="8" w:space="0" w:color="auto"/>
            </w:tcBorders>
            <w:shd w:val="clear" w:color="auto" w:fill="auto"/>
            <w:vAlign w:val="center"/>
          </w:tcPr>
          <w:p w14:paraId="5A41C3A5"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119 409</w:t>
            </w:r>
          </w:p>
        </w:tc>
        <w:tc>
          <w:tcPr>
            <w:tcW w:w="549" w:type="pct"/>
            <w:tcBorders>
              <w:top w:val="nil"/>
              <w:left w:val="nil"/>
              <w:bottom w:val="nil"/>
              <w:right w:val="single" w:sz="8" w:space="0" w:color="auto"/>
            </w:tcBorders>
            <w:shd w:val="clear" w:color="auto" w:fill="auto"/>
            <w:vAlign w:val="center"/>
          </w:tcPr>
          <w:p w14:paraId="27FB7832"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123 096</w:t>
            </w:r>
          </w:p>
        </w:tc>
        <w:tc>
          <w:tcPr>
            <w:tcW w:w="653" w:type="pct"/>
            <w:tcBorders>
              <w:top w:val="nil"/>
              <w:left w:val="nil"/>
              <w:bottom w:val="nil"/>
              <w:right w:val="single" w:sz="8" w:space="0" w:color="auto"/>
            </w:tcBorders>
            <w:shd w:val="clear" w:color="auto" w:fill="auto"/>
            <w:vAlign w:val="center"/>
          </w:tcPr>
          <w:p w14:paraId="753EEC2E"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3 687</w:t>
            </w:r>
          </w:p>
        </w:tc>
        <w:tc>
          <w:tcPr>
            <w:tcW w:w="713" w:type="pct"/>
            <w:tcBorders>
              <w:top w:val="nil"/>
              <w:left w:val="nil"/>
              <w:bottom w:val="nil"/>
              <w:right w:val="nil"/>
            </w:tcBorders>
            <w:shd w:val="clear" w:color="auto" w:fill="auto"/>
            <w:vAlign w:val="center"/>
          </w:tcPr>
          <w:p w14:paraId="09F78EA2"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3,1%</w:t>
            </w:r>
          </w:p>
        </w:tc>
      </w:tr>
      <w:tr w:rsidR="0085505C" w:rsidRPr="002A7673" w14:paraId="6A637D87" w14:textId="77777777" w:rsidTr="0048334E">
        <w:trPr>
          <w:trHeight w:val="20"/>
        </w:trPr>
        <w:tc>
          <w:tcPr>
            <w:tcW w:w="2536" w:type="pct"/>
            <w:tcBorders>
              <w:top w:val="nil"/>
              <w:left w:val="nil"/>
              <w:bottom w:val="nil"/>
              <w:right w:val="single" w:sz="8" w:space="0" w:color="auto"/>
            </w:tcBorders>
            <w:shd w:val="clear" w:color="auto" w:fill="auto"/>
            <w:vAlign w:val="bottom"/>
          </w:tcPr>
          <w:p w14:paraId="008A9927"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rPr>
              <w:t>Casos entrados</w:t>
            </w:r>
          </w:p>
        </w:tc>
        <w:tc>
          <w:tcPr>
            <w:tcW w:w="549" w:type="pct"/>
            <w:tcBorders>
              <w:top w:val="nil"/>
              <w:left w:val="nil"/>
              <w:bottom w:val="nil"/>
              <w:right w:val="single" w:sz="8" w:space="0" w:color="auto"/>
            </w:tcBorders>
            <w:shd w:val="clear" w:color="auto" w:fill="auto"/>
            <w:vAlign w:val="center"/>
          </w:tcPr>
          <w:p w14:paraId="602228BC"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101 491</w:t>
            </w:r>
          </w:p>
        </w:tc>
        <w:tc>
          <w:tcPr>
            <w:tcW w:w="549" w:type="pct"/>
            <w:tcBorders>
              <w:top w:val="nil"/>
              <w:left w:val="nil"/>
              <w:bottom w:val="nil"/>
              <w:right w:val="single" w:sz="8" w:space="0" w:color="auto"/>
            </w:tcBorders>
            <w:shd w:val="clear" w:color="auto" w:fill="auto"/>
            <w:vAlign w:val="center"/>
          </w:tcPr>
          <w:p w14:paraId="19819DA6"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90 211</w:t>
            </w:r>
          </w:p>
        </w:tc>
        <w:tc>
          <w:tcPr>
            <w:tcW w:w="653" w:type="pct"/>
            <w:tcBorders>
              <w:top w:val="nil"/>
              <w:left w:val="nil"/>
              <w:bottom w:val="nil"/>
              <w:right w:val="single" w:sz="8" w:space="0" w:color="auto"/>
            </w:tcBorders>
            <w:shd w:val="clear" w:color="auto" w:fill="auto"/>
            <w:vAlign w:val="center"/>
          </w:tcPr>
          <w:p w14:paraId="1C89B715"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-11 280</w:t>
            </w:r>
          </w:p>
        </w:tc>
        <w:tc>
          <w:tcPr>
            <w:tcW w:w="713" w:type="pct"/>
            <w:tcBorders>
              <w:top w:val="nil"/>
              <w:left w:val="nil"/>
              <w:bottom w:val="nil"/>
              <w:right w:val="nil"/>
            </w:tcBorders>
            <w:shd w:val="clear" w:color="auto" w:fill="auto"/>
            <w:vAlign w:val="center"/>
          </w:tcPr>
          <w:p w14:paraId="6A4168EF"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-11,1%</w:t>
            </w:r>
          </w:p>
        </w:tc>
      </w:tr>
      <w:tr w:rsidR="0085505C" w:rsidRPr="002A7673" w14:paraId="1DC6313F" w14:textId="77777777" w:rsidTr="0048334E">
        <w:trPr>
          <w:trHeight w:val="20"/>
        </w:trPr>
        <w:tc>
          <w:tcPr>
            <w:tcW w:w="2536" w:type="pct"/>
            <w:tcBorders>
              <w:top w:val="nil"/>
              <w:left w:val="nil"/>
              <w:bottom w:val="nil"/>
              <w:right w:val="single" w:sz="8" w:space="0" w:color="auto"/>
            </w:tcBorders>
            <w:shd w:val="clear" w:color="auto" w:fill="auto"/>
            <w:vAlign w:val="bottom"/>
          </w:tcPr>
          <w:p w14:paraId="05D382AE"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rPr>
              <w:t>Casos terminados</w:t>
            </w:r>
          </w:p>
        </w:tc>
        <w:tc>
          <w:tcPr>
            <w:tcW w:w="549" w:type="pct"/>
            <w:tcBorders>
              <w:top w:val="nil"/>
              <w:left w:val="nil"/>
              <w:bottom w:val="nil"/>
              <w:right w:val="single" w:sz="8" w:space="0" w:color="auto"/>
            </w:tcBorders>
            <w:shd w:val="clear" w:color="auto" w:fill="auto"/>
            <w:vAlign w:val="center"/>
          </w:tcPr>
          <w:p w14:paraId="1E491080"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108 071</w:t>
            </w:r>
          </w:p>
        </w:tc>
        <w:tc>
          <w:tcPr>
            <w:tcW w:w="549" w:type="pct"/>
            <w:tcBorders>
              <w:top w:val="nil"/>
              <w:left w:val="nil"/>
              <w:bottom w:val="nil"/>
              <w:right w:val="single" w:sz="8" w:space="0" w:color="auto"/>
            </w:tcBorders>
            <w:shd w:val="clear" w:color="auto" w:fill="auto"/>
            <w:vAlign w:val="center"/>
          </w:tcPr>
          <w:p w14:paraId="740AB652"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96 883</w:t>
            </w:r>
          </w:p>
        </w:tc>
        <w:tc>
          <w:tcPr>
            <w:tcW w:w="653" w:type="pct"/>
            <w:tcBorders>
              <w:top w:val="nil"/>
              <w:left w:val="nil"/>
              <w:bottom w:val="nil"/>
              <w:right w:val="single" w:sz="8" w:space="0" w:color="auto"/>
            </w:tcBorders>
            <w:shd w:val="clear" w:color="auto" w:fill="auto"/>
            <w:vAlign w:val="center"/>
          </w:tcPr>
          <w:p w14:paraId="5A014DFD"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-11 188</w:t>
            </w:r>
          </w:p>
        </w:tc>
        <w:tc>
          <w:tcPr>
            <w:tcW w:w="713" w:type="pct"/>
            <w:tcBorders>
              <w:top w:val="nil"/>
              <w:left w:val="nil"/>
              <w:bottom w:val="nil"/>
              <w:right w:val="nil"/>
            </w:tcBorders>
            <w:shd w:val="clear" w:color="auto" w:fill="auto"/>
            <w:vAlign w:val="center"/>
          </w:tcPr>
          <w:p w14:paraId="7F19D9D1"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-10,4%</w:t>
            </w:r>
          </w:p>
        </w:tc>
      </w:tr>
      <w:tr w:rsidR="0085505C" w:rsidRPr="002A7673" w14:paraId="1B20EF07" w14:textId="77777777" w:rsidTr="0048334E">
        <w:trPr>
          <w:trHeight w:val="20"/>
        </w:trPr>
        <w:tc>
          <w:tcPr>
            <w:tcW w:w="2536" w:type="pct"/>
            <w:tcBorders>
              <w:top w:val="nil"/>
              <w:left w:val="nil"/>
              <w:bottom w:val="nil"/>
              <w:right w:val="single" w:sz="8" w:space="0" w:color="auto"/>
            </w:tcBorders>
            <w:shd w:val="clear" w:color="auto" w:fill="auto"/>
            <w:vAlign w:val="bottom"/>
          </w:tcPr>
          <w:p w14:paraId="575BFD5A"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rPr>
              <w:t>Circulante al finalizar</w:t>
            </w:r>
          </w:p>
        </w:tc>
        <w:tc>
          <w:tcPr>
            <w:tcW w:w="549" w:type="pct"/>
            <w:tcBorders>
              <w:top w:val="nil"/>
              <w:left w:val="nil"/>
              <w:bottom w:val="nil"/>
              <w:right w:val="single" w:sz="8" w:space="0" w:color="auto"/>
            </w:tcBorders>
            <w:shd w:val="clear" w:color="auto" w:fill="auto"/>
            <w:vAlign w:val="center"/>
          </w:tcPr>
          <w:p w14:paraId="7F1339C3"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112 829</w:t>
            </w:r>
          </w:p>
        </w:tc>
        <w:tc>
          <w:tcPr>
            <w:tcW w:w="549" w:type="pct"/>
            <w:tcBorders>
              <w:top w:val="nil"/>
              <w:left w:val="nil"/>
              <w:bottom w:val="nil"/>
              <w:right w:val="single" w:sz="8" w:space="0" w:color="auto"/>
            </w:tcBorders>
            <w:shd w:val="clear" w:color="auto" w:fill="auto"/>
            <w:vAlign w:val="center"/>
          </w:tcPr>
          <w:p w14:paraId="1F9BE667"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116 424</w:t>
            </w:r>
          </w:p>
        </w:tc>
        <w:tc>
          <w:tcPr>
            <w:tcW w:w="653" w:type="pct"/>
            <w:tcBorders>
              <w:top w:val="nil"/>
              <w:left w:val="nil"/>
              <w:bottom w:val="nil"/>
              <w:right w:val="single" w:sz="8" w:space="0" w:color="auto"/>
            </w:tcBorders>
            <w:shd w:val="clear" w:color="auto" w:fill="auto"/>
            <w:vAlign w:val="center"/>
          </w:tcPr>
          <w:p w14:paraId="3AE2BAEF"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3 595</w:t>
            </w:r>
          </w:p>
        </w:tc>
        <w:tc>
          <w:tcPr>
            <w:tcW w:w="713" w:type="pct"/>
            <w:tcBorders>
              <w:top w:val="nil"/>
              <w:left w:val="nil"/>
              <w:bottom w:val="nil"/>
              <w:right w:val="nil"/>
            </w:tcBorders>
            <w:shd w:val="clear" w:color="auto" w:fill="auto"/>
            <w:vAlign w:val="center"/>
          </w:tcPr>
          <w:p w14:paraId="272A4189"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3,2%</w:t>
            </w:r>
          </w:p>
        </w:tc>
      </w:tr>
      <w:tr w:rsidR="0085505C" w:rsidRPr="002A7673" w14:paraId="371A8581" w14:textId="77777777" w:rsidTr="0048334E">
        <w:trPr>
          <w:trHeight w:val="20"/>
        </w:trPr>
        <w:tc>
          <w:tcPr>
            <w:tcW w:w="2536" w:type="pct"/>
            <w:tcBorders>
              <w:top w:val="nil"/>
            </w:tcBorders>
            <w:shd w:val="clear" w:color="auto" w:fill="auto"/>
            <w:vAlign w:val="bottom"/>
            <w:hideMark/>
          </w:tcPr>
          <w:p w14:paraId="597E933E"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49" w:type="pct"/>
            <w:tcBorders>
              <w:top w:val="nil"/>
            </w:tcBorders>
            <w:shd w:val="clear" w:color="auto" w:fill="auto"/>
            <w:vAlign w:val="bottom"/>
            <w:hideMark/>
          </w:tcPr>
          <w:p w14:paraId="67E39819"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49" w:type="pct"/>
            <w:tcBorders>
              <w:top w:val="nil"/>
            </w:tcBorders>
            <w:shd w:val="clear" w:color="auto" w:fill="auto"/>
            <w:vAlign w:val="bottom"/>
            <w:hideMark/>
          </w:tcPr>
          <w:p w14:paraId="214EEA79"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653" w:type="pct"/>
            <w:tcBorders>
              <w:top w:val="nil"/>
            </w:tcBorders>
            <w:shd w:val="clear" w:color="auto" w:fill="auto"/>
            <w:vAlign w:val="bottom"/>
            <w:hideMark/>
          </w:tcPr>
          <w:p w14:paraId="6B85F34E"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713" w:type="pct"/>
            <w:tcBorders>
              <w:top w:val="nil"/>
            </w:tcBorders>
            <w:shd w:val="clear" w:color="auto" w:fill="auto"/>
            <w:vAlign w:val="bottom"/>
            <w:hideMark/>
          </w:tcPr>
          <w:p w14:paraId="0CD3DEE4" w14:textId="77777777" w:rsidR="0085505C" w:rsidRPr="002A7673" w:rsidRDefault="0085505C" w:rsidP="0048334E">
            <w:pPr>
              <w:spacing w:after="0" w:line="24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r>
    </w:tbl>
    <w:p w14:paraId="0F8073F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rPr>
        <w:t>*</w:t>
      </w:r>
      <w:r w:rsidRPr="002A7673">
        <w:rPr>
          <w:rFonts w:ascii="Times New Roman" w:hAnsi="Times New Roman" w:cs="Times New Roman"/>
          <w:sz w:val="26"/>
          <w:szCs w:val="26"/>
        </w:rPr>
        <w:t xml:space="preserve">Datos estadísticos de 2020 preliminares. </w:t>
      </w:r>
    </w:p>
    <w:p w14:paraId="4DECA25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Ajuste de circulante inicial del 2020 por diferencias en inventarios.</w:t>
      </w:r>
    </w:p>
    <w:p w14:paraId="0A1DC45F"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Fuente: Sub Proceso de Estadística, Dirección de Planificación, Poder Judicial.</w:t>
      </w:r>
    </w:p>
    <w:p w14:paraId="33032A4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b/>
      </w:r>
      <w:r w:rsidRPr="002A7673">
        <w:rPr>
          <w:rFonts w:ascii="Times New Roman" w:hAnsi="Times New Roman" w:cs="Times New Roman"/>
          <w:sz w:val="26"/>
          <w:szCs w:val="26"/>
        </w:rPr>
        <w:tab/>
      </w:r>
      <w:r w:rsidRPr="002A7673">
        <w:rPr>
          <w:rFonts w:ascii="Times New Roman" w:hAnsi="Times New Roman" w:cs="Times New Roman"/>
          <w:sz w:val="26"/>
          <w:szCs w:val="26"/>
        </w:rPr>
        <w:tab/>
      </w:r>
    </w:p>
    <w:p w14:paraId="1B79E7B9"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 los movimientos registrados en la tabla anterior, destacan los siguientes hechos: </w:t>
      </w:r>
    </w:p>
    <w:p w14:paraId="2EBB565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63EBE892" w14:textId="77777777" w:rsidR="0085505C" w:rsidRPr="002A7673" w:rsidRDefault="0085505C" w:rsidP="0085505C">
      <w:pPr>
        <w:shd w:val="clear" w:color="auto" w:fill="FFFFFF"/>
        <w:spacing w:after="0" w:line="240" w:lineRule="auto"/>
        <w:ind w:left="851" w:right="851" w:firstLine="709"/>
        <w:jc w:val="both"/>
        <w:rPr>
          <w:rFonts w:ascii="Times New Roman" w:hAnsi="Times New Roman" w:cs="Times New Roman"/>
          <w:bCs/>
          <w:sz w:val="26"/>
          <w:szCs w:val="26"/>
        </w:rPr>
      </w:pPr>
      <w:r w:rsidRPr="002A7673">
        <w:rPr>
          <w:rFonts w:ascii="Times New Roman" w:hAnsi="Times New Roman" w:cs="Times New Roman"/>
          <w:b/>
          <w:sz w:val="26"/>
          <w:szCs w:val="26"/>
        </w:rPr>
        <w:t xml:space="preserve">Circulante inicial: </w:t>
      </w:r>
      <w:r w:rsidRPr="002A7673">
        <w:rPr>
          <w:rFonts w:ascii="Times New Roman" w:hAnsi="Times New Roman" w:cs="Times New Roman"/>
          <w:bCs/>
          <w:sz w:val="26"/>
          <w:szCs w:val="26"/>
        </w:rPr>
        <w:t xml:space="preserve">el inicio de 2020 presenta una carga de trabajo de 3.687 casos más, con relación a lo registrado a principios de 2019 (119.409). Como se aprecia en el cuadro anterior, tal ventaja se produce debido al crecimiento de los casos entrados frente a los que se terminaron en el año, lo que en gran medida condujo a que el circulante al finalizar el periodo fuese mayor en volumen al que tenía a inicio del año. </w:t>
      </w:r>
    </w:p>
    <w:p w14:paraId="6C46263E" w14:textId="77777777" w:rsidR="0085505C" w:rsidRPr="002A7673" w:rsidRDefault="0085505C" w:rsidP="0085505C">
      <w:pPr>
        <w:shd w:val="clear" w:color="auto" w:fill="FFFFFF"/>
        <w:spacing w:after="0" w:line="240" w:lineRule="auto"/>
        <w:ind w:left="851" w:right="851" w:firstLine="709"/>
        <w:jc w:val="both"/>
        <w:rPr>
          <w:rFonts w:ascii="Times New Roman" w:hAnsi="Times New Roman" w:cs="Times New Roman"/>
          <w:b/>
          <w:sz w:val="26"/>
          <w:szCs w:val="26"/>
        </w:rPr>
      </w:pPr>
    </w:p>
    <w:p w14:paraId="5A36065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lastRenderedPageBreak/>
        <w:t>Casos entrados:</w:t>
      </w:r>
      <w:r w:rsidRPr="002A7673">
        <w:rPr>
          <w:rFonts w:ascii="Times New Roman" w:hAnsi="Times New Roman" w:cs="Times New Roman"/>
          <w:sz w:val="26"/>
          <w:szCs w:val="26"/>
        </w:rPr>
        <w:t xml:space="preserve"> El ingreso de casos nuevos muestra un comportamiento descendente en 2020, pasando de 101.491 en 2019 a 90.211 en 2020, lo que consecuentemente le significó en el Centro de Responsabilidad de la Defensa Pública un decrecimiento de su carga de trabajo del orden del -11,1. Los hechos que justifican esta notable merma se relacionan -en esencia- con el efecto de la pandemia, visualizándose especialmente en el caso de la Defensa Pública San José, en el cual los casos nuevos ingresos descendieron de 11.369 en 2019 a 8.992 en 2020 (-20,9%), otras dependencias que presentan una conducta a la baja son: la Defensa Pública Hatillo pasando de 2.466 a 1.560 (-36,7%), la Defensa Pública La Unión de 807 a 512 (-36,6%), la Defensa Pública </w:t>
      </w:r>
      <w:proofErr w:type="spellStart"/>
      <w:r w:rsidRPr="002A7673">
        <w:rPr>
          <w:rFonts w:ascii="Times New Roman" w:hAnsi="Times New Roman" w:cs="Times New Roman"/>
          <w:sz w:val="26"/>
          <w:szCs w:val="26"/>
        </w:rPr>
        <w:t>Bataán</w:t>
      </w:r>
      <w:proofErr w:type="spellEnd"/>
      <w:r w:rsidRPr="002A7673">
        <w:rPr>
          <w:rFonts w:ascii="Times New Roman" w:hAnsi="Times New Roman" w:cs="Times New Roman"/>
          <w:sz w:val="26"/>
          <w:szCs w:val="26"/>
        </w:rPr>
        <w:t xml:space="preserve"> de 1.401 a 895 (-36,1%) y la Defensa Pública Sarapiquí de 1.541 en 2019 a 1.007 en 2020 (-34,7%), siendo estos los que reportan disminuciones superiores al -30% de los casos.</w:t>
      </w:r>
    </w:p>
    <w:p w14:paraId="659F291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25F7B17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Casos terminados:</w:t>
      </w:r>
      <w:r w:rsidRPr="002A7673">
        <w:rPr>
          <w:rFonts w:ascii="Times New Roman" w:hAnsi="Times New Roman" w:cs="Times New Roman"/>
          <w:sz w:val="26"/>
          <w:szCs w:val="26"/>
        </w:rPr>
        <w:t xml:space="preserve"> La cantidad de casos terminados llegó a 96.883 en el último año, lo cual denota una disminución de -11.188 finiquitos, en contraste con el 2019 (108.071), para una variación porcentual de -10,4%. Las principales oficinas donde se reportan las mayores bajas son la Defensa Pública de Hatillo, en el cual los casos nuevos ingresos descendieron de 2.994 en 2019 a 1.283 en 2020 (-57,1%), la Defensa Pública La Unión de 1.088 a 378 (-65,3%), y la Defensa Pública Guatuso de 391 en 2019 a 224 en 2020 (-42,7%), siendo estos los que reportan disminuciones superiores al -40% de los casos.</w:t>
      </w:r>
    </w:p>
    <w:p w14:paraId="2A5F1957"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D5BD78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Circulante al finalizar al año:</w:t>
      </w:r>
      <w:r w:rsidRPr="002A7673">
        <w:rPr>
          <w:rFonts w:ascii="Times New Roman" w:hAnsi="Times New Roman" w:cs="Times New Roman"/>
          <w:sz w:val="26"/>
          <w:szCs w:val="26"/>
        </w:rPr>
        <w:t xml:space="preserve"> El circulante al finalizar el 2020 en conjunto de la Defensa Pública acumuló un total de 116.424 casos, mostrando una disminución de 6.672 unidades versus lo registrado al culminar el año anterior, lo que representa una caída de -5,4%. Al analizar las cargas de trabajo por oficina, se reconoce que la Defensa Pública de San José reporta la disminución más significativa, para un total de 14.656 expedientes al cierre de 2020 frente a los 15.848 de 2019 (-7,5%).</w:t>
      </w:r>
    </w:p>
    <w:p w14:paraId="676917D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45C5326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La disminución en el circulante final en 2020 se puede ver justificado por la brecha entre la cifra de asuntos terminados frente a los entrados en el año, la cual asciende a -6.672 casos, siendo superior lo finiquitado a lo ingresado, para un porcentaje de relación entre lo terminado y entrado de 107,4%, resultado similar a lo reportado en 2019 con 106,5%.</w:t>
      </w:r>
    </w:p>
    <w:bookmarkEnd w:id="235"/>
    <w:p w14:paraId="392A9CD0"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32CEAEC8"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Ejecución Presupuestaria</w:t>
      </w:r>
    </w:p>
    <w:bookmarkEnd w:id="234"/>
    <w:p w14:paraId="3E13F29E" w14:textId="77777777" w:rsidR="0085505C" w:rsidRPr="002A7673" w:rsidRDefault="0085505C" w:rsidP="0085505C">
      <w:pPr>
        <w:spacing w:after="0" w:line="240" w:lineRule="auto"/>
        <w:ind w:left="851" w:right="851" w:firstLine="709"/>
        <w:jc w:val="both"/>
        <w:rPr>
          <w:rFonts w:ascii="Times New Roman" w:hAnsi="Times New Roman" w:cs="Times New Roman"/>
          <w:color w:val="FF0000"/>
          <w:sz w:val="26"/>
          <w:szCs w:val="26"/>
        </w:rPr>
      </w:pPr>
    </w:p>
    <w:p w14:paraId="1E4F679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la siguiente tabla se muestra la información de ejecución presupuestaria de los gastos variables del Programa 930 Defensa Pública para el 2020.</w:t>
      </w:r>
    </w:p>
    <w:p w14:paraId="67453383" w14:textId="77777777" w:rsidR="0085505C" w:rsidRPr="002A7673" w:rsidRDefault="0085505C" w:rsidP="0085505C">
      <w:pPr>
        <w:spacing w:after="0" w:line="360" w:lineRule="auto"/>
        <w:ind w:left="284"/>
        <w:jc w:val="both"/>
        <w:rPr>
          <w:rFonts w:ascii="Times New Roman" w:hAnsi="Times New Roman" w:cs="Times New Roman"/>
          <w:color w:val="FF000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2"/>
        <w:gridCol w:w="1442"/>
        <w:gridCol w:w="1443"/>
        <w:gridCol w:w="1443"/>
        <w:gridCol w:w="1273"/>
        <w:gridCol w:w="1105"/>
      </w:tblGrid>
      <w:tr w:rsidR="0085505C" w:rsidRPr="002A7673" w14:paraId="6E3811C1" w14:textId="77777777" w:rsidTr="0048334E">
        <w:trPr>
          <w:trHeight w:val="860"/>
        </w:trPr>
        <w:tc>
          <w:tcPr>
            <w:tcW w:w="1347" w:type="pct"/>
            <w:shd w:val="clear" w:color="auto" w:fill="1F497D"/>
            <w:vAlign w:val="center"/>
            <w:hideMark/>
          </w:tcPr>
          <w:p w14:paraId="64D622DF"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Centro Gestor / Rubro</w:t>
            </w:r>
          </w:p>
        </w:tc>
        <w:tc>
          <w:tcPr>
            <w:tcW w:w="773" w:type="pct"/>
            <w:shd w:val="clear" w:color="auto" w:fill="1F497D"/>
            <w:vAlign w:val="center"/>
            <w:hideMark/>
          </w:tcPr>
          <w:p w14:paraId="0604AFA3"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Presupuesto Inicial</w:t>
            </w:r>
          </w:p>
        </w:tc>
        <w:tc>
          <w:tcPr>
            <w:tcW w:w="773" w:type="pct"/>
            <w:shd w:val="clear" w:color="auto" w:fill="1F497D"/>
            <w:vAlign w:val="center"/>
            <w:hideMark/>
          </w:tcPr>
          <w:p w14:paraId="7CD2C5E5"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Presupuesto Actual y en Tránsito</w:t>
            </w:r>
          </w:p>
        </w:tc>
        <w:tc>
          <w:tcPr>
            <w:tcW w:w="840" w:type="pct"/>
            <w:shd w:val="clear" w:color="auto" w:fill="1F497D"/>
            <w:vAlign w:val="center"/>
            <w:hideMark/>
          </w:tcPr>
          <w:p w14:paraId="3CFEDF8C"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Monto Ejecutado</w:t>
            </w:r>
          </w:p>
        </w:tc>
        <w:tc>
          <w:tcPr>
            <w:tcW w:w="675" w:type="pct"/>
            <w:shd w:val="clear" w:color="auto" w:fill="1F497D"/>
            <w:vAlign w:val="center"/>
            <w:hideMark/>
          </w:tcPr>
          <w:p w14:paraId="18D2D35B"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Pendiente de Ejecutar</w:t>
            </w:r>
          </w:p>
        </w:tc>
        <w:tc>
          <w:tcPr>
            <w:tcW w:w="593" w:type="pct"/>
            <w:shd w:val="clear" w:color="auto" w:fill="1F497D"/>
            <w:vAlign w:val="center"/>
            <w:hideMark/>
          </w:tcPr>
          <w:p w14:paraId="6B030733"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Porcentaje de Ejecución</w:t>
            </w:r>
          </w:p>
        </w:tc>
      </w:tr>
      <w:tr w:rsidR="0085505C" w:rsidRPr="002A7673" w14:paraId="5A0C2E1D" w14:textId="77777777" w:rsidTr="0048334E">
        <w:trPr>
          <w:trHeight w:val="280"/>
        </w:trPr>
        <w:tc>
          <w:tcPr>
            <w:tcW w:w="1347" w:type="pct"/>
            <w:shd w:val="clear" w:color="000000" w:fill="FFFFFF"/>
            <w:noWrap/>
            <w:vAlign w:val="center"/>
            <w:hideMark/>
          </w:tcPr>
          <w:p w14:paraId="780E1E68" w14:textId="77777777" w:rsidR="0085505C" w:rsidRPr="002A7673" w:rsidRDefault="0085505C" w:rsidP="0048334E">
            <w:pPr>
              <w:spacing w:after="0" w:line="240" w:lineRule="auto"/>
              <w:rPr>
                <w:rFonts w:ascii="Times New Roman" w:hAnsi="Times New Roman" w:cs="Times New Roman"/>
                <w:color w:val="FF0000"/>
                <w:sz w:val="26"/>
                <w:szCs w:val="26"/>
                <w:lang w:eastAsia="es-CR"/>
              </w:rPr>
            </w:pPr>
            <w:r w:rsidRPr="002A7673">
              <w:rPr>
                <w:rFonts w:ascii="Times New Roman" w:hAnsi="Times New Roman" w:cs="Times New Roman"/>
                <w:sz w:val="26"/>
                <w:szCs w:val="26"/>
                <w:lang w:eastAsia="es-CR"/>
              </w:rPr>
              <w:t>Programa 930 Defensa Pública</w:t>
            </w:r>
          </w:p>
        </w:tc>
        <w:tc>
          <w:tcPr>
            <w:tcW w:w="773" w:type="pct"/>
            <w:shd w:val="clear" w:color="000000" w:fill="FFFFFF"/>
            <w:noWrap/>
            <w:vAlign w:val="center"/>
          </w:tcPr>
          <w:p w14:paraId="50B18161" w14:textId="77777777" w:rsidR="0085505C" w:rsidRPr="002A7673" w:rsidRDefault="0085505C" w:rsidP="0048334E">
            <w:pPr>
              <w:spacing w:after="0" w:line="240" w:lineRule="auto"/>
              <w:jc w:val="center"/>
              <w:rPr>
                <w:rFonts w:ascii="Times New Roman" w:hAnsi="Times New Roman" w:cs="Times New Roman"/>
                <w:sz w:val="26"/>
                <w:szCs w:val="26"/>
                <w:lang w:eastAsia="es-CR"/>
              </w:rPr>
            </w:pPr>
            <w:r w:rsidRPr="002A7673">
              <w:rPr>
                <w:rFonts w:ascii="Times New Roman" w:hAnsi="Times New Roman" w:cs="Times New Roman"/>
                <w:sz w:val="26"/>
                <w:szCs w:val="26"/>
              </w:rPr>
              <w:t>3 045 378 000</w:t>
            </w:r>
          </w:p>
          <w:p w14:paraId="44BD3AFB" w14:textId="77777777" w:rsidR="0085505C" w:rsidRPr="002A7673" w:rsidRDefault="0085505C" w:rsidP="0048334E">
            <w:pPr>
              <w:spacing w:after="0" w:line="240" w:lineRule="auto"/>
              <w:jc w:val="center"/>
              <w:rPr>
                <w:rFonts w:ascii="Times New Roman" w:hAnsi="Times New Roman" w:cs="Times New Roman"/>
                <w:sz w:val="26"/>
                <w:szCs w:val="26"/>
                <w:lang w:eastAsia="es-CR"/>
              </w:rPr>
            </w:pPr>
          </w:p>
        </w:tc>
        <w:tc>
          <w:tcPr>
            <w:tcW w:w="773" w:type="pct"/>
            <w:shd w:val="clear" w:color="000000" w:fill="FFFFFF"/>
            <w:noWrap/>
            <w:vAlign w:val="center"/>
          </w:tcPr>
          <w:p w14:paraId="2A8C99BC" w14:textId="77777777" w:rsidR="0085505C" w:rsidRPr="002A7673" w:rsidRDefault="0085505C" w:rsidP="0048334E">
            <w:pPr>
              <w:spacing w:after="0" w:line="240" w:lineRule="auto"/>
              <w:jc w:val="center"/>
              <w:rPr>
                <w:rFonts w:ascii="Times New Roman" w:hAnsi="Times New Roman" w:cs="Times New Roman"/>
                <w:sz w:val="26"/>
                <w:szCs w:val="26"/>
                <w:lang w:eastAsia="es-CR"/>
              </w:rPr>
            </w:pPr>
            <w:r w:rsidRPr="002A7673">
              <w:rPr>
                <w:rFonts w:ascii="Times New Roman" w:hAnsi="Times New Roman" w:cs="Times New Roman"/>
                <w:sz w:val="26"/>
                <w:szCs w:val="26"/>
              </w:rPr>
              <w:t>3 006 646 894</w:t>
            </w:r>
          </w:p>
          <w:p w14:paraId="6EF28002" w14:textId="77777777" w:rsidR="0085505C" w:rsidRPr="002A7673" w:rsidRDefault="0085505C" w:rsidP="0048334E">
            <w:pPr>
              <w:spacing w:after="0" w:line="240" w:lineRule="auto"/>
              <w:jc w:val="center"/>
              <w:rPr>
                <w:rFonts w:ascii="Times New Roman" w:hAnsi="Times New Roman" w:cs="Times New Roman"/>
                <w:sz w:val="26"/>
                <w:szCs w:val="26"/>
                <w:lang w:eastAsia="es-CR"/>
              </w:rPr>
            </w:pPr>
          </w:p>
        </w:tc>
        <w:tc>
          <w:tcPr>
            <w:tcW w:w="840" w:type="pct"/>
            <w:shd w:val="clear" w:color="000000" w:fill="FFFFFF"/>
            <w:noWrap/>
            <w:vAlign w:val="center"/>
          </w:tcPr>
          <w:p w14:paraId="6825CE33" w14:textId="77777777" w:rsidR="0085505C" w:rsidRPr="002A7673" w:rsidRDefault="0085505C" w:rsidP="0048334E">
            <w:pPr>
              <w:spacing w:after="0" w:line="240" w:lineRule="auto"/>
              <w:jc w:val="center"/>
              <w:rPr>
                <w:rFonts w:ascii="Times New Roman" w:hAnsi="Times New Roman" w:cs="Times New Roman"/>
                <w:sz w:val="26"/>
                <w:szCs w:val="26"/>
                <w:lang w:eastAsia="es-CR"/>
              </w:rPr>
            </w:pPr>
            <w:r w:rsidRPr="002A7673">
              <w:rPr>
                <w:rFonts w:ascii="Times New Roman" w:hAnsi="Times New Roman" w:cs="Times New Roman"/>
                <w:sz w:val="26"/>
                <w:szCs w:val="26"/>
              </w:rPr>
              <w:t>2 768 745 780</w:t>
            </w:r>
          </w:p>
          <w:p w14:paraId="0D6475F0" w14:textId="77777777" w:rsidR="0085505C" w:rsidRPr="002A7673" w:rsidRDefault="0085505C" w:rsidP="0048334E">
            <w:pPr>
              <w:spacing w:after="0" w:line="240" w:lineRule="auto"/>
              <w:jc w:val="center"/>
              <w:rPr>
                <w:rFonts w:ascii="Times New Roman" w:hAnsi="Times New Roman" w:cs="Times New Roman"/>
                <w:sz w:val="26"/>
                <w:szCs w:val="26"/>
                <w:lang w:eastAsia="es-CR"/>
              </w:rPr>
            </w:pPr>
          </w:p>
        </w:tc>
        <w:tc>
          <w:tcPr>
            <w:tcW w:w="675" w:type="pct"/>
            <w:shd w:val="clear" w:color="000000" w:fill="FFFFFF"/>
            <w:noWrap/>
            <w:vAlign w:val="center"/>
          </w:tcPr>
          <w:p w14:paraId="620D31E1" w14:textId="77777777" w:rsidR="0085505C" w:rsidRPr="002A7673" w:rsidRDefault="0085505C" w:rsidP="0048334E">
            <w:pPr>
              <w:spacing w:after="0" w:line="240" w:lineRule="auto"/>
              <w:jc w:val="center"/>
              <w:rPr>
                <w:rFonts w:ascii="Times New Roman" w:hAnsi="Times New Roman" w:cs="Times New Roman"/>
                <w:sz w:val="26"/>
                <w:szCs w:val="26"/>
                <w:lang w:eastAsia="es-CR"/>
              </w:rPr>
            </w:pPr>
            <w:r w:rsidRPr="002A7673">
              <w:rPr>
                <w:rFonts w:ascii="Times New Roman" w:hAnsi="Times New Roman" w:cs="Times New Roman"/>
                <w:sz w:val="26"/>
                <w:szCs w:val="26"/>
              </w:rPr>
              <w:t>237 901 114</w:t>
            </w:r>
          </w:p>
          <w:p w14:paraId="2F3F7FB2" w14:textId="77777777" w:rsidR="0085505C" w:rsidRPr="002A7673" w:rsidRDefault="0085505C" w:rsidP="0048334E">
            <w:pPr>
              <w:spacing w:after="0" w:line="240" w:lineRule="auto"/>
              <w:jc w:val="center"/>
              <w:rPr>
                <w:rFonts w:ascii="Times New Roman" w:hAnsi="Times New Roman" w:cs="Times New Roman"/>
                <w:sz w:val="26"/>
                <w:szCs w:val="26"/>
                <w:lang w:eastAsia="es-CR"/>
              </w:rPr>
            </w:pPr>
          </w:p>
        </w:tc>
        <w:tc>
          <w:tcPr>
            <w:tcW w:w="593" w:type="pct"/>
            <w:shd w:val="clear" w:color="000000" w:fill="FFFFFF"/>
            <w:noWrap/>
            <w:vAlign w:val="center"/>
          </w:tcPr>
          <w:p w14:paraId="3212AC47" w14:textId="77777777" w:rsidR="0085505C" w:rsidRPr="002A7673" w:rsidRDefault="0085505C" w:rsidP="0048334E">
            <w:pPr>
              <w:spacing w:after="0" w:line="240" w:lineRule="auto"/>
              <w:jc w:val="center"/>
              <w:rPr>
                <w:rFonts w:ascii="Times New Roman" w:hAnsi="Times New Roman" w:cs="Times New Roman"/>
                <w:sz w:val="26"/>
                <w:szCs w:val="26"/>
                <w:lang w:eastAsia="es-CR"/>
              </w:rPr>
            </w:pPr>
            <w:r w:rsidRPr="002A7673">
              <w:rPr>
                <w:rFonts w:ascii="Times New Roman" w:hAnsi="Times New Roman" w:cs="Times New Roman"/>
                <w:sz w:val="26"/>
                <w:szCs w:val="26"/>
              </w:rPr>
              <w:t>92%</w:t>
            </w:r>
          </w:p>
          <w:p w14:paraId="1167E6C1" w14:textId="77777777" w:rsidR="0085505C" w:rsidRPr="002A7673" w:rsidRDefault="0085505C" w:rsidP="0048334E">
            <w:pPr>
              <w:spacing w:after="0" w:line="240" w:lineRule="auto"/>
              <w:jc w:val="center"/>
              <w:rPr>
                <w:rFonts w:ascii="Times New Roman" w:hAnsi="Times New Roman" w:cs="Times New Roman"/>
                <w:sz w:val="26"/>
                <w:szCs w:val="26"/>
                <w:lang w:eastAsia="es-CR"/>
              </w:rPr>
            </w:pPr>
          </w:p>
        </w:tc>
      </w:tr>
    </w:tbl>
    <w:p w14:paraId="2051EAA0" w14:textId="77777777" w:rsidR="0085505C" w:rsidRPr="002A7673" w:rsidRDefault="0085505C" w:rsidP="0085505C">
      <w:pPr>
        <w:spacing w:after="0" w:line="240" w:lineRule="auto"/>
        <w:ind w:left="-142"/>
        <w:jc w:val="both"/>
        <w:rPr>
          <w:rFonts w:ascii="Times New Roman" w:hAnsi="Times New Roman" w:cs="Times New Roman"/>
          <w:sz w:val="26"/>
          <w:szCs w:val="26"/>
        </w:rPr>
      </w:pPr>
    </w:p>
    <w:p w14:paraId="01A2B8AC" w14:textId="77777777" w:rsidR="0085505C" w:rsidRPr="002A7673" w:rsidRDefault="0085505C" w:rsidP="0085505C">
      <w:pPr>
        <w:spacing w:after="0" w:line="240" w:lineRule="auto"/>
        <w:ind w:left="-142"/>
        <w:jc w:val="both"/>
        <w:rPr>
          <w:rFonts w:ascii="Times New Roman" w:hAnsi="Times New Roman" w:cs="Times New Roman"/>
          <w:sz w:val="26"/>
          <w:szCs w:val="26"/>
        </w:rPr>
      </w:pPr>
      <w:r w:rsidRPr="002A7673">
        <w:rPr>
          <w:rFonts w:ascii="Times New Roman" w:hAnsi="Times New Roman" w:cs="Times New Roman"/>
          <w:sz w:val="26"/>
          <w:szCs w:val="26"/>
        </w:rPr>
        <w:t>Nota: En el caso de las subpartidas formuladas para atender las necesidades en contratos, servicios públicos e inventario, su ejecución global se consolida en los rubros respectivos.</w:t>
      </w:r>
    </w:p>
    <w:p w14:paraId="5A9348F8" w14:textId="77777777" w:rsidR="0085505C" w:rsidRPr="002A7673" w:rsidRDefault="0085505C" w:rsidP="0085505C">
      <w:pPr>
        <w:spacing w:after="0" w:line="360" w:lineRule="auto"/>
        <w:ind w:left="360"/>
        <w:jc w:val="both"/>
        <w:rPr>
          <w:rFonts w:ascii="Times New Roman" w:hAnsi="Times New Roman" w:cs="Times New Roman"/>
          <w:color w:val="FF0000"/>
          <w:sz w:val="26"/>
          <w:szCs w:val="26"/>
        </w:rPr>
      </w:pPr>
    </w:p>
    <w:p w14:paraId="5F632B8F"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Es importante indicar que, el monto total sin ejecutar asciende a ¢237.901.117, que en consecuencia significa que se alcanzó un 92% de ejecución presupuestaria, cifra mayor a la alcanzada durante el 2019, cuando se logró un 82%.</w:t>
      </w:r>
    </w:p>
    <w:p w14:paraId="7A8AED9A" w14:textId="77777777" w:rsidR="0085505C" w:rsidRPr="002A7673" w:rsidRDefault="0085505C" w:rsidP="0085505C">
      <w:pPr>
        <w:spacing w:after="0" w:line="360" w:lineRule="auto"/>
        <w:ind w:left="360"/>
        <w:jc w:val="both"/>
        <w:rPr>
          <w:rFonts w:ascii="Times New Roman" w:hAnsi="Times New Roman" w:cs="Times New Roman"/>
          <w:color w:val="FF0000"/>
          <w:sz w:val="28"/>
          <w:szCs w:val="28"/>
        </w:rPr>
      </w:pPr>
      <w:r w:rsidRPr="002A7673">
        <w:rPr>
          <w:rFonts w:ascii="Times New Roman" w:hAnsi="Times New Roman" w:cs="Times New Roman"/>
          <w:noProof/>
        </w:rPr>
        <w:lastRenderedPageBreak/>
        <w:drawing>
          <wp:inline distT="0" distB="0" distL="0" distR="0" wp14:anchorId="5FB7B0EC" wp14:editId="250B3F08">
            <wp:extent cx="5936019" cy="6124354"/>
            <wp:effectExtent l="0" t="0" r="7620" b="0"/>
            <wp:docPr id="1263269106" name="Imagen 126326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951288" cy="6140107"/>
                    </a:xfrm>
                    <a:prstGeom prst="rect">
                      <a:avLst/>
                    </a:prstGeom>
                    <a:noFill/>
                    <a:ln>
                      <a:noFill/>
                    </a:ln>
                  </pic:spPr>
                </pic:pic>
              </a:graphicData>
            </a:graphic>
          </wp:inline>
        </w:drawing>
      </w:r>
    </w:p>
    <w:p w14:paraId="3ECA3949" w14:textId="77777777" w:rsidR="0085505C" w:rsidRPr="002A7673" w:rsidRDefault="0085505C" w:rsidP="00FF3FAC">
      <w:pPr>
        <w:numPr>
          <w:ilvl w:val="0"/>
          <w:numId w:val="70"/>
        </w:numPr>
        <w:tabs>
          <w:tab w:val="clear" w:pos="720"/>
          <w:tab w:val="num" w:pos="786"/>
        </w:tabs>
        <w:spacing w:after="0" w:line="240" w:lineRule="auto"/>
        <w:ind w:left="851" w:right="851" w:firstLine="788"/>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Plan Anual Operativo </w:t>
      </w:r>
    </w:p>
    <w:p w14:paraId="6F048799" w14:textId="77777777" w:rsidR="0085505C" w:rsidRPr="002A7673" w:rsidRDefault="0085505C" w:rsidP="0085505C">
      <w:pPr>
        <w:spacing w:after="0" w:line="240" w:lineRule="auto"/>
        <w:ind w:left="851" w:right="851" w:firstLine="788"/>
        <w:jc w:val="both"/>
        <w:textAlignment w:val="baseline"/>
        <w:rPr>
          <w:rFonts w:ascii="Times New Roman" w:eastAsia="Times New Roman" w:hAnsi="Times New Roman" w:cs="Times New Roman"/>
          <w:b/>
          <w:bCs/>
          <w:color w:val="FF0000"/>
          <w:sz w:val="26"/>
          <w:szCs w:val="26"/>
          <w:lang w:eastAsia="es-ES"/>
        </w:rPr>
      </w:pPr>
      <w:r w:rsidRPr="002A7673">
        <w:rPr>
          <w:rFonts w:ascii="Times New Roman" w:eastAsia="Times New Roman" w:hAnsi="Times New Roman" w:cs="Times New Roman"/>
          <w:b/>
          <w:bCs/>
          <w:color w:val="FF0000"/>
          <w:sz w:val="26"/>
          <w:szCs w:val="26"/>
          <w:lang w:eastAsia="es-ES"/>
        </w:rPr>
        <w:t> </w:t>
      </w:r>
    </w:p>
    <w:p w14:paraId="1BD2EFDF" w14:textId="77777777" w:rsidR="0085505C" w:rsidRPr="002A7673" w:rsidRDefault="0085505C" w:rsidP="0085505C">
      <w:pPr>
        <w:spacing w:after="0" w:line="240" w:lineRule="auto"/>
        <w:ind w:left="851" w:right="851" w:firstLine="788"/>
        <w:jc w:val="both"/>
        <w:textAlignment w:val="baseline"/>
        <w:rPr>
          <w:rFonts w:ascii="Times New Roman" w:eastAsia="Times New Roman" w:hAnsi="Times New Roman" w:cs="Times New Roman"/>
          <w:b/>
          <w:bCs/>
          <w:color w:val="FF0000"/>
          <w:sz w:val="26"/>
          <w:szCs w:val="26"/>
          <w:lang w:eastAsia="es-ES"/>
        </w:rPr>
      </w:pPr>
      <w:r w:rsidRPr="002A7673">
        <w:rPr>
          <w:rFonts w:ascii="Times New Roman" w:eastAsia="Times New Roman" w:hAnsi="Times New Roman" w:cs="Times New Roman"/>
          <w:b/>
          <w:bCs/>
          <w:sz w:val="26"/>
          <w:szCs w:val="26"/>
          <w:lang w:eastAsia="es-ES"/>
        </w:rPr>
        <w:t>Cumplimiento del Plan Anual Operativo 2020 </w:t>
      </w:r>
    </w:p>
    <w:p w14:paraId="0648F816" w14:textId="77777777" w:rsidR="0085505C" w:rsidRPr="002A7673" w:rsidRDefault="0085505C" w:rsidP="0085505C">
      <w:pPr>
        <w:spacing w:after="0" w:line="240" w:lineRule="auto"/>
        <w:ind w:left="851" w:right="851" w:firstLine="788"/>
        <w:jc w:val="both"/>
        <w:textAlignment w:val="baseline"/>
        <w:rPr>
          <w:rFonts w:ascii="Times New Roman" w:eastAsia="Times New Roman" w:hAnsi="Times New Roman" w:cs="Times New Roman"/>
          <w:color w:val="FF0000"/>
          <w:sz w:val="26"/>
          <w:szCs w:val="26"/>
          <w:lang w:eastAsia="es-ES"/>
        </w:rPr>
      </w:pPr>
      <w:r w:rsidRPr="002A7673">
        <w:rPr>
          <w:rFonts w:ascii="Times New Roman" w:eastAsia="Times New Roman" w:hAnsi="Times New Roman" w:cs="Times New Roman"/>
          <w:color w:val="FF0000"/>
          <w:sz w:val="26"/>
          <w:szCs w:val="26"/>
          <w:lang w:eastAsia="es-ES"/>
        </w:rPr>
        <w:t> </w:t>
      </w:r>
    </w:p>
    <w:p w14:paraId="38620EB4" w14:textId="77777777" w:rsidR="0085505C" w:rsidRPr="002A7673" w:rsidRDefault="0085505C" w:rsidP="0085505C">
      <w:pPr>
        <w:tabs>
          <w:tab w:val="left" w:pos="180"/>
        </w:tabs>
        <w:spacing w:after="0" w:line="240" w:lineRule="auto"/>
        <w:ind w:left="851" w:right="851" w:firstLine="788"/>
        <w:jc w:val="both"/>
        <w:textAlignment w:val="baseline"/>
        <w:rPr>
          <w:rFonts w:ascii="Times New Roman" w:eastAsia="Times New Roman" w:hAnsi="Times New Roman" w:cs="Times New Roman"/>
          <w:sz w:val="26"/>
          <w:szCs w:val="26"/>
          <w:lang w:eastAsia="es-ES"/>
        </w:rPr>
      </w:pPr>
      <w:r w:rsidRPr="002A7673">
        <w:rPr>
          <w:rFonts w:ascii="Times New Roman" w:eastAsia="Times New Roman" w:hAnsi="Times New Roman" w:cs="Times New Roman"/>
          <w:sz w:val="26"/>
          <w:szCs w:val="26"/>
          <w:lang w:eastAsia="es-ES"/>
        </w:rPr>
        <w:t xml:space="preserve">El siguiente gráfico permite observar el porcentaje de cumplimiento de las metas propuestas en los Planes Anuales Operativos del Programa </w:t>
      </w:r>
      <w:r w:rsidRPr="002A7673">
        <w:rPr>
          <w:rFonts w:ascii="Times New Roman" w:eastAsia="Times New Roman" w:hAnsi="Times New Roman" w:cs="Times New Roman"/>
          <w:sz w:val="26"/>
          <w:szCs w:val="26"/>
          <w:lang w:eastAsia="es-ES"/>
        </w:rPr>
        <w:lastRenderedPageBreak/>
        <w:t>durante el 2020.  Según se visualiza en el siguiente gráfico, se logró un porcentaje de cumplimiento del 99.99.</w:t>
      </w:r>
    </w:p>
    <w:p w14:paraId="24DAD766" w14:textId="77777777" w:rsidR="0085505C" w:rsidRPr="002A7673" w:rsidRDefault="0085505C" w:rsidP="0085505C">
      <w:pPr>
        <w:spacing w:after="0" w:line="240" w:lineRule="auto"/>
        <w:ind w:left="420"/>
        <w:jc w:val="both"/>
        <w:textAlignment w:val="baseline"/>
        <w:rPr>
          <w:rFonts w:ascii="Times New Roman" w:eastAsia="Times New Roman" w:hAnsi="Times New Roman" w:cs="Times New Roman"/>
          <w:color w:val="FF0000"/>
          <w:sz w:val="18"/>
          <w:szCs w:val="18"/>
          <w:lang w:eastAsia="es-CR"/>
        </w:rPr>
      </w:pPr>
      <w:r w:rsidRPr="002A7673">
        <w:rPr>
          <w:rFonts w:ascii="Times New Roman" w:eastAsia="Times New Roman" w:hAnsi="Times New Roman" w:cs="Times New Roman"/>
          <w:color w:val="FF0000"/>
          <w:sz w:val="28"/>
          <w:szCs w:val="28"/>
          <w:lang w:eastAsia="es-CR"/>
        </w:rPr>
        <w:t> </w:t>
      </w:r>
    </w:p>
    <w:p w14:paraId="7A862CE2" w14:textId="77777777" w:rsidR="0085505C" w:rsidRPr="002A7673" w:rsidRDefault="0085505C" w:rsidP="0085505C">
      <w:pPr>
        <w:spacing w:after="0" w:line="240" w:lineRule="auto"/>
        <w:ind w:left="450"/>
        <w:jc w:val="center"/>
        <w:textAlignment w:val="baseline"/>
        <w:rPr>
          <w:rFonts w:ascii="Times New Roman" w:eastAsia="Times New Roman" w:hAnsi="Times New Roman" w:cs="Times New Roman"/>
          <w:color w:val="FF0000"/>
          <w:sz w:val="18"/>
          <w:szCs w:val="18"/>
          <w:lang w:eastAsia="es-CR"/>
        </w:rPr>
      </w:pPr>
      <w:r w:rsidRPr="002A7673">
        <w:rPr>
          <w:rFonts w:ascii="Times New Roman" w:eastAsia="Times New Roman" w:hAnsi="Times New Roman" w:cs="Times New Roman"/>
          <w:noProof/>
          <w:sz w:val="24"/>
          <w:szCs w:val="24"/>
          <w:lang w:eastAsia="es-CR"/>
        </w:rPr>
        <w:drawing>
          <wp:inline distT="0" distB="0" distL="0" distR="0" wp14:anchorId="3B7DD299" wp14:editId="6505165D">
            <wp:extent cx="5288917" cy="3054350"/>
            <wp:effectExtent l="0" t="0" r="6985" b="0"/>
            <wp:docPr id="1263269107" name="Imagen 1263269107"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3269107"/>
                    <pic:cNvPicPr/>
                  </pic:nvPicPr>
                  <pic:blipFill>
                    <a:blip r:embed="rId359">
                      <a:extLst>
                        <a:ext uri="{28A0092B-C50C-407E-A947-70E740481C1C}">
                          <a14:useLocalDpi xmlns:a14="http://schemas.microsoft.com/office/drawing/2010/main" val="0"/>
                        </a:ext>
                      </a:extLst>
                    </a:blip>
                    <a:stretch>
                      <a:fillRect/>
                    </a:stretch>
                  </pic:blipFill>
                  <pic:spPr>
                    <a:xfrm>
                      <a:off x="0" y="0"/>
                      <a:ext cx="5288917" cy="3054350"/>
                    </a:xfrm>
                    <a:prstGeom prst="rect">
                      <a:avLst/>
                    </a:prstGeom>
                  </pic:spPr>
                </pic:pic>
              </a:graphicData>
            </a:graphic>
          </wp:inline>
        </w:drawing>
      </w:r>
      <w:r w:rsidRPr="002A7673">
        <w:rPr>
          <w:rFonts w:ascii="Times New Roman" w:eastAsia="Times New Roman" w:hAnsi="Times New Roman" w:cs="Times New Roman"/>
          <w:color w:val="FF0000"/>
          <w:sz w:val="28"/>
          <w:szCs w:val="28"/>
          <w:lang w:eastAsia="es-CR"/>
        </w:rPr>
        <w:t> </w:t>
      </w:r>
    </w:p>
    <w:p w14:paraId="0874C939" w14:textId="77777777" w:rsidR="0085505C" w:rsidRPr="002A7673" w:rsidRDefault="0085505C" w:rsidP="0085505C">
      <w:pPr>
        <w:spacing w:after="0" w:line="240" w:lineRule="auto"/>
        <w:ind w:left="851" w:right="851" w:firstLine="709"/>
        <w:jc w:val="both"/>
        <w:textAlignment w:val="baseline"/>
        <w:rPr>
          <w:rFonts w:ascii="Times New Roman" w:eastAsia="Times New Roman" w:hAnsi="Times New Roman" w:cs="Times New Roman"/>
          <w:sz w:val="26"/>
          <w:szCs w:val="26"/>
          <w:lang w:eastAsia="es-CR"/>
        </w:rPr>
      </w:pPr>
      <w:r w:rsidRPr="002A7673">
        <w:rPr>
          <w:rFonts w:ascii="Times New Roman" w:eastAsia="Times New Roman" w:hAnsi="Times New Roman" w:cs="Times New Roman"/>
          <w:color w:val="FF0000"/>
          <w:sz w:val="28"/>
          <w:szCs w:val="28"/>
          <w:lang w:eastAsia="es-CR"/>
        </w:rPr>
        <w:t> </w:t>
      </w:r>
      <w:r w:rsidRPr="002A7673">
        <w:rPr>
          <w:rFonts w:ascii="Times New Roman" w:eastAsia="Times New Roman" w:hAnsi="Times New Roman" w:cs="Times New Roman"/>
          <w:sz w:val="26"/>
          <w:szCs w:val="26"/>
          <w:lang w:eastAsia="es-CR"/>
        </w:rPr>
        <w:t>A continuación, se detalla el porcentaje del cumplimiento PAO 2020 de las oficinas que componen la Defensa Pública: </w:t>
      </w:r>
    </w:p>
    <w:bookmarkStart w:id="236" w:name="_MON_1679722954"/>
    <w:bookmarkEnd w:id="236"/>
    <w:p w14:paraId="03585193" w14:textId="77777777" w:rsidR="0085505C" w:rsidRPr="002A7673" w:rsidRDefault="0085505C" w:rsidP="0085505C">
      <w:pPr>
        <w:spacing w:after="0" w:line="240" w:lineRule="auto"/>
        <w:ind w:firstLine="705"/>
        <w:jc w:val="center"/>
        <w:textAlignment w:val="baseline"/>
        <w:rPr>
          <w:rFonts w:ascii="Times New Roman" w:eastAsia="Times New Roman" w:hAnsi="Times New Roman" w:cs="Times New Roman"/>
          <w:color w:val="FF0000"/>
          <w:sz w:val="18"/>
          <w:szCs w:val="18"/>
          <w:lang w:eastAsia="es-CR"/>
        </w:rPr>
      </w:pPr>
      <w:r w:rsidRPr="002A7673">
        <w:rPr>
          <w:rFonts w:ascii="Times New Roman" w:eastAsia="Times New Roman" w:hAnsi="Times New Roman" w:cs="Times New Roman"/>
          <w:color w:val="FF0000"/>
          <w:sz w:val="28"/>
          <w:szCs w:val="28"/>
          <w:lang w:eastAsia="es-CR"/>
        </w:rPr>
        <w:object w:dxaOrig="1376" w:dyaOrig="893" w14:anchorId="15EAF08E">
          <v:shape id="_x0000_i1158" type="#_x0000_t75" style="width:65.25pt;height:42.75pt" o:ole="">
            <v:imagedata r:id="rId360" o:title=""/>
          </v:shape>
          <o:OLEObject Type="Embed" ProgID="Excel.Sheet.12" ShapeID="_x0000_i1158" DrawAspect="Icon" ObjectID="_1684067101" r:id="rId361"/>
        </w:object>
      </w:r>
    </w:p>
    <w:p w14:paraId="6E3E1AEA" w14:textId="77777777" w:rsidR="0085505C" w:rsidRPr="002A7673" w:rsidRDefault="0085505C" w:rsidP="0085505C">
      <w:pPr>
        <w:spacing w:after="0" w:line="240" w:lineRule="auto"/>
        <w:ind w:firstLine="705"/>
        <w:jc w:val="both"/>
        <w:textAlignment w:val="baseline"/>
        <w:rPr>
          <w:rFonts w:ascii="Times New Roman" w:eastAsia="Times New Roman" w:hAnsi="Times New Roman" w:cs="Times New Roman"/>
          <w:color w:val="FF0000"/>
          <w:sz w:val="18"/>
          <w:szCs w:val="18"/>
          <w:lang w:eastAsia="es-CR"/>
        </w:rPr>
      </w:pPr>
    </w:p>
    <w:p w14:paraId="5F9B6AC8" w14:textId="77777777" w:rsidR="0085505C" w:rsidRPr="002A7673" w:rsidRDefault="0085505C" w:rsidP="00FF3FAC">
      <w:pPr>
        <w:numPr>
          <w:ilvl w:val="0"/>
          <w:numId w:val="70"/>
        </w:numPr>
        <w:tabs>
          <w:tab w:val="clear" w:pos="720"/>
          <w:tab w:val="num" w:pos="786"/>
        </w:tabs>
        <w:spacing w:after="0" w:line="240" w:lineRule="auto"/>
        <w:ind w:left="851" w:right="851" w:firstLine="357"/>
        <w:contextualSpacing/>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Programación Presupuestaria</w:t>
      </w:r>
    </w:p>
    <w:p w14:paraId="685C6A86" w14:textId="77777777" w:rsidR="0085505C" w:rsidRPr="002A7673" w:rsidRDefault="0085505C" w:rsidP="0085505C">
      <w:pPr>
        <w:spacing w:after="0" w:line="240" w:lineRule="auto"/>
        <w:jc w:val="both"/>
        <w:rPr>
          <w:rFonts w:ascii="Times New Roman" w:hAnsi="Times New Roman" w:cs="Times New Roman"/>
          <w:b/>
          <w:color w:val="FF0000"/>
          <w:sz w:val="28"/>
          <w:szCs w:val="28"/>
        </w:rPr>
      </w:pPr>
    </w:p>
    <w:bookmarkStart w:id="237" w:name="_MON_1680426288"/>
    <w:bookmarkEnd w:id="237"/>
    <w:p w14:paraId="3C6F77CA" w14:textId="77777777" w:rsidR="0085505C" w:rsidRPr="002A7673" w:rsidRDefault="0085505C" w:rsidP="0085505C">
      <w:pPr>
        <w:spacing w:after="0" w:line="240" w:lineRule="auto"/>
        <w:jc w:val="center"/>
        <w:rPr>
          <w:rFonts w:ascii="Times New Roman" w:hAnsi="Times New Roman" w:cs="Times New Roman"/>
          <w:b/>
          <w:color w:val="FF0000"/>
          <w:sz w:val="28"/>
          <w:szCs w:val="28"/>
        </w:rPr>
      </w:pPr>
      <w:r w:rsidRPr="002A7673">
        <w:rPr>
          <w:rFonts w:ascii="Times New Roman" w:hAnsi="Times New Roman" w:cs="Times New Roman"/>
          <w:b/>
          <w:color w:val="FF0000"/>
          <w:sz w:val="28"/>
          <w:szCs w:val="28"/>
        </w:rPr>
        <w:object w:dxaOrig="1508" w:dyaOrig="983" w14:anchorId="711B25D0">
          <v:shape id="_x0000_i1159" type="#_x0000_t75" style="width:1in;height:42.75pt" o:ole="">
            <v:imagedata r:id="rId362" o:title=""/>
          </v:shape>
          <o:OLEObject Type="Embed" ProgID="Excel.Sheet.12" ShapeID="_x0000_i1159" DrawAspect="Icon" ObjectID="_1684067102" r:id="rId363"/>
        </w:object>
      </w:r>
    </w:p>
    <w:p w14:paraId="1B534372" w14:textId="77777777" w:rsidR="0085505C" w:rsidRPr="002A7673" w:rsidRDefault="0085505C" w:rsidP="0085505C">
      <w:pPr>
        <w:spacing w:after="0" w:line="240" w:lineRule="auto"/>
        <w:ind w:left="851" w:right="851" w:firstLine="709"/>
        <w:jc w:val="both"/>
        <w:rPr>
          <w:rFonts w:ascii="Times New Roman" w:hAnsi="Times New Roman" w:cs="Times New Roman"/>
          <w:b/>
          <w:color w:val="FF0000"/>
          <w:sz w:val="26"/>
          <w:szCs w:val="26"/>
        </w:rPr>
      </w:pPr>
    </w:p>
    <w:p w14:paraId="644F35B1"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Afectación Plan Estratégico Institucional</w:t>
      </w:r>
    </w:p>
    <w:p w14:paraId="4DCBB9DE" w14:textId="77777777" w:rsidR="0085505C" w:rsidRPr="002A7673" w:rsidRDefault="0085505C" w:rsidP="0085505C">
      <w:pPr>
        <w:spacing w:after="0" w:line="240" w:lineRule="auto"/>
        <w:ind w:left="851" w:right="851" w:firstLine="709"/>
        <w:jc w:val="both"/>
        <w:textAlignment w:val="baseline"/>
        <w:rPr>
          <w:rFonts w:ascii="Times New Roman" w:eastAsia="Times New Roman" w:hAnsi="Times New Roman" w:cs="Times New Roman"/>
          <w:sz w:val="26"/>
          <w:szCs w:val="26"/>
          <w:lang w:eastAsia="es-CR"/>
        </w:rPr>
      </w:pPr>
      <w:r w:rsidRPr="002A7673">
        <w:rPr>
          <w:rFonts w:ascii="Times New Roman" w:eastAsia="Times New Roman" w:hAnsi="Times New Roman" w:cs="Times New Roman"/>
          <w:sz w:val="26"/>
          <w:szCs w:val="26"/>
          <w:lang w:eastAsia="es-CR"/>
        </w:rPr>
        <w:t xml:space="preserve">Por último, se consultó al Licenciado Josué González Granados, Administrador </w:t>
      </w:r>
      <w:proofErr w:type="spellStart"/>
      <w:r w:rsidRPr="002A7673">
        <w:rPr>
          <w:rFonts w:ascii="Times New Roman" w:eastAsia="Times New Roman" w:hAnsi="Times New Roman" w:cs="Times New Roman"/>
          <w:sz w:val="26"/>
          <w:szCs w:val="26"/>
          <w:lang w:eastAsia="es-CR"/>
        </w:rPr>
        <w:t>a.i</w:t>
      </w:r>
      <w:proofErr w:type="spellEnd"/>
      <w:r w:rsidRPr="002A7673">
        <w:rPr>
          <w:rFonts w:ascii="Times New Roman" w:eastAsia="Times New Roman" w:hAnsi="Times New Roman" w:cs="Times New Roman"/>
          <w:sz w:val="26"/>
          <w:szCs w:val="26"/>
          <w:lang w:eastAsia="es-CR"/>
        </w:rPr>
        <w:t xml:space="preserve"> de la Defensa Pública si el presupuesto máximo autorizado por Corte Plena para el 2022 afecta los compromisos del PEI para este período, quien indicó lo siguiente: </w:t>
      </w:r>
    </w:p>
    <w:p w14:paraId="1BA64913"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p>
    <w:p w14:paraId="554E260F"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r w:rsidRPr="002A7673">
        <w:rPr>
          <w:rFonts w:ascii="Times New Roman" w:hAnsi="Times New Roman" w:cs="Times New Roman"/>
          <w:i/>
          <w:iCs/>
          <w:sz w:val="26"/>
          <w:szCs w:val="26"/>
        </w:rPr>
        <w:t>“…revisadas las responsabilidades de la Defensa Pública sobre cumplimiento de los objetivos PEI, incluiremos los requerimientos para el próximo presupuesto.  Con los ajustes no se afecta el cumplimiento del PEI.”</w:t>
      </w:r>
    </w:p>
    <w:p w14:paraId="3216E438"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p>
    <w:p w14:paraId="333DF8DC" w14:textId="77777777" w:rsidR="0085505C" w:rsidRPr="002A7673" w:rsidRDefault="0085505C" w:rsidP="0085505C">
      <w:pPr>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b/>
          <w:sz w:val="28"/>
          <w:szCs w:val="28"/>
        </w:rPr>
        <w:t>Se acordó:</w:t>
      </w:r>
      <w:r w:rsidRPr="002A7673">
        <w:rPr>
          <w:rFonts w:ascii="Times New Roman" w:hAnsi="Times New Roman" w:cs="Times New Roman"/>
          <w:sz w:val="28"/>
          <w:szCs w:val="28"/>
        </w:rPr>
        <w:t xml:space="preserve"> </w:t>
      </w:r>
      <w:r w:rsidRPr="002A7673">
        <w:rPr>
          <w:rFonts w:ascii="Times New Roman" w:eastAsiaTheme="majorEastAsia" w:hAnsi="Times New Roman" w:cs="Times New Roman"/>
          <w:b/>
          <w:sz w:val="28"/>
          <w:szCs w:val="28"/>
        </w:rPr>
        <w:t>1)</w:t>
      </w:r>
      <w:r w:rsidRPr="002A7673">
        <w:rPr>
          <w:rFonts w:ascii="Times New Roman" w:eastAsiaTheme="majorEastAsia" w:hAnsi="Times New Roman" w:cs="Times New Roman"/>
          <w:bCs/>
          <w:sz w:val="28"/>
          <w:szCs w:val="28"/>
        </w:rPr>
        <w:t xml:space="preserve"> Dar por conocido el presupuesto y la programación presupuestaria del </w:t>
      </w:r>
      <w:r w:rsidRPr="002A7673">
        <w:rPr>
          <w:rFonts w:ascii="Times New Roman" w:hAnsi="Times New Roman" w:cs="Times New Roman"/>
          <w:sz w:val="28"/>
          <w:szCs w:val="28"/>
        </w:rPr>
        <w:t>Programa 930 Defensa Pública</w:t>
      </w:r>
      <w:r w:rsidRPr="002A7673">
        <w:rPr>
          <w:rFonts w:ascii="Times New Roman" w:eastAsiaTheme="majorEastAsia" w:hAnsi="Times New Roman" w:cs="Times New Roman"/>
          <w:bCs/>
          <w:sz w:val="28"/>
          <w:szCs w:val="28"/>
        </w:rPr>
        <w:t xml:space="preserve"> para el 2022; sin embargo, se estará a la espera del análisis global del presupuesto 2022, para presentar una propuesta general que integre todas las necesidades institucionales.</w:t>
      </w:r>
      <w:r w:rsidRPr="002A7673">
        <w:rPr>
          <w:rFonts w:ascii="Times New Roman" w:hAnsi="Times New Roman" w:cs="Times New Roman"/>
          <w:b/>
          <w:bCs/>
          <w:sz w:val="28"/>
          <w:szCs w:val="28"/>
        </w:rPr>
        <w:t xml:space="preserve"> 2)</w:t>
      </w:r>
      <w:r w:rsidRPr="002A7673">
        <w:rPr>
          <w:rFonts w:ascii="Times New Roman" w:hAnsi="Times New Roman" w:cs="Times New Roman"/>
          <w:sz w:val="28"/>
          <w:szCs w:val="28"/>
        </w:rPr>
        <w:t xml:space="preserve"> Aprobar los requerimientos adicionales por un total de </w:t>
      </w:r>
      <w:r w:rsidRPr="002A7673">
        <w:rPr>
          <w:rFonts w:ascii="Times New Roman" w:hAnsi="Times New Roman" w:cs="Times New Roman"/>
          <w:b/>
          <w:bCs/>
          <w:sz w:val="28"/>
          <w:szCs w:val="28"/>
          <w:lang w:eastAsia="es-CR"/>
        </w:rPr>
        <w:t>¢</w:t>
      </w:r>
      <w:r w:rsidRPr="002A7673">
        <w:rPr>
          <w:rFonts w:ascii="Times New Roman" w:hAnsi="Times New Roman" w:cs="Times New Roman"/>
          <w:sz w:val="28"/>
          <w:szCs w:val="28"/>
        </w:rPr>
        <w:t>25.925.450,</w:t>
      </w:r>
      <w:r w:rsidRPr="002A7673">
        <w:rPr>
          <w:rFonts w:ascii="Times New Roman" w:hAnsi="Times New Roman" w:cs="Times New Roman"/>
          <w:b/>
          <w:bCs/>
          <w:sz w:val="28"/>
          <w:szCs w:val="28"/>
          <w:lang w:eastAsia="es-CR"/>
        </w:rPr>
        <w:t xml:space="preserve"> </w:t>
      </w:r>
      <w:r w:rsidRPr="002A7673">
        <w:rPr>
          <w:rFonts w:ascii="Times New Roman" w:hAnsi="Times New Roman" w:cs="Times New Roman"/>
          <w:sz w:val="28"/>
          <w:szCs w:val="28"/>
        </w:rPr>
        <w:t>solicitados por la Defensa Pública:</w:t>
      </w:r>
    </w:p>
    <w:p w14:paraId="6B80D275" w14:textId="77777777" w:rsidR="0085505C" w:rsidRPr="002A7673" w:rsidRDefault="0085505C" w:rsidP="0085505C">
      <w:pPr>
        <w:spacing w:after="0" w:line="240" w:lineRule="auto"/>
        <w:jc w:val="both"/>
        <w:rPr>
          <w:rFonts w:ascii="Times New Roman" w:hAnsi="Times New Roman" w:cs="Times New Roman"/>
        </w:rPr>
      </w:pPr>
    </w:p>
    <w:tbl>
      <w:tblPr>
        <w:tblW w:w="7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93"/>
        <w:gridCol w:w="1340"/>
        <w:gridCol w:w="3807"/>
      </w:tblGrid>
      <w:tr w:rsidR="0085505C" w:rsidRPr="002A7673" w14:paraId="05616209" w14:textId="77777777" w:rsidTr="0048334E">
        <w:trPr>
          <w:trHeight w:val="323"/>
          <w:jc w:val="center"/>
        </w:trPr>
        <w:tc>
          <w:tcPr>
            <w:tcW w:w="2693" w:type="dxa"/>
            <w:shd w:val="clear" w:color="000000" w:fill="1F497D"/>
            <w:noWrap/>
            <w:vAlign w:val="center"/>
            <w:hideMark/>
          </w:tcPr>
          <w:p w14:paraId="4816B7BB"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Subpartida</w:t>
            </w:r>
          </w:p>
        </w:tc>
        <w:tc>
          <w:tcPr>
            <w:tcW w:w="1240" w:type="dxa"/>
            <w:shd w:val="clear" w:color="000000" w:fill="1F497D"/>
            <w:noWrap/>
            <w:vAlign w:val="center"/>
            <w:hideMark/>
          </w:tcPr>
          <w:p w14:paraId="2A936A0F"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Monto</w:t>
            </w:r>
          </w:p>
        </w:tc>
        <w:tc>
          <w:tcPr>
            <w:tcW w:w="3807" w:type="dxa"/>
            <w:shd w:val="clear" w:color="000000" w:fill="1F497D"/>
            <w:noWrap/>
            <w:vAlign w:val="center"/>
            <w:hideMark/>
          </w:tcPr>
          <w:p w14:paraId="74589537" w14:textId="77777777" w:rsidR="0085505C" w:rsidRPr="002A7673" w:rsidRDefault="0085505C" w:rsidP="0048334E">
            <w:pPr>
              <w:spacing w:after="0" w:line="240" w:lineRule="auto"/>
              <w:jc w:val="center"/>
              <w:rPr>
                <w:rFonts w:ascii="Times New Roman" w:hAnsi="Times New Roman" w:cs="Times New Roman"/>
                <w:b/>
                <w:bCs/>
                <w:color w:val="FFFFFF" w:themeColor="background1"/>
                <w:sz w:val="24"/>
                <w:szCs w:val="24"/>
                <w:lang w:eastAsia="es-CR"/>
              </w:rPr>
            </w:pPr>
            <w:r w:rsidRPr="002A7673">
              <w:rPr>
                <w:rFonts w:ascii="Times New Roman" w:hAnsi="Times New Roman" w:cs="Times New Roman"/>
                <w:b/>
                <w:bCs/>
                <w:color w:val="FFFFFF" w:themeColor="background1"/>
                <w:sz w:val="24"/>
                <w:szCs w:val="24"/>
                <w:lang w:eastAsia="es-CR"/>
              </w:rPr>
              <w:t>Justificación</w:t>
            </w:r>
          </w:p>
        </w:tc>
      </w:tr>
      <w:tr w:rsidR="0085505C" w:rsidRPr="002A7673" w14:paraId="16AB354C" w14:textId="77777777" w:rsidTr="0048334E">
        <w:trPr>
          <w:trHeight w:val="788"/>
          <w:jc w:val="center"/>
        </w:trPr>
        <w:tc>
          <w:tcPr>
            <w:tcW w:w="2693" w:type="dxa"/>
            <w:shd w:val="clear" w:color="000000" w:fill="FFFFFF"/>
            <w:noWrap/>
            <w:vAlign w:val="center"/>
          </w:tcPr>
          <w:p w14:paraId="03FA9AE9" w14:textId="77777777" w:rsidR="0085505C" w:rsidRPr="002A7673" w:rsidRDefault="0085505C" w:rsidP="0048334E">
            <w:pPr>
              <w:spacing w:after="0" w:line="240" w:lineRule="auto"/>
              <w:jc w:val="both"/>
              <w:rPr>
                <w:rFonts w:ascii="Times New Roman" w:hAnsi="Times New Roman" w:cs="Times New Roman"/>
                <w:sz w:val="24"/>
                <w:szCs w:val="24"/>
                <w:lang w:eastAsia="es-CR"/>
              </w:rPr>
            </w:pPr>
            <w:r w:rsidRPr="002A7673">
              <w:rPr>
                <w:rFonts w:ascii="Times New Roman" w:hAnsi="Times New Roman" w:cs="Times New Roman"/>
                <w:sz w:val="24"/>
                <w:szCs w:val="24"/>
                <w:lang w:eastAsia="es-CR"/>
              </w:rPr>
              <w:t>10406 Servicios Generales</w:t>
            </w:r>
          </w:p>
        </w:tc>
        <w:tc>
          <w:tcPr>
            <w:tcW w:w="1240" w:type="dxa"/>
            <w:shd w:val="clear" w:color="000000" w:fill="FFFFFF"/>
            <w:noWrap/>
            <w:vAlign w:val="center"/>
          </w:tcPr>
          <w:p w14:paraId="4015937E"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¢4.600.000</w:t>
            </w:r>
          </w:p>
        </w:tc>
        <w:tc>
          <w:tcPr>
            <w:tcW w:w="3807" w:type="dxa"/>
            <w:shd w:val="clear" w:color="000000" w:fill="FFFFFF"/>
            <w:noWrap/>
            <w:vAlign w:val="bottom"/>
          </w:tcPr>
          <w:p w14:paraId="16C8211E" w14:textId="77777777" w:rsidR="0085505C" w:rsidRPr="002A7673" w:rsidRDefault="0085505C" w:rsidP="0048334E">
            <w:pPr>
              <w:spacing w:after="0" w:line="240" w:lineRule="auto"/>
              <w:jc w:val="both"/>
              <w:rPr>
                <w:rFonts w:ascii="Times New Roman" w:hAnsi="Times New Roman" w:cs="Times New Roman"/>
                <w:sz w:val="24"/>
                <w:szCs w:val="24"/>
              </w:rPr>
            </w:pPr>
            <w:r w:rsidRPr="002A7673">
              <w:rPr>
                <w:rFonts w:ascii="Times New Roman" w:hAnsi="Times New Roman" w:cs="Times New Roman"/>
                <w:sz w:val="24"/>
                <w:szCs w:val="24"/>
              </w:rPr>
              <w:t xml:space="preserve">Para cubrir el servicio de vigilancia de la nueva </w:t>
            </w:r>
            <w:bookmarkStart w:id="238" w:name="_Hlk70874381"/>
            <w:r w:rsidRPr="002A7673">
              <w:rPr>
                <w:rFonts w:ascii="Times New Roman" w:hAnsi="Times New Roman" w:cs="Times New Roman"/>
                <w:sz w:val="24"/>
                <w:szCs w:val="24"/>
              </w:rPr>
              <w:t>oficina de Quepos</w:t>
            </w:r>
            <w:bookmarkEnd w:id="238"/>
            <w:r w:rsidRPr="002A7673">
              <w:rPr>
                <w:rFonts w:ascii="Times New Roman" w:hAnsi="Times New Roman" w:cs="Times New Roman"/>
                <w:sz w:val="24"/>
                <w:szCs w:val="24"/>
              </w:rPr>
              <w:t>, corresponde a un monto complementario debido a que deben de cubrir la necesidad por el traslado a un nuevo edificio desde el 2021.</w:t>
            </w:r>
          </w:p>
        </w:tc>
      </w:tr>
      <w:tr w:rsidR="0085505C" w:rsidRPr="002A7673" w14:paraId="29C8123A" w14:textId="77777777" w:rsidTr="0048334E">
        <w:trPr>
          <w:trHeight w:val="788"/>
          <w:jc w:val="center"/>
        </w:trPr>
        <w:tc>
          <w:tcPr>
            <w:tcW w:w="2693" w:type="dxa"/>
            <w:shd w:val="clear" w:color="000000" w:fill="FFFFFF"/>
            <w:noWrap/>
            <w:vAlign w:val="center"/>
          </w:tcPr>
          <w:p w14:paraId="41285D55" w14:textId="77777777" w:rsidR="0085505C" w:rsidRPr="002A7673" w:rsidRDefault="0085505C" w:rsidP="0048334E">
            <w:pPr>
              <w:spacing w:after="0" w:line="240" w:lineRule="auto"/>
              <w:jc w:val="both"/>
              <w:rPr>
                <w:rFonts w:ascii="Times New Roman" w:hAnsi="Times New Roman" w:cs="Times New Roman"/>
                <w:sz w:val="24"/>
                <w:szCs w:val="24"/>
                <w:lang w:eastAsia="es-CR"/>
              </w:rPr>
            </w:pPr>
            <w:r w:rsidRPr="002A7673">
              <w:rPr>
                <w:rFonts w:ascii="Times New Roman" w:hAnsi="Times New Roman" w:cs="Times New Roman"/>
                <w:sz w:val="24"/>
                <w:szCs w:val="24"/>
                <w:lang w:eastAsia="es-CR"/>
              </w:rPr>
              <w:t>10807 “Mantenimiento y Reparación de Equipo y Mobiliario de Oficina”</w:t>
            </w:r>
          </w:p>
        </w:tc>
        <w:tc>
          <w:tcPr>
            <w:tcW w:w="1240" w:type="dxa"/>
            <w:shd w:val="clear" w:color="000000" w:fill="FFFFFF"/>
            <w:noWrap/>
            <w:vAlign w:val="center"/>
          </w:tcPr>
          <w:p w14:paraId="44914C9C"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¢3.000.000</w:t>
            </w:r>
          </w:p>
        </w:tc>
        <w:tc>
          <w:tcPr>
            <w:tcW w:w="3807" w:type="dxa"/>
            <w:shd w:val="clear" w:color="000000" w:fill="FFFFFF"/>
            <w:noWrap/>
            <w:vAlign w:val="bottom"/>
          </w:tcPr>
          <w:p w14:paraId="1534E87F" w14:textId="77777777" w:rsidR="0085505C" w:rsidRPr="002A7673" w:rsidRDefault="0085505C" w:rsidP="0048334E">
            <w:pPr>
              <w:spacing w:after="0" w:line="240" w:lineRule="auto"/>
              <w:jc w:val="both"/>
              <w:rPr>
                <w:rFonts w:ascii="Times New Roman" w:hAnsi="Times New Roman" w:cs="Times New Roman"/>
                <w:color w:val="FF0000"/>
                <w:sz w:val="24"/>
                <w:szCs w:val="24"/>
                <w:lang w:eastAsia="es-CR"/>
              </w:rPr>
            </w:pPr>
            <w:r w:rsidRPr="002A7673">
              <w:rPr>
                <w:rFonts w:ascii="Times New Roman" w:hAnsi="Times New Roman" w:cs="Times New Roman"/>
                <w:sz w:val="24"/>
                <w:szCs w:val="24"/>
              </w:rPr>
              <w:t>En vista de los nuevos lineamientos se requiere un mantenimiento preventivo periódico de los aires acondicionados. Actualmente muchas oficinas de zonas en las que se justifica el recurso cuentan con aparatos en mal estado por la falta de mantenimiento, y que eventualmente puedan llegar a suspenderse.  </w:t>
            </w:r>
          </w:p>
        </w:tc>
      </w:tr>
      <w:tr w:rsidR="0085505C" w:rsidRPr="002A7673" w14:paraId="3CB779D4" w14:textId="77777777" w:rsidTr="0048334E">
        <w:trPr>
          <w:trHeight w:val="788"/>
          <w:jc w:val="center"/>
        </w:trPr>
        <w:tc>
          <w:tcPr>
            <w:tcW w:w="2693" w:type="dxa"/>
            <w:shd w:val="clear" w:color="000000" w:fill="FFFFFF"/>
            <w:noWrap/>
            <w:vAlign w:val="center"/>
          </w:tcPr>
          <w:p w14:paraId="7B6FF67C" w14:textId="77777777" w:rsidR="0085505C" w:rsidRPr="002A7673" w:rsidRDefault="0085505C" w:rsidP="0048334E">
            <w:pPr>
              <w:spacing w:after="0" w:line="240" w:lineRule="auto"/>
              <w:jc w:val="both"/>
              <w:rPr>
                <w:rFonts w:ascii="Times New Roman" w:hAnsi="Times New Roman" w:cs="Times New Roman"/>
                <w:sz w:val="24"/>
                <w:szCs w:val="24"/>
                <w:lang w:eastAsia="es-CR"/>
              </w:rPr>
            </w:pPr>
            <w:r w:rsidRPr="002A7673">
              <w:rPr>
                <w:rFonts w:ascii="Times New Roman" w:hAnsi="Times New Roman" w:cs="Times New Roman"/>
                <w:sz w:val="24"/>
                <w:szCs w:val="24"/>
                <w:lang w:eastAsia="es-CR"/>
              </w:rPr>
              <w:t>50104 “Equipo y Mobiliario de Oficina”</w:t>
            </w:r>
          </w:p>
        </w:tc>
        <w:tc>
          <w:tcPr>
            <w:tcW w:w="1240" w:type="dxa"/>
            <w:shd w:val="clear" w:color="000000" w:fill="FFFFFF"/>
            <w:noWrap/>
            <w:vAlign w:val="center"/>
          </w:tcPr>
          <w:p w14:paraId="114FF4D3"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¢17.800.000</w:t>
            </w:r>
          </w:p>
        </w:tc>
        <w:tc>
          <w:tcPr>
            <w:tcW w:w="3807" w:type="dxa"/>
            <w:shd w:val="clear" w:color="000000" w:fill="FFFFFF"/>
            <w:noWrap/>
            <w:vAlign w:val="bottom"/>
          </w:tcPr>
          <w:p w14:paraId="43700D35" w14:textId="77777777" w:rsidR="0085505C" w:rsidRPr="002A7673" w:rsidRDefault="0085505C" w:rsidP="0048334E">
            <w:pPr>
              <w:spacing w:after="0" w:line="240" w:lineRule="auto"/>
              <w:jc w:val="both"/>
              <w:rPr>
                <w:rFonts w:ascii="Times New Roman" w:hAnsi="Times New Roman" w:cs="Times New Roman"/>
                <w:color w:val="FF0000"/>
                <w:sz w:val="24"/>
                <w:szCs w:val="24"/>
                <w:lang w:eastAsia="es-CR"/>
              </w:rPr>
            </w:pPr>
            <w:r w:rsidRPr="002A7673">
              <w:rPr>
                <w:rFonts w:ascii="Times New Roman" w:hAnsi="Times New Roman" w:cs="Times New Roman"/>
                <w:sz w:val="24"/>
                <w:szCs w:val="24"/>
              </w:rPr>
              <w:t xml:space="preserve">Para la sustitución de aires acondicionados que se encuentran en mal estado en </w:t>
            </w:r>
            <w:bookmarkStart w:id="239" w:name="_Hlk70874419"/>
            <w:r w:rsidRPr="002A7673">
              <w:rPr>
                <w:rFonts w:ascii="Times New Roman" w:hAnsi="Times New Roman" w:cs="Times New Roman"/>
                <w:sz w:val="24"/>
                <w:szCs w:val="24"/>
              </w:rPr>
              <w:t>oficinas de Bataan, Cañas y Corredores</w:t>
            </w:r>
            <w:bookmarkEnd w:id="239"/>
            <w:r w:rsidRPr="002A7673">
              <w:rPr>
                <w:rFonts w:ascii="Times New Roman" w:hAnsi="Times New Roman" w:cs="Times New Roman"/>
                <w:sz w:val="24"/>
                <w:szCs w:val="24"/>
              </w:rPr>
              <w:t>. </w:t>
            </w:r>
          </w:p>
        </w:tc>
      </w:tr>
      <w:tr w:rsidR="0085505C" w:rsidRPr="002A7673" w14:paraId="4B398CBD" w14:textId="77777777" w:rsidTr="0048334E">
        <w:trPr>
          <w:trHeight w:val="788"/>
          <w:jc w:val="center"/>
        </w:trPr>
        <w:tc>
          <w:tcPr>
            <w:tcW w:w="2693" w:type="dxa"/>
            <w:shd w:val="clear" w:color="000000" w:fill="FFFFFF"/>
            <w:noWrap/>
            <w:vAlign w:val="center"/>
          </w:tcPr>
          <w:p w14:paraId="65C9901B" w14:textId="77777777" w:rsidR="0085505C" w:rsidRPr="002A7673" w:rsidRDefault="0085505C" w:rsidP="0048334E">
            <w:pPr>
              <w:spacing w:after="0" w:line="240" w:lineRule="auto"/>
              <w:jc w:val="both"/>
              <w:rPr>
                <w:rFonts w:ascii="Times New Roman" w:hAnsi="Times New Roman" w:cs="Times New Roman"/>
                <w:sz w:val="24"/>
                <w:szCs w:val="24"/>
                <w:lang w:eastAsia="es-CR"/>
              </w:rPr>
            </w:pPr>
            <w:r w:rsidRPr="002A7673">
              <w:rPr>
                <w:rFonts w:ascii="Times New Roman" w:hAnsi="Times New Roman" w:cs="Times New Roman"/>
                <w:sz w:val="24"/>
                <w:szCs w:val="24"/>
                <w:lang w:eastAsia="es-CR"/>
              </w:rPr>
              <w:t>50199 “Maquinaria y Equipo Diverso”</w:t>
            </w:r>
          </w:p>
        </w:tc>
        <w:tc>
          <w:tcPr>
            <w:tcW w:w="1240" w:type="dxa"/>
            <w:shd w:val="clear" w:color="000000" w:fill="FFFFFF"/>
            <w:noWrap/>
            <w:vAlign w:val="center"/>
          </w:tcPr>
          <w:p w14:paraId="00AA50B3" w14:textId="77777777" w:rsidR="0085505C" w:rsidRPr="002A7673" w:rsidRDefault="0085505C" w:rsidP="0048334E">
            <w:pPr>
              <w:spacing w:after="0" w:line="24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¢525.450</w:t>
            </w:r>
          </w:p>
        </w:tc>
        <w:tc>
          <w:tcPr>
            <w:tcW w:w="3807" w:type="dxa"/>
            <w:shd w:val="clear" w:color="000000" w:fill="FFFFFF"/>
            <w:noWrap/>
            <w:vAlign w:val="bottom"/>
          </w:tcPr>
          <w:p w14:paraId="20E6A44B" w14:textId="77777777" w:rsidR="0085505C" w:rsidRPr="002A7673" w:rsidRDefault="0085505C" w:rsidP="0048334E">
            <w:pPr>
              <w:spacing w:after="0" w:line="240" w:lineRule="auto"/>
              <w:jc w:val="both"/>
              <w:rPr>
                <w:rFonts w:ascii="Times New Roman" w:hAnsi="Times New Roman" w:cs="Times New Roman"/>
                <w:sz w:val="24"/>
                <w:szCs w:val="24"/>
              </w:rPr>
            </w:pPr>
            <w:r w:rsidRPr="002A7673">
              <w:rPr>
                <w:rFonts w:ascii="Times New Roman" w:hAnsi="Times New Roman" w:cs="Times New Roman"/>
                <w:sz w:val="24"/>
                <w:szCs w:val="24"/>
              </w:rPr>
              <w:t xml:space="preserve">Necesarios para la compra de un refrigerador para la </w:t>
            </w:r>
            <w:bookmarkStart w:id="240" w:name="_Hlk70874450"/>
            <w:r w:rsidRPr="002A7673">
              <w:rPr>
                <w:rFonts w:ascii="Times New Roman" w:hAnsi="Times New Roman" w:cs="Times New Roman"/>
                <w:sz w:val="24"/>
                <w:szCs w:val="24"/>
              </w:rPr>
              <w:t>Defensa Pública de Sarapiquí</w:t>
            </w:r>
            <w:bookmarkEnd w:id="240"/>
            <w:r w:rsidRPr="002A7673">
              <w:rPr>
                <w:rFonts w:ascii="Times New Roman" w:hAnsi="Times New Roman" w:cs="Times New Roman"/>
                <w:sz w:val="24"/>
                <w:szCs w:val="24"/>
              </w:rPr>
              <w:t>, se instalará en el área común de comedor ya que actualmente cuentan con uno en mal estado que compraron con recursos del personal.</w:t>
            </w:r>
          </w:p>
        </w:tc>
      </w:tr>
    </w:tbl>
    <w:p w14:paraId="79D91C8A" w14:textId="77777777" w:rsidR="0085505C" w:rsidRPr="002A7673" w:rsidRDefault="0085505C" w:rsidP="0085505C">
      <w:pPr>
        <w:spacing w:line="480" w:lineRule="auto"/>
        <w:ind w:firstLine="709"/>
        <w:jc w:val="both"/>
        <w:rPr>
          <w:rFonts w:ascii="Times New Roman" w:eastAsia="Times New Roman" w:hAnsi="Times New Roman" w:cs="Times New Roman"/>
          <w:b/>
          <w:bCs/>
          <w:color w:val="000000"/>
          <w:kern w:val="36"/>
          <w:sz w:val="28"/>
          <w:szCs w:val="28"/>
          <w:lang w:eastAsia="es-ES"/>
        </w:rPr>
      </w:pPr>
      <w:r w:rsidRPr="002A7673">
        <w:rPr>
          <w:rFonts w:ascii="Times New Roman" w:eastAsia="Times New Roman" w:hAnsi="Times New Roman" w:cs="Times New Roman"/>
          <w:b/>
          <w:bCs/>
          <w:color w:val="000000"/>
          <w:kern w:val="36"/>
          <w:sz w:val="28"/>
          <w:szCs w:val="28"/>
          <w:lang w:eastAsia="es-ES"/>
        </w:rPr>
        <w:t>Se declara acuerdo firme.</w:t>
      </w:r>
    </w:p>
    <w:p w14:paraId="1928D59E" w14:textId="77777777" w:rsidR="0085505C" w:rsidRPr="002A7673" w:rsidRDefault="0085505C" w:rsidP="0085505C">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lastRenderedPageBreak/>
        <w:t>ARTÍCULO XVII</w:t>
      </w:r>
    </w:p>
    <w:p w14:paraId="7EC8F0FC" w14:textId="77777777" w:rsidR="0085505C" w:rsidRPr="002A7673" w:rsidRDefault="0085505C" w:rsidP="007125D1">
      <w:pPr>
        <w:autoSpaceDE w:val="0"/>
        <w:autoSpaceDN w:val="0"/>
        <w:adjustRightInd w:val="0"/>
        <w:spacing w:before="120" w:after="0" w:line="480" w:lineRule="auto"/>
        <w:ind w:firstLine="709"/>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4421-2021</w:t>
      </w:r>
    </w:p>
    <w:p w14:paraId="7DD1F22C" w14:textId="77777777" w:rsidR="0085505C" w:rsidRPr="002A7673" w:rsidRDefault="0085505C" w:rsidP="0085505C">
      <w:pPr>
        <w:spacing w:after="0" w:line="480" w:lineRule="auto"/>
        <w:jc w:val="both"/>
        <w:rPr>
          <w:rFonts w:ascii="Times New Roman" w:hAnsi="Times New Roman" w:cs="Times New Roman"/>
          <w:b/>
          <w:bCs/>
          <w:sz w:val="28"/>
          <w:szCs w:val="28"/>
        </w:rPr>
      </w:pPr>
      <w:r w:rsidRPr="002A7673">
        <w:rPr>
          <w:rFonts w:ascii="Times New Roman" w:hAnsi="Times New Roman" w:cs="Times New Roman"/>
          <w:sz w:val="28"/>
          <w:szCs w:val="28"/>
        </w:rPr>
        <w:t>En reunión de trabajo del pasado 23 de abril, la licenciada Nacira Valverde Bermúdez,</w:t>
      </w:r>
      <w:r w:rsidRPr="002A7673">
        <w:rPr>
          <w:rFonts w:ascii="Times New Roman" w:hAnsi="Times New Roman" w:cs="Times New Roman"/>
          <w:color w:val="000000"/>
          <w:sz w:val="28"/>
          <w:szCs w:val="28"/>
          <w:shd w:val="clear" w:color="auto" w:fill="FFFFFF"/>
        </w:rPr>
        <w:t xml:space="preserve"> </w:t>
      </w:r>
      <w:r w:rsidRPr="002A7673">
        <w:rPr>
          <w:rFonts w:ascii="Times New Roman" w:hAnsi="Times New Roman" w:cs="Times New Roman"/>
          <w:sz w:val="28"/>
          <w:szCs w:val="28"/>
        </w:rPr>
        <w:t xml:space="preserve">Directora de Planificación presentó el proyecto de presupuesto para el 2022 del </w:t>
      </w:r>
      <w:r w:rsidRPr="002A7673">
        <w:rPr>
          <w:rFonts w:ascii="Times New Roman" w:hAnsi="Times New Roman" w:cs="Times New Roman"/>
          <w:b/>
          <w:bCs/>
          <w:sz w:val="28"/>
          <w:szCs w:val="28"/>
        </w:rPr>
        <w:t>Programa 950 Servicio de Atención y Protección de Víctimas y Testigos.</w:t>
      </w:r>
    </w:p>
    <w:p w14:paraId="7A448149" w14:textId="415B8D14" w:rsidR="0085505C" w:rsidRPr="002A7673" w:rsidRDefault="0085505C" w:rsidP="00FF3FAC">
      <w:pPr>
        <w:numPr>
          <w:ilvl w:val="1"/>
          <w:numId w:val="70"/>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Información General </w:t>
      </w:r>
    </w:p>
    <w:p w14:paraId="70401506" w14:textId="77777777" w:rsidR="00DC5009" w:rsidRPr="002A7673" w:rsidRDefault="00DC5009" w:rsidP="00DC5009">
      <w:pPr>
        <w:spacing w:after="0" w:line="240" w:lineRule="auto"/>
        <w:ind w:left="1560" w:right="851"/>
        <w:jc w:val="both"/>
        <w:rPr>
          <w:rFonts w:ascii="Times New Roman" w:eastAsia="Times New Roman" w:hAnsi="Times New Roman" w:cs="Times New Roman"/>
          <w:b/>
          <w:sz w:val="26"/>
          <w:szCs w:val="26"/>
          <w:lang w:val="es-ES" w:eastAsia="es-ES"/>
        </w:rPr>
      </w:pPr>
    </w:p>
    <w:p w14:paraId="1E3CD049" w14:textId="77777777" w:rsidR="00DC5009" w:rsidRPr="002A7673" w:rsidRDefault="00DC5009" w:rsidP="00DC5009">
      <w:pPr>
        <w:spacing w:after="0" w:line="240" w:lineRule="auto"/>
        <w:ind w:left="851" w:right="851" w:firstLine="709"/>
        <w:jc w:val="both"/>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A nivel de Programa, en el caso del Programa 950 Servicio de Atención y Protección, al consolidar el presupuesto de Remuneraciones con el Gasto Variable, se tiene al 23 de abril del 2021, una variación total del –2,07% y de forma específica de un -2,94% en Remuneraciones y de un 3,4% en Gasto Variable.  </w:t>
      </w:r>
    </w:p>
    <w:p w14:paraId="1E0F5365" w14:textId="77777777" w:rsidR="00DC5009" w:rsidRPr="002A7673" w:rsidRDefault="00DC5009" w:rsidP="00DC5009">
      <w:pPr>
        <w:spacing w:after="0" w:line="240" w:lineRule="auto"/>
        <w:ind w:left="851" w:right="851" w:firstLine="709"/>
        <w:jc w:val="both"/>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Las cifras anteriores, reflejan el esfuerzo institucional del Programa para cumplir con el acuerdo de Corte Plena de ajustar la solicitud presupuestaria del 2022 en un -4%, siendo que al consolidarse con la previsión presupuestaria de Remuneraciones se logra un comportamiento muy controlado del gasto institucional, dentro de los límites establecidos por el Ministerio de Hacienda. </w:t>
      </w:r>
    </w:p>
    <w:p w14:paraId="02AC898E" w14:textId="0949DA92" w:rsidR="0085505C" w:rsidRPr="002A7673" w:rsidRDefault="00DC5009" w:rsidP="00DC5009">
      <w:pPr>
        <w:spacing w:after="0" w:line="240" w:lineRule="auto"/>
        <w:ind w:left="851" w:right="851" w:firstLine="709"/>
        <w:jc w:val="both"/>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De no haberse adoptado esta medida, posiblemente al consolidarse la petición de necesidades de gasto variable con las de remuneraciones, el monto total habría sido muy superior al tope presupuestario establecido para el Poder Judicial, tanto en gasto corriente como en gasto de capital.  </w:t>
      </w:r>
    </w:p>
    <w:p w14:paraId="3025C023" w14:textId="77777777" w:rsidR="0085505C" w:rsidRPr="002A7673" w:rsidRDefault="0085505C" w:rsidP="00FF3FAC">
      <w:pPr>
        <w:numPr>
          <w:ilvl w:val="0"/>
          <w:numId w:val="60"/>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Comportamiento específico del Gasto Variable</w:t>
      </w:r>
    </w:p>
    <w:p w14:paraId="3348D75C"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p>
    <w:p w14:paraId="0C7AAA55" w14:textId="77777777" w:rsidR="0085505C" w:rsidRPr="002A7673" w:rsidRDefault="0085505C" w:rsidP="0085505C">
      <w:pPr>
        <w:spacing w:after="0" w:line="240" w:lineRule="auto"/>
        <w:ind w:left="851" w:right="851" w:firstLine="709"/>
        <w:jc w:val="both"/>
        <w:rPr>
          <w:rFonts w:ascii="Times New Roman" w:hAnsi="Times New Roman" w:cs="Times New Roman"/>
          <w:kern w:val="32"/>
          <w:sz w:val="26"/>
          <w:szCs w:val="26"/>
          <w:lang w:eastAsia="es-ES"/>
        </w:rPr>
      </w:pPr>
      <w:r w:rsidRPr="002A7673">
        <w:rPr>
          <w:rFonts w:ascii="Times New Roman" w:hAnsi="Times New Roman" w:cs="Times New Roman"/>
          <w:kern w:val="32"/>
          <w:sz w:val="26"/>
          <w:szCs w:val="26"/>
          <w:lang w:eastAsia="es-ES"/>
        </w:rPr>
        <w:t xml:space="preserve">Al igual que en años anteriores, a </w:t>
      </w:r>
      <w:proofErr w:type="gramStart"/>
      <w:r w:rsidRPr="002A7673">
        <w:rPr>
          <w:rFonts w:ascii="Times New Roman" w:hAnsi="Times New Roman" w:cs="Times New Roman"/>
          <w:kern w:val="32"/>
          <w:sz w:val="26"/>
          <w:szCs w:val="26"/>
          <w:lang w:eastAsia="es-ES"/>
        </w:rPr>
        <w:t>continuación</w:t>
      </w:r>
      <w:proofErr w:type="gramEnd"/>
      <w:r w:rsidRPr="002A7673">
        <w:rPr>
          <w:rFonts w:ascii="Times New Roman" w:hAnsi="Times New Roman" w:cs="Times New Roman"/>
          <w:kern w:val="32"/>
          <w:sz w:val="26"/>
          <w:szCs w:val="26"/>
          <w:lang w:eastAsia="es-ES"/>
        </w:rPr>
        <w:t xml:space="preserve"> se presenta el comportamiento específico del presupuesto solicitado para necesidades de gasto variable:</w:t>
      </w:r>
    </w:p>
    <w:p w14:paraId="58E54469" w14:textId="77777777" w:rsidR="0085505C" w:rsidRPr="002A7673" w:rsidRDefault="0085505C" w:rsidP="0085505C">
      <w:pPr>
        <w:spacing w:after="0" w:line="360" w:lineRule="auto"/>
        <w:ind w:left="720"/>
        <w:rPr>
          <w:rFonts w:ascii="Times New Roman" w:hAnsi="Times New Roman" w:cs="Times New Roman"/>
          <w:b/>
          <w:sz w:val="28"/>
          <w:szCs w:val="28"/>
        </w:rPr>
      </w:pPr>
    </w:p>
    <w:tbl>
      <w:tblPr>
        <w:tblW w:w="5000" w:type="pct"/>
        <w:jc w:val="center"/>
        <w:tblCellMar>
          <w:left w:w="70" w:type="dxa"/>
          <w:right w:w="70" w:type="dxa"/>
        </w:tblCellMar>
        <w:tblLook w:val="04A0" w:firstRow="1" w:lastRow="0" w:firstColumn="1" w:lastColumn="0" w:noHBand="0" w:noVBand="1"/>
      </w:tblPr>
      <w:tblGrid>
        <w:gridCol w:w="2557"/>
        <w:gridCol w:w="2441"/>
        <w:gridCol w:w="2441"/>
        <w:gridCol w:w="2209"/>
      </w:tblGrid>
      <w:tr w:rsidR="0085505C" w:rsidRPr="002A7673" w14:paraId="543242FC" w14:textId="77777777" w:rsidTr="0048334E">
        <w:trPr>
          <w:trHeight w:val="1032"/>
          <w:jc w:val="center"/>
        </w:trPr>
        <w:tc>
          <w:tcPr>
            <w:tcW w:w="132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E7E5F8F"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sz w:val="24"/>
                <w:szCs w:val="24"/>
                <w:lang w:eastAsia="es-CR"/>
              </w:rPr>
              <w:t>Presupuesto Aprobado 2021</w:t>
            </w:r>
          </w:p>
        </w:tc>
        <w:tc>
          <w:tcPr>
            <w:tcW w:w="1265" w:type="pct"/>
            <w:tcBorders>
              <w:top w:val="single" w:sz="8" w:space="0" w:color="auto"/>
              <w:left w:val="nil"/>
              <w:bottom w:val="single" w:sz="8" w:space="0" w:color="auto"/>
              <w:right w:val="single" w:sz="8" w:space="0" w:color="auto"/>
            </w:tcBorders>
            <w:shd w:val="clear" w:color="auto" w:fill="auto"/>
            <w:vAlign w:val="center"/>
            <w:hideMark/>
          </w:tcPr>
          <w:p w14:paraId="0124F4FA"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sz w:val="24"/>
                <w:szCs w:val="24"/>
                <w:lang w:eastAsia="es-CR"/>
              </w:rPr>
              <w:t>Presupuesto Formulado 2022</w:t>
            </w:r>
          </w:p>
        </w:tc>
        <w:tc>
          <w:tcPr>
            <w:tcW w:w="1265" w:type="pct"/>
            <w:tcBorders>
              <w:top w:val="single" w:sz="8" w:space="0" w:color="auto"/>
              <w:left w:val="nil"/>
              <w:bottom w:val="single" w:sz="8" w:space="0" w:color="auto"/>
              <w:right w:val="single" w:sz="8" w:space="0" w:color="auto"/>
            </w:tcBorders>
            <w:shd w:val="clear" w:color="auto" w:fill="auto"/>
            <w:vAlign w:val="center"/>
            <w:hideMark/>
          </w:tcPr>
          <w:p w14:paraId="01D6D066"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sz w:val="24"/>
                <w:szCs w:val="24"/>
                <w:lang w:eastAsia="es-CR"/>
              </w:rPr>
              <w:t>Diferencia Absoluta</w:t>
            </w:r>
          </w:p>
        </w:tc>
        <w:tc>
          <w:tcPr>
            <w:tcW w:w="1145" w:type="pct"/>
            <w:tcBorders>
              <w:top w:val="single" w:sz="8" w:space="0" w:color="auto"/>
              <w:left w:val="nil"/>
              <w:bottom w:val="single" w:sz="8" w:space="0" w:color="auto"/>
              <w:right w:val="single" w:sz="8" w:space="0" w:color="auto"/>
            </w:tcBorders>
            <w:shd w:val="clear" w:color="auto" w:fill="auto"/>
            <w:vAlign w:val="center"/>
            <w:hideMark/>
          </w:tcPr>
          <w:p w14:paraId="290587AA"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sz w:val="24"/>
                <w:szCs w:val="24"/>
                <w:lang w:eastAsia="es-CR"/>
              </w:rPr>
              <w:t>Porcentaje de Variación</w:t>
            </w:r>
          </w:p>
        </w:tc>
      </w:tr>
      <w:tr w:rsidR="0085505C" w:rsidRPr="002A7673" w14:paraId="0A075752" w14:textId="77777777" w:rsidTr="0048334E">
        <w:trPr>
          <w:trHeight w:val="360"/>
          <w:jc w:val="center"/>
        </w:trPr>
        <w:tc>
          <w:tcPr>
            <w:tcW w:w="1325" w:type="pct"/>
            <w:tcBorders>
              <w:top w:val="nil"/>
              <w:left w:val="single" w:sz="8" w:space="0" w:color="auto"/>
              <w:bottom w:val="single" w:sz="8" w:space="0" w:color="auto"/>
              <w:right w:val="single" w:sz="8" w:space="0" w:color="auto"/>
            </w:tcBorders>
            <w:shd w:val="clear" w:color="auto" w:fill="auto"/>
            <w:vAlign w:val="center"/>
            <w:hideMark/>
          </w:tcPr>
          <w:p w14:paraId="27408DE9"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1,258,680,201 </w:t>
            </w:r>
          </w:p>
        </w:tc>
        <w:tc>
          <w:tcPr>
            <w:tcW w:w="1265" w:type="pct"/>
            <w:tcBorders>
              <w:top w:val="nil"/>
              <w:left w:val="nil"/>
              <w:bottom w:val="single" w:sz="8" w:space="0" w:color="auto"/>
              <w:right w:val="single" w:sz="8" w:space="0" w:color="auto"/>
            </w:tcBorders>
            <w:shd w:val="clear" w:color="auto" w:fill="auto"/>
            <w:vAlign w:val="center"/>
            <w:hideMark/>
          </w:tcPr>
          <w:p w14:paraId="7290E308"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1,301,407,542 </w:t>
            </w:r>
          </w:p>
        </w:tc>
        <w:tc>
          <w:tcPr>
            <w:tcW w:w="1265" w:type="pct"/>
            <w:tcBorders>
              <w:top w:val="nil"/>
              <w:left w:val="nil"/>
              <w:bottom w:val="single" w:sz="8" w:space="0" w:color="auto"/>
              <w:right w:val="single" w:sz="8" w:space="0" w:color="auto"/>
            </w:tcBorders>
            <w:shd w:val="clear" w:color="auto" w:fill="auto"/>
            <w:vAlign w:val="center"/>
            <w:hideMark/>
          </w:tcPr>
          <w:p w14:paraId="3B629D5F"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42,727,341</w:t>
            </w:r>
          </w:p>
        </w:tc>
        <w:tc>
          <w:tcPr>
            <w:tcW w:w="1145" w:type="pct"/>
            <w:tcBorders>
              <w:top w:val="nil"/>
              <w:left w:val="nil"/>
              <w:bottom w:val="single" w:sz="8" w:space="0" w:color="auto"/>
              <w:right w:val="single" w:sz="8" w:space="0" w:color="auto"/>
            </w:tcBorders>
            <w:shd w:val="clear" w:color="auto" w:fill="auto"/>
            <w:vAlign w:val="center"/>
            <w:hideMark/>
          </w:tcPr>
          <w:p w14:paraId="513C1BE7"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3,4%</w:t>
            </w:r>
          </w:p>
        </w:tc>
      </w:tr>
    </w:tbl>
    <w:p w14:paraId="56AD9591" w14:textId="77777777" w:rsidR="0085505C" w:rsidRPr="002A7673" w:rsidRDefault="0085505C" w:rsidP="0085505C">
      <w:pPr>
        <w:spacing w:after="0" w:line="360" w:lineRule="auto"/>
        <w:rPr>
          <w:rFonts w:ascii="Times New Roman" w:hAnsi="Times New Roman" w:cs="Times New Roman"/>
          <w:sz w:val="28"/>
          <w:szCs w:val="28"/>
        </w:rPr>
      </w:pPr>
    </w:p>
    <w:p w14:paraId="5C4FBF07" w14:textId="77777777" w:rsidR="0085505C" w:rsidRPr="002A7673" w:rsidRDefault="0085505C" w:rsidP="00FF3FAC">
      <w:pPr>
        <w:numPr>
          <w:ilvl w:val="1"/>
          <w:numId w:val="70"/>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sz w:val="26"/>
          <w:szCs w:val="26"/>
          <w:lang w:val="es-ES" w:eastAsia="es-ES"/>
        </w:rPr>
        <w:t>Aspectos Relevantes</w:t>
      </w:r>
    </w:p>
    <w:p w14:paraId="7A606A3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 xml:space="preserve"> </w:t>
      </w:r>
    </w:p>
    <w:p w14:paraId="5FD70DA1" w14:textId="77777777" w:rsidR="0085505C" w:rsidRPr="002A7673" w:rsidRDefault="0085505C" w:rsidP="00FF3FAC">
      <w:pPr>
        <w:numPr>
          <w:ilvl w:val="1"/>
          <w:numId w:val="78"/>
        </w:numPr>
        <w:spacing w:after="0" w:line="240" w:lineRule="auto"/>
        <w:ind w:left="851" w:right="851" w:firstLine="709"/>
        <w:jc w:val="both"/>
        <w:rPr>
          <w:rFonts w:ascii="Times New Roman" w:eastAsia="Times New Roman" w:hAnsi="Times New Roman" w:cs="Times New Roman"/>
          <w:b/>
          <w:i/>
          <w:sz w:val="26"/>
          <w:szCs w:val="26"/>
          <w:lang w:val="es-ES" w:eastAsia="es-ES"/>
        </w:rPr>
      </w:pPr>
      <w:r w:rsidRPr="002A7673">
        <w:rPr>
          <w:rFonts w:ascii="Times New Roman" w:eastAsia="Times New Roman" w:hAnsi="Times New Roman" w:cs="Times New Roman"/>
          <w:b/>
          <w:i/>
          <w:sz w:val="26"/>
          <w:szCs w:val="26"/>
          <w:lang w:val="es-ES" w:eastAsia="es-ES"/>
        </w:rPr>
        <w:t>Variación 2021-2022</w:t>
      </w:r>
    </w:p>
    <w:p w14:paraId="5832B0E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2BBA735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El presupuesto solicitado presenta un incremento del 3,4% respecto al aprobado para el 2021.</w:t>
      </w:r>
    </w:p>
    <w:tbl>
      <w:tblPr>
        <w:tblW w:w="5000" w:type="pct"/>
        <w:tblCellMar>
          <w:left w:w="70" w:type="dxa"/>
          <w:right w:w="70" w:type="dxa"/>
        </w:tblCellMar>
        <w:tblLook w:val="04A0" w:firstRow="1" w:lastRow="0" w:firstColumn="1" w:lastColumn="0" w:noHBand="0" w:noVBand="1"/>
      </w:tblPr>
      <w:tblGrid>
        <w:gridCol w:w="4413"/>
        <w:gridCol w:w="1688"/>
        <w:gridCol w:w="1773"/>
        <w:gridCol w:w="1774"/>
      </w:tblGrid>
      <w:tr w:rsidR="0085505C" w:rsidRPr="002A7673" w14:paraId="7FF655C0" w14:textId="77777777" w:rsidTr="0048334E">
        <w:trPr>
          <w:trHeight w:val="4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AE72154"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PRESUPUESTO 2021 – 2022</w:t>
            </w:r>
          </w:p>
        </w:tc>
      </w:tr>
      <w:tr w:rsidR="0085505C" w:rsidRPr="002A7673" w14:paraId="292002ED" w14:textId="77777777" w:rsidTr="0048334E">
        <w:trPr>
          <w:trHeight w:val="636"/>
        </w:trPr>
        <w:tc>
          <w:tcPr>
            <w:tcW w:w="2260" w:type="pct"/>
            <w:tcBorders>
              <w:top w:val="nil"/>
              <w:left w:val="single" w:sz="8" w:space="0" w:color="auto"/>
              <w:bottom w:val="single" w:sz="8" w:space="0" w:color="auto"/>
              <w:right w:val="single" w:sz="8" w:space="0" w:color="auto"/>
            </w:tcBorders>
            <w:shd w:val="clear" w:color="auto" w:fill="auto"/>
            <w:noWrap/>
            <w:vAlign w:val="center"/>
            <w:hideMark/>
          </w:tcPr>
          <w:p w14:paraId="28449678"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884" w:type="pct"/>
            <w:tcBorders>
              <w:top w:val="nil"/>
              <w:left w:val="nil"/>
              <w:bottom w:val="single" w:sz="8" w:space="0" w:color="auto"/>
              <w:right w:val="single" w:sz="8" w:space="0" w:color="auto"/>
            </w:tcBorders>
            <w:shd w:val="clear" w:color="auto" w:fill="auto"/>
            <w:vAlign w:val="center"/>
            <w:hideMark/>
          </w:tcPr>
          <w:p w14:paraId="6A4D4CD6"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Presupuesto 2021</w:t>
            </w:r>
          </w:p>
        </w:tc>
        <w:tc>
          <w:tcPr>
            <w:tcW w:w="928" w:type="pct"/>
            <w:tcBorders>
              <w:top w:val="nil"/>
              <w:left w:val="nil"/>
              <w:bottom w:val="single" w:sz="8" w:space="0" w:color="auto"/>
              <w:right w:val="single" w:sz="8" w:space="0" w:color="auto"/>
            </w:tcBorders>
            <w:shd w:val="clear" w:color="auto" w:fill="auto"/>
            <w:vAlign w:val="center"/>
            <w:hideMark/>
          </w:tcPr>
          <w:p w14:paraId="3289A661"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Presupuesto 2022</w:t>
            </w:r>
          </w:p>
        </w:tc>
        <w:tc>
          <w:tcPr>
            <w:tcW w:w="928" w:type="pct"/>
            <w:tcBorders>
              <w:top w:val="nil"/>
              <w:left w:val="nil"/>
              <w:bottom w:val="single" w:sz="8" w:space="0" w:color="auto"/>
              <w:right w:val="single" w:sz="8" w:space="0" w:color="auto"/>
            </w:tcBorders>
            <w:shd w:val="clear" w:color="auto" w:fill="auto"/>
            <w:vAlign w:val="center"/>
            <w:hideMark/>
          </w:tcPr>
          <w:p w14:paraId="65C09BA5"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proofErr w:type="gramStart"/>
            <w:r w:rsidRPr="002A7673">
              <w:rPr>
                <w:rFonts w:ascii="Times New Roman" w:hAnsi="Times New Roman" w:cs="Times New Roman"/>
                <w:b/>
                <w:bCs/>
                <w:color w:val="000000"/>
                <w:sz w:val="24"/>
                <w:szCs w:val="24"/>
                <w:lang w:eastAsia="es-CR"/>
              </w:rPr>
              <w:t>Diferencia  Absoluta</w:t>
            </w:r>
            <w:proofErr w:type="gramEnd"/>
          </w:p>
        </w:tc>
      </w:tr>
      <w:tr w:rsidR="0085505C" w:rsidRPr="002A7673" w14:paraId="19B9E707" w14:textId="77777777" w:rsidTr="0048334E">
        <w:trPr>
          <w:trHeight w:val="492"/>
        </w:trPr>
        <w:tc>
          <w:tcPr>
            <w:tcW w:w="2260" w:type="pct"/>
            <w:tcBorders>
              <w:top w:val="nil"/>
              <w:left w:val="single" w:sz="8" w:space="0" w:color="auto"/>
              <w:bottom w:val="single" w:sz="8" w:space="0" w:color="auto"/>
              <w:right w:val="single" w:sz="8" w:space="0" w:color="auto"/>
            </w:tcBorders>
            <w:shd w:val="clear" w:color="auto" w:fill="auto"/>
            <w:noWrap/>
            <w:vAlign w:val="center"/>
            <w:hideMark/>
          </w:tcPr>
          <w:p w14:paraId="4C1D0CD9"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Presupuesto Gasto Variable</w:t>
            </w:r>
          </w:p>
        </w:tc>
        <w:tc>
          <w:tcPr>
            <w:tcW w:w="884" w:type="pct"/>
            <w:tcBorders>
              <w:top w:val="nil"/>
              <w:left w:val="nil"/>
              <w:bottom w:val="single" w:sz="8" w:space="0" w:color="auto"/>
              <w:right w:val="single" w:sz="8" w:space="0" w:color="auto"/>
            </w:tcBorders>
            <w:shd w:val="clear" w:color="auto" w:fill="auto"/>
            <w:vAlign w:val="center"/>
            <w:hideMark/>
          </w:tcPr>
          <w:p w14:paraId="1182B701" w14:textId="77777777" w:rsidR="0085505C" w:rsidRPr="002A7673" w:rsidRDefault="0085505C" w:rsidP="0048334E">
            <w:pPr>
              <w:spacing w:after="0" w:line="24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xml:space="preserve">1,049,861,999 </w:t>
            </w:r>
          </w:p>
        </w:tc>
        <w:tc>
          <w:tcPr>
            <w:tcW w:w="928" w:type="pct"/>
            <w:tcBorders>
              <w:top w:val="nil"/>
              <w:left w:val="nil"/>
              <w:bottom w:val="single" w:sz="8" w:space="0" w:color="auto"/>
              <w:right w:val="single" w:sz="8" w:space="0" w:color="auto"/>
            </w:tcBorders>
            <w:shd w:val="clear" w:color="auto" w:fill="auto"/>
            <w:vAlign w:val="center"/>
            <w:hideMark/>
          </w:tcPr>
          <w:p w14:paraId="5EB3507E" w14:textId="77777777" w:rsidR="0085505C" w:rsidRPr="002A7673" w:rsidRDefault="0085505C" w:rsidP="0048334E">
            <w:pPr>
              <w:spacing w:after="0" w:line="24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xml:space="preserve"> 1,015,797,631 </w:t>
            </w:r>
          </w:p>
        </w:tc>
        <w:tc>
          <w:tcPr>
            <w:tcW w:w="928" w:type="pct"/>
            <w:tcBorders>
              <w:top w:val="nil"/>
              <w:left w:val="nil"/>
              <w:bottom w:val="single" w:sz="8" w:space="0" w:color="auto"/>
              <w:right w:val="single" w:sz="8" w:space="0" w:color="auto"/>
            </w:tcBorders>
            <w:shd w:val="clear" w:color="auto" w:fill="auto"/>
            <w:vAlign w:val="center"/>
            <w:hideMark/>
          </w:tcPr>
          <w:p w14:paraId="2023D548" w14:textId="77777777" w:rsidR="0085505C" w:rsidRPr="002A7673" w:rsidRDefault="0085505C" w:rsidP="0048334E">
            <w:pPr>
              <w:spacing w:after="0" w:line="24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- 34,064,368</w:t>
            </w:r>
          </w:p>
        </w:tc>
      </w:tr>
      <w:tr w:rsidR="0085505C" w:rsidRPr="002A7673" w14:paraId="4EC74E81" w14:textId="77777777" w:rsidTr="0048334E">
        <w:trPr>
          <w:trHeight w:val="384"/>
        </w:trPr>
        <w:tc>
          <w:tcPr>
            <w:tcW w:w="2260" w:type="pct"/>
            <w:tcBorders>
              <w:top w:val="nil"/>
              <w:left w:val="single" w:sz="8" w:space="0" w:color="auto"/>
              <w:bottom w:val="single" w:sz="8" w:space="0" w:color="auto"/>
              <w:right w:val="single" w:sz="8" w:space="0" w:color="auto"/>
            </w:tcBorders>
            <w:shd w:val="clear" w:color="auto" w:fill="auto"/>
            <w:noWrap/>
            <w:vAlign w:val="center"/>
            <w:hideMark/>
          </w:tcPr>
          <w:p w14:paraId="0BE0B00B" w14:textId="77777777" w:rsidR="0085505C" w:rsidRPr="002A7673" w:rsidRDefault="0085505C" w:rsidP="0048334E">
            <w:pPr>
              <w:spacing w:after="0" w:line="240" w:lineRule="auto"/>
              <w:rPr>
                <w:rFonts w:ascii="Times New Roman" w:hAnsi="Times New Roman" w:cs="Times New Roman"/>
                <w:b/>
                <w:bCs/>
                <w:i/>
                <w:iCs/>
                <w:color w:val="000000"/>
                <w:sz w:val="24"/>
                <w:szCs w:val="24"/>
                <w:u w:val="single"/>
                <w:lang w:eastAsia="es-CR"/>
              </w:rPr>
            </w:pPr>
            <w:r w:rsidRPr="002A7673">
              <w:rPr>
                <w:rFonts w:ascii="Times New Roman" w:hAnsi="Times New Roman" w:cs="Times New Roman"/>
                <w:b/>
                <w:bCs/>
                <w:i/>
                <w:iCs/>
                <w:color w:val="000000"/>
                <w:sz w:val="24"/>
                <w:szCs w:val="24"/>
                <w:u w:val="single"/>
                <w:lang w:eastAsia="es-CR"/>
              </w:rPr>
              <w:t>Más</w:t>
            </w:r>
          </w:p>
        </w:tc>
        <w:tc>
          <w:tcPr>
            <w:tcW w:w="884" w:type="pct"/>
            <w:tcBorders>
              <w:top w:val="nil"/>
              <w:left w:val="nil"/>
              <w:bottom w:val="single" w:sz="8" w:space="0" w:color="auto"/>
              <w:right w:val="single" w:sz="8" w:space="0" w:color="auto"/>
            </w:tcBorders>
            <w:shd w:val="clear" w:color="auto" w:fill="auto"/>
            <w:vAlign w:val="center"/>
            <w:hideMark/>
          </w:tcPr>
          <w:p w14:paraId="45CE47D3"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928" w:type="pct"/>
            <w:tcBorders>
              <w:top w:val="nil"/>
              <w:left w:val="nil"/>
              <w:bottom w:val="single" w:sz="8" w:space="0" w:color="auto"/>
              <w:right w:val="single" w:sz="8" w:space="0" w:color="auto"/>
            </w:tcBorders>
            <w:shd w:val="clear" w:color="auto" w:fill="auto"/>
            <w:vAlign w:val="center"/>
            <w:hideMark/>
          </w:tcPr>
          <w:p w14:paraId="15A63B7A"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928" w:type="pct"/>
            <w:tcBorders>
              <w:top w:val="nil"/>
              <w:left w:val="nil"/>
              <w:bottom w:val="single" w:sz="8" w:space="0" w:color="auto"/>
              <w:right w:val="single" w:sz="8" w:space="0" w:color="auto"/>
            </w:tcBorders>
            <w:shd w:val="clear" w:color="auto" w:fill="auto"/>
            <w:vAlign w:val="center"/>
            <w:hideMark/>
          </w:tcPr>
          <w:p w14:paraId="25447849"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w:t>
            </w:r>
          </w:p>
        </w:tc>
      </w:tr>
      <w:tr w:rsidR="0085505C" w:rsidRPr="002A7673" w14:paraId="7CDD31D6" w14:textId="77777777" w:rsidTr="0048334E">
        <w:trPr>
          <w:trHeight w:val="432"/>
        </w:trPr>
        <w:tc>
          <w:tcPr>
            <w:tcW w:w="2260" w:type="pct"/>
            <w:tcBorders>
              <w:top w:val="nil"/>
              <w:left w:val="single" w:sz="8" w:space="0" w:color="auto"/>
              <w:bottom w:val="single" w:sz="8" w:space="0" w:color="auto"/>
              <w:right w:val="single" w:sz="8" w:space="0" w:color="auto"/>
            </w:tcBorders>
            <w:shd w:val="clear" w:color="auto" w:fill="auto"/>
            <w:noWrap/>
            <w:vAlign w:val="center"/>
            <w:hideMark/>
          </w:tcPr>
          <w:p w14:paraId="4F1B775D"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Área de Informática </w:t>
            </w:r>
          </w:p>
        </w:tc>
        <w:tc>
          <w:tcPr>
            <w:tcW w:w="884" w:type="pct"/>
            <w:tcBorders>
              <w:top w:val="nil"/>
              <w:left w:val="nil"/>
              <w:bottom w:val="single" w:sz="8" w:space="0" w:color="auto"/>
              <w:right w:val="single" w:sz="8" w:space="0" w:color="auto"/>
            </w:tcBorders>
            <w:shd w:val="clear" w:color="auto" w:fill="auto"/>
            <w:noWrap/>
            <w:vAlign w:val="center"/>
            <w:hideMark/>
          </w:tcPr>
          <w:p w14:paraId="6BBF1615"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24,687,020 </w:t>
            </w:r>
          </w:p>
        </w:tc>
        <w:tc>
          <w:tcPr>
            <w:tcW w:w="928" w:type="pct"/>
            <w:tcBorders>
              <w:top w:val="nil"/>
              <w:left w:val="nil"/>
              <w:bottom w:val="single" w:sz="8" w:space="0" w:color="auto"/>
              <w:right w:val="single" w:sz="8" w:space="0" w:color="auto"/>
            </w:tcBorders>
            <w:shd w:val="clear" w:color="auto" w:fill="auto"/>
            <w:noWrap/>
            <w:vAlign w:val="center"/>
            <w:hideMark/>
          </w:tcPr>
          <w:p w14:paraId="1CBF01AB"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21,566,105 </w:t>
            </w:r>
          </w:p>
        </w:tc>
        <w:tc>
          <w:tcPr>
            <w:tcW w:w="928" w:type="pct"/>
            <w:tcBorders>
              <w:top w:val="nil"/>
              <w:left w:val="nil"/>
              <w:bottom w:val="single" w:sz="8" w:space="0" w:color="auto"/>
              <w:right w:val="single" w:sz="8" w:space="0" w:color="auto"/>
            </w:tcBorders>
            <w:shd w:val="clear" w:color="auto" w:fill="auto"/>
            <w:vAlign w:val="center"/>
            <w:hideMark/>
          </w:tcPr>
          <w:p w14:paraId="66AFAF19" w14:textId="77777777" w:rsidR="0085505C" w:rsidRPr="002A7673" w:rsidRDefault="0085505C" w:rsidP="0048334E">
            <w:pPr>
              <w:spacing w:after="0" w:line="24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xml:space="preserve"> - 3,120,915</w:t>
            </w:r>
          </w:p>
        </w:tc>
      </w:tr>
      <w:tr w:rsidR="0085505C" w:rsidRPr="002A7673" w14:paraId="03A1E44E" w14:textId="77777777" w:rsidTr="0048334E">
        <w:trPr>
          <w:trHeight w:val="432"/>
        </w:trPr>
        <w:tc>
          <w:tcPr>
            <w:tcW w:w="2260" w:type="pct"/>
            <w:tcBorders>
              <w:top w:val="nil"/>
              <w:left w:val="single" w:sz="8" w:space="0" w:color="auto"/>
              <w:bottom w:val="single" w:sz="8" w:space="0" w:color="auto"/>
              <w:right w:val="single" w:sz="8" w:space="0" w:color="auto"/>
            </w:tcBorders>
            <w:shd w:val="clear" w:color="auto" w:fill="auto"/>
            <w:vAlign w:val="center"/>
            <w:hideMark/>
          </w:tcPr>
          <w:p w14:paraId="4CCDE430"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Vehículos </w:t>
            </w:r>
          </w:p>
        </w:tc>
        <w:tc>
          <w:tcPr>
            <w:tcW w:w="884" w:type="pct"/>
            <w:tcBorders>
              <w:top w:val="nil"/>
              <w:left w:val="nil"/>
              <w:bottom w:val="single" w:sz="8" w:space="0" w:color="auto"/>
              <w:right w:val="single" w:sz="8" w:space="0" w:color="auto"/>
            </w:tcBorders>
            <w:shd w:val="clear" w:color="auto" w:fill="auto"/>
            <w:noWrap/>
            <w:vAlign w:val="center"/>
            <w:hideMark/>
          </w:tcPr>
          <w:p w14:paraId="11B7F29C"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156,013,900 </w:t>
            </w:r>
          </w:p>
        </w:tc>
        <w:tc>
          <w:tcPr>
            <w:tcW w:w="928" w:type="pct"/>
            <w:tcBorders>
              <w:top w:val="nil"/>
              <w:left w:val="nil"/>
              <w:bottom w:val="single" w:sz="8" w:space="0" w:color="auto"/>
              <w:right w:val="single" w:sz="8" w:space="0" w:color="auto"/>
            </w:tcBorders>
            <w:shd w:val="clear" w:color="auto" w:fill="auto"/>
            <w:noWrap/>
            <w:vAlign w:val="center"/>
            <w:hideMark/>
          </w:tcPr>
          <w:p w14:paraId="58E31719"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249,043,806 </w:t>
            </w:r>
          </w:p>
        </w:tc>
        <w:tc>
          <w:tcPr>
            <w:tcW w:w="928" w:type="pct"/>
            <w:tcBorders>
              <w:top w:val="nil"/>
              <w:left w:val="nil"/>
              <w:bottom w:val="single" w:sz="8" w:space="0" w:color="auto"/>
              <w:right w:val="single" w:sz="8" w:space="0" w:color="auto"/>
            </w:tcBorders>
            <w:shd w:val="clear" w:color="auto" w:fill="auto"/>
            <w:vAlign w:val="center"/>
            <w:hideMark/>
          </w:tcPr>
          <w:p w14:paraId="1AF9FE6A"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xml:space="preserve">      93,029,906 </w:t>
            </w:r>
          </w:p>
        </w:tc>
      </w:tr>
      <w:tr w:rsidR="0085505C" w:rsidRPr="002A7673" w14:paraId="7D60B010" w14:textId="77777777" w:rsidTr="0048334E">
        <w:trPr>
          <w:trHeight w:val="432"/>
        </w:trPr>
        <w:tc>
          <w:tcPr>
            <w:tcW w:w="2260" w:type="pct"/>
            <w:tcBorders>
              <w:top w:val="nil"/>
              <w:left w:val="single" w:sz="8" w:space="0" w:color="auto"/>
              <w:bottom w:val="single" w:sz="8" w:space="0" w:color="auto"/>
              <w:right w:val="single" w:sz="8" w:space="0" w:color="auto"/>
            </w:tcBorders>
            <w:shd w:val="clear" w:color="auto" w:fill="auto"/>
            <w:noWrap/>
            <w:vAlign w:val="center"/>
            <w:hideMark/>
          </w:tcPr>
          <w:p w14:paraId="74C035DC"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Becas </w:t>
            </w:r>
          </w:p>
        </w:tc>
        <w:tc>
          <w:tcPr>
            <w:tcW w:w="884" w:type="pct"/>
            <w:tcBorders>
              <w:top w:val="nil"/>
              <w:left w:val="nil"/>
              <w:bottom w:val="single" w:sz="8" w:space="0" w:color="auto"/>
              <w:right w:val="single" w:sz="8" w:space="0" w:color="auto"/>
            </w:tcBorders>
            <w:shd w:val="clear" w:color="auto" w:fill="auto"/>
            <w:noWrap/>
            <w:vAlign w:val="center"/>
            <w:hideMark/>
          </w:tcPr>
          <w:p w14:paraId="0CDF3B9A"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1,640,000 </w:t>
            </w:r>
          </w:p>
        </w:tc>
        <w:tc>
          <w:tcPr>
            <w:tcW w:w="928" w:type="pct"/>
            <w:tcBorders>
              <w:top w:val="nil"/>
              <w:left w:val="nil"/>
              <w:bottom w:val="single" w:sz="8" w:space="0" w:color="auto"/>
              <w:right w:val="single" w:sz="8" w:space="0" w:color="auto"/>
            </w:tcBorders>
            <w:shd w:val="clear" w:color="auto" w:fill="auto"/>
            <w:noWrap/>
            <w:vAlign w:val="center"/>
            <w:hideMark/>
          </w:tcPr>
          <w:p w14:paraId="6AFE2E07"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531,959.00 </w:t>
            </w:r>
          </w:p>
        </w:tc>
        <w:tc>
          <w:tcPr>
            <w:tcW w:w="928" w:type="pct"/>
            <w:tcBorders>
              <w:top w:val="nil"/>
              <w:left w:val="nil"/>
              <w:bottom w:val="single" w:sz="8" w:space="0" w:color="auto"/>
              <w:right w:val="single" w:sz="8" w:space="0" w:color="auto"/>
            </w:tcBorders>
            <w:shd w:val="clear" w:color="auto" w:fill="auto"/>
            <w:vAlign w:val="center"/>
            <w:hideMark/>
          </w:tcPr>
          <w:p w14:paraId="3438AD64" w14:textId="77777777" w:rsidR="0085505C" w:rsidRPr="002A7673" w:rsidRDefault="0085505C" w:rsidP="0048334E">
            <w:pPr>
              <w:spacing w:after="0" w:line="24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- 1,108,041</w:t>
            </w:r>
          </w:p>
        </w:tc>
      </w:tr>
      <w:tr w:rsidR="0085505C" w:rsidRPr="002A7673" w14:paraId="57D7434F" w14:textId="77777777" w:rsidTr="0048334E">
        <w:trPr>
          <w:trHeight w:val="432"/>
        </w:trPr>
        <w:tc>
          <w:tcPr>
            <w:tcW w:w="2260" w:type="pct"/>
            <w:tcBorders>
              <w:top w:val="nil"/>
              <w:left w:val="single" w:sz="8" w:space="0" w:color="auto"/>
              <w:bottom w:val="single" w:sz="8" w:space="0" w:color="auto"/>
              <w:right w:val="single" w:sz="8" w:space="0" w:color="auto"/>
            </w:tcBorders>
            <w:shd w:val="clear" w:color="auto" w:fill="auto"/>
            <w:noWrap/>
            <w:vAlign w:val="center"/>
            <w:hideMark/>
          </w:tcPr>
          <w:p w14:paraId="014F54BF"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Prestaciones Legales</w:t>
            </w:r>
          </w:p>
        </w:tc>
        <w:tc>
          <w:tcPr>
            <w:tcW w:w="884" w:type="pct"/>
            <w:tcBorders>
              <w:top w:val="nil"/>
              <w:left w:val="nil"/>
              <w:bottom w:val="single" w:sz="8" w:space="0" w:color="auto"/>
              <w:right w:val="single" w:sz="8" w:space="0" w:color="auto"/>
            </w:tcBorders>
            <w:shd w:val="clear" w:color="auto" w:fill="auto"/>
            <w:noWrap/>
            <w:vAlign w:val="center"/>
            <w:hideMark/>
          </w:tcPr>
          <w:p w14:paraId="5B72CB79"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22,416,356 </w:t>
            </w:r>
          </w:p>
        </w:tc>
        <w:tc>
          <w:tcPr>
            <w:tcW w:w="928" w:type="pct"/>
            <w:tcBorders>
              <w:top w:val="nil"/>
              <w:left w:val="nil"/>
              <w:bottom w:val="single" w:sz="8" w:space="0" w:color="auto"/>
              <w:right w:val="single" w:sz="8" w:space="0" w:color="auto"/>
            </w:tcBorders>
            <w:shd w:val="clear" w:color="auto" w:fill="auto"/>
            <w:noWrap/>
            <w:vAlign w:val="center"/>
            <w:hideMark/>
          </w:tcPr>
          <w:p w14:paraId="5DF4C19D"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15,000,000 </w:t>
            </w:r>
          </w:p>
        </w:tc>
        <w:tc>
          <w:tcPr>
            <w:tcW w:w="928" w:type="pct"/>
            <w:tcBorders>
              <w:top w:val="nil"/>
              <w:left w:val="nil"/>
              <w:bottom w:val="single" w:sz="8" w:space="0" w:color="auto"/>
              <w:right w:val="single" w:sz="8" w:space="0" w:color="auto"/>
            </w:tcBorders>
            <w:shd w:val="clear" w:color="auto" w:fill="auto"/>
            <w:vAlign w:val="center"/>
            <w:hideMark/>
          </w:tcPr>
          <w:p w14:paraId="11B4957B" w14:textId="77777777" w:rsidR="0085505C" w:rsidRPr="002A7673" w:rsidRDefault="0085505C" w:rsidP="0048334E">
            <w:pPr>
              <w:spacing w:after="0" w:line="24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-7,416,356.00</w:t>
            </w:r>
          </w:p>
        </w:tc>
      </w:tr>
      <w:tr w:rsidR="0085505C" w:rsidRPr="002A7673" w14:paraId="52EB0D89" w14:textId="77777777" w:rsidTr="0048334E">
        <w:trPr>
          <w:trHeight w:val="432"/>
        </w:trPr>
        <w:tc>
          <w:tcPr>
            <w:tcW w:w="2260" w:type="pct"/>
            <w:tcBorders>
              <w:top w:val="nil"/>
              <w:left w:val="single" w:sz="8" w:space="0" w:color="auto"/>
              <w:bottom w:val="single" w:sz="8" w:space="0" w:color="auto"/>
              <w:right w:val="single" w:sz="8" w:space="0" w:color="auto"/>
            </w:tcBorders>
            <w:shd w:val="clear" w:color="auto" w:fill="auto"/>
            <w:noWrap/>
            <w:vAlign w:val="center"/>
            <w:hideMark/>
          </w:tcPr>
          <w:p w14:paraId="783E0D4E" w14:textId="77777777" w:rsidR="0085505C" w:rsidRPr="002A7673" w:rsidRDefault="0085505C" w:rsidP="0048334E">
            <w:pPr>
              <w:spacing w:after="0" w:line="24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Diferencia en Alquiler Equipo de Cómputo*</w:t>
            </w:r>
          </w:p>
        </w:tc>
        <w:tc>
          <w:tcPr>
            <w:tcW w:w="884" w:type="pct"/>
            <w:tcBorders>
              <w:top w:val="nil"/>
              <w:left w:val="nil"/>
              <w:bottom w:val="single" w:sz="8" w:space="0" w:color="auto"/>
              <w:right w:val="single" w:sz="8" w:space="0" w:color="auto"/>
            </w:tcBorders>
            <w:shd w:val="clear" w:color="auto" w:fill="auto"/>
            <w:noWrap/>
            <w:vAlign w:val="center"/>
            <w:hideMark/>
          </w:tcPr>
          <w:p w14:paraId="7F9160D8"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4,060,926 </w:t>
            </w:r>
          </w:p>
        </w:tc>
        <w:tc>
          <w:tcPr>
            <w:tcW w:w="928" w:type="pct"/>
            <w:tcBorders>
              <w:top w:val="nil"/>
              <w:left w:val="nil"/>
              <w:bottom w:val="single" w:sz="8" w:space="0" w:color="auto"/>
              <w:right w:val="single" w:sz="8" w:space="0" w:color="auto"/>
            </w:tcBorders>
            <w:shd w:val="clear" w:color="auto" w:fill="auto"/>
            <w:noWrap/>
            <w:vAlign w:val="center"/>
            <w:hideMark/>
          </w:tcPr>
          <w:p w14:paraId="073D33E3" w14:textId="77777777" w:rsidR="0085505C" w:rsidRPr="002A7673" w:rsidRDefault="0085505C" w:rsidP="0048334E">
            <w:pPr>
              <w:spacing w:after="0" w:line="24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928" w:type="pct"/>
            <w:tcBorders>
              <w:top w:val="nil"/>
              <w:left w:val="nil"/>
              <w:bottom w:val="single" w:sz="8" w:space="0" w:color="auto"/>
              <w:right w:val="single" w:sz="8" w:space="0" w:color="auto"/>
            </w:tcBorders>
            <w:shd w:val="clear" w:color="auto" w:fill="auto"/>
            <w:vAlign w:val="center"/>
            <w:hideMark/>
          </w:tcPr>
          <w:p w14:paraId="51FC30DA"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w:t>
            </w:r>
          </w:p>
        </w:tc>
      </w:tr>
      <w:tr w:rsidR="0085505C" w:rsidRPr="002A7673" w14:paraId="7C90E0BD" w14:textId="77777777" w:rsidTr="0048334E">
        <w:trPr>
          <w:trHeight w:val="432"/>
        </w:trPr>
        <w:tc>
          <w:tcPr>
            <w:tcW w:w="2260" w:type="pct"/>
            <w:tcBorders>
              <w:top w:val="nil"/>
              <w:left w:val="single" w:sz="8" w:space="0" w:color="auto"/>
              <w:bottom w:val="single" w:sz="8" w:space="0" w:color="auto"/>
              <w:right w:val="single" w:sz="8" w:space="0" w:color="auto"/>
            </w:tcBorders>
            <w:shd w:val="clear" w:color="auto" w:fill="auto"/>
            <w:vAlign w:val="center"/>
            <w:hideMark/>
          </w:tcPr>
          <w:p w14:paraId="1E7321A7" w14:textId="77777777" w:rsidR="0085505C" w:rsidRPr="002A7673" w:rsidRDefault="0085505C" w:rsidP="0048334E">
            <w:pPr>
              <w:spacing w:after="0" w:line="24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TOTAL</w:t>
            </w:r>
          </w:p>
        </w:tc>
        <w:tc>
          <w:tcPr>
            <w:tcW w:w="884" w:type="pct"/>
            <w:tcBorders>
              <w:top w:val="nil"/>
              <w:left w:val="nil"/>
              <w:bottom w:val="single" w:sz="8" w:space="0" w:color="auto"/>
              <w:right w:val="single" w:sz="8" w:space="0" w:color="auto"/>
            </w:tcBorders>
            <w:shd w:val="clear" w:color="auto" w:fill="auto"/>
            <w:noWrap/>
            <w:vAlign w:val="center"/>
            <w:hideMark/>
          </w:tcPr>
          <w:p w14:paraId="41DED830" w14:textId="77777777" w:rsidR="0085505C" w:rsidRPr="002A7673" w:rsidRDefault="0085505C" w:rsidP="0048334E">
            <w:pPr>
              <w:spacing w:after="0" w:line="24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xml:space="preserve">1,258,680,201 </w:t>
            </w:r>
          </w:p>
        </w:tc>
        <w:tc>
          <w:tcPr>
            <w:tcW w:w="928" w:type="pct"/>
            <w:tcBorders>
              <w:top w:val="nil"/>
              <w:left w:val="nil"/>
              <w:bottom w:val="single" w:sz="8" w:space="0" w:color="auto"/>
              <w:right w:val="single" w:sz="8" w:space="0" w:color="auto"/>
            </w:tcBorders>
            <w:shd w:val="clear" w:color="auto" w:fill="auto"/>
            <w:noWrap/>
            <w:vAlign w:val="center"/>
            <w:hideMark/>
          </w:tcPr>
          <w:p w14:paraId="1D187F15" w14:textId="77777777" w:rsidR="0085505C" w:rsidRPr="002A7673" w:rsidRDefault="0085505C" w:rsidP="0048334E">
            <w:pPr>
              <w:spacing w:after="0" w:line="24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xml:space="preserve"> 1,301,939,501 </w:t>
            </w:r>
          </w:p>
        </w:tc>
        <w:tc>
          <w:tcPr>
            <w:tcW w:w="928" w:type="pct"/>
            <w:tcBorders>
              <w:top w:val="nil"/>
              <w:left w:val="nil"/>
              <w:bottom w:val="single" w:sz="8" w:space="0" w:color="auto"/>
              <w:right w:val="single" w:sz="8" w:space="0" w:color="auto"/>
            </w:tcBorders>
            <w:shd w:val="clear" w:color="auto" w:fill="auto"/>
            <w:noWrap/>
            <w:vAlign w:val="center"/>
            <w:hideMark/>
          </w:tcPr>
          <w:p w14:paraId="4FD013B5" w14:textId="77777777" w:rsidR="0085505C" w:rsidRPr="002A7673" w:rsidRDefault="0085505C" w:rsidP="0048334E">
            <w:pPr>
              <w:spacing w:after="0" w:line="24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xml:space="preserve">      43,259,300 </w:t>
            </w:r>
          </w:p>
        </w:tc>
      </w:tr>
    </w:tbl>
    <w:p w14:paraId="5D0AB8A1" w14:textId="77777777" w:rsidR="0085505C" w:rsidRPr="002A7673" w:rsidRDefault="0085505C" w:rsidP="0085505C">
      <w:pPr>
        <w:spacing w:after="0" w:line="360" w:lineRule="auto"/>
        <w:rPr>
          <w:rFonts w:ascii="Times New Roman" w:hAnsi="Times New Roman" w:cs="Times New Roman"/>
          <w:sz w:val="26"/>
          <w:szCs w:val="26"/>
        </w:rPr>
      </w:pPr>
      <w:r w:rsidRPr="002A7673">
        <w:rPr>
          <w:rFonts w:ascii="Times New Roman" w:hAnsi="Times New Roman" w:cs="Times New Roman"/>
          <w:b/>
          <w:bCs/>
          <w:sz w:val="26"/>
          <w:szCs w:val="26"/>
        </w:rPr>
        <w:t xml:space="preserve">* </w:t>
      </w:r>
      <w:r w:rsidRPr="002A7673">
        <w:rPr>
          <w:rFonts w:ascii="Times New Roman" w:hAnsi="Times New Roman" w:cs="Times New Roman"/>
          <w:sz w:val="26"/>
          <w:szCs w:val="26"/>
        </w:rPr>
        <w:t xml:space="preserve">Corresponde a la diferencia entre el monto presupuestado en el 2021 y 2022. </w:t>
      </w:r>
    </w:p>
    <w:p w14:paraId="7F59EFFF" w14:textId="77777777" w:rsidR="0085505C" w:rsidRPr="002A7673" w:rsidRDefault="0085505C" w:rsidP="0085505C">
      <w:pPr>
        <w:spacing w:after="0" w:line="360" w:lineRule="auto"/>
        <w:jc w:val="center"/>
        <w:rPr>
          <w:rFonts w:ascii="Times New Roman" w:hAnsi="Times New Roman" w:cs="Times New Roman"/>
          <w:b/>
          <w:i/>
          <w:sz w:val="28"/>
          <w:szCs w:val="28"/>
        </w:rPr>
      </w:pPr>
    </w:p>
    <w:p w14:paraId="3858FEFA" w14:textId="77777777" w:rsidR="0085505C" w:rsidRPr="002A7673" w:rsidRDefault="0085505C" w:rsidP="0085505C">
      <w:pPr>
        <w:spacing w:after="0" w:line="240" w:lineRule="auto"/>
        <w:ind w:left="851" w:right="851" w:firstLine="709"/>
        <w:jc w:val="center"/>
        <w:rPr>
          <w:rFonts w:ascii="Times New Roman" w:hAnsi="Times New Roman" w:cs="Times New Roman"/>
          <w:sz w:val="26"/>
          <w:szCs w:val="26"/>
        </w:rPr>
      </w:pPr>
      <w:r w:rsidRPr="002A7673">
        <w:rPr>
          <w:rFonts w:ascii="Times New Roman" w:hAnsi="Times New Roman" w:cs="Times New Roman"/>
          <w:b/>
          <w:i/>
          <w:sz w:val="26"/>
          <w:szCs w:val="26"/>
        </w:rPr>
        <w:t>Presupuesto total 2021-2022 Gasto Corriente y Gasto de Capital</w:t>
      </w:r>
    </w:p>
    <w:p w14:paraId="493A81AE" w14:textId="77777777" w:rsidR="0085505C" w:rsidRPr="002A7673" w:rsidRDefault="0085505C" w:rsidP="0085505C">
      <w:pPr>
        <w:spacing w:after="0" w:line="240" w:lineRule="auto"/>
        <w:ind w:left="851" w:right="851"/>
        <w:jc w:val="center"/>
        <w:rPr>
          <w:rFonts w:ascii="Times New Roman" w:hAnsi="Times New Roman" w:cs="Times New Roman"/>
          <w:b/>
          <w:bCs/>
          <w:sz w:val="26"/>
          <w:szCs w:val="26"/>
        </w:rPr>
      </w:pPr>
      <w:r w:rsidRPr="002A7673">
        <w:rPr>
          <w:rFonts w:ascii="Times New Roman" w:hAnsi="Times New Roman" w:cs="Times New Roman"/>
          <w:b/>
          <w:bCs/>
          <w:sz w:val="26"/>
          <w:szCs w:val="26"/>
        </w:rPr>
        <w:t>Detalle del Gasto Corriente y Gasto de Capital</w:t>
      </w:r>
    </w:p>
    <w:p w14:paraId="648DC747" w14:textId="77777777" w:rsidR="0085505C" w:rsidRPr="002A7673" w:rsidRDefault="0085505C" w:rsidP="0085505C">
      <w:pPr>
        <w:spacing w:after="0" w:line="240" w:lineRule="auto"/>
        <w:ind w:left="851" w:right="851" w:firstLine="709"/>
        <w:jc w:val="center"/>
        <w:rPr>
          <w:rFonts w:ascii="Times New Roman" w:hAnsi="Times New Roman" w:cs="Times New Roman"/>
          <w:b/>
          <w:bCs/>
          <w:sz w:val="26"/>
          <w:szCs w:val="26"/>
        </w:rPr>
      </w:pPr>
      <w:r w:rsidRPr="002A7673">
        <w:rPr>
          <w:rFonts w:ascii="Times New Roman" w:hAnsi="Times New Roman" w:cs="Times New Roman"/>
          <w:b/>
          <w:bCs/>
          <w:sz w:val="26"/>
          <w:szCs w:val="26"/>
        </w:rPr>
        <w:t>Periodos 2021 – 2022</w:t>
      </w:r>
    </w:p>
    <w:tbl>
      <w:tblPr>
        <w:tblW w:w="5000" w:type="pct"/>
        <w:jc w:val="center"/>
        <w:tblCellMar>
          <w:left w:w="70" w:type="dxa"/>
          <w:right w:w="70" w:type="dxa"/>
        </w:tblCellMar>
        <w:tblLook w:val="04A0" w:firstRow="1" w:lastRow="0" w:firstColumn="1" w:lastColumn="0" w:noHBand="0" w:noVBand="1"/>
      </w:tblPr>
      <w:tblGrid>
        <w:gridCol w:w="3007"/>
        <w:gridCol w:w="2186"/>
        <w:gridCol w:w="2186"/>
        <w:gridCol w:w="2269"/>
      </w:tblGrid>
      <w:tr w:rsidR="0085505C" w:rsidRPr="002A7673" w14:paraId="400FE380" w14:textId="77777777" w:rsidTr="0048334E">
        <w:trPr>
          <w:trHeight w:val="300"/>
          <w:jc w:val="center"/>
        </w:trPr>
        <w:tc>
          <w:tcPr>
            <w:tcW w:w="155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22CB2E"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DETALLE</w:t>
            </w:r>
          </w:p>
        </w:tc>
        <w:tc>
          <w:tcPr>
            <w:tcW w:w="1133" w:type="pct"/>
            <w:tcBorders>
              <w:top w:val="single" w:sz="8" w:space="0" w:color="auto"/>
              <w:left w:val="nil"/>
              <w:bottom w:val="single" w:sz="8" w:space="0" w:color="auto"/>
              <w:right w:val="single" w:sz="8" w:space="0" w:color="auto"/>
            </w:tcBorders>
            <w:shd w:val="clear" w:color="auto" w:fill="auto"/>
            <w:noWrap/>
            <w:vAlign w:val="center"/>
            <w:hideMark/>
          </w:tcPr>
          <w:p w14:paraId="07D97C21"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2021</w:t>
            </w:r>
          </w:p>
        </w:tc>
        <w:tc>
          <w:tcPr>
            <w:tcW w:w="1133" w:type="pct"/>
            <w:tcBorders>
              <w:top w:val="single" w:sz="8" w:space="0" w:color="auto"/>
              <w:left w:val="nil"/>
              <w:bottom w:val="single" w:sz="8" w:space="0" w:color="auto"/>
              <w:right w:val="single" w:sz="8" w:space="0" w:color="auto"/>
            </w:tcBorders>
            <w:shd w:val="clear" w:color="auto" w:fill="auto"/>
            <w:noWrap/>
            <w:vAlign w:val="center"/>
            <w:hideMark/>
          </w:tcPr>
          <w:p w14:paraId="3D7BBE5A"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2022</w:t>
            </w:r>
          </w:p>
        </w:tc>
        <w:tc>
          <w:tcPr>
            <w:tcW w:w="1176" w:type="pct"/>
            <w:tcBorders>
              <w:top w:val="single" w:sz="8" w:space="0" w:color="auto"/>
              <w:left w:val="nil"/>
              <w:bottom w:val="single" w:sz="8" w:space="0" w:color="auto"/>
              <w:right w:val="single" w:sz="8" w:space="0" w:color="auto"/>
            </w:tcBorders>
            <w:shd w:val="clear" w:color="auto" w:fill="auto"/>
            <w:noWrap/>
            <w:vAlign w:val="center"/>
            <w:hideMark/>
          </w:tcPr>
          <w:p w14:paraId="4F425DA8"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DIFERENCIA</w:t>
            </w:r>
          </w:p>
        </w:tc>
      </w:tr>
      <w:tr w:rsidR="0085505C" w:rsidRPr="002A7673" w14:paraId="49E1A3F1" w14:textId="77777777" w:rsidTr="0048334E">
        <w:trPr>
          <w:trHeight w:val="300"/>
          <w:jc w:val="center"/>
        </w:trPr>
        <w:tc>
          <w:tcPr>
            <w:tcW w:w="1558" w:type="pct"/>
            <w:tcBorders>
              <w:top w:val="nil"/>
              <w:left w:val="single" w:sz="8" w:space="0" w:color="auto"/>
              <w:bottom w:val="single" w:sz="8" w:space="0" w:color="auto"/>
              <w:right w:val="single" w:sz="8" w:space="0" w:color="auto"/>
            </w:tcBorders>
            <w:shd w:val="clear" w:color="auto" w:fill="auto"/>
            <w:noWrap/>
            <w:vAlign w:val="center"/>
            <w:hideMark/>
          </w:tcPr>
          <w:p w14:paraId="3C978DCD"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GASTO CORRIENTE</w:t>
            </w:r>
          </w:p>
        </w:tc>
        <w:tc>
          <w:tcPr>
            <w:tcW w:w="1133" w:type="pct"/>
            <w:tcBorders>
              <w:top w:val="nil"/>
              <w:left w:val="nil"/>
              <w:bottom w:val="single" w:sz="8" w:space="0" w:color="auto"/>
              <w:right w:val="single" w:sz="8" w:space="0" w:color="auto"/>
            </w:tcBorders>
            <w:shd w:val="clear" w:color="auto" w:fill="auto"/>
            <w:noWrap/>
            <w:vAlign w:val="bottom"/>
            <w:hideMark/>
          </w:tcPr>
          <w:p w14:paraId="1D27C552"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1,248,019,979 </w:t>
            </w:r>
          </w:p>
        </w:tc>
        <w:tc>
          <w:tcPr>
            <w:tcW w:w="1133" w:type="pct"/>
            <w:tcBorders>
              <w:top w:val="single" w:sz="4" w:space="0" w:color="auto"/>
              <w:left w:val="nil"/>
              <w:bottom w:val="single" w:sz="4" w:space="0" w:color="auto"/>
              <w:right w:val="single" w:sz="4" w:space="0" w:color="auto"/>
            </w:tcBorders>
            <w:shd w:val="clear" w:color="auto" w:fill="auto"/>
            <w:noWrap/>
            <w:vAlign w:val="center"/>
            <w:hideMark/>
          </w:tcPr>
          <w:p w14:paraId="19C99815"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1,011,062,700 </w:t>
            </w:r>
          </w:p>
        </w:tc>
        <w:tc>
          <w:tcPr>
            <w:tcW w:w="1176" w:type="pct"/>
            <w:tcBorders>
              <w:top w:val="nil"/>
              <w:left w:val="nil"/>
              <w:bottom w:val="single" w:sz="8" w:space="0" w:color="auto"/>
              <w:right w:val="single" w:sz="8" w:space="0" w:color="auto"/>
            </w:tcBorders>
            <w:shd w:val="clear" w:color="auto" w:fill="auto"/>
            <w:noWrap/>
            <w:vAlign w:val="center"/>
            <w:hideMark/>
          </w:tcPr>
          <w:p w14:paraId="65DC276E"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-236,957,279</w:t>
            </w:r>
          </w:p>
        </w:tc>
      </w:tr>
      <w:tr w:rsidR="0085505C" w:rsidRPr="002A7673" w14:paraId="75F5058F" w14:textId="77777777" w:rsidTr="0048334E">
        <w:trPr>
          <w:trHeight w:val="300"/>
          <w:jc w:val="center"/>
        </w:trPr>
        <w:tc>
          <w:tcPr>
            <w:tcW w:w="1558" w:type="pct"/>
            <w:tcBorders>
              <w:top w:val="nil"/>
              <w:left w:val="single" w:sz="8" w:space="0" w:color="auto"/>
              <w:bottom w:val="single" w:sz="8" w:space="0" w:color="auto"/>
              <w:right w:val="single" w:sz="8" w:space="0" w:color="auto"/>
            </w:tcBorders>
            <w:shd w:val="clear" w:color="auto" w:fill="auto"/>
            <w:noWrap/>
            <w:vAlign w:val="center"/>
            <w:hideMark/>
          </w:tcPr>
          <w:p w14:paraId="705B2D7D"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GASTO DE CAPITAL</w:t>
            </w:r>
          </w:p>
        </w:tc>
        <w:tc>
          <w:tcPr>
            <w:tcW w:w="1133" w:type="pct"/>
            <w:tcBorders>
              <w:top w:val="nil"/>
              <w:left w:val="nil"/>
              <w:bottom w:val="single" w:sz="8" w:space="0" w:color="auto"/>
              <w:right w:val="single" w:sz="8" w:space="0" w:color="auto"/>
            </w:tcBorders>
            <w:shd w:val="clear" w:color="auto" w:fill="auto"/>
            <w:noWrap/>
            <w:vAlign w:val="bottom"/>
            <w:hideMark/>
          </w:tcPr>
          <w:p w14:paraId="74ED058D"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xml:space="preserve">        10,660,222 </w:t>
            </w:r>
          </w:p>
        </w:tc>
        <w:tc>
          <w:tcPr>
            <w:tcW w:w="1133" w:type="pct"/>
            <w:tcBorders>
              <w:top w:val="nil"/>
              <w:left w:val="nil"/>
              <w:bottom w:val="single" w:sz="8" w:space="0" w:color="auto"/>
              <w:right w:val="single" w:sz="8" w:space="0" w:color="auto"/>
            </w:tcBorders>
            <w:shd w:val="clear" w:color="auto" w:fill="auto"/>
            <w:noWrap/>
            <w:vAlign w:val="center"/>
            <w:hideMark/>
          </w:tcPr>
          <w:p w14:paraId="43FAD6DA"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290,344,842</w:t>
            </w:r>
          </w:p>
        </w:tc>
        <w:tc>
          <w:tcPr>
            <w:tcW w:w="1176" w:type="pct"/>
            <w:tcBorders>
              <w:top w:val="nil"/>
              <w:left w:val="nil"/>
              <w:bottom w:val="single" w:sz="8" w:space="0" w:color="auto"/>
              <w:right w:val="single" w:sz="8" w:space="0" w:color="auto"/>
            </w:tcBorders>
            <w:shd w:val="clear" w:color="auto" w:fill="auto"/>
            <w:noWrap/>
            <w:vAlign w:val="center"/>
            <w:hideMark/>
          </w:tcPr>
          <w:p w14:paraId="091140F1"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279,684,620</w:t>
            </w:r>
          </w:p>
        </w:tc>
      </w:tr>
      <w:tr w:rsidR="0085505C" w:rsidRPr="002A7673" w14:paraId="21AE3014" w14:textId="77777777" w:rsidTr="0048334E">
        <w:trPr>
          <w:trHeight w:val="312"/>
          <w:jc w:val="center"/>
        </w:trPr>
        <w:tc>
          <w:tcPr>
            <w:tcW w:w="1558" w:type="pct"/>
            <w:tcBorders>
              <w:top w:val="nil"/>
              <w:left w:val="single" w:sz="8" w:space="0" w:color="auto"/>
              <w:bottom w:val="single" w:sz="8" w:space="0" w:color="auto"/>
              <w:right w:val="single" w:sz="8" w:space="0" w:color="auto"/>
            </w:tcBorders>
            <w:shd w:val="clear" w:color="auto" w:fill="auto"/>
            <w:noWrap/>
            <w:vAlign w:val="center"/>
            <w:hideMark/>
          </w:tcPr>
          <w:p w14:paraId="53E33F00"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TOTAL</w:t>
            </w:r>
          </w:p>
        </w:tc>
        <w:tc>
          <w:tcPr>
            <w:tcW w:w="1133" w:type="pct"/>
            <w:tcBorders>
              <w:top w:val="nil"/>
              <w:left w:val="nil"/>
              <w:bottom w:val="single" w:sz="8" w:space="0" w:color="auto"/>
              <w:right w:val="single" w:sz="8" w:space="0" w:color="auto"/>
            </w:tcBorders>
            <w:shd w:val="clear" w:color="auto" w:fill="auto"/>
            <w:noWrap/>
            <w:vAlign w:val="center"/>
            <w:hideMark/>
          </w:tcPr>
          <w:p w14:paraId="4FF4CD2C" w14:textId="77777777" w:rsidR="0085505C" w:rsidRPr="002A7673" w:rsidRDefault="0085505C" w:rsidP="0048334E">
            <w:pPr>
              <w:spacing w:after="0" w:line="36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1,258,680,201</w:t>
            </w:r>
          </w:p>
        </w:tc>
        <w:tc>
          <w:tcPr>
            <w:tcW w:w="1133" w:type="pct"/>
            <w:tcBorders>
              <w:top w:val="nil"/>
              <w:left w:val="nil"/>
              <w:bottom w:val="single" w:sz="8" w:space="0" w:color="auto"/>
              <w:right w:val="single" w:sz="8" w:space="0" w:color="auto"/>
            </w:tcBorders>
            <w:shd w:val="clear" w:color="auto" w:fill="auto"/>
            <w:noWrap/>
            <w:vAlign w:val="center"/>
            <w:hideMark/>
          </w:tcPr>
          <w:p w14:paraId="7D6FF995" w14:textId="77777777" w:rsidR="0085505C" w:rsidRPr="002A7673" w:rsidRDefault="0085505C" w:rsidP="0048334E">
            <w:pPr>
              <w:spacing w:after="0" w:line="36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1,301,407,542</w:t>
            </w:r>
          </w:p>
        </w:tc>
        <w:tc>
          <w:tcPr>
            <w:tcW w:w="1176" w:type="pct"/>
            <w:tcBorders>
              <w:top w:val="nil"/>
              <w:left w:val="nil"/>
              <w:bottom w:val="single" w:sz="8" w:space="0" w:color="auto"/>
              <w:right w:val="single" w:sz="8" w:space="0" w:color="auto"/>
            </w:tcBorders>
            <w:shd w:val="clear" w:color="auto" w:fill="auto"/>
            <w:noWrap/>
            <w:vAlign w:val="center"/>
            <w:hideMark/>
          </w:tcPr>
          <w:p w14:paraId="4BC6B8D9" w14:textId="77777777" w:rsidR="0085505C" w:rsidRPr="002A7673" w:rsidRDefault="0085505C" w:rsidP="0048334E">
            <w:pPr>
              <w:spacing w:after="0" w:line="360" w:lineRule="auto"/>
              <w:jc w:val="right"/>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42,727,341</w:t>
            </w:r>
          </w:p>
        </w:tc>
      </w:tr>
    </w:tbl>
    <w:p w14:paraId="3277418A" w14:textId="77777777" w:rsidR="0085505C" w:rsidRPr="002A7673" w:rsidRDefault="0085505C" w:rsidP="0085505C">
      <w:pPr>
        <w:spacing w:after="0" w:line="360" w:lineRule="auto"/>
        <w:jc w:val="center"/>
        <w:rPr>
          <w:rFonts w:ascii="Times New Roman" w:hAnsi="Times New Roman" w:cs="Times New Roman"/>
          <w:sz w:val="28"/>
          <w:szCs w:val="28"/>
        </w:rPr>
      </w:pPr>
    </w:p>
    <w:p w14:paraId="241A0F8B"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lang w:eastAsia="ar-SA"/>
        </w:rPr>
      </w:pPr>
      <w:r w:rsidRPr="002A7673">
        <w:rPr>
          <w:rFonts w:ascii="Times New Roman" w:hAnsi="Times New Roman" w:cs="Times New Roman"/>
          <w:sz w:val="26"/>
          <w:szCs w:val="26"/>
        </w:rPr>
        <w:t xml:space="preserve">Por otra parte, es importante mencionar que el análisis del presupuesto del Servicio de Atención y Protección de Víctimas y Testigos se realizó en </w:t>
      </w:r>
      <w:r w:rsidRPr="002A7673">
        <w:rPr>
          <w:rFonts w:ascii="Times New Roman" w:hAnsi="Times New Roman" w:cs="Times New Roman"/>
          <w:sz w:val="26"/>
          <w:szCs w:val="26"/>
        </w:rPr>
        <w:lastRenderedPageBreak/>
        <w:t xml:space="preserve">apego a lo establecido en las directrices de formulación presupuestaria del periodo 2022 en su apartado </w:t>
      </w:r>
      <w:r w:rsidRPr="002A7673">
        <w:rPr>
          <w:rFonts w:ascii="Times New Roman" w:hAnsi="Times New Roman" w:cs="Times New Roman"/>
          <w:sz w:val="26"/>
          <w:szCs w:val="26"/>
          <w:lang w:eastAsia="ar-SA"/>
        </w:rPr>
        <w:t>N° 11, el cual indica:</w:t>
      </w:r>
    </w:p>
    <w:p w14:paraId="16D31B1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lang w:eastAsia="ar-SA"/>
        </w:rPr>
      </w:pPr>
    </w:p>
    <w:p w14:paraId="3BC41CA6" w14:textId="77777777" w:rsidR="0085505C" w:rsidRPr="002A7673" w:rsidRDefault="0085505C" w:rsidP="0085505C">
      <w:pPr>
        <w:spacing w:after="0" w:line="240" w:lineRule="auto"/>
        <w:ind w:left="851" w:right="851" w:firstLine="709"/>
        <w:jc w:val="both"/>
        <w:rPr>
          <w:rFonts w:ascii="Times New Roman" w:hAnsi="Times New Roman" w:cs="Times New Roman"/>
          <w:i/>
          <w:iCs/>
          <w:color w:val="000000"/>
          <w:sz w:val="26"/>
          <w:szCs w:val="26"/>
        </w:rPr>
      </w:pPr>
      <w:r w:rsidRPr="002A7673">
        <w:rPr>
          <w:rFonts w:ascii="Times New Roman" w:hAnsi="Times New Roman" w:cs="Times New Roman"/>
          <w:i/>
          <w:iCs/>
          <w:color w:val="000000"/>
          <w:sz w:val="26"/>
          <w:szCs w:val="26"/>
        </w:rPr>
        <w:t>“Según lo acordado por el Consejo Superior en la Sesión N°058-2018, artículo XLIII, el responsable de representar presupuestariamente el Programa 950 Servicio de Atención y Protección de Víctimas y Testigos, será la Jefatura de la Oficina de Atención a la Victima de Delitos, en el entendido que es un aspecto administrativo que no implica cambio o ajustes a nivel de sistema de formulación, conservando su composición a saber: 718 Oficina de Atención a la Víctima de Delitos y la 1106 Unidad de Protección de Víctimas y Testigos.”</w:t>
      </w:r>
    </w:p>
    <w:p w14:paraId="6D8BE27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2A7C117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Es importante hacer notar que el 86% del presupuesto del Programa se concentra en 10 subpartidas que son Alquiler de Edificios, Locales y Terrenos, Viáticos dentro del País, Servicios Generales, Gastos Confidenciales, Combustibles y Lubricantes, Servicio de Telecomunicaciones, Útiles y materiales de resguardo y seguridad, Servicio de Energía Eléctrica, Mantenimiento y Reparación de equipo de Transporte y Otros, tal como se aprecia a continuación:</w:t>
      </w:r>
    </w:p>
    <w:p w14:paraId="74B64C5B"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09C2843" w14:textId="77777777" w:rsidR="0085505C" w:rsidRPr="002A7673" w:rsidRDefault="0085505C" w:rsidP="0085505C">
      <w:pPr>
        <w:spacing w:after="0" w:line="240" w:lineRule="auto"/>
        <w:ind w:left="851" w:right="851" w:firstLine="709"/>
        <w:jc w:val="both"/>
        <w:rPr>
          <w:rFonts w:ascii="Times New Roman" w:eastAsiaTheme="minorEastAsia" w:hAnsi="Times New Roman" w:cs="Times New Roman"/>
          <w:b/>
          <w:bCs/>
          <w:kern w:val="24"/>
          <w:sz w:val="26"/>
          <w:szCs w:val="26"/>
        </w:rPr>
      </w:pPr>
      <w:r w:rsidRPr="002A7673">
        <w:rPr>
          <w:rFonts w:ascii="Times New Roman" w:eastAsiaTheme="minorEastAsia" w:hAnsi="Times New Roman" w:cs="Times New Roman"/>
          <w:b/>
          <w:bCs/>
          <w:kern w:val="24"/>
          <w:sz w:val="26"/>
          <w:szCs w:val="26"/>
        </w:rPr>
        <w:t xml:space="preserve">2.2 Subpartidas más Representativas del Anteproyecto de Presupuesto 2021 del Programa 950 Servicio de Atención y Protección de Víctimas y Testigos </w:t>
      </w:r>
    </w:p>
    <w:p w14:paraId="51C146B7" w14:textId="77777777" w:rsidR="0085505C" w:rsidRPr="002A7673" w:rsidRDefault="0085505C" w:rsidP="0085505C">
      <w:pPr>
        <w:spacing w:after="0" w:line="360" w:lineRule="auto"/>
        <w:rPr>
          <w:rFonts w:ascii="Times New Roman" w:hAnsi="Times New Roman" w:cs="Times New Roman"/>
          <w:b/>
          <w:bCs/>
        </w:rPr>
      </w:pPr>
    </w:p>
    <w:p w14:paraId="7EC2B30B" w14:textId="77777777" w:rsidR="0085505C" w:rsidRPr="002A7673" w:rsidRDefault="0085505C" w:rsidP="0085505C">
      <w:pPr>
        <w:spacing w:after="0" w:line="360" w:lineRule="auto"/>
        <w:jc w:val="center"/>
        <w:rPr>
          <w:rFonts w:ascii="Times New Roman" w:hAnsi="Times New Roman" w:cs="Times New Roman"/>
          <w:sz w:val="28"/>
          <w:szCs w:val="28"/>
        </w:rPr>
      </w:pPr>
      <w:r w:rsidRPr="002A7673">
        <w:rPr>
          <w:rFonts w:ascii="Times New Roman" w:hAnsi="Times New Roman" w:cs="Times New Roman"/>
          <w:noProof/>
        </w:rPr>
        <w:drawing>
          <wp:inline distT="0" distB="0" distL="0" distR="0" wp14:anchorId="0F37E560" wp14:editId="6E674374">
            <wp:extent cx="6168390" cy="2722729"/>
            <wp:effectExtent l="0" t="0" r="3810" b="1905"/>
            <wp:docPr id="1263269090" name="Gráfico 1263269090">
              <a:extLst xmlns:a="http://schemas.openxmlformats.org/drawingml/2006/main">
                <a:ext uri="{FF2B5EF4-FFF2-40B4-BE49-F238E27FC236}">
                  <a16:creationId xmlns:a16="http://schemas.microsoft.com/office/drawing/2014/main" id="{983276BA-708B-4EC1-BB4F-BDE57983E6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p>
    <w:p w14:paraId="0E5BA1AA" w14:textId="77777777" w:rsidR="0085505C" w:rsidRPr="002A7673" w:rsidRDefault="0085505C" w:rsidP="0085505C">
      <w:pPr>
        <w:spacing w:after="0" w:line="240" w:lineRule="auto"/>
        <w:ind w:left="851" w:right="851" w:firstLine="709"/>
        <w:jc w:val="both"/>
        <w:rPr>
          <w:rFonts w:ascii="Times New Roman" w:hAnsi="Times New Roman" w:cs="Times New Roman"/>
          <w:b/>
          <w:i/>
          <w:sz w:val="26"/>
          <w:szCs w:val="26"/>
        </w:rPr>
      </w:pPr>
    </w:p>
    <w:p w14:paraId="6C55A330" w14:textId="77777777" w:rsidR="0085505C" w:rsidRPr="002A7673" w:rsidRDefault="0085505C" w:rsidP="0085505C">
      <w:pPr>
        <w:spacing w:after="0" w:line="240" w:lineRule="auto"/>
        <w:ind w:left="851" w:right="851" w:firstLine="709"/>
        <w:jc w:val="both"/>
        <w:rPr>
          <w:rFonts w:ascii="Times New Roman" w:hAnsi="Times New Roman" w:cs="Times New Roman"/>
          <w:b/>
          <w:iCs/>
          <w:sz w:val="26"/>
          <w:szCs w:val="26"/>
        </w:rPr>
      </w:pPr>
      <w:r w:rsidRPr="002A7673">
        <w:rPr>
          <w:rFonts w:ascii="Times New Roman" w:hAnsi="Times New Roman" w:cs="Times New Roman"/>
          <w:b/>
          <w:iCs/>
          <w:sz w:val="26"/>
          <w:szCs w:val="26"/>
        </w:rPr>
        <w:lastRenderedPageBreak/>
        <w:t>2.3 Justificación crecimiento del presupuesto que supera el límite del gasto corriente</w:t>
      </w:r>
    </w:p>
    <w:p w14:paraId="2C625DA0"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4AEA043"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Cs/>
          <w:sz w:val="26"/>
          <w:szCs w:val="26"/>
        </w:rPr>
        <w:t>Cabe destacar que este presupuesto presenta una disminución en el gasto corriente, en relación con los recursos formulados en el 2021 de ¢236,957,279; sin embargo, el crecimiento en el presupuesto de ¢42,727,341, se debe a que para el periodo 2022 el Área de Vehículos aumentó en su previsión presupuestaria en ¢93,029,906 con respecto al 2021. Lo anterior es con el fin de sustituir 17 unidades modelo 2013.</w:t>
      </w:r>
    </w:p>
    <w:p w14:paraId="4A46FBB6" w14:textId="77777777" w:rsidR="0085505C" w:rsidRPr="002A7673" w:rsidRDefault="0085505C" w:rsidP="0085505C">
      <w:pPr>
        <w:spacing w:after="0" w:line="240" w:lineRule="auto"/>
        <w:ind w:left="851" w:right="851" w:firstLine="709"/>
        <w:jc w:val="both"/>
        <w:rPr>
          <w:rFonts w:ascii="Times New Roman" w:hAnsi="Times New Roman" w:cs="Times New Roman"/>
          <w:b/>
          <w:iCs/>
          <w:sz w:val="26"/>
          <w:szCs w:val="26"/>
        </w:rPr>
      </w:pPr>
    </w:p>
    <w:p w14:paraId="20335900" w14:textId="77777777" w:rsidR="0085505C" w:rsidRPr="002A7673" w:rsidRDefault="0085505C" w:rsidP="00FF3FAC">
      <w:pPr>
        <w:numPr>
          <w:ilvl w:val="1"/>
          <w:numId w:val="62"/>
        </w:numPr>
        <w:spacing w:after="0" w:line="240" w:lineRule="auto"/>
        <w:ind w:left="851" w:right="851" w:firstLine="709"/>
        <w:jc w:val="both"/>
        <w:rPr>
          <w:rFonts w:ascii="Times New Roman" w:eastAsia="Times New Roman" w:hAnsi="Times New Roman" w:cs="Times New Roman"/>
          <w:b/>
          <w:iCs/>
          <w:sz w:val="26"/>
          <w:szCs w:val="26"/>
          <w:lang w:val="es-ES" w:eastAsia="es-ES"/>
        </w:rPr>
      </w:pPr>
      <w:r w:rsidRPr="002A7673">
        <w:rPr>
          <w:rFonts w:ascii="Times New Roman" w:eastAsia="Times New Roman" w:hAnsi="Times New Roman" w:cs="Times New Roman"/>
          <w:b/>
          <w:iCs/>
          <w:sz w:val="26"/>
          <w:szCs w:val="26"/>
          <w:lang w:val="es-ES" w:eastAsia="es-ES"/>
        </w:rPr>
        <w:t xml:space="preserve">Detalle de nuevos contratos </w:t>
      </w:r>
    </w:p>
    <w:p w14:paraId="6CEA0D5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6A0ED99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Este Programa no presenta nuevos contratos para la formulación presupuestaria 2022.</w:t>
      </w:r>
    </w:p>
    <w:p w14:paraId="56BE29A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84FF308" w14:textId="77777777" w:rsidR="0085505C" w:rsidRPr="002A7673" w:rsidRDefault="0085505C" w:rsidP="00FF3FAC">
      <w:pPr>
        <w:numPr>
          <w:ilvl w:val="1"/>
          <w:numId w:val="62"/>
        </w:numPr>
        <w:spacing w:after="0" w:line="240" w:lineRule="auto"/>
        <w:ind w:left="851" w:right="851" w:firstLine="709"/>
        <w:jc w:val="both"/>
        <w:rPr>
          <w:rFonts w:ascii="Times New Roman" w:eastAsia="Times New Roman" w:hAnsi="Times New Roman" w:cs="Times New Roman"/>
          <w:b/>
          <w:i/>
          <w:sz w:val="26"/>
          <w:szCs w:val="26"/>
          <w:lang w:val="es-ES" w:eastAsia="es-ES"/>
        </w:rPr>
      </w:pPr>
      <w:r w:rsidRPr="002A7673">
        <w:rPr>
          <w:rFonts w:ascii="Times New Roman" w:eastAsia="Times New Roman" w:hAnsi="Times New Roman" w:cs="Times New Roman"/>
          <w:b/>
          <w:i/>
          <w:sz w:val="26"/>
          <w:szCs w:val="26"/>
          <w:lang w:val="es-ES" w:eastAsia="es-ES"/>
        </w:rPr>
        <w:t xml:space="preserve">Aspectos relevantes de algunas subpartidas </w:t>
      </w:r>
    </w:p>
    <w:p w14:paraId="0E2B692E" w14:textId="77777777" w:rsidR="0085505C" w:rsidRPr="002A7673" w:rsidRDefault="0085505C" w:rsidP="0085505C">
      <w:pPr>
        <w:spacing w:after="0" w:line="240" w:lineRule="auto"/>
        <w:ind w:left="851" w:right="851" w:firstLine="709"/>
        <w:jc w:val="both"/>
        <w:rPr>
          <w:rFonts w:ascii="Times New Roman" w:hAnsi="Times New Roman" w:cs="Times New Roman"/>
          <w:i/>
          <w:sz w:val="26"/>
          <w:szCs w:val="26"/>
        </w:rPr>
      </w:pPr>
    </w:p>
    <w:p w14:paraId="326EB313" w14:textId="77777777" w:rsidR="0085505C" w:rsidRPr="002A7673" w:rsidRDefault="0085505C" w:rsidP="00FF3FAC">
      <w:pPr>
        <w:numPr>
          <w:ilvl w:val="0"/>
          <w:numId w:val="63"/>
        </w:numPr>
        <w:tabs>
          <w:tab w:val="left" w:pos="7388"/>
        </w:tabs>
        <w:spacing w:after="0" w:line="240" w:lineRule="auto"/>
        <w:ind w:left="851" w:right="851"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Subpartida 10805 Mantenimiento y reparación de equipo de Transporte</w:t>
      </w:r>
    </w:p>
    <w:p w14:paraId="5BD89D91" w14:textId="77777777" w:rsidR="0085505C" w:rsidRPr="002A7673" w:rsidRDefault="0085505C" w:rsidP="0085505C">
      <w:pPr>
        <w:tabs>
          <w:tab w:val="left" w:pos="7388"/>
        </w:tabs>
        <w:spacing w:after="0" w:line="240" w:lineRule="auto"/>
        <w:ind w:left="851" w:right="851" w:firstLine="709"/>
        <w:jc w:val="both"/>
        <w:rPr>
          <w:rFonts w:ascii="Times New Roman" w:hAnsi="Times New Roman" w:cs="Times New Roman"/>
          <w:sz w:val="26"/>
          <w:szCs w:val="26"/>
        </w:rPr>
      </w:pPr>
    </w:p>
    <w:p w14:paraId="2021B05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El monto formulado en el 2022 presenta un incremento del 22% en relación con el 2021 lo que corresponde a ¢4,802,000 lo anterior se debe a que en el 2020 está oficina recibió 6 vehículos nuevos, para un total de 33 vehículos, lo que genera un mayor costo en el mantenimiento.</w:t>
      </w:r>
    </w:p>
    <w:p w14:paraId="4776222A"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w:t>
      </w:r>
    </w:p>
    <w:p w14:paraId="1A09801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Anteriormente, las agencias con la compra de vehículos nuevos brindaban el mantenimiento básico por garantía, hasta los 3 años o a los cien mil kilómetros, lo que suceda primero. No obstante, esa política se modificó desde hace aproximadamente 3 años, debido a lo antes indicado aumentaron el monto para poder brindar el mantenimiento a la flotilla de vehículos a cargo de esta oficina. </w:t>
      </w:r>
    </w:p>
    <w:p w14:paraId="79831212" w14:textId="77777777" w:rsidR="0085505C" w:rsidRPr="002A7673" w:rsidRDefault="0085505C" w:rsidP="0085505C">
      <w:pPr>
        <w:spacing w:after="0" w:line="240" w:lineRule="auto"/>
        <w:ind w:left="851" w:right="851" w:firstLine="709"/>
        <w:jc w:val="both"/>
        <w:rPr>
          <w:rFonts w:ascii="Times New Roman" w:hAnsi="Times New Roman" w:cs="Times New Roman"/>
          <w:color w:val="000000"/>
          <w:sz w:val="26"/>
          <w:szCs w:val="26"/>
        </w:rPr>
      </w:pPr>
    </w:p>
    <w:p w14:paraId="34592D15" w14:textId="77777777" w:rsidR="0085505C" w:rsidRPr="002A7673" w:rsidRDefault="0085505C" w:rsidP="00FF3FAC">
      <w:pPr>
        <w:numPr>
          <w:ilvl w:val="0"/>
          <w:numId w:val="63"/>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Subpartida 10806 Mantenimiento y reparación de equipo de comunicación</w:t>
      </w:r>
    </w:p>
    <w:p w14:paraId="5C2351DF"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bookmarkStart w:id="241" w:name="_Hlk36090143"/>
    </w:p>
    <w:bookmarkEnd w:id="241"/>
    <w:p w14:paraId="5208D0A5"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color w:val="000000"/>
          <w:sz w:val="26"/>
          <w:szCs w:val="26"/>
        </w:rPr>
        <w:t xml:space="preserve">En esta subpartida se presenta un incremento para el 2022 de 248% en comparación con el 2021, lo que corresponde a ¢2,062,000.  El monto formulado es para cubrir el mantenimiento de cámaras de vigilancia de locales alquilados a nivel nacional. Para 2022 algunas cámaras agotarían su garantía lo que conlleva a contratarles mantenimiento. </w:t>
      </w:r>
    </w:p>
    <w:p w14:paraId="373934B7" w14:textId="77777777" w:rsidR="0085505C" w:rsidRPr="002A7673" w:rsidRDefault="0085505C" w:rsidP="0085505C">
      <w:pPr>
        <w:spacing w:after="0" w:line="240" w:lineRule="auto"/>
        <w:ind w:left="851" w:right="851" w:firstLine="709"/>
        <w:jc w:val="both"/>
        <w:rPr>
          <w:rFonts w:ascii="Times New Roman" w:hAnsi="Times New Roman" w:cs="Times New Roman"/>
          <w:color w:val="000000"/>
          <w:sz w:val="26"/>
          <w:szCs w:val="26"/>
        </w:rPr>
      </w:pPr>
    </w:p>
    <w:p w14:paraId="28A8241A" w14:textId="77777777" w:rsidR="0085505C" w:rsidRPr="002A7673" w:rsidRDefault="0085505C" w:rsidP="0085505C">
      <w:pPr>
        <w:spacing w:after="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 xml:space="preserve">Según indicó la Licda. Helen Ballestero Muñoz, en 2020 se cancelaron ¢1.712.476 recurriendo a modificaciones externas para cubrir dicho monto y, sin embargo, quedaron pendientes algunos mantenimientos. </w:t>
      </w:r>
    </w:p>
    <w:p w14:paraId="557DC832"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5575FC55" w14:textId="77777777" w:rsidR="0085505C" w:rsidRPr="002A7673" w:rsidRDefault="0085505C" w:rsidP="00FF3FAC">
      <w:pPr>
        <w:numPr>
          <w:ilvl w:val="0"/>
          <w:numId w:val="63"/>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Subpartida 20402 Repuestos y Accesorios</w:t>
      </w:r>
    </w:p>
    <w:p w14:paraId="2A5E1E60"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p>
    <w:p w14:paraId="77C00603"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r w:rsidRPr="002A7673">
        <w:rPr>
          <w:rFonts w:ascii="Times New Roman" w:hAnsi="Times New Roman" w:cs="Times New Roman"/>
          <w:bCs/>
          <w:sz w:val="26"/>
          <w:szCs w:val="26"/>
        </w:rPr>
        <w:t xml:space="preserve">En esta subpartida se muestra un aumento del 23% que corresponde a ¢4,256,574 con respecto al 2021, la justificación de este incremento se debe a la necesidad de la oficina de adquirir 12 llantas y 2 baterías para alguno de los vehículos de los que cuenta la Oficina. Además, para la adquisición de repuestos necesarios para el buen funcionamiento de los vehículos.   </w:t>
      </w:r>
    </w:p>
    <w:p w14:paraId="1CB3A9B0"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p>
    <w:p w14:paraId="33817D82" w14:textId="77777777" w:rsidR="0085505C" w:rsidRPr="002A7673" w:rsidRDefault="0085505C" w:rsidP="00FF3FAC">
      <w:pPr>
        <w:numPr>
          <w:ilvl w:val="0"/>
          <w:numId w:val="63"/>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Subpartidas:</w:t>
      </w:r>
    </w:p>
    <w:p w14:paraId="09B8C364"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b/>
          <w:sz w:val="26"/>
          <w:szCs w:val="26"/>
          <w:lang w:val="es-ES" w:eastAsia="es-ES"/>
        </w:rPr>
      </w:pPr>
    </w:p>
    <w:p w14:paraId="102C7AAB" w14:textId="77777777" w:rsidR="0085505C" w:rsidRPr="002A7673" w:rsidRDefault="0085505C" w:rsidP="00FF3FAC">
      <w:pPr>
        <w:numPr>
          <w:ilvl w:val="0"/>
          <w:numId w:val="60"/>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20102 Productos farmacéuticos y medicinales, </w:t>
      </w:r>
      <w:r w:rsidRPr="002A7673">
        <w:rPr>
          <w:rFonts w:ascii="Times New Roman" w:eastAsia="Times New Roman" w:hAnsi="Times New Roman" w:cs="Times New Roman"/>
          <w:bCs/>
          <w:sz w:val="26"/>
          <w:szCs w:val="26"/>
          <w:lang w:val="es-ES" w:eastAsia="es-ES"/>
        </w:rPr>
        <w:t>presenta un incremento del 396% que corresponde a ¢1,728,127 con respecto al 2021.</w:t>
      </w:r>
    </w:p>
    <w:p w14:paraId="156AB376" w14:textId="77777777" w:rsidR="0085505C" w:rsidRPr="002A7673" w:rsidRDefault="0085505C" w:rsidP="00FF3FAC">
      <w:pPr>
        <w:numPr>
          <w:ilvl w:val="0"/>
          <w:numId w:val="60"/>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29905 Útiles y materiales de limpieza</w:t>
      </w:r>
      <w:r w:rsidRPr="002A7673">
        <w:rPr>
          <w:rFonts w:ascii="Times New Roman" w:eastAsia="Times New Roman" w:hAnsi="Times New Roman" w:cs="Times New Roman"/>
          <w:bCs/>
          <w:sz w:val="26"/>
          <w:szCs w:val="26"/>
          <w:lang w:val="es-ES" w:eastAsia="es-ES"/>
        </w:rPr>
        <w:t>, presenta un incremento de 78% que corresponde a ¢3,908,245 con respecto al 2021.</w:t>
      </w:r>
    </w:p>
    <w:p w14:paraId="39737854" w14:textId="77777777" w:rsidR="0085505C" w:rsidRPr="002A7673" w:rsidRDefault="0085505C" w:rsidP="00FF3FAC">
      <w:pPr>
        <w:numPr>
          <w:ilvl w:val="0"/>
          <w:numId w:val="60"/>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29905 Útiles y materiales de resguardo y seguridad</w:t>
      </w:r>
      <w:r w:rsidRPr="002A7673">
        <w:rPr>
          <w:rFonts w:ascii="Times New Roman" w:eastAsia="Times New Roman" w:hAnsi="Times New Roman" w:cs="Times New Roman"/>
          <w:bCs/>
          <w:sz w:val="26"/>
          <w:szCs w:val="26"/>
          <w:lang w:val="es-ES" w:eastAsia="es-ES"/>
        </w:rPr>
        <w:t>, presenta un incremento del 72% que corresponde a 14,959,930 con respecto al 2021.</w:t>
      </w:r>
    </w:p>
    <w:p w14:paraId="1DDC0CC7"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p>
    <w:p w14:paraId="1DE2F51A"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r w:rsidRPr="002A7673">
        <w:rPr>
          <w:rFonts w:ascii="Times New Roman" w:hAnsi="Times New Roman" w:cs="Times New Roman"/>
          <w:bCs/>
          <w:sz w:val="26"/>
          <w:szCs w:val="26"/>
        </w:rPr>
        <w:t xml:space="preserve">El incremento en estas subpartidas se da principalmente por los artículos relacionados con la prevención y atención de la pandemia, entre los que se requieren están los artículos de limpieza (jabón, cloro, desinfectante), solución alcohólica en diferentes presentaciones, mascarillas y caretas protectoras de policarbonato entre otros. </w:t>
      </w:r>
    </w:p>
    <w:p w14:paraId="26E1B2E0"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3B97F957" w14:textId="77777777" w:rsidR="0085505C" w:rsidRPr="002A7673" w:rsidRDefault="0085505C" w:rsidP="00FF3FAC">
      <w:pPr>
        <w:numPr>
          <w:ilvl w:val="0"/>
          <w:numId w:val="63"/>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Subpartidas relacionadas con la atención de necesidades básicas de las personas usuarias del Servicio de Atención y Protección.</w:t>
      </w:r>
    </w:p>
    <w:p w14:paraId="504560C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09DF0B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Un tema relevante en el Servicio de Atención y Protección de Víctimas y Testigos, son las ayudas económicas, estas por la naturaleza del programa son necesarias para la atención de servicios básicos de las personas que requieren los servicios de protección.  Cuando una persona se acoge a una medida de protección, la oficina está en la obligación de brindar al afectado los insumos para cubrir sus necesidades básicas. A continuación, se detallan los recursos solicitados para este fin para el 2022: </w:t>
      </w:r>
    </w:p>
    <w:p w14:paraId="16291240" w14:textId="77777777" w:rsidR="0085505C" w:rsidRPr="002A7673" w:rsidRDefault="0085505C" w:rsidP="0085505C">
      <w:pPr>
        <w:spacing w:after="0" w:line="360" w:lineRule="auto"/>
        <w:rPr>
          <w:rFonts w:ascii="Times New Roman" w:hAnsi="Times New Roman" w:cs="Times New Roman"/>
        </w:rPr>
      </w:pPr>
    </w:p>
    <w:tbl>
      <w:tblPr>
        <w:tblW w:w="5000" w:type="pct"/>
        <w:tblCellMar>
          <w:left w:w="70" w:type="dxa"/>
          <w:right w:w="70" w:type="dxa"/>
        </w:tblCellMar>
        <w:tblLook w:val="04A0" w:firstRow="1" w:lastRow="0" w:firstColumn="1" w:lastColumn="0" w:noHBand="0" w:noVBand="1"/>
      </w:tblPr>
      <w:tblGrid>
        <w:gridCol w:w="1859"/>
        <w:gridCol w:w="4088"/>
        <w:gridCol w:w="2255"/>
        <w:gridCol w:w="1466"/>
      </w:tblGrid>
      <w:tr w:rsidR="0085505C" w:rsidRPr="002A7673" w14:paraId="6684C3BA" w14:textId="77777777" w:rsidTr="0048334E">
        <w:trPr>
          <w:trHeight w:val="384"/>
        </w:trPr>
        <w:tc>
          <w:tcPr>
            <w:tcW w:w="5000" w:type="pct"/>
            <w:gridSpan w:val="4"/>
            <w:tcBorders>
              <w:top w:val="nil"/>
              <w:left w:val="nil"/>
              <w:bottom w:val="single" w:sz="8" w:space="0" w:color="auto"/>
              <w:right w:val="nil"/>
            </w:tcBorders>
            <w:shd w:val="clear" w:color="auto" w:fill="auto"/>
            <w:noWrap/>
            <w:vAlign w:val="center"/>
            <w:hideMark/>
          </w:tcPr>
          <w:p w14:paraId="40ADCC56"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sz w:val="24"/>
                <w:szCs w:val="24"/>
                <w:lang w:eastAsia="es-CR"/>
              </w:rPr>
              <w:lastRenderedPageBreak/>
              <w:t xml:space="preserve">DETALLE DE AYUDAS ECONÓMICAS </w:t>
            </w:r>
          </w:p>
        </w:tc>
      </w:tr>
      <w:tr w:rsidR="0085505C" w:rsidRPr="002A7673" w14:paraId="1D31DD1D" w14:textId="77777777" w:rsidTr="0048334E">
        <w:trPr>
          <w:trHeight w:val="588"/>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0E559129"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sz w:val="24"/>
                <w:szCs w:val="24"/>
                <w:lang w:eastAsia="es-CR"/>
              </w:rPr>
              <w:t>N° DE SUBPARTIDA</w:t>
            </w:r>
          </w:p>
        </w:tc>
        <w:tc>
          <w:tcPr>
            <w:tcW w:w="2114" w:type="pct"/>
            <w:tcBorders>
              <w:top w:val="nil"/>
              <w:left w:val="nil"/>
              <w:bottom w:val="single" w:sz="8" w:space="0" w:color="auto"/>
              <w:right w:val="single" w:sz="8" w:space="0" w:color="auto"/>
            </w:tcBorders>
            <w:shd w:val="clear" w:color="auto" w:fill="auto"/>
            <w:noWrap/>
            <w:vAlign w:val="center"/>
            <w:hideMark/>
          </w:tcPr>
          <w:p w14:paraId="03AE9C87"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sz w:val="24"/>
                <w:szCs w:val="24"/>
                <w:lang w:eastAsia="es-CR"/>
              </w:rPr>
              <w:t>NOMBRE SUBPARTIDA</w:t>
            </w:r>
          </w:p>
        </w:tc>
        <w:tc>
          <w:tcPr>
            <w:tcW w:w="1166" w:type="pct"/>
            <w:tcBorders>
              <w:top w:val="nil"/>
              <w:left w:val="nil"/>
              <w:bottom w:val="single" w:sz="8" w:space="0" w:color="auto"/>
              <w:right w:val="single" w:sz="8" w:space="0" w:color="auto"/>
            </w:tcBorders>
            <w:shd w:val="clear" w:color="auto" w:fill="auto"/>
            <w:noWrap/>
            <w:vAlign w:val="center"/>
            <w:hideMark/>
          </w:tcPr>
          <w:p w14:paraId="5CB79738"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sz w:val="24"/>
                <w:szCs w:val="24"/>
                <w:lang w:eastAsia="es-CR"/>
              </w:rPr>
              <w:t>ARTÍCULO</w:t>
            </w:r>
          </w:p>
        </w:tc>
        <w:tc>
          <w:tcPr>
            <w:tcW w:w="758" w:type="pct"/>
            <w:tcBorders>
              <w:top w:val="nil"/>
              <w:left w:val="nil"/>
              <w:bottom w:val="single" w:sz="8" w:space="0" w:color="auto"/>
              <w:right w:val="single" w:sz="8" w:space="0" w:color="auto"/>
            </w:tcBorders>
            <w:shd w:val="clear" w:color="auto" w:fill="auto"/>
            <w:noWrap/>
            <w:vAlign w:val="center"/>
            <w:hideMark/>
          </w:tcPr>
          <w:p w14:paraId="0A3137AF"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sz w:val="24"/>
                <w:szCs w:val="24"/>
                <w:lang w:eastAsia="es-CR"/>
              </w:rPr>
              <w:t>TOTAL</w:t>
            </w:r>
          </w:p>
        </w:tc>
      </w:tr>
      <w:tr w:rsidR="0085505C" w:rsidRPr="002A7673" w14:paraId="467D2CB3" w14:textId="77777777" w:rsidTr="0048334E">
        <w:trPr>
          <w:trHeight w:val="234"/>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1CFC5F47"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10304</w:t>
            </w:r>
          </w:p>
        </w:tc>
        <w:tc>
          <w:tcPr>
            <w:tcW w:w="2114" w:type="pct"/>
            <w:tcBorders>
              <w:top w:val="nil"/>
              <w:left w:val="nil"/>
              <w:bottom w:val="single" w:sz="8" w:space="0" w:color="auto"/>
              <w:right w:val="single" w:sz="8" w:space="0" w:color="auto"/>
            </w:tcBorders>
            <w:shd w:val="clear" w:color="auto" w:fill="auto"/>
            <w:vAlign w:val="center"/>
            <w:hideMark/>
          </w:tcPr>
          <w:p w14:paraId="18DFF40C"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Transporte de bienes</w:t>
            </w:r>
          </w:p>
        </w:tc>
        <w:tc>
          <w:tcPr>
            <w:tcW w:w="1166" w:type="pct"/>
            <w:tcBorders>
              <w:top w:val="nil"/>
              <w:left w:val="nil"/>
              <w:bottom w:val="single" w:sz="8" w:space="0" w:color="auto"/>
              <w:right w:val="single" w:sz="8" w:space="0" w:color="auto"/>
            </w:tcBorders>
            <w:shd w:val="clear" w:color="auto" w:fill="auto"/>
            <w:vAlign w:val="center"/>
            <w:hideMark/>
          </w:tcPr>
          <w:p w14:paraId="62A22E40"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Menaje</w:t>
            </w:r>
          </w:p>
        </w:tc>
        <w:tc>
          <w:tcPr>
            <w:tcW w:w="758" w:type="pct"/>
            <w:tcBorders>
              <w:top w:val="nil"/>
              <w:left w:val="nil"/>
              <w:bottom w:val="single" w:sz="8" w:space="0" w:color="auto"/>
              <w:right w:val="single" w:sz="8" w:space="0" w:color="auto"/>
            </w:tcBorders>
            <w:shd w:val="clear" w:color="auto" w:fill="auto"/>
            <w:vAlign w:val="center"/>
            <w:hideMark/>
          </w:tcPr>
          <w:p w14:paraId="02D52871"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12,740,000 </w:t>
            </w:r>
          </w:p>
        </w:tc>
      </w:tr>
      <w:tr w:rsidR="0085505C" w:rsidRPr="002A7673" w14:paraId="61533A85" w14:textId="77777777" w:rsidTr="0048334E">
        <w:trPr>
          <w:trHeight w:val="326"/>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4B28AAF7"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10401</w:t>
            </w:r>
          </w:p>
        </w:tc>
        <w:tc>
          <w:tcPr>
            <w:tcW w:w="2114" w:type="pct"/>
            <w:tcBorders>
              <w:top w:val="nil"/>
              <w:left w:val="nil"/>
              <w:bottom w:val="single" w:sz="8" w:space="0" w:color="auto"/>
              <w:right w:val="single" w:sz="8" w:space="0" w:color="auto"/>
            </w:tcBorders>
            <w:shd w:val="clear" w:color="auto" w:fill="auto"/>
            <w:vAlign w:val="center"/>
            <w:hideMark/>
          </w:tcPr>
          <w:p w14:paraId="7233B1B3"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Servicios en ciencias de la salud</w:t>
            </w:r>
          </w:p>
        </w:tc>
        <w:tc>
          <w:tcPr>
            <w:tcW w:w="1166" w:type="pct"/>
            <w:tcBorders>
              <w:top w:val="nil"/>
              <w:left w:val="nil"/>
              <w:bottom w:val="single" w:sz="8" w:space="0" w:color="auto"/>
              <w:right w:val="single" w:sz="8" w:space="0" w:color="auto"/>
            </w:tcBorders>
            <w:shd w:val="clear" w:color="auto" w:fill="auto"/>
            <w:vAlign w:val="center"/>
            <w:hideMark/>
          </w:tcPr>
          <w:p w14:paraId="4435166A"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Servicio Médico</w:t>
            </w:r>
          </w:p>
        </w:tc>
        <w:tc>
          <w:tcPr>
            <w:tcW w:w="758" w:type="pct"/>
            <w:tcBorders>
              <w:top w:val="nil"/>
              <w:left w:val="nil"/>
              <w:bottom w:val="single" w:sz="8" w:space="0" w:color="auto"/>
              <w:right w:val="single" w:sz="8" w:space="0" w:color="auto"/>
            </w:tcBorders>
            <w:shd w:val="clear" w:color="auto" w:fill="auto"/>
            <w:vAlign w:val="center"/>
            <w:hideMark/>
          </w:tcPr>
          <w:p w14:paraId="43A9BA0C"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80,000 </w:t>
            </w:r>
          </w:p>
        </w:tc>
      </w:tr>
      <w:tr w:rsidR="0085505C" w:rsidRPr="002A7673" w14:paraId="7EBB6A30"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50F8EA30"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10501</w:t>
            </w:r>
          </w:p>
        </w:tc>
        <w:tc>
          <w:tcPr>
            <w:tcW w:w="2114" w:type="pct"/>
            <w:tcBorders>
              <w:top w:val="nil"/>
              <w:left w:val="nil"/>
              <w:bottom w:val="single" w:sz="8" w:space="0" w:color="auto"/>
              <w:right w:val="single" w:sz="8" w:space="0" w:color="auto"/>
            </w:tcBorders>
            <w:shd w:val="clear" w:color="auto" w:fill="auto"/>
            <w:vAlign w:val="center"/>
            <w:hideMark/>
          </w:tcPr>
          <w:p w14:paraId="783D2686"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Transporte dentro del país</w:t>
            </w:r>
          </w:p>
        </w:tc>
        <w:tc>
          <w:tcPr>
            <w:tcW w:w="1166" w:type="pct"/>
            <w:tcBorders>
              <w:top w:val="nil"/>
              <w:left w:val="nil"/>
              <w:bottom w:val="single" w:sz="8" w:space="0" w:color="auto"/>
              <w:right w:val="single" w:sz="8" w:space="0" w:color="auto"/>
            </w:tcBorders>
            <w:shd w:val="clear" w:color="auto" w:fill="auto"/>
            <w:vAlign w:val="center"/>
            <w:hideMark/>
          </w:tcPr>
          <w:p w14:paraId="5CFBE2E1"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Servicio Transporte</w:t>
            </w:r>
          </w:p>
        </w:tc>
        <w:tc>
          <w:tcPr>
            <w:tcW w:w="758" w:type="pct"/>
            <w:tcBorders>
              <w:top w:val="nil"/>
              <w:left w:val="nil"/>
              <w:bottom w:val="single" w:sz="8" w:space="0" w:color="auto"/>
              <w:right w:val="single" w:sz="8" w:space="0" w:color="auto"/>
            </w:tcBorders>
            <w:shd w:val="clear" w:color="auto" w:fill="auto"/>
            <w:vAlign w:val="center"/>
            <w:hideMark/>
          </w:tcPr>
          <w:p w14:paraId="463BC9D9"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250,000 </w:t>
            </w:r>
          </w:p>
        </w:tc>
      </w:tr>
      <w:tr w:rsidR="0085505C" w:rsidRPr="002A7673" w14:paraId="45450231"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76E5A3E7"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10502</w:t>
            </w:r>
          </w:p>
        </w:tc>
        <w:tc>
          <w:tcPr>
            <w:tcW w:w="2114" w:type="pct"/>
            <w:tcBorders>
              <w:top w:val="nil"/>
              <w:left w:val="nil"/>
              <w:bottom w:val="single" w:sz="8" w:space="0" w:color="auto"/>
              <w:right w:val="single" w:sz="8" w:space="0" w:color="auto"/>
            </w:tcBorders>
            <w:shd w:val="clear" w:color="auto" w:fill="auto"/>
            <w:vAlign w:val="center"/>
            <w:hideMark/>
          </w:tcPr>
          <w:p w14:paraId="62CDC77B"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Viáticos dentro del país</w:t>
            </w:r>
          </w:p>
        </w:tc>
        <w:tc>
          <w:tcPr>
            <w:tcW w:w="1166" w:type="pct"/>
            <w:tcBorders>
              <w:top w:val="nil"/>
              <w:left w:val="nil"/>
              <w:bottom w:val="single" w:sz="8" w:space="0" w:color="auto"/>
              <w:right w:val="single" w:sz="8" w:space="0" w:color="auto"/>
            </w:tcBorders>
            <w:shd w:val="clear" w:color="auto" w:fill="auto"/>
            <w:vAlign w:val="center"/>
            <w:hideMark/>
          </w:tcPr>
          <w:p w14:paraId="0B6AAF8D"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Viáticos</w:t>
            </w:r>
          </w:p>
        </w:tc>
        <w:tc>
          <w:tcPr>
            <w:tcW w:w="758" w:type="pct"/>
            <w:tcBorders>
              <w:top w:val="nil"/>
              <w:left w:val="nil"/>
              <w:bottom w:val="single" w:sz="8" w:space="0" w:color="auto"/>
              <w:right w:val="single" w:sz="8" w:space="0" w:color="auto"/>
            </w:tcBorders>
            <w:shd w:val="clear" w:color="auto" w:fill="auto"/>
            <w:vAlign w:val="center"/>
            <w:hideMark/>
          </w:tcPr>
          <w:p w14:paraId="16DD5CFD"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82,650,000 </w:t>
            </w:r>
          </w:p>
        </w:tc>
      </w:tr>
      <w:tr w:rsidR="0085505C" w:rsidRPr="002A7673" w14:paraId="0F1B42A4"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0371F90E"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20102</w:t>
            </w:r>
          </w:p>
        </w:tc>
        <w:tc>
          <w:tcPr>
            <w:tcW w:w="2114" w:type="pct"/>
            <w:tcBorders>
              <w:top w:val="nil"/>
              <w:left w:val="nil"/>
              <w:bottom w:val="single" w:sz="8" w:space="0" w:color="auto"/>
              <w:right w:val="single" w:sz="8" w:space="0" w:color="auto"/>
            </w:tcBorders>
            <w:shd w:val="clear" w:color="auto" w:fill="auto"/>
            <w:vAlign w:val="center"/>
            <w:hideMark/>
          </w:tcPr>
          <w:p w14:paraId="466C4D1A"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Productos farmacéuticos y medicinales</w:t>
            </w:r>
          </w:p>
        </w:tc>
        <w:tc>
          <w:tcPr>
            <w:tcW w:w="1166" w:type="pct"/>
            <w:tcBorders>
              <w:top w:val="nil"/>
              <w:left w:val="nil"/>
              <w:bottom w:val="single" w:sz="8" w:space="0" w:color="auto"/>
              <w:right w:val="single" w:sz="8" w:space="0" w:color="auto"/>
            </w:tcBorders>
            <w:shd w:val="clear" w:color="auto" w:fill="auto"/>
            <w:vAlign w:val="center"/>
            <w:hideMark/>
          </w:tcPr>
          <w:p w14:paraId="43D6AF11"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Productos Medicinales</w:t>
            </w:r>
          </w:p>
        </w:tc>
        <w:tc>
          <w:tcPr>
            <w:tcW w:w="758" w:type="pct"/>
            <w:tcBorders>
              <w:top w:val="nil"/>
              <w:left w:val="nil"/>
              <w:bottom w:val="single" w:sz="8" w:space="0" w:color="auto"/>
              <w:right w:val="single" w:sz="8" w:space="0" w:color="auto"/>
            </w:tcBorders>
            <w:shd w:val="clear" w:color="auto" w:fill="auto"/>
            <w:vAlign w:val="center"/>
            <w:hideMark/>
          </w:tcPr>
          <w:p w14:paraId="1E070A1A"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350,000 </w:t>
            </w:r>
          </w:p>
        </w:tc>
      </w:tr>
      <w:tr w:rsidR="0085505C" w:rsidRPr="002A7673" w14:paraId="7263BCDA"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23D85416"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20203</w:t>
            </w:r>
          </w:p>
        </w:tc>
        <w:tc>
          <w:tcPr>
            <w:tcW w:w="2114" w:type="pct"/>
            <w:tcBorders>
              <w:top w:val="nil"/>
              <w:left w:val="nil"/>
              <w:bottom w:val="single" w:sz="8" w:space="0" w:color="auto"/>
              <w:right w:val="single" w:sz="8" w:space="0" w:color="auto"/>
            </w:tcBorders>
            <w:shd w:val="clear" w:color="auto" w:fill="auto"/>
            <w:vAlign w:val="center"/>
            <w:hideMark/>
          </w:tcPr>
          <w:p w14:paraId="3D1EA6E9"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Alimentos y bebidas</w:t>
            </w:r>
          </w:p>
        </w:tc>
        <w:tc>
          <w:tcPr>
            <w:tcW w:w="1166" w:type="pct"/>
            <w:tcBorders>
              <w:top w:val="nil"/>
              <w:left w:val="nil"/>
              <w:bottom w:val="single" w:sz="8" w:space="0" w:color="auto"/>
              <w:right w:val="single" w:sz="8" w:space="0" w:color="auto"/>
            </w:tcBorders>
            <w:shd w:val="clear" w:color="auto" w:fill="auto"/>
            <w:vAlign w:val="center"/>
            <w:hideMark/>
          </w:tcPr>
          <w:p w14:paraId="5BF60718"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Alimentos y Bebidas</w:t>
            </w:r>
          </w:p>
        </w:tc>
        <w:tc>
          <w:tcPr>
            <w:tcW w:w="758" w:type="pct"/>
            <w:tcBorders>
              <w:top w:val="nil"/>
              <w:left w:val="nil"/>
              <w:bottom w:val="single" w:sz="8" w:space="0" w:color="auto"/>
              <w:right w:val="single" w:sz="8" w:space="0" w:color="auto"/>
            </w:tcBorders>
            <w:shd w:val="clear" w:color="auto" w:fill="auto"/>
            <w:vAlign w:val="center"/>
            <w:hideMark/>
          </w:tcPr>
          <w:p w14:paraId="087B0461"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16,000,000 </w:t>
            </w:r>
          </w:p>
        </w:tc>
      </w:tr>
      <w:tr w:rsidR="0085505C" w:rsidRPr="002A7673" w14:paraId="4BCE9307"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7750D933"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29902</w:t>
            </w:r>
          </w:p>
        </w:tc>
        <w:tc>
          <w:tcPr>
            <w:tcW w:w="2114" w:type="pct"/>
            <w:tcBorders>
              <w:top w:val="nil"/>
              <w:left w:val="nil"/>
              <w:bottom w:val="single" w:sz="8" w:space="0" w:color="auto"/>
              <w:right w:val="single" w:sz="8" w:space="0" w:color="auto"/>
            </w:tcBorders>
            <w:shd w:val="clear" w:color="auto" w:fill="auto"/>
            <w:vAlign w:val="center"/>
            <w:hideMark/>
          </w:tcPr>
          <w:p w14:paraId="73A969D8"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Útiles y </w:t>
            </w:r>
            <w:proofErr w:type="spellStart"/>
            <w:r w:rsidRPr="002A7673">
              <w:rPr>
                <w:rFonts w:ascii="Times New Roman" w:hAnsi="Times New Roman" w:cs="Times New Roman"/>
                <w:sz w:val="24"/>
                <w:szCs w:val="24"/>
                <w:lang w:eastAsia="es-CR"/>
              </w:rPr>
              <w:t>mat.</w:t>
            </w:r>
            <w:proofErr w:type="spellEnd"/>
            <w:r w:rsidRPr="002A7673">
              <w:rPr>
                <w:rFonts w:ascii="Times New Roman" w:hAnsi="Times New Roman" w:cs="Times New Roman"/>
                <w:sz w:val="24"/>
                <w:szCs w:val="24"/>
                <w:lang w:eastAsia="es-CR"/>
              </w:rPr>
              <w:t xml:space="preserve"> médicos, </w:t>
            </w:r>
            <w:proofErr w:type="spellStart"/>
            <w:proofErr w:type="gramStart"/>
            <w:r w:rsidRPr="002A7673">
              <w:rPr>
                <w:rFonts w:ascii="Times New Roman" w:hAnsi="Times New Roman" w:cs="Times New Roman"/>
                <w:sz w:val="24"/>
                <w:szCs w:val="24"/>
                <w:lang w:eastAsia="es-CR"/>
              </w:rPr>
              <w:t>hosp.y</w:t>
            </w:r>
            <w:proofErr w:type="spellEnd"/>
            <w:proofErr w:type="gramEnd"/>
            <w:r w:rsidRPr="002A7673">
              <w:rPr>
                <w:rFonts w:ascii="Times New Roman" w:hAnsi="Times New Roman" w:cs="Times New Roman"/>
                <w:sz w:val="24"/>
                <w:szCs w:val="24"/>
                <w:lang w:eastAsia="es-CR"/>
              </w:rPr>
              <w:t xml:space="preserve"> de </w:t>
            </w:r>
            <w:proofErr w:type="spellStart"/>
            <w:r w:rsidRPr="002A7673">
              <w:rPr>
                <w:rFonts w:ascii="Times New Roman" w:hAnsi="Times New Roman" w:cs="Times New Roman"/>
                <w:sz w:val="24"/>
                <w:szCs w:val="24"/>
                <w:lang w:eastAsia="es-CR"/>
              </w:rPr>
              <w:t>investig</w:t>
            </w:r>
            <w:proofErr w:type="spellEnd"/>
            <w:r w:rsidRPr="002A7673">
              <w:rPr>
                <w:rFonts w:ascii="Times New Roman" w:hAnsi="Times New Roman" w:cs="Times New Roman"/>
                <w:sz w:val="24"/>
                <w:szCs w:val="24"/>
                <w:lang w:eastAsia="es-CR"/>
              </w:rPr>
              <w:t>.</w:t>
            </w:r>
          </w:p>
        </w:tc>
        <w:tc>
          <w:tcPr>
            <w:tcW w:w="1166" w:type="pct"/>
            <w:tcBorders>
              <w:top w:val="nil"/>
              <w:left w:val="nil"/>
              <w:bottom w:val="single" w:sz="8" w:space="0" w:color="auto"/>
              <w:right w:val="single" w:sz="8" w:space="0" w:color="auto"/>
            </w:tcBorders>
            <w:shd w:val="clear" w:color="auto" w:fill="auto"/>
            <w:vAlign w:val="center"/>
            <w:hideMark/>
          </w:tcPr>
          <w:p w14:paraId="454E6819"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Artículo Médico</w:t>
            </w:r>
          </w:p>
        </w:tc>
        <w:tc>
          <w:tcPr>
            <w:tcW w:w="758" w:type="pct"/>
            <w:tcBorders>
              <w:top w:val="nil"/>
              <w:left w:val="nil"/>
              <w:bottom w:val="single" w:sz="8" w:space="0" w:color="auto"/>
              <w:right w:val="single" w:sz="8" w:space="0" w:color="auto"/>
            </w:tcBorders>
            <w:shd w:val="clear" w:color="auto" w:fill="auto"/>
            <w:vAlign w:val="center"/>
            <w:hideMark/>
          </w:tcPr>
          <w:p w14:paraId="6BFC5ED2"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80,000 </w:t>
            </w:r>
          </w:p>
        </w:tc>
      </w:tr>
      <w:tr w:rsidR="0085505C" w:rsidRPr="002A7673" w14:paraId="47D0E9B5"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4EEB4D62"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29903</w:t>
            </w:r>
          </w:p>
        </w:tc>
        <w:tc>
          <w:tcPr>
            <w:tcW w:w="2114" w:type="pct"/>
            <w:tcBorders>
              <w:top w:val="nil"/>
              <w:left w:val="nil"/>
              <w:bottom w:val="single" w:sz="8" w:space="0" w:color="auto"/>
              <w:right w:val="single" w:sz="8" w:space="0" w:color="auto"/>
            </w:tcBorders>
            <w:shd w:val="clear" w:color="auto" w:fill="auto"/>
            <w:vAlign w:val="center"/>
            <w:hideMark/>
          </w:tcPr>
          <w:p w14:paraId="34047A46"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Productos de papel, cartón e impresos</w:t>
            </w:r>
          </w:p>
        </w:tc>
        <w:tc>
          <w:tcPr>
            <w:tcW w:w="1166" w:type="pct"/>
            <w:tcBorders>
              <w:top w:val="nil"/>
              <w:left w:val="nil"/>
              <w:bottom w:val="single" w:sz="8" w:space="0" w:color="auto"/>
              <w:right w:val="single" w:sz="8" w:space="0" w:color="auto"/>
            </w:tcBorders>
            <w:shd w:val="clear" w:color="auto" w:fill="auto"/>
            <w:vAlign w:val="center"/>
            <w:hideMark/>
          </w:tcPr>
          <w:p w14:paraId="2AD3A8D2"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Productos de Papel</w:t>
            </w:r>
          </w:p>
        </w:tc>
        <w:tc>
          <w:tcPr>
            <w:tcW w:w="758" w:type="pct"/>
            <w:tcBorders>
              <w:top w:val="nil"/>
              <w:left w:val="nil"/>
              <w:bottom w:val="single" w:sz="8" w:space="0" w:color="auto"/>
              <w:right w:val="single" w:sz="8" w:space="0" w:color="auto"/>
            </w:tcBorders>
            <w:shd w:val="clear" w:color="auto" w:fill="auto"/>
            <w:vAlign w:val="center"/>
            <w:hideMark/>
          </w:tcPr>
          <w:p w14:paraId="15004E84"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120,000 </w:t>
            </w:r>
          </w:p>
        </w:tc>
      </w:tr>
      <w:tr w:rsidR="0085505C" w:rsidRPr="002A7673" w14:paraId="1BAB4D88"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34A290BB"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29904</w:t>
            </w:r>
          </w:p>
        </w:tc>
        <w:tc>
          <w:tcPr>
            <w:tcW w:w="2114" w:type="pct"/>
            <w:tcBorders>
              <w:top w:val="nil"/>
              <w:left w:val="nil"/>
              <w:bottom w:val="single" w:sz="8" w:space="0" w:color="auto"/>
              <w:right w:val="single" w:sz="8" w:space="0" w:color="auto"/>
            </w:tcBorders>
            <w:shd w:val="clear" w:color="auto" w:fill="auto"/>
            <w:vAlign w:val="center"/>
            <w:hideMark/>
          </w:tcPr>
          <w:p w14:paraId="5B9736D1"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Textiles y vestuario</w:t>
            </w:r>
          </w:p>
        </w:tc>
        <w:tc>
          <w:tcPr>
            <w:tcW w:w="1166" w:type="pct"/>
            <w:tcBorders>
              <w:top w:val="nil"/>
              <w:left w:val="nil"/>
              <w:bottom w:val="single" w:sz="8" w:space="0" w:color="auto"/>
              <w:right w:val="single" w:sz="8" w:space="0" w:color="auto"/>
            </w:tcBorders>
            <w:shd w:val="clear" w:color="auto" w:fill="auto"/>
            <w:vAlign w:val="center"/>
            <w:hideMark/>
          </w:tcPr>
          <w:p w14:paraId="531EC472"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Textiles</w:t>
            </w:r>
          </w:p>
        </w:tc>
        <w:tc>
          <w:tcPr>
            <w:tcW w:w="758" w:type="pct"/>
            <w:tcBorders>
              <w:top w:val="nil"/>
              <w:left w:val="nil"/>
              <w:bottom w:val="single" w:sz="8" w:space="0" w:color="auto"/>
              <w:right w:val="single" w:sz="8" w:space="0" w:color="auto"/>
            </w:tcBorders>
            <w:shd w:val="clear" w:color="auto" w:fill="auto"/>
            <w:vAlign w:val="center"/>
            <w:hideMark/>
          </w:tcPr>
          <w:p w14:paraId="5E631F0E"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400,000 </w:t>
            </w:r>
          </w:p>
        </w:tc>
      </w:tr>
      <w:tr w:rsidR="0085505C" w:rsidRPr="002A7673" w14:paraId="206140F2"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15CA0E09"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29905</w:t>
            </w:r>
          </w:p>
        </w:tc>
        <w:tc>
          <w:tcPr>
            <w:tcW w:w="2114" w:type="pct"/>
            <w:tcBorders>
              <w:top w:val="nil"/>
              <w:left w:val="nil"/>
              <w:bottom w:val="single" w:sz="8" w:space="0" w:color="auto"/>
              <w:right w:val="single" w:sz="8" w:space="0" w:color="auto"/>
            </w:tcBorders>
            <w:shd w:val="clear" w:color="auto" w:fill="auto"/>
            <w:vAlign w:val="center"/>
            <w:hideMark/>
          </w:tcPr>
          <w:p w14:paraId="03892885"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Útiles y materiales de limpieza</w:t>
            </w:r>
          </w:p>
        </w:tc>
        <w:tc>
          <w:tcPr>
            <w:tcW w:w="1166" w:type="pct"/>
            <w:tcBorders>
              <w:top w:val="nil"/>
              <w:left w:val="nil"/>
              <w:bottom w:val="single" w:sz="8" w:space="0" w:color="auto"/>
              <w:right w:val="single" w:sz="8" w:space="0" w:color="auto"/>
            </w:tcBorders>
            <w:shd w:val="clear" w:color="auto" w:fill="auto"/>
            <w:vAlign w:val="center"/>
            <w:hideMark/>
          </w:tcPr>
          <w:p w14:paraId="3FE4211A"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Artículos de Limpieza</w:t>
            </w:r>
          </w:p>
        </w:tc>
        <w:tc>
          <w:tcPr>
            <w:tcW w:w="758" w:type="pct"/>
            <w:tcBorders>
              <w:top w:val="nil"/>
              <w:left w:val="nil"/>
              <w:bottom w:val="single" w:sz="8" w:space="0" w:color="auto"/>
              <w:right w:val="single" w:sz="8" w:space="0" w:color="auto"/>
            </w:tcBorders>
            <w:shd w:val="clear" w:color="auto" w:fill="auto"/>
            <w:vAlign w:val="center"/>
            <w:hideMark/>
          </w:tcPr>
          <w:p w14:paraId="2DD6B16C"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1,500,000 </w:t>
            </w:r>
          </w:p>
        </w:tc>
      </w:tr>
      <w:tr w:rsidR="0085505C" w:rsidRPr="002A7673" w14:paraId="65F2E4FA"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4E054D0B"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29907</w:t>
            </w:r>
          </w:p>
        </w:tc>
        <w:tc>
          <w:tcPr>
            <w:tcW w:w="2114" w:type="pct"/>
            <w:tcBorders>
              <w:top w:val="nil"/>
              <w:left w:val="nil"/>
              <w:bottom w:val="single" w:sz="8" w:space="0" w:color="auto"/>
              <w:right w:val="single" w:sz="8" w:space="0" w:color="auto"/>
            </w:tcBorders>
            <w:shd w:val="clear" w:color="auto" w:fill="auto"/>
            <w:vAlign w:val="center"/>
            <w:hideMark/>
          </w:tcPr>
          <w:p w14:paraId="3C6983A0"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Útiles y materiales de cocina y comedor</w:t>
            </w:r>
          </w:p>
        </w:tc>
        <w:tc>
          <w:tcPr>
            <w:tcW w:w="1166" w:type="pct"/>
            <w:tcBorders>
              <w:top w:val="nil"/>
              <w:left w:val="nil"/>
              <w:bottom w:val="single" w:sz="8" w:space="0" w:color="auto"/>
              <w:right w:val="single" w:sz="8" w:space="0" w:color="auto"/>
            </w:tcBorders>
            <w:shd w:val="clear" w:color="auto" w:fill="auto"/>
            <w:vAlign w:val="center"/>
            <w:hideMark/>
          </w:tcPr>
          <w:p w14:paraId="36EB68CB"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Materiales de Cocina</w:t>
            </w:r>
          </w:p>
        </w:tc>
        <w:tc>
          <w:tcPr>
            <w:tcW w:w="758" w:type="pct"/>
            <w:tcBorders>
              <w:top w:val="nil"/>
              <w:left w:val="nil"/>
              <w:bottom w:val="single" w:sz="8" w:space="0" w:color="auto"/>
              <w:right w:val="single" w:sz="8" w:space="0" w:color="auto"/>
            </w:tcBorders>
            <w:shd w:val="clear" w:color="auto" w:fill="auto"/>
            <w:vAlign w:val="center"/>
            <w:hideMark/>
          </w:tcPr>
          <w:p w14:paraId="001FFB28"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150,000 </w:t>
            </w:r>
          </w:p>
        </w:tc>
      </w:tr>
      <w:tr w:rsidR="0085505C" w:rsidRPr="002A7673" w14:paraId="043A9CB4" w14:textId="77777777" w:rsidTr="0048334E">
        <w:trPr>
          <w:trHeight w:val="30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3247348C"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29999</w:t>
            </w:r>
          </w:p>
        </w:tc>
        <w:tc>
          <w:tcPr>
            <w:tcW w:w="2114" w:type="pct"/>
            <w:tcBorders>
              <w:top w:val="nil"/>
              <w:left w:val="nil"/>
              <w:bottom w:val="single" w:sz="8" w:space="0" w:color="auto"/>
              <w:right w:val="single" w:sz="8" w:space="0" w:color="auto"/>
            </w:tcBorders>
            <w:shd w:val="clear" w:color="auto" w:fill="auto"/>
            <w:vAlign w:val="center"/>
            <w:hideMark/>
          </w:tcPr>
          <w:p w14:paraId="70B7AC08"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Otros útiles, </w:t>
            </w:r>
            <w:proofErr w:type="spellStart"/>
            <w:r w:rsidRPr="002A7673">
              <w:rPr>
                <w:rFonts w:ascii="Times New Roman" w:hAnsi="Times New Roman" w:cs="Times New Roman"/>
                <w:sz w:val="24"/>
                <w:szCs w:val="24"/>
                <w:lang w:eastAsia="es-CR"/>
              </w:rPr>
              <w:t>mat.</w:t>
            </w:r>
            <w:proofErr w:type="spellEnd"/>
            <w:r w:rsidRPr="002A7673">
              <w:rPr>
                <w:rFonts w:ascii="Times New Roman" w:hAnsi="Times New Roman" w:cs="Times New Roman"/>
                <w:sz w:val="24"/>
                <w:szCs w:val="24"/>
                <w:lang w:eastAsia="es-CR"/>
              </w:rPr>
              <w:t xml:space="preserve"> suministros diversos</w:t>
            </w:r>
          </w:p>
        </w:tc>
        <w:tc>
          <w:tcPr>
            <w:tcW w:w="1166" w:type="pct"/>
            <w:tcBorders>
              <w:top w:val="nil"/>
              <w:left w:val="nil"/>
              <w:bottom w:val="single" w:sz="8" w:space="0" w:color="auto"/>
              <w:right w:val="single" w:sz="8" w:space="0" w:color="auto"/>
            </w:tcBorders>
            <w:shd w:val="clear" w:color="auto" w:fill="auto"/>
            <w:vAlign w:val="center"/>
            <w:hideMark/>
          </w:tcPr>
          <w:p w14:paraId="514FB28E"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Otros Suministros</w:t>
            </w:r>
          </w:p>
        </w:tc>
        <w:tc>
          <w:tcPr>
            <w:tcW w:w="758" w:type="pct"/>
            <w:tcBorders>
              <w:top w:val="nil"/>
              <w:left w:val="nil"/>
              <w:bottom w:val="single" w:sz="8" w:space="0" w:color="auto"/>
              <w:right w:val="single" w:sz="8" w:space="0" w:color="auto"/>
            </w:tcBorders>
            <w:shd w:val="clear" w:color="auto" w:fill="auto"/>
            <w:vAlign w:val="center"/>
            <w:hideMark/>
          </w:tcPr>
          <w:p w14:paraId="7981D0F7"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xml:space="preserve">        180,000 </w:t>
            </w:r>
          </w:p>
        </w:tc>
      </w:tr>
      <w:tr w:rsidR="0085505C" w:rsidRPr="002A7673" w14:paraId="1E690153" w14:textId="77777777" w:rsidTr="0048334E">
        <w:trPr>
          <w:trHeight w:val="320"/>
        </w:trPr>
        <w:tc>
          <w:tcPr>
            <w:tcW w:w="962" w:type="pct"/>
            <w:tcBorders>
              <w:top w:val="nil"/>
              <w:left w:val="single" w:sz="8" w:space="0" w:color="auto"/>
              <w:bottom w:val="single" w:sz="8" w:space="0" w:color="auto"/>
              <w:right w:val="single" w:sz="8" w:space="0" w:color="auto"/>
            </w:tcBorders>
            <w:shd w:val="clear" w:color="auto" w:fill="auto"/>
            <w:vAlign w:val="center"/>
            <w:hideMark/>
          </w:tcPr>
          <w:p w14:paraId="579A5A5D"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w:t>
            </w:r>
          </w:p>
        </w:tc>
        <w:tc>
          <w:tcPr>
            <w:tcW w:w="2114" w:type="pct"/>
            <w:tcBorders>
              <w:top w:val="nil"/>
              <w:left w:val="nil"/>
              <w:bottom w:val="single" w:sz="8" w:space="0" w:color="auto"/>
              <w:right w:val="single" w:sz="8" w:space="0" w:color="auto"/>
            </w:tcBorders>
            <w:shd w:val="clear" w:color="auto" w:fill="auto"/>
            <w:vAlign w:val="center"/>
            <w:hideMark/>
          </w:tcPr>
          <w:p w14:paraId="57898BBC"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w:t>
            </w:r>
          </w:p>
        </w:tc>
        <w:tc>
          <w:tcPr>
            <w:tcW w:w="1166" w:type="pct"/>
            <w:tcBorders>
              <w:top w:val="nil"/>
              <w:left w:val="nil"/>
              <w:bottom w:val="single" w:sz="8" w:space="0" w:color="auto"/>
              <w:right w:val="single" w:sz="8" w:space="0" w:color="auto"/>
            </w:tcBorders>
            <w:shd w:val="clear" w:color="auto" w:fill="auto"/>
            <w:vAlign w:val="center"/>
            <w:hideMark/>
          </w:tcPr>
          <w:p w14:paraId="52C27EFE"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 </w:t>
            </w:r>
          </w:p>
        </w:tc>
        <w:tc>
          <w:tcPr>
            <w:tcW w:w="758" w:type="pct"/>
            <w:tcBorders>
              <w:top w:val="nil"/>
              <w:left w:val="nil"/>
              <w:bottom w:val="single" w:sz="8" w:space="0" w:color="auto"/>
              <w:right w:val="single" w:sz="8" w:space="0" w:color="auto"/>
            </w:tcBorders>
            <w:shd w:val="clear" w:color="auto" w:fill="auto"/>
            <w:vAlign w:val="center"/>
            <w:hideMark/>
          </w:tcPr>
          <w:p w14:paraId="0A8EABFF" w14:textId="77777777" w:rsidR="0085505C" w:rsidRPr="002A7673" w:rsidRDefault="0085505C" w:rsidP="0048334E">
            <w:pPr>
              <w:spacing w:after="0" w:line="360" w:lineRule="auto"/>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 xml:space="preserve"> 114,500,000 </w:t>
            </w:r>
          </w:p>
        </w:tc>
      </w:tr>
    </w:tbl>
    <w:p w14:paraId="3D647CA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30F1903" w14:textId="77777777" w:rsidR="0085505C" w:rsidRPr="002A7673" w:rsidRDefault="0085505C" w:rsidP="00FF3FAC">
      <w:pPr>
        <w:numPr>
          <w:ilvl w:val="0"/>
          <w:numId w:val="63"/>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 xml:space="preserve">Subpartida 90101 Gastos Confidenciales </w:t>
      </w:r>
    </w:p>
    <w:p w14:paraId="053F7C1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6F87EBFF"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Por la peculiaridad que conlleva esta subpartida es difícil calcular el monto a formular, sin embargo, la ejecución del periodo anterior es un parámetro para la solicitud de recursos, los cuales se prevén con un incremento para cubrir las necesidades del Servicio de Atención y Protección de Víctimas y Testigos. En el 2020 se formularon ¢108.150.000 y su ejecución fue del 100%; para el 2021 se formuló ¢105.987.000 y para el 2022 se formulan ¢90.000.000.</w:t>
      </w:r>
    </w:p>
    <w:p w14:paraId="4C75829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31F6C2A" w14:textId="77777777" w:rsidR="0085505C" w:rsidRPr="002A7673" w:rsidRDefault="0085505C" w:rsidP="00FF3FAC">
      <w:pPr>
        <w:numPr>
          <w:ilvl w:val="1"/>
          <w:numId w:val="62"/>
        </w:numPr>
        <w:spacing w:after="0" w:line="240" w:lineRule="auto"/>
        <w:ind w:left="851" w:right="851" w:firstLine="709"/>
        <w:jc w:val="both"/>
        <w:rPr>
          <w:rFonts w:ascii="Times New Roman" w:eastAsia="Times New Roman" w:hAnsi="Times New Roman" w:cs="Times New Roman"/>
          <w:b/>
          <w:i/>
          <w:sz w:val="26"/>
          <w:szCs w:val="26"/>
          <w:lang w:val="es-ES" w:eastAsia="es-ES"/>
        </w:rPr>
      </w:pPr>
      <w:r w:rsidRPr="002A7673">
        <w:rPr>
          <w:rFonts w:ascii="Times New Roman" w:eastAsia="Times New Roman" w:hAnsi="Times New Roman" w:cs="Times New Roman"/>
          <w:b/>
          <w:i/>
          <w:sz w:val="26"/>
          <w:szCs w:val="26"/>
          <w:lang w:val="es-ES" w:eastAsia="es-ES"/>
        </w:rPr>
        <w:t>Aspectos relevantes en Inversión</w:t>
      </w:r>
    </w:p>
    <w:p w14:paraId="77855F8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2AE707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Dentro de los aspectos relevantes en inversión para el Servicio de Atención y Protección de Víctimas y Testigos cabe señalar:</w:t>
      </w:r>
    </w:p>
    <w:p w14:paraId="091D8EE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4DFEF4B3" w14:textId="77777777" w:rsidR="0085505C" w:rsidRPr="002A7673" w:rsidRDefault="0085505C" w:rsidP="00FF3FAC">
      <w:pPr>
        <w:numPr>
          <w:ilvl w:val="0"/>
          <w:numId w:val="64"/>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Subpartida 50103 Equipo de Comunicación</w:t>
      </w:r>
    </w:p>
    <w:p w14:paraId="48FE6240"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620C085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En esta subpartida se está formulando ¢757.100 para sustituir el activo N° 462320 que corresponde a un video </w:t>
      </w:r>
      <w:proofErr w:type="spellStart"/>
      <w:r w:rsidRPr="002A7673">
        <w:rPr>
          <w:rFonts w:ascii="Times New Roman" w:hAnsi="Times New Roman" w:cs="Times New Roman"/>
          <w:sz w:val="26"/>
          <w:szCs w:val="26"/>
        </w:rPr>
        <w:t>beam</w:t>
      </w:r>
      <w:proofErr w:type="spellEnd"/>
      <w:r w:rsidRPr="002A7673">
        <w:rPr>
          <w:rFonts w:ascii="Times New Roman" w:hAnsi="Times New Roman" w:cs="Times New Roman"/>
          <w:sz w:val="26"/>
          <w:szCs w:val="26"/>
        </w:rPr>
        <w:t xml:space="preserve"> que ya agotó su vida útil. Este artículo está asignado a la Oficina de Atención y Protección de Víctimas del Delito del Primer Circuito Judicial de San José; no obstante, cuando alguna de las 22 sedes regionales lo requiere sé le facilita. Por otra parte, este artículo no presenta restricciones para su formulación.</w:t>
      </w:r>
    </w:p>
    <w:p w14:paraId="02A7E7D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7E74EEF9" w14:textId="77777777" w:rsidR="0085505C" w:rsidRPr="002A7673" w:rsidRDefault="0085505C" w:rsidP="00FF3FAC">
      <w:pPr>
        <w:numPr>
          <w:ilvl w:val="0"/>
          <w:numId w:val="64"/>
        </w:numPr>
        <w:spacing w:after="0" w:line="240" w:lineRule="auto"/>
        <w:ind w:left="851" w:right="851"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Subpartida 50104 Equipo y Mobiliario de Oficina</w:t>
      </w:r>
    </w:p>
    <w:p w14:paraId="6700D38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25C093D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Dentro de esta subpartida se está formulando ¢3.868.334 para adquirir Aire Acondicionado, el cual tiene restricciones para su formulación, sin embargo, los que aquí se mencionan son para la sustitución de equipo que ya sobrepasó la vida útil, los cuales, están ubicados en zonas que por el tipo de clima su formulación es permitida, tal es el caso de Puntarenas, Guanacaste y Guápiles. </w:t>
      </w:r>
    </w:p>
    <w:p w14:paraId="67F3EA0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3670437"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Además, se requieren ¢ 3,868,334 para adquirir los siguientes artículos:</w:t>
      </w:r>
    </w:p>
    <w:p w14:paraId="72195F6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26D35A6" w14:textId="77777777" w:rsidR="0085505C" w:rsidRPr="002A7673" w:rsidRDefault="0085505C" w:rsidP="00FF3FAC">
      <w:pPr>
        <w:numPr>
          <w:ilvl w:val="0"/>
          <w:numId w:val="61"/>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Ventiladores de pared en las zonas de la GAM donde no se permite aire acondicionado. </w:t>
      </w:r>
    </w:p>
    <w:p w14:paraId="42B015AB" w14:textId="77777777" w:rsidR="0085505C" w:rsidRPr="002A7673" w:rsidRDefault="0085505C" w:rsidP="00FF3FAC">
      <w:pPr>
        <w:numPr>
          <w:ilvl w:val="0"/>
          <w:numId w:val="61"/>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Sillas de espera (visita) para sustituir algunas sillas antiguas y en mal estado. </w:t>
      </w:r>
    </w:p>
    <w:p w14:paraId="783C1E54" w14:textId="77777777" w:rsidR="0085505C" w:rsidRPr="002A7673" w:rsidRDefault="0085505C" w:rsidP="00FF3FAC">
      <w:pPr>
        <w:numPr>
          <w:ilvl w:val="0"/>
          <w:numId w:val="61"/>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Sillas Ejecutivas ergonómicas para sustituir tres sillas en mal estado.</w:t>
      </w:r>
    </w:p>
    <w:p w14:paraId="35647B38" w14:textId="77777777" w:rsidR="0085505C" w:rsidRPr="002A7673" w:rsidRDefault="0085505C" w:rsidP="00FF3FAC">
      <w:pPr>
        <w:numPr>
          <w:ilvl w:val="0"/>
          <w:numId w:val="61"/>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Silla Ergonómica </w:t>
      </w:r>
      <w:proofErr w:type="spellStart"/>
      <w:r w:rsidRPr="002A7673">
        <w:rPr>
          <w:rFonts w:ascii="Times New Roman" w:eastAsia="Times New Roman" w:hAnsi="Times New Roman" w:cs="Times New Roman"/>
          <w:sz w:val="26"/>
          <w:szCs w:val="26"/>
          <w:lang w:val="es-ES" w:eastAsia="es-ES"/>
        </w:rPr>
        <w:t>Spacer</w:t>
      </w:r>
      <w:proofErr w:type="spellEnd"/>
      <w:r w:rsidRPr="002A7673">
        <w:rPr>
          <w:rFonts w:ascii="Times New Roman" w:eastAsia="Times New Roman" w:hAnsi="Times New Roman" w:cs="Times New Roman"/>
          <w:sz w:val="26"/>
          <w:szCs w:val="26"/>
          <w:lang w:val="es-ES" w:eastAsia="es-ES"/>
        </w:rPr>
        <w:t xml:space="preserve"> con brazos, requerida para la Oficina de Corredores en atención a estudio de Salud Ocupacional 227-SSA-2016.</w:t>
      </w:r>
    </w:p>
    <w:p w14:paraId="6AD7F32D" w14:textId="77777777" w:rsidR="0085505C" w:rsidRPr="002A7673" w:rsidRDefault="0085505C" w:rsidP="00FF3FAC">
      <w:pPr>
        <w:numPr>
          <w:ilvl w:val="0"/>
          <w:numId w:val="61"/>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Escritorio Ejecutivo, se requiere la sustitución de escritorios obsoletos con gavetas en mal estado y daños en la pintura.</w:t>
      </w:r>
    </w:p>
    <w:tbl>
      <w:tblPr>
        <w:tblW w:w="1820" w:type="dxa"/>
        <w:tblCellMar>
          <w:left w:w="70" w:type="dxa"/>
          <w:right w:w="70" w:type="dxa"/>
        </w:tblCellMar>
        <w:tblLook w:val="04A0" w:firstRow="1" w:lastRow="0" w:firstColumn="1" w:lastColumn="0" w:noHBand="0" w:noVBand="1"/>
      </w:tblPr>
      <w:tblGrid>
        <w:gridCol w:w="1820"/>
      </w:tblGrid>
      <w:tr w:rsidR="0085505C" w:rsidRPr="002A7673" w14:paraId="7A8B912D" w14:textId="77777777" w:rsidTr="0048334E">
        <w:trPr>
          <w:trHeight w:val="300"/>
        </w:trPr>
        <w:tc>
          <w:tcPr>
            <w:tcW w:w="1820" w:type="dxa"/>
            <w:tcBorders>
              <w:top w:val="nil"/>
              <w:left w:val="nil"/>
              <w:bottom w:val="nil"/>
              <w:right w:val="nil"/>
            </w:tcBorders>
            <w:shd w:val="clear" w:color="auto" w:fill="auto"/>
          </w:tcPr>
          <w:p w14:paraId="7998EB66" w14:textId="77777777" w:rsidR="0085505C" w:rsidRPr="002A7673" w:rsidRDefault="0085505C" w:rsidP="0048334E">
            <w:pPr>
              <w:spacing w:after="0" w:line="240" w:lineRule="auto"/>
              <w:ind w:left="851" w:right="851" w:firstLine="709"/>
              <w:jc w:val="both"/>
              <w:rPr>
                <w:rFonts w:ascii="Times New Roman" w:hAnsi="Times New Roman" w:cs="Times New Roman"/>
                <w:b/>
                <w:bCs/>
                <w:sz w:val="26"/>
                <w:szCs w:val="26"/>
              </w:rPr>
            </w:pPr>
          </w:p>
        </w:tc>
      </w:tr>
      <w:tr w:rsidR="0085505C" w:rsidRPr="002A7673" w14:paraId="4F3DDC51" w14:textId="77777777" w:rsidTr="0048334E">
        <w:trPr>
          <w:trHeight w:val="300"/>
        </w:trPr>
        <w:tc>
          <w:tcPr>
            <w:tcW w:w="1820" w:type="dxa"/>
            <w:tcBorders>
              <w:top w:val="nil"/>
              <w:left w:val="nil"/>
              <w:bottom w:val="nil"/>
              <w:right w:val="nil"/>
            </w:tcBorders>
            <w:shd w:val="clear" w:color="auto" w:fill="auto"/>
          </w:tcPr>
          <w:p w14:paraId="574D658E" w14:textId="77777777" w:rsidR="0085505C" w:rsidRPr="002A7673" w:rsidRDefault="0085505C" w:rsidP="0048334E">
            <w:pPr>
              <w:spacing w:after="0" w:line="240" w:lineRule="auto"/>
              <w:ind w:left="851" w:right="851" w:firstLine="709"/>
              <w:jc w:val="both"/>
              <w:rPr>
                <w:rFonts w:ascii="Times New Roman" w:hAnsi="Times New Roman" w:cs="Times New Roman"/>
                <w:b/>
                <w:bCs/>
                <w:sz w:val="26"/>
                <w:szCs w:val="26"/>
              </w:rPr>
            </w:pPr>
          </w:p>
        </w:tc>
      </w:tr>
    </w:tbl>
    <w:p w14:paraId="1339E034" w14:textId="77777777" w:rsidR="0085505C" w:rsidRPr="002A7673" w:rsidRDefault="0085505C" w:rsidP="00FF3FAC">
      <w:pPr>
        <w:numPr>
          <w:ilvl w:val="0"/>
          <w:numId w:val="64"/>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Subpartida 50199 Maquinaria y Equipo Diverso</w:t>
      </w:r>
    </w:p>
    <w:p w14:paraId="2E5AD706"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6DF7DA7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lastRenderedPageBreak/>
        <w:t>En esta subpartida se estiman recursos para la compra de equipo que será utilizado en la ayuda de víctimas y testigos, que forman parte del programa de protección y atención. A continuación, se muestra detalle de los artículos:</w:t>
      </w:r>
    </w:p>
    <w:p w14:paraId="58860164" w14:textId="77777777" w:rsidR="0085505C" w:rsidRPr="002A7673" w:rsidRDefault="0085505C" w:rsidP="0085505C">
      <w:pPr>
        <w:spacing w:after="0" w:line="360" w:lineRule="auto"/>
        <w:rPr>
          <w:rFonts w:ascii="Times New Roman" w:hAnsi="Times New Roman" w:cs="Times New Roman"/>
          <w:sz w:val="28"/>
          <w:szCs w:val="28"/>
        </w:rPr>
      </w:pPr>
    </w:p>
    <w:tbl>
      <w:tblPr>
        <w:tblW w:w="5000" w:type="pct"/>
        <w:jc w:val="center"/>
        <w:tblCellMar>
          <w:left w:w="70" w:type="dxa"/>
          <w:right w:w="70" w:type="dxa"/>
        </w:tblCellMar>
        <w:tblLook w:val="04A0" w:firstRow="1" w:lastRow="0" w:firstColumn="1" w:lastColumn="0" w:noHBand="0" w:noVBand="1"/>
      </w:tblPr>
      <w:tblGrid>
        <w:gridCol w:w="3987"/>
        <w:gridCol w:w="1827"/>
        <w:gridCol w:w="1721"/>
        <w:gridCol w:w="2133"/>
      </w:tblGrid>
      <w:tr w:rsidR="0085505C" w:rsidRPr="002A7673" w14:paraId="492C1926" w14:textId="77777777" w:rsidTr="0048334E">
        <w:trPr>
          <w:trHeight w:val="585"/>
          <w:jc w:val="center"/>
        </w:trPr>
        <w:tc>
          <w:tcPr>
            <w:tcW w:w="5000" w:type="pct"/>
            <w:gridSpan w:val="4"/>
            <w:tcBorders>
              <w:top w:val="nil"/>
              <w:left w:val="nil"/>
              <w:bottom w:val="single" w:sz="4" w:space="0" w:color="auto"/>
              <w:right w:val="nil"/>
            </w:tcBorders>
            <w:shd w:val="clear" w:color="auto" w:fill="auto"/>
            <w:noWrap/>
            <w:vAlign w:val="center"/>
            <w:hideMark/>
          </w:tcPr>
          <w:p w14:paraId="27F04FA4" w14:textId="77777777" w:rsidR="0085505C" w:rsidRPr="002A7673" w:rsidRDefault="0085505C" w:rsidP="0048334E">
            <w:pPr>
              <w:spacing w:after="0" w:line="360" w:lineRule="auto"/>
              <w:jc w:val="center"/>
              <w:rPr>
                <w:rFonts w:ascii="Times New Roman" w:hAnsi="Times New Roman" w:cs="Times New Roman"/>
                <w:b/>
                <w:bCs/>
                <w:sz w:val="24"/>
                <w:szCs w:val="24"/>
              </w:rPr>
            </w:pPr>
          </w:p>
        </w:tc>
      </w:tr>
      <w:tr w:rsidR="0085505C" w:rsidRPr="002A7673" w14:paraId="47FF3223" w14:textId="77777777" w:rsidTr="0048334E">
        <w:trPr>
          <w:trHeight w:val="286"/>
          <w:jc w:val="center"/>
        </w:trPr>
        <w:tc>
          <w:tcPr>
            <w:tcW w:w="2062" w:type="pct"/>
            <w:tcBorders>
              <w:top w:val="nil"/>
              <w:left w:val="single" w:sz="4" w:space="0" w:color="auto"/>
              <w:bottom w:val="single" w:sz="4" w:space="0" w:color="auto"/>
              <w:right w:val="single" w:sz="4" w:space="0" w:color="auto"/>
            </w:tcBorders>
            <w:shd w:val="clear" w:color="auto" w:fill="auto"/>
            <w:noWrap/>
            <w:vAlign w:val="bottom"/>
            <w:hideMark/>
          </w:tcPr>
          <w:p w14:paraId="3BCDA717"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DETALLE</w:t>
            </w:r>
          </w:p>
        </w:tc>
        <w:tc>
          <w:tcPr>
            <w:tcW w:w="945" w:type="pct"/>
            <w:tcBorders>
              <w:top w:val="nil"/>
              <w:left w:val="nil"/>
              <w:bottom w:val="single" w:sz="4" w:space="0" w:color="auto"/>
              <w:right w:val="single" w:sz="4" w:space="0" w:color="auto"/>
            </w:tcBorders>
            <w:shd w:val="clear" w:color="auto" w:fill="auto"/>
            <w:noWrap/>
            <w:vAlign w:val="center"/>
            <w:hideMark/>
          </w:tcPr>
          <w:p w14:paraId="5B8FE07D"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ARTÍCULO</w:t>
            </w:r>
          </w:p>
        </w:tc>
        <w:tc>
          <w:tcPr>
            <w:tcW w:w="890" w:type="pct"/>
            <w:tcBorders>
              <w:top w:val="nil"/>
              <w:left w:val="nil"/>
              <w:bottom w:val="single" w:sz="4" w:space="0" w:color="auto"/>
              <w:right w:val="single" w:sz="4" w:space="0" w:color="auto"/>
            </w:tcBorders>
            <w:shd w:val="clear" w:color="auto" w:fill="auto"/>
            <w:noWrap/>
            <w:vAlign w:val="center"/>
            <w:hideMark/>
          </w:tcPr>
          <w:p w14:paraId="39A41206"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CANTIDAD</w:t>
            </w:r>
          </w:p>
        </w:tc>
        <w:tc>
          <w:tcPr>
            <w:tcW w:w="1103" w:type="pct"/>
            <w:tcBorders>
              <w:top w:val="nil"/>
              <w:left w:val="nil"/>
              <w:bottom w:val="single" w:sz="4" w:space="0" w:color="auto"/>
              <w:right w:val="single" w:sz="4" w:space="0" w:color="auto"/>
            </w:tcBorders>
            <w:shd w:val="clear" w:color="auto" w:fill="auto"/>
            <w:noWrap/>
            <w:vAlign w:val="center"/>
            <w:hideMark/>
          </w:tcPr>
          <w:p w14:paraId="66543842"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 xml:space="preserve">TOTAL </w:t>
            </w:r>
          </w:p>
        </w:tc>
      </w:tr>
      <w:tr w:rsidR="0085505C" w:rsidRPr="002A7673" w14:paraId="24956E21" w14:textId="77777777" w:rsidTr="0048334E">
        <w:trPr>
          <w:trHeight w:val="300"/>
          <w:jc w:val="center"/>
        </w:trPr>
        <w:tc>
          <w:tcPr>
            <w:tcW w:w="2062" w:type="pct"/>
            <w:tcBorders>
              <w:top w:val="nil"/>
              <w:left w:val="single" w:sz="4" w:space="0" w:color="auto"/>
              <w:bottom w:val="single" w:sz="4" w:space="0" w:color="auto"/>
              <w:right w:val="single" w:sz="4" w:space="0" w:color="auto"/>
            </w:tcBorders>
            <w:shd w:val="clear" w:color="auto" w:fill="auto"/>
            <w:hideMark/>
          </w:tcPr>
          <w:p w14:paraId="243353B7" w14:textId="77777777" w:rsidR="0085505C" w:rsidRPr="002A7673" w:rsidRDefault="0085505C" w:rsidP="0048334E">
            <w:pPr>
              <w:spacing w:after="0" w:line="360" w:lineRule="auto"/>
              <w:rPr>
                <w:rFonts w:ascii="Times New Roman" w:hAnsi="Times New Roman" w:cs="Times New Roman"/>
                <w:sz w:val="24"/>
                <w:szCs w:val="24"/>
              </w:rPr>
            </w:pPr>
            <w:r w:rsidRPr="002A7673">
              <w:rPr>
                <w:rFonts w:ascii="Times New Roman" w:hAnsi="Times New Roman" w:cs="Times New Roman"/>
                <w:sz w:val="24"/>
                <w:szCs w:val="24"/>
              </w:rPr>
              <w:t xml:space="preserve">Plantilla Eléctrica (dos discos)  </w:t>
            </w:r>
          </w:p>
        </w:tc>
        <w:tc>
          <w:tcPr>
            <w:tcW w:w="945" w:type="pct"/>
            <w:tcBorders>
              <w:top w:val="nil"/>
              <w:left w:val="nil"/>
              <w:bottom w:val="single" w:sz="4" w:space="0" w:color="auto"/>
              <w:right w:val="single" w:sz="4" w:space="0" w:color="auto"/>
            </w:tcBorders>
            <w:shd w:val="clear" w:color="auto" w:fill="auto"/>
            <w:hideMark/>
          </w:tcPr>
          <w:p w14:paraId="601F55A4"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Art.: 20698</w:t>
            </w:r>
          </w:p>
        </w:tc>
        <w:tc>
          <w:tcPr>
            <w:tcW w:w="890" w:type="pct"/>
            <w:tcBorders>
              <w:top w:val="nil"/>
              <w:left w:val="nil"/>
              <w:bottom w:val="single" w:sz="4" w:space="0" w:color="auto"/>
              <w:right w:val="single" w:sz="4" w:space="0" w:color="auto"/>
            </w:tcBorders>
            <w:shd w:val="clear" w:color="auto" w:fill="auto"/>
            <w:hideMark/>
          </w:tcPr>
          <w:p w14:paraId="2D255D54"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5</w:t>
            </w:r>
          </w:p>
        </w:tc>
        <w:tc>
          <w:tcPr>
            <w:tcW w:w="1103" w:type="pct"/>
            <w:tcBorders>
              <w:top w:val="nil"/>
              <w:left w:val="nil"/>
              <w:bottom w:val="single" w:sz="4" w:space="0" w:color="auto"/>
              <w:right w:val="single" w:sz="4" w:space="0" w:color="auto"/>
            </w:tcBorders>
            <w:shd w:val="clear" w:color="auto" w:fill="auto"/>
            <w:hideMark/>
          </w:tcPr>
          <w:p w14:paraId="0D7A36CF" w14:textId="77777777" w:rsidR="0085505C" w:rsidRPr="002A7673" w:rsidRDefault="0085505C" w:rsidP="0048334E">
            <w:pPr>
              <w:spacing w:after="0" w:line="360" w:lineRule="auto"/>
              <w:jc w:val="right"/>
              <w:rPr>
                <w:rFonts w:ascii="Times New Roman" w:hAnsi="Times New Roman" w:cs="Times New Roman"/>
                <w:sz w:val="24"/>
                <w:szCs w:val="24"/>
              </w:rPr>
            </w:pPr>
            <w:r w:rsidRPr="002A7673">
              <w:rPr>
                <w:rFonts w:ascii="Times New Roman" w:hAnsi="Times New Roman" w:cs="Times New Roman"/>
                <w:sz w:val="24"/>
                <w:szCs w:val="24"/>
              </w:rPr>
              <w:t>169,500</w:t>
            </w:r>
          </w:p>
        </w:tc>
      </w:tr>
      <w:tr w:rsidR="0085505C" w:rsidRPr="002A7673" w14:paraId="42E20CE2" w14:textId="77777777" w:rsidTr="0048334E">
        <w:trPr>
          <w:trHeight w:val="270"/>
          <w:jc w:val="center"/>
        </w:trPr>
        <w:tc>
          <w:tcPr>
            <w:tcW w:w="2062" w:type="pct"/>
            <w:tcBorders>
              <w:top w:val="nil"/>
              <w:left w:val="single" w:sz="4" w:space="0" w:color="auto"/>
              <w:bottom w:val="single" w:sz="4" w:space="0" w:color="auto"/>
              <w:right w:val="single" w:sz="4" w:space="0" w:color="auto"/>
            </w:tcBorders>
            <w:shd w:val="clear" w:color="auto" w:fill="auto"/>
            <w:noWrap/>
            <w:vAlign w:val="bottom"/>
            <w:hideMark/>
          </w:tcPr>
          <w:p w14:paraId="13AEB40B" w14:textId="77777777" w:rsidR="0085505C" w:rsidRPr="002A7673" w:rsidRDefault="0085505C" w:rsidP="0048334E">
            <w:pPr>
              <w:spacing w:after="0" w:line="360" w:lineRule="auto"/>
              <w:rPr>
                <w:rFonts w:ascii="Times New Roman" w:hAnsi="Times New Roman" w:cs="Times New Roman"/>
                <w:b/>
                <w:bCs/>
                <w:sz w:val="24"/>
                <w:szCs w:val="24"/>
              </w:rPr>
            </w:pPr>
            <w:r w:rsidRPr="002A7673">
              <w:rPr>
                <w:rFonts w:ascii="Times New Roman" w:hAnsi="Times New Roman" w:cs="Times New Roman"/>
                <w:b/>
                <w:bCs/>
                <w:sz w:val="24"/>
                <w:szCs w:val="24"/>
              </w:rPr>
              <w:t>TOTAL</w:t>
            </w:r>
          </w:p>
        </w:tc>
        <w:tc>
          <w:tcPr>
            <w:tcW w:w="945" w:type="pct"/>
            <w:tcBorders>
              <w:top w:val="nil"/>
              <w:left w:val="nil"/>
              <w:bottom w:val="single" w:sz="4" w:space="0" w:color="auto"/>
              <w:right w:val="single" w:sz="4" w:space="0" w:color="auto"/>
            </w:tcBorders>
            <w:shd w:val="clear" w:color="auto" w:fill="auto"/>
            <w:noWrap/>
            <w:vAlign w:val="bottom"/>
            <w:hideMark/>
          </w:tcPr>
          <w:p w14:paraId="303DCB7C" w14:textId="77777777" w:rsidR="0085505C" w:rsidRPr="002A7673" w:rsidRDefault="0085505C" w:rsidP="0048334E">
            <w:pPr>
              <w:spacing w:after="0" w:line="360" w:lineRule="auto"/>
              <w:rPr>
                <w:rFonts w:ascii="Times New Roman" w:hAnsi="Times New Roman" w:cs="Times New Roman"/>
                <w:sz w:val="24"/>
                <w:szCs w:val="24"/>
              </w:rPr>
            </w:pPr>
            <w:r w:rsidRPr="002A7673">
              <w:rPr>
                <w:rFonts w:ascii="Times New Roman" w:hAnsi="Times New Roman" w:cs="Times New Roman"/>
                <w:sz w:val="24"/>
                <w:szCs w:val="24"/>
              </w:rPr>
              <w:t> </w:t>
            </w:r>
          </w:p>
        </w:tc>
        <w:tc>
          <w:tcPr>
            <w:tcW w:w="890" w:type="pct"/>
            <w:tcBorders>
              <w:top w:val="nil"/>
              <w:left w:val="nil"/>
              <w:bottom w:val="single" w:sz="4" w:space="0" w:color="auto"/>
              <w:right w:val="single" w:sz="4" w:space="0" w:color="auto"/>
            </w:tcBorders>
            <w:shd w:val="clear" w:color="auto" w:fill="auto"/>
            <w:noWrap/>
            <w:vAlign w:val="center"/>
            <w:hideMark/>
          </w:tcPr>
          <w:p w14:paraId="4DB42472"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5</w:t>
            </w:r>
          </w:p>
        </w:tc>
        <w:tc>
          <w:tcPr>
            <w:tcW w:w="1103" w:type="pct"/>
            <w:tcBorders>
              <w:top w:val="nil"/>
              <w:left w:val="nil"/>
              <w:bottom w:val="single" w:sz="4" w:space="0" w:color="auto"/>
              <w:right w:val="single" w:sz="4" w:space="0" w:color="auto"/>
            </w:tcBorders>
            <w:shd w:val="clear" w:color="auto" w:fill="auto"/>
            <w:noWrap/>
            <w:vAlign w:val="bottom"/>
            <w:hideMark/>
          </w:tcPr>
          <w:p w14:paraId="12E6FF6F" w14:textId="77777777" w:rsidR="0085505C" w:rsidRPr="002A7673" w:rsidRDefault="0085505C" w:rsidP="0048334E">
            <w:pPr>
              <w:spacing w:after="0" w:line="360" w:lineRule="auto"/>
              <w:jc w:val="right"/>
              <w:rPr>
                <w:rFonts w:ascii="Times New Roman" w:hAnsi="Times New Roman" w:cs="Times New Roman"/>
                <w:b/>
                <w:bCs/>
                <w:sz w:val="24"/>
                <w:szCs w:val="24"/>
              </w:rPr>
            </w:pPr>
            <w:r w:rsidRPr="002A7673">
              <w:rPr>
                <w:rFonts w:ascii="Times New Roman" w:hAnsi="Times New Roman" w:cs="Times New Roman"/>
                <w:b/>
                <w:bCs/>
                <w:sz w:val="24"/>
                <w:szCs w:val="24"/>
              </w:rPr>
              <w:t>169,500</w:t>
            </w:r>
          </w:p>
        </w:tc>
      </w:tr>
    </w:tbl>
    <w:p w14:paraId="7514FF7B" w14:textId="77777777" w:rsidR="0085505C" w:rsidRPr="002A7673" w:rsidRDefault="0085505C" w:rsidP="0085505C">
      <w:pPr>
        <w:spacing w:after="0" w:line="360" w:lineRule="auto"/>
        <w:rPr>
          <w:rFonts w:ascii="Times New Roman" w:hAnsi="Times New Roman" w:cs="Times New Roman"/>
          <w:sz w:val="28"/>
          <w:szCs w:val="28"/>
        </w:rPr>
      </w:pPr>
    </w:p>
    <w:p w14:paraId="419A1987" w14:textId="77777777" w:rsidR="0085505C" w:rsidRPr="002A7673" w:rsidRDefault="0085505C" w:rsidP="00FF3FAC">
      <w:pPr>
        <w:numPr>
          <w:ilvl w:val="0"/>
          <w:numId w:val="70"/>
        </w:numPr>
        <w:tabs>
          <w:tab w:val="clear" w:pos="720"/>
          <w:tab w:val="num" w:pos="786"/>
        </w:tabs>
        <w:spacing w:after="0" w:line="240" w:lineRule="auto"/>
        <w:ind w:left="851" w:right="851" w:firstLine="788"/>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Análisis del presupuesto asociado a la ejecución de proyectos estratégicos.</w:t>
      </w:r>
    </w:p>
    <w:p w14:paraId="4FD23605" w14:textId="77777777" w:rsidR="0085505C" w:rsidRPr="002A7673" w:rsidRDefault="0085505C" w:rsidP="0085505C">
      <w:pPr>
        <w:spacing w:after="0" w:line="240" w:lineRule="auto"/>
        <w:ind w:left="851" w:right="851" w:firstLine="788"/>
        <w:jc w:val="both"/>
        <w:rPr>
          <w:rFonts w:ascii="Times New Roman" w:hAnsi="Times New Roman" w:cs="Times New Roman"/>
          <w:sz w:val="26"/>
          <w:szCs w:val="26"/>
        </w:rPr>
      </w:pPr>
    </w:p>
    <w:p w14:paraId="4E6F3FD2" w14:textId="77777777" w:rsidR="0085505C" w:rsidRPr="002A7673" w:rsidRDefault="0085505C" w:rsidP="0085505C">
      <w:pPr>
        <w:spacing w:after="0" w:line="240" w:lineRule="auto"/>
        <w:ind w:left="851" w:right="851" w:firstLine="788"/>
        <w:jc w:val="both"/>
        <w:rPr>
          <w:rFonts w:ascii="Times New Roman" w:hAnsi="Times New Roman" w:cs="Times New Roman"/>
          <w:sz w:val="26"/>
          <w:szCs w:val="26"/>
        </w:rPr>
      </w:pPr>
      <w:bookmarkStart w:id="242" w:name="_Hlk65574393"/>
      <w:r w:rsidRPr="002A7673">
        <w:rPr>
          <w:rFonts w:ascii="Times New Roman" w:hAnsi="Times New Roman" w:cs="Times New Roman"/>
          <w:sz w:val="26"/>
          <w:szCs w:val="26"/>
        </w:rPr>
        <w:t>Como parte de la implementación del Sistema de Proyección Plurianual, a partir del mes de octubre del año 2020 se les solicitó a las oficinas realizar la inclusión de recursos en el citado sistema. De esta forma, en el caso específico del Servicio de Atención y Protección de Víctimas y Testigos a continuación se tiene el detalle por estado de los proyectos estratégicos a cargo de este Programa Presupuestario:</w:t>
      </w:r>
    </w:p>
    <w:p w14:paraId="1CF04B9C" w14:textId="77777777" w:rsidR="0085505C" w:rsidRPr="002A7673" w:rsidRDefault="0085505C" w:rsidP="0085505C">
      <w:pPr>
        <w:spacing w:after="0" w:line="360" w:lineRule="auto"/>
        <w:rPr>
          <w:rFonts w:ascii="Times New Roman" w:hAnsi="Times New Roman" w:cs="Times New Roman"/>
        </w:rPr>
      </w:pPr>
    </w:p>
    <w:p w14:paraId="49915DDD" w14:textId="77777777" w:rsidR="0085505C" w:rsidRPr="002A7673" w:rsidRDefault="0085505C" w:rsidP="0085505C">
      <w:pPr>
        <w:spacing w:after="0" w:line="360" w:lineRule="auto"/>
        <w:jc w:val="center"/>
        <w:rPr>
          <w:rFonts w:ascii="Times New Roman" w:hAnsi="Times New Roman" w:cs="Times New Roman"/>
          <w:b/>
          <w:bCs/>
          <w:sz w:val="26"/>
          <w:szCs w:val="26"/>
        </w:rPr>
      </w:pPr>
      <w:bookmarkStart w:id="243" w:name="_Hlk65574379"/>
      <w:bookmarkEnd w:id="242"/>
      <w:r w:rsidRPr="002A7673">
        <w:rPr>
          <w:rFonts w:ascii="Times New Roman" w:hAnsi="Times New Roman" w:cs="Times New Roman"/>
          <w:b/>
          <w:bCs/>
          <w:sz w:val="26"/>
          <w:szCs w:val="26"/>
        </w:rPr>
        <w:t>Tabla 1. Detalle de los proyectos estratégicos por estado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45"/>
        <w:gridCol w:w="3413"/>
      </w:tblGrid>
      <w:tr w:rsidR="0085505C" w:rsidRPr="002A7673" w14:paraId="76EC5856" w14:textId="77777777" w:rsidTr="0048334E">
        <w:trPr>
          <w:trHeight w:val="300"/>
          <w:jc w:val="center"/>
        </w:trPr>
        <w:tc>
          <w:tcPr>
            <w:tcW w:w="3233" w:type="pct"/>
            <w:shd w:val="clear" w:color="D9E1F2" w:fill="D9E1F2"/>
            <w:noWrap/>
            <w:vAlign w:val="center"/>
            <w:hideMark/>
          </w:tcPr>
          <w:p w14:paraId="68CAB7FB"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Estado</w:t>
            </w:r>
          </w:p>
        </w:tc>
        <w:tc>
          <w:tcPr>
            <w:tcW w:w="1767" w:type="pct"/>
            <w:shd w:val="clear" w:color="D9E1F2" w:fill="D9E1F2"/>
            <w:noWrap/>
            <w:vAlign w:val="center"/>
            <w:hideMark/>
          </w:tcPr>
          <w:p w14:paraId="44010A13"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Cantidad de Proyectos</w:t>
            </w:r>
          </w:p>
        </w:tc>
      </w:tr>
      <w:tr w:rsidR="0085505C" w:rsidRPr="002A7673" w14:paraId="29EE1CC9" w14:textId="77777777" w:rsidTr="0048334E">
        <w:trPr>
          <w:trHeight w:val="300"/>
          <w:jc w:val="center"/>
        </w:trPr>
        <w:tc>
          <w:tcPr>
            <w:tcW w:w="3233" w:type="pct"/>
            <w:shd w:val="clear" w:color="auto" w:fill="auto"/>
            <w:noWrap/>
            <w:vAlign w:val="bottom"/>
            <w:hideMark/>
          </w:tcPr>
          <w:p w14:paraId="6405C87C" w14:textId="77777777" w:rsidR="0085505C" w:rsidRPr="002A7673" w:rsidRDefault="0085505C" w:rsidP="0048334E">
            <w:pPr>
              <w:spacing w:after="0" w:line="360" w:lineRule="auto"/>
              <w:rPr>
                <w:rFonts w:ascii="Times New Roman" w:hAnsi="Times New Roman" w:cs="Times New Roman"/>
                <w:sz w:val="24"/>
                <w:szCs w:val="24"/>
              </w:rPr>
            </w:pPr>
            <w:r w:rsidRPr="002A7673">
              <w:rPr>
                <w:rFonts w:ascii="Times New Roman" w:hAnsi="Times New Roman" w:cs="Times New Roman"/>
                <w:sz w:val="24"/>
                <w:szCs w:val="24"/>
              </w:rPr>
              <w:t>Aprobado - No iniciado</w:t>
            </w:r>
          </w:p>
        </w:tc>
        <w:tc>
          <w:tcPr>
            <w:tcW w:w="1767" w:type="pct"/>
            <w:shd w:val="clear" w:color="auto" w:fill="auto"/>
            <w:noWrap/>
            <w:vAlign w:val="center"/>
            <w:hideMark/>
          </w:tcPr>
          <w:p w14:paraId="4CE936F4"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1</w:t>
            </w:r>
          </w:p>
        </w:tc>
      </w:tr>
      <w:tr w:rsidR="0085505C" w:rsidRPr="002A7673" w14:paraId="5D9D64F3" w14:textId="77777777" w:rsidTr="0048334E">
        <w:trPr>
          <w:trHeight w:val="300"/>
          <w:jc w:val="center"/>
        </w:trPr>
        <w:tc>
          <w:tcPr>
            <w:tcW w:w="3233" w:type="pct"/>
            <w:shd w:val="clear" w:color="auto" w:fill="auto"/>
            <w:noWrap/>
            <w:vAlign w:val="bottom"/>
            <w:hideMark/>
          </w:tcPr>
          <w:p w14:paraId="2ED3254F" w14:textId="77777777" w:rsidR="0085505C" w:rsidRPr="002A7673" w:rsidRDefault="0085505C" w:rsidP="0048334E">
            <w:pPr>
              <w:spacing w:after="0" w:line="360" w:lineRule="auto"/>
              <w:rPr>
                <w:rFonts w:ascii="Times New Roman" w:hAnsi="Times New Roman" w:cs="Times New Roman"/>
                <w:sz w:val="24"/>
                <w:szCs w:val="24"/>
              </w:rPr>
            </w:pPr>
            <w:r w:rsidRPr="002A7673">
              <w:rPr>
                <w:rFonts w:ascii="Times New Roman" w:hAnsi="Times New Roman" w:cs="Times New Roman"/>
                <w:sz w:val="24"/>
                <w:szCs w:val="24"/>
              </w:rPr>
              <w:t>En progreso</w:t>
            </w:r>
          </w:p>
        </w:tc>
        <w:tc>
          <w:tcPr>
            <w:tcW w:w="1767" w:type="pct"/>
            <w:shd w:val="clear" w:color="auto" w:fill="auto"/>
            <w:noWrap/>
            <w:vAlign w:val="center"/>
            <w:hideMark/>
          </w:tcPr>
          <w:p w14:paraId="754B1CD1"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1</w:t>
            </w:r>
          </w:p>
        </w:tc>
      </w:tr>
      <w:tr w:rsidR="0085505C" w:rsidRPr="002A7673" w14:paraId="501AA028" w14:textId="77777777" w:rsidTr="0048334E">
        <w:trPr>
          <w:trHeight w:val="300"/>
          <w:jc w:val="center"/>
        </w:trPr>
        <w:tc>
          <w:tcPr>
            <w:tcW w:w="3233" w:type="pct"/>
            <w:shd w:val="clear" w:color="auto" w:fill="auto"/>
            <w:noWrap/>
            <w:vAlign w:val="bottom"/>
            <w:hideMark/>
          </w:tcPr>
          <w:p w14:paraId="7A36B52F" w14:textId="77777777" w:rsidR="0085505C" w:rsidRPr="002A7673" w:rsidRDefault="0085505C" w:rsidP="0048334E">
            <w:pPr>
              <w:spacing w:after="0" w:line="360" w:lineRule="auto"/>
              <w:rPr>
                <w:rFonts w:ascii="Times New Roman" w:hAnsi="Times New Roman" w:cs="Times New Roman"/>
                <w:sz w:val="24"/>
                <w:szCs w:val="24"/>
              </w:rPr>
            </w:pPr>
            <w:r w:rsidRPr="002A7673">
              <w:rPr>
                <w:rFonts w:ascii="Times New Roman" w:hAnsi="Times New Roman" w:cs="Times New Roman"/>
                <w:sz w:val="24"/>
                <w:szCs w:val="24"/>
              </w:rPr>
              <w:t>Suspendido</w:t>
            </w:r>
          </w:p>
        </w:tc>
        <w:tc>
          <w:tcPr>
            <w:tcW w:w="1767" w:type="pct"/>
            <w:shd w:val="clear" w:color="auto" w:fill="auto"/>
            <w:noWrap/>
            <w:vAlign w:val="center"/>
            <w:hideMark/>
          </w:tcPr>
          <w:p w14:paraId="1FD1D665"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1</w:t>
            </w:r>
          </w:p>
        </w:tc>
      </w:tr>
      <w:tr w:rsidR="0085505C" w:rsidRPr="002A7673" w14:paraId="5D96D8E2" w14:textId="77777777" w:rsidTr="0048334E">
        <w:trPr>
          <w:trHeight w:val="300"/>
          <w:jc w:val="center"/>
        </w:trPr>
        <w:tc>
          <w:tcPr>
            <w:tcW w:w="3233" w:type="pct"/>
            <w:shd w:val="clear" w:color="auto" w:fill="auto"/>
            <w:noWrap/>
            <w:vAlign w:val="bottom"/>
            <w:hideMark/>
          </w:tcPr>
          <w:p w14:paraId="287EF29A" w14:textId="77777777" w:rsidR="0085505C" w:rsidRPr="002A7673" w:rsidRDefault="0085505C" w:rsidP="0048334E">
            <w:pPr>
              <w:spacing w:after="0" w:line="360" w:lineRule="auto"/>
              <w:rPr>
                <w:rFonts w:ascii="Times New Roman" w:hAnsi="Times New Roman" w:cs="Times New Roman"/>
                <w:sz w:val="24"/>
                <w:szCs w:val="24"/>
              </w:rPr>
            </w:pPr>
            <w:r w:rsidRPr="002A7673">
              <w:rPr>
                <w:rFonts w:ascii="Times New Roman" w:hAnsi="Times New Roman" w:cs="Times New Roman"/>
                <w:sz w:val="24"/>
                <w:szCs w:val="24"/>
              </w:rPr>
              <w:t>Pendiente Evaluación de Beneficios</w:t>
            </w:r>
          </w:p>
        </w:tc>
        <w:tc>
          <w:tcPr>
            <w:tcW w:w="1767" w:type="pct"/>
            <w:shd w:val="clear" w:color="auto" w:fill="auto"/>
            <w:noWrap/>
            <w:vAlign w:val="center"/>
            <w:hideMark/>
          </w:tcPr>
          <w:p w14:paraId="292DD025"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1</w:t>
            </w:r>
          </w:p>
        </w:tc>
      </w:tr>
      <w:tr w:rsidR="0085505C" w:rsidRPr="002A7673" w14:paraId="421D894F" w14:textId="77777777" w:rsidTr="0048334E">
        <w:trPr>
          <w:trHeight w:val="300"/>
          <w:jc w:val="center"/>
        </w:trPr>
        <w:tc>
          <w:tcPr>
            <w:tcW w:w="3233" w:type="pct"/>
            <w:shd w:val="clear" w:color="D9E1F2" w:fill="D9E1F2"/>
            <w:noWrap/>
            <w:vAlign w:val="bottom"/>
            <w:hideMark/>
          </w:tcPr>
          <w:p w14:paraId="7F0B2DD7" w14:textId="77777777" w:rsidR="0085505C" w:rsidRPr="002A7673" w:rsidRDefault="0085505C" w:rsidP="0048334E">
            <w:pPr>
              <w:spacing w:after="0" w:line="360" w:lineRule="auto"/>
              <w:rPr>
                <w:rFonts w:ascii="Times New Roman" w:hAnsi="Times New Roman" w:cs="Times New Roman"/>
                <w:sz w:val="24"/>
                <w:szCs w:val="24"/>
              </w:rPr>
            </w:pPr>
            <w:proofErr w:type="gramStart"/>
            <w:r w:rsidRPr="002A7673">
              <w:rPr>
                <w:rFonts w:ascii="Times New Roman" w:hAnsi="Times New Roman" w:cs="Times New Roman"/>
                <w:sz w:val="24"/>
                <w:szCs w:val="24"/>
              </w:rPr>
              <w:t>Total</w:t>
            </w:r>
            <w:proofErr w:type="gramEnd"/>
            <w:r w:rsidRPr="002A7673">
              <w:rPr>
                <w:rFonts w:ascii="Times New Roman" w:hAnsi="Times New Roman" w:cs="Times New Roman"/>
                <w:sz w:val="24"/>
                <w:szCs w:val="24"/>
              </w:rPr>
              <w:t xml:space="preserve"> general</w:t>
            </w:r>
          </w:p>
        </w:tc>
        <w:tc>
          <w:tcPr>
            <w:tcW w:w="1767" w:type="pct"/>
            <w:shd w:val="clear" w:color="D9E1F2" w:fill="D9E1F2"/>
            <w:noWrap/>
            <w:vAlign w:val="center"/>
            <w:hideMark/>
          </w:tcPr>
          <w:p w14:paraId="6AEA85D7"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4</w:t>
            </w:r>
          </w:p>
        </w:tc>
      </w:tr>
    </w:tbl>
    <w:p w14:paraId="02296D7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14"/>
          <w:szCs w:val="14"/>
        </w:rPr>
        <w:t xml:space="preserve">                                             </w:t>
      </w:r>
      <w:r w:rsidRPr="002A7673">
        <w:rPr>
          <w:rFonts w:ascii="Times New Roman" w:hAnsi="Times New Roman" w:cs="Times New Roman"/>
          <w:sz w:val="26"/>
          <w:szCs w:val="26"/>
        </w:rPr>
        <w:t>Fuente: Reporte generado del MS Project Online al 23-02-2021.</w:t>
      </w:r>
    </w:p>
    <w:bookmarkEnd w:id="243"/>
    <w:p w14:paraId="0A588EC7"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026A0C0A"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bookmarkStart w:id="244" w:name="_Hlk65574445"/>
      <w:r w:rsidRPr="002A7673">
        <w:rPr>
          <w:rFonts w:ascii="Times New Roman" w:hAnsi="Times New Roman" w:cs="Times New Roman"/>
          <w:sz w:val="26"/>
          <w:szCs w:val="26"/>
        </w:rPr>
        <w:t xml:space="preserve">Del detalle de proyectos actualmente incorporados en el portafolio, se tiene que ninguno de los proyectos tiene previsto estar en ejecución durante el año 2022, de acuerdo con la programación y cronogramas que actualmente </w:t>
      </w:r>
      <w:r w:rsidRPr="002A7673">
        <w:rPr>
          <w:rFonts w:ascii="Times New Roman" w:hAnsi="Times New Roman" w:cs="Times New Roman"/>
          <w:sz w:val="26"/>
          <w:szCs w:val="26"/>
        </w:rPr>
        <w:lastRenderedPageBreak/>
        <w:t>se encuentran cargados en la plataforma de MS Project Online. A continuación, se muestra la cantidad de proyectos agrupados por año de acuerdo con el período previsto de finalización de cada uno:</w:t>
      </w:r>
    </w:p>
    <w:p w14:paraId="395C986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304F0AD4"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Tabla 2. Años de proyección de finalización de los proyectos estratégicos</w:t>
      </w:r>
    </w:p>
    <w:p w14:paraId="635F2A13"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p>
    <w:tbl>
      <w:tblPr>
        <w:tblW w:w="5000" w:type="pct"/>
        <w:jc w:val="center"/>
        <w:tblCellMar>
          <w:left w:w="70" w:type="dxa"/>
          <w:right w:w="70" w:type="dxa"/>
        </w:tblCellMar>
        <w:tblLook w:val="04A0" w:firstRow="1" w:lastRow="0" w:firstColumn="1" w:lastColumn="0" w:noHBand="0" w:noVBand="1"/>
      </w:tblPr>
      <w:tblGrid>
        <w:gridCol w:w="2684"/>
        <w:gridCol w:w="1152"/>
        <w:gridCol w:w="1060"/>
        <w:gridCol w:w="876"/>
        <w:gridCol w:w="783"/>
        <w:gridCol w:w="876"/>
        <w:gridCol w:w="715"/>
        <w:gridCol w:w="1522"/>
      </w:tblGrid>
      <w:tr w:rsidR="0085505C" w:rsidRPr="002A7673" w14:paraId="46109E51" w14:textId="77777777" w:rsidTr="0048334E">
        <w:trPr>
          <w:trHeight w:val="300"/>
          <w:jc w:val="center"/>
        </w:trPr>
        <w:tc>
          <w:tcPr>
            <w:tcW w:w="1388" w:type="pct"/>
            <w:vMerge w:val="restart"/>
            <w:tcBorders>
              <w:top w:val="nil"/>
              <w:left w:val="nil"/>
              <w:right w:val="nil"/>
            </w:tcBorders>
            <w:shd w:val="clear" w:color="D9E1F2" w:fill="D9E1F2"/>
            <w:noWrap/>
            <w:vAlign w:val="center"/>
          </w:tcPr>
          <w:p w14:paraId="54DE0A8B" w14:textId="77777777" w:rsidR="0085505C" w:rsidRPr="002A7673" w:rsidRDefault="0085505C" w:rsidP="0048334E">
            <w:pPr>
              <w:spacing w:after="0" w:line="360" w:lineRule="auto"/>
              <w:rPr>
                <w:rFonts w:ascii="Times New Roman" w:hAnsi="Times New Roman" w:cs="Times New Roman"/>
                <w:sz w:val="24"/>
                <w:szCs w:val="24"/>
              </w:rPr>
            </w:pPr>
            <w:r w:rsidRPr="002A7673">
              <w:rPr>
                <w:rFonts w:ascii="Times New Roman" w:hAnsi="Times New Roman" w:cs="Times New Roman"/>
                <w:sz w:val="24"/>
                <w:szCs w:val="24"/>
              </w:rPr>
              <w:t>Categoría del proyecto</w:t>
            </w:r>
          </w:p>
        </w:tc>
        <w:tc>
          <w:tcPr>
            <w:tcW w:w="2825" w:type="pct"/>
            <w:gridSpan w:val="6"/>
            <w:tcBorders>
              <w:top w:val="nil"/>
              <w:left w:val="nil"/>
              <w:bottom w:val="single" w:sz="4" w:space="0" w:color="8EA9DB"/>
              <w:right w:val="nil"/>
            </w:tcBorders>
            <w:shd w:val="clear" w:color="D9E1F2" w:fill="D9E1F2"/>
            <w:noWrap/>
            <w:vAlign w:val="center"/>
          </w:tcPr>
          <w:p w14:paraId="6547690F"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Cantidad de proyectos que finalizan en el año</w:t>
            </w:r>
          </w:p>
        </w:tc>
        <w:tc>
          <w:tcPr>
            <w:tcW w:w="787" w:type="pct"/>
            <w:tcBorders>
              <w:top w:val="nil"/>
              <w:left w:val="nil"/>
              <w:bottom w:val="single" w:sz="4" w:space="0" w:color="8EA9DB"/>
              <w:right w:val="nil"/>
            </w:tcBorders>
            <w:shd w:val="clear" w:color="D9E1F2" w:fill="D9E1F2"/>
            <w:noWrap/>
            <w:vAlign w:val="bottom"/>
          </w:tcPr>
          <w:p w14:paraId="7F965A3C" w14:textId="77777777" w:rsidR="0085505C" w:rsidRPr="002A7673" w:rsidRDefault="0085505C" w:rsidP="0048334E">
            <w:pPr>
              <w:spacing w:after="0" w:line="360" w:lineRule="auto"/>
              <w:rPr>
                <w:rFonts w:ascii="Times New Roman" w:hAnsi="Times New Roman" w:cs="Times New Roman"/>
                <w:sz w:val="24"/>
                <w:szCs w:val="24"/>
              </w:rPr>
            </w:pPr>
          </w:p>
        </w:tc>
      </w:tr>
      <w:tr w:rsidR="0085505C" w:rsidRPr="002A7673" w14:paraId="69CCFA7A" w14:textId="77777777" w:rsidTr="0048334E">
        <w:trPr>
          <w:trHeight w:val="300"/>
          <w:jc w:val="center"/>
        </w:trPr>
        <w:tc>
          <w:tcPr>
            <w:tcW w:w="1388" w:type="pct"/>
            <w:vMerge/>
            <w:tcBorders>
              <w:left w:val="nil"/>
              <w:bottom w:val="single" w:sz="4" w:space="0" w:color="8EA9DB"/>
              <w:right w:val="nil"/>
            </w:tcBorders>
            <w:shd w:val="clear" w:color="D9E1F2" w:fill="D9E1F2"/>
            <w:noWrap/>
            <w:vAlign w:val="bottom"/>
            <w:hideMark/>
          </w:tcPr>
          <w:p w14:paraId="06966046" w14:textId="77777777" w:rsidR="0085505C" w:rsidRPr="002A7673" w:rsidRDefault="0085505C" w:rsidP="0048334E">
            <w:pPr>
              <w:spacing w:after="0" w:line="360" w:lineRule="auto"/>
              <w:rPr>
                <w:rFonts w:ascii="Times New Roman" w:hAnsi="Times New Roman" w:cs="Times New Roman"/>
                <w:sz w:val="24"/>
                <w:szCs w:val="24"/>
              </w:rPr>
            </w:pPr>
          </w:p>
        </w:tc>
        <w:tc>
          <w:tcPr>
            <w:tcW w:w="596" w:type="pct"/>
            <w:tcBorders>
              <w:top w:val="nil"/>
              <w:left w:val="nil"/>
              <w:bottom w:val="single" w:sz="4" w:space="0" w:color="8EA9DB"/>
              <w:right w:val="nil"/>
            </w:tcBorders>
            <w:shd w:val="clear" w:color="D9E1F2" w:fill="D9E1F2"/>
            <w:noWrap/>
            <w:vAlign w:val="center"/>
            <w:hideMark/>
          </w:tcPr>
          <w:p w14:paraId="51F7FE8C"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2019</w:t>
            </w:r>
          </w:p>
        </w:tc>
        <w:tc>
          <w:tcPr>
            <w:tcW w:w="548" w:type="pct"/>
            <w:tcBorders>
              <w:top w:val="nil"/>
              <w:left w:val="nil"/>
              <w:bottom w:val="single" w:sz="4" w:space="0" w:color="8EA9DB"/>
              <w:right w:val="nil"/>
            </w:tcBorders>
            <w:shd w:val="clear" w:color="D9E1F2" w:fill="D9E1F2"/>
            <w:noWrap/>
            <w:vAlign w:val="center"/>
            <w:hideMark/>
          </w:tcPr>
          <w:p w14:paraId="31ED25A4"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2020</w:t>
            </w:r>
          </w:p>
        </w:tc>
        <w:tc>
          <w:tcPr>
            <w:tcW w:w="453" w:type="pct"/>
            <w:tcBorders>
              <w:top w:val="nil"/>
              <w:left w:val="nil"/>
              <w:bottom w:val="single" w:sz="4" w:space="0" w:color="8EA9DB"/>
              <w:right w:val="nil"/>
            </w:tcBorders>
            <w:shd w:val="clear" w:color="D9E1F2" w:fill="D9E1F2"/>
            <w:noWrap/>
            <w:vAlign w:val="center"/>
            <w:hideMark/>
          </w:tcPr>
          <w:p w14:paraId="71C9C3D1"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2021</w:t>
            </w:r>
          </w:p>
        </w:tc>
        <w:tc>
          <w:tcPr>
            <w:tcW w:w="405" w:type="pct"/>
            <w:tcBorders>
              <w:top w:val="nil"/>
              <w:left w:val="nil"/>
              <w:bottom w:val="single" w:sz="4" w:space="0" w:color="8EA9DB"/>
              <w:right w:val="nil"/>
            </w:tcBorders>
            <w:shd w:val="clear" w:color="D9E1F2" w:fill="D9E1F2"/>
            <w:noWrap/>
            <w:vAlign w:val="center"/>
            <w:hideMark/>
          </w:tcPr>
          <w:p w14:paraId="646A0E74"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2022</w:t>
            </w:r>
          </w:p>
        </w:tc>
        <w:tc>
          <w:tcPr>
            <w:tcW w:w="453" w:type="pct"/>
            <w:tcBorders>
              <w:top w:val="nil"/>
              <w:left w:val="nil"/>
              <w:bottom w:val="single" w:sz="4" w:space="0" w:color="8EA9DB"/>
              <w:right w:val="nil"/>
            </w:tcBorders>
            <w:shd w:val="clear" w:color="D9E1F2" w:fill="D9E1F2"/>
            <w:noWrap/>
            <w:vAlign w:val="center"/>
            <w:hideMark/>
          </w:tcPr>
          <w:p w14:paraId="53B956C6"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2023</w:t>
            </w:r>
          </w:p>
        </w:tc>
        <w:tc>
          <w:tcPr>
            <w:tcW w:w="370" w:type="pct"/>
            <w:tcBorders>
              <w:top w:val="nil"/>
              <w:left w:val="nil"/>
              <w:bottom w:val="single" w:sz="4" w:space="0" w:color="8EA9DB"/>
              <w:right w:val="nil"/>
            </w:tcBorders>
            <w:shd w:val="clear" w:color="D9E1F2" w:fill="D9E1F2"/>
            <w:noWrap/>
            <w:vAlign w:val="center"/>
            <w:hideMark/>
          </w:tcPr>
          <w:p w14:paraId="0842D395"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2024</w:t>
            </w:r>
          </w:p>
        </w:tc>
        <w:tc>
          <w:tcPr>
            <w:tcW w:w="787" w:type="pct"/>
            <w:tcBorders>
              <w:top w:val="nil"/>
              <w:left w:val="nil"/>
              <w:bottom w:val="single" w:sz="4" w:space="0" w:color="8EA9DB"/>
              <w:right w:val="nil"/>
            </w:tcBorders>
            <w:shd w:val="clear" w:color="D9E1F2" w:fill="D9E1F2"/>
            <w:noWrap/>
            <w:vAlign w:val="center"/>
            <w:hideMark/>
          </w:tcPr>
          <w:p w14:paraId="06BBB2F4"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Total</w:t>
            </w:r>
          </w:p>
        </w:tc>
      </w:tr>
      <w:tr w:rsidR="0085505C" w:rsidRPr="002A7673" w14:paraId="173193F3" w14:textId="77777777" w:rsidTr="0048334E">
        <w:trPr>
          <w:trHeight w:val="300"/>
          <w:jc w:val="center"/>
        </w:trPr>
        <w:tc>
          <w:tcPr>
            <w:tcW w:w="1388" w:type="pct"/>
            <w:tcBorders>
              <w:top w:val="nil"/>
              <w:left w:val="nil"/>
              <w:bottom w:val="nil"/>
              <w:right w:val="nil"/>
            </w:tcBorders>
            <w:shd w:val="clear" w:color="auto" w:fill="auto"/>
            <w:noWrap/>
            <w:vAlign w:val="bottom"/>
            <w:hideMark/>
          </w:tcPr>
          <w:p w14:paraId="77B2113A" w14:textId="77777777" w:rsidR="0085505C" w:rsidRPr="002A7673" w:rsidRDefault="0085505C" w:rsidP="0048334E">
            <w:pPr>
              <w:spacing w:after="0" w:line="360" w:lineRule="auto"/>
              <w:rPr>
                <w:rFonts w:ascii="Times New Roman" w:hAnsi="Times New Roman" w:cs="Times New Roman"/>
                <w:sz w:val="24"/>
                <w:szCs w:val="24"/>
              </w:rPr>
            </w:pPr>
            <w:r w:rsidRPr="002A7673">
              <w:rPr>
                <w:rFonts w:ascii="Times New Roman" w:hAnsi="Times New Roman" w:cs="Times New Roman"/>
                <w:sz w:val="24"/>
                <w:szCs w:val="24"/>
              </w:rPr>
              <w:t>Estratégico</w:t>
            </w:r>
          </w:p>
        </w:tc>
        <w:tc>
          <w:tcPr>
            <w:tcW w:w="596" w:type="pct"/>
            <w:tcBorders>
              <w:top w:val="nil"/>
              <w:left w:val="nil"/>
              <w:bottom w:val="nil"/>
              <w:right w:val="nil"/>
            </w:tcBorders>
            <w:shd w:val="clear" w:color="auto" w:fill="auto"/>
            <w:noWrap/>
            <w:vAlign w:val="center"/>
            <w:hideMark/>
          </w:tcPr>
          <w:p w14:paraId="054BE864"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1</w:t>
            </w:r>
          </w:p>
        </w:tc>
        <w:tc>
          <w:tcPr>
            <w:tcW w:w="548" w:type="pct"/>
            <w:tcBorders>
              <w:top w:val="nil"/>
              <w:left w:val="nil"/>
              <w:bottom w:val="nil"/>
              <w:right w:val="nil"/>
            </w:tcBorders>
            <w:shd w:val="clear" w:color="auto" w:fill="auto"/>
            <w:noWrap/>
            <w:vAlign w:val="center"/>
            <w:hideMark/>
          </w:tcPr>
          <w:p w14:paraId="4C1F03CB"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1</w:t>
            </w:r>
          </w:p>
        </w:tc>
        <w:tc>
          <w:tcPr>
            <w:tcW w:w="453" w:type="pct"/>
            <w:tcBorders>
              <w:top w:val="nil"/>
              <w:left w:val="nil"/>
              <w:bottom w:val="nil"/>
              <w:right w:val="nil"/>
            </w:tcBorders>
            <w:shd w:val="clear" w:color="auto" w:fill="auto"/>
            <w:noWrap/>
            <w:vAlign w:val="center"/>
            <w:hideMark/>
          </w:tcPr>
          <w:p w14:paraId="5CE156D0"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w:t>
            </w:r>
          </w:p>
        </w:tc>
        <w:tc>
          <w:tcPr>
            <w:tcW w:w="405" w:type="pct"/>
            <w:tcBorders>
              <w:top w:val="nil"/>
              <w:left w:val="nil"/>
              <w:bottom w:val="nil"/>
              <w:right w:val="nil"/>
            </w:tcBorders>
            <w:shd w:val="clear" w:color="auto" w:fill="auto"/>
            <w:noWrap/>
            <w:vAlign w:val="center"/>
          </w:tcPr>
          <w:p w14:paraId="4BCC621F"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0</w:t>
            </w:r>
          </w:p>
        </w:tc>
        <w:tc>
          <w:tcPr>
            <w:tcW w:w="453" w:type="pct"/>
            <w:tcBorders>
              <w:top w:val="nil"/>
              <w:left w:val="nil"/>
              <w:bottom w:val="nil"/>
              <w:right w:val="nil"/>
            </w:tcBorders>
            <w:shd w:val="clear" w:color="auto" w:fill="auto"/>
            <w:noWrap/>
            <w:vAlign w:val="center"/>
          </w:tcPr>
          <w:p w14:paraId="7ADD2310"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0</w:t>
            </w:r>
          </w:p>
        </w:tc>
        <w:tc>
          <w:tcPr>
            <w:tcW w:w="370" w:type="pct"/>
            <w:tcBorders>
              <w:top w:val="nil"/>
              <w:left w:val="nil"/>
              <w:bottom w:val="nil"/>
              <w:right w:val="nil"/>
            </w:tcBorders>
            <w:shd w:val="clear" w:color="auto" w:fill="auto"/>
            <w:noWrap/>
            <w:vAlign w:val="center"/>
          </w:tcPr>
          <w:p w14:paraId="10971AEC"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0</w:t>
            </w:r>
          </w:p>
        </w:tc>
        <w:tc>
          <w:tcPr>
            <w:tcW w:w="787" w:type="pct"/>
            <w:tcBorders>
              <w:top w:val="nil"/>
              <w:left w:val="nil"/>
              <w:bottom w:val="nil"/>
              <w:right w:val="nil"/>
            </w:tcBorders>
            <w:shd w:val="clear" w:color="auto" w:fill="auto"/>
            <w:noWrap/>
            <w:vAlign w:val="center"/>
            <w:hideMark/>
          </w:tcPr>
          <w:p w14:paraId="0FF077D3"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4</w:t>
            </w:r>
          </w:p>
        </w:tc>
      </w:tr>
      <w:tr w:rsidR="0085505C" w:rsidRPr="002A7673" w14:paraId="6E68850D" w14:textId="77777777" w:rsidTr="0048334E">
        <w:trPr>
          <w:trHeight w:val="300"/>
          <w:jc w:val="center"/>
        </w:trPr>
        <w:tc>
          <w:tcPr>
            <w:tcW w:w="1388" w:type="pct"/>
            <w:tcBorders>
              <w:top w:val="single" w:sz="4" w:space="0" w:color="8EA9DB"/>
              <w:left w:val="nil"/>
              <w:bottom w:val="nil"/>
              <w:right w:val="nil"/>
            </w:tcBorders>
            <w:shd w:val="clear" w:color="D9E1F2" w:fill="D9E1F2"/>
            <w:noWrap/>
            <w:vAlign w:val="bottom"/>
            <w:hideMark/>
          </w:tcPr>
          <w:p w14:paraId="640590E4" w14:textId="77777777" w:rsidR="0085505C" w:rsidRPr="002A7673" w:rsidRDefault="0085505C" w:rsidP="0048334E">
            <w:pPr>
              <w:spacing w:after="0" w:line="360" w:lineRule="auto"/>
              <w:rPr>
                <w:rFonts w:ascii="Times New Roman" w:hAnsi="Times New Roman" w:cs="Times New Roman"/>
                <w:sz w:val="24"/>
                <w:szCs w:val="24"/>
              </w:rPr>
            </w:pPr>
            <w:proofErr w:type="gramStart"/>
            <w:r w:rsidRPr="002A7673">
              <w:rPr>
                <w:rFonts w:ascii="Times New Roman" w:hAnsi="Times New Roman" w:cs="Times New Roman"/>
                <w:sz w:val="24"/>
                <w:szCs w:val="24"/>
              </w:rPr>
              <w:t>Total</w:t>
            </w:r>
            <w:proofErr w:type="gramEnd"/>
            <w:r w:rsidRPr="002A7673">
              <w:rPr>
                <w:rFonts w:ascii="Times New Roman" w:hAnsi="Times New Roman" w:cs="Times New Roman"/>
                <w:sz w:val="24"/>
                <w:szCs w:val="24"/>
              </w:rPr>
              <w:t xml:space="preserve"> general</w:t>
            </w:r>
          </w:p>
        </w:tc>
        <w:tc>
          <w:tcPr>
            <w:tcW w:w="596" w:type="pct"/>
            <w:tcBorders>
              <w:top w:val="single" w:sz="4" w:space="0" w:color="8EA9DB"/>
              <w:left w:val="nil"/>
              <w:bottom w:val="nil"/>
              <w:right w:val="nil"/>
            </w:tcBorders>
            <w:shd w:val="clear" w:color="D9E1F2" w:fill="D9E1F2"/>
            <w:noWrap/>
            <w:vAlign w:val="bottom"/>
            <w:hideMark/>
          </w:tcPr>
          <w:p w14:paraId="44945CD6"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1</w:t>
            </w:r>
          </w:p>
        </w:tc>
        <w:tc>
          <w:tcPr>
            <w:tcW w:w="548" w:type="pct"/>
            <w:tcBorders>
              <w:top w:val="single" w:sz="4" w:space="0" w:color="8EA9DB"/>
              <w:left w:val="nil"/>
              <w:bottom w:val="nil"/>
              <w:right w:val="nil"/>
            </w:tcBorders>
            <w:shd w:val="clear" w:color="D9E1F2" w:fill="D9E1F2"/>
            <w:noWrap/>
            <w:vAlign w:val="bottom"/>
            <w:hideMark/>
          </w:tcPr>
          <w:p w14:paraId="0ABA47B3"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1</w:t>
            </w:r>
          </w:p>
        </w:tc>
        <w:tc>
          <w:tcPr>
            <w:tcW w:w="453" w:type="pct"/>
            <w:tcBorders>
              <w:top w:val="single" w:sz="4" w:space="0" w:color="8EA9DB"/>
              <w:left w:val="nil"/>
              <w:bottom w:val="nil"/>
              <w:right w:val="nil"/>
            </w:tcBorders>
            <w:shd w:val="clear" w:color="D9E1F2" w:fill="D9E1F2"/>
            <w:noWrap/>
            <w:vAlign w:val="bottom"/>
            <w:hideMark/>
          </w:tcPr>
          <w:p w14:paraId="275D5C38"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2</w:t>
            </w:r>
          </w:p>
        </w:tc>
        <w:tc>
          <w:tcPr>
            <w:tcW w:w="405" w:type="pct"/>
            <w:tcBorders>
              <w:top w:val="single" w:sz="4" w:space="0" w:color="8EA9DB"/>
              <w:left w:val="nil"/>
              <w:bottom w:val="nil"/>
              <w:right w:val="nil"/>
            </w:tcBorders>
            <w:shd w:val="clear" w:color="D9E1F2" w:fill="D9E1F2"/>
            <w:noWrap/>
            <w:vAlign w:val="bottom"/>
          </w:tcPr>
          <w:p w14:paraId="43A7A10B"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0</w:t>
            </w:r>
          </w:p>
        </w:tc>
        <w:tc>
          <w:tcPr>
            <w:tcW w:w="453" w:type="pct"/>
            <w:tcBorders>
              <w:top w:val="single" w:sz="4" w:space="0" w:color="8EA9DB"/>
              <w:left w:val="nil"/>
              <w:bottom w:val="nil"/>
              <w:right w:val="nil"/>
            </w:tcBorders>
            <w:shd w:val="clear" w:color="D9E1F2" w:fill="D9E1F2"/>
            <w:noWrap/>
            <w:vAlign w:val="bottom"/>
          </w:tcPr>
          <w:p w14:paraId="10D9EE87"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0</w:t>
            </w:r>
          </w:p>
        </w:tc>
        <w:tc>
          <w:tcPr>
            <w:tcW w:w="370" w:type="pct"/>
            <w:tcBorders>
              <w:top w:val="single" w:sz="4" w:space="0" w:color="8EA9DB"/>
              <w:left w:val="nil"/>
              <w:bottom w:val="nil"/>
              <w:right w:val="nil"/>
            </w:tcBorders>
            <w:shd w:val="clear" w:color="D9E1F2" w:fill="D9E1F2"/>
            <w:noWrap/>
            <w:vAlign w:val="bottom"/>
          </w:tcPr>
          <w:p w14:paraId="13A0681E"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0</w:t>
            </w:r>
          </w:p>
        </w:tc>
        <w:tc>
          <w:tcPr>
            <w:tcW w:w="787" w:type="pct"/>
            <w:tcBorders>
              <w:top w:val="single" w:sz="4" w:space="0" w:color="8EA9DB"/>
              <w:left w:val="nil"/>
              <w:bottom w:val="nil"/>
              <w:right w:val="nil"/>
            </w:tcBorders>
            <w:shd w:val="clear" w:color="D9E1F2" w:fill="D9E1F2"/>
            <w:noWrap/>
            <w:vAlign w:val="center"/>
            <w:hideMark/>
          </w:tcPr>
          <w:p w14:paraId="0BC70DC9"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4</w:t>
            </w:r>
          </w:p>
        </w:tc>
      </w:tr>
    </w:tbl>
    <w:p w14:paraId="3AC523E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Fuente: Elaboración propia a partir del reporte generado del MS Project Online al 23-02-2021.</w:t>
      </w:r>
    </w:p>
    <w:p w14:paraId="380043F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7D3D3BA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Como se muestra, para el 2022 no se contemplan proyectos por finalizar, por lo que no se tendrían proyectos activos.</w:t>
      </w:r>
    </w:p>
    <w:p w14:paraId="3125F0A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78DE3B4"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3.1 Proyectos que formularon recursos en el SPP</w:t>
      </w:r>
    </w:p>
    <w:p w14:paraId="39652A3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bookmarkStart w:id="245" w:name="_Hlk65503013"/>
      <w:bookmarkEnd w:id="244"/>
    </w:p>
    <w:p w14:paraId="7912225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Dentro de las proyecciones de recursos incluidas en el Sistemas de Proyección Plurianual, no se tiene proyectos contemplados ni recursos presupuestarios para el año 2022.</w:t>
      </w:r>
    </w:p>
    <w:p w14:paraId="47BBC4E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097D0053"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3.2 Detalle de los Proyectos que NO formularon recursos en el SPP</w:t>
      </w:r>
    </w:p>
    <w:p w14:paraId="1B822B0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6BBA3C5B"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 continuación, se describen los proyectos activos hasta el 2022, pero para los que no se requieren recursos para su ejecución: </w:t>
      </w:r>
    </w:p>
    <w:p w14:paraId="62AA5675" w14:textId="77777777" w:rsidR="0085505C" w:rsidRPr="002A7673" w:rsidRDefault="0085505C" w:rsidP="0085505C">
      <w:pPr>
        <w:spacing w:after="0" w:line="360" w:lineRule="auto"/>
        <w:rPr>
          <w:rFonts w:ascii="Times New Roman" w:hAnsi="Times New Roman" w:cs="Times New Roman"/>
        </w:rPr>
      </w:pPr>
    </w:p>
    <w:tbl>
      <w:tblPr>
        <w:tblW w:w="5000" w:type="pct"/>
        <w:jc w:val="center"/>
        <w:tblCellMar>
          <w:left w:w="70" w:type="dxa"/>
          <w:right w:w="70" w:type="dxa"/>
        </w:tblCellMar>
        <w:tblLook w:val="04A0" w:firstRow="1" w:lastRow="0" w:firstColumn="1" w:lastColumn="0" w:noHBand="0" w:noVBand="1"/>
      </w:tblPr>
      <w:tblGrid>
        <w:gridCol w:w="2753"/>
        <w:gridCol w:w="4747"/>
        <w:gridCol w:w="2148"/>
      </w:tblGrid>
      <w:tr w:rsidR="0085505C" w:rsidRPr="002A7673" w14:paraId="0026A244" w14:textId="77777777" w:rsidTr="0048334E">
        <w:trPr>
          <w:trHeight w:val="540"/>
          <w:jc w:val="center"/>
        </w:trPr>
        <w:tc>
          <w:tcPr>
            <w:tcW w:w="1427" w:type="pct"/>
            <w:tcBorders>
              <w:top w:val="single" w:sz="8" w:space="0" w:color="auto"/>
              <w:left w:val="single" w:sz="8" w:space="0" w:color="auto"/>
              <w:bottom w:val="nil"/>
              <w:right w:val="single" w:sz="8" w:space="0" w:color="auto"/>
            </w:tcBorders>
            <w:shd w:val="clear" w:color="000000" w:fill="1F4E79"/>
            <w:vAlign w:val="center"/>
            <w:hideMark/>
          </w:tcPr>
          <w:p w14:paraId="3BC3B9D2" w14:textId="77777777" w:rsidR="0085505C" w:rsidRPr="002A7673" w:rsidRDefault="0085505C" w:rsidP="0048334E">
            <w:pPr>
              <w:spacing w:after="0" w:line="360" w:lineRule="auto"/>
              <w:jc w:val="center"/>
              <w:rPr>
                <w:rFonts w:ascii="Times New Roman" w:hAnsi="Times New Roman" w:cs="Times New Roman"/>
                <w:b/>
                <w:bCs/>
                <w:color w:val="FFFFFF"/>
                <w:sz w:val="24"/>
                <w:szCs w:val="24"/>
                <w:lang w:eastAsia="es-CR"/>
              </w:rPr>
            </w:pPr>
            <w:bookmarkStart w:id="246" w:name="RANGE!B2"/>
            <w:bookmarkStart w:id="247" w:name="_Hlk65582758" w:colFirst="1" w:colLast="3"/>
            <w:r w:rsidRPr="002A7673">
              <w:rPr>
                <w:rFonts w:ascii="Times New Roman" w:hAnsi="Times New Roman" w:cs="Times New Roman"/>
                <w:b/>
                <w:bCs/>
                <w:sz w:val="24"/>
                <w:szCs w:val="24"/>
                <w:lang w:eastAsia="es-CR"/>
              </w:rPr>
              <w:t>Cod Proyecto</w:t>
            </w:r>
            <w:bookmarkEnd w:id="246"/>
          </w:p>
        </w:tc>
        <w:tc>
          <w:tcPr>
            <w:tcW w:w="2460" w:type="pct"/>
            <w:tcBorders>
              <w:top w:val="single" w:sz="8" w:space="0" w:color="auto"/>
              <w:left w:val="nil"/>
              <w:bottom w:val="nil"/>
              <w:right w:val="single" w:sz="8" w:space="0" w:color="auto"/>
            </w:tcBorders>
            <w:shd w:val="clear" w:color="000000" w:fill="1F4E79"/>
            <w:vAlign w:val="center"/>
            <w:hideMark/>
          </w:tcPr>
          <w:p w14:paraId="5EBC75AB" w14:textId="77777777" w:rsidR="0085505C" w:rsidRPr="002A7673" w:rsidRDefault="0085505C" w:rsidP="0048334E">
            <w:pPr>
              <w:spacing w:after="0" w:line="36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sz w:val="24"/>
                <w:szCs w:val="24"/>
                <w:lang w:eastAsia="es-CR"/>
              </w:rPr>
              <w:t>Nombre del Proyecto</w:t>
            </w:r>
          </w:p>
        </w:tc>
        <w:tc>
          <w:tcPr>
            <w:tcW w:w="1113" w:type="pct"/>
            <w:tcBorders>
              <w:top w:val="single" w:sz="8" w:space="0" w:color="auto"/>
              <w:left w:val="nil"/>
              <w:bottom w:val="single" w:sz="8" w:space="0" w:color="auto"/>
              <w:right w:val="single" w:sz="8" w:space="0" w:color="auto"/>
            </w:tcBorders>
            <w:shd w:val="clear" w:color="000000" w:fill="1F4E79"/>
            <w:vAlign w:val="center"/>
            <w:hideMark/>
          </w:tcPr>
          <w:p w14:paraId="7EFB0CCA" w14:textId="77777777" w:rsidR="0085505C" w:rsidRPr="002A7673" w:rsidRDefault="0085505C" w:rsidP="0048334E">
            <w:pPr>
              <w:spacing w:after="0" w:line="360" w:lineRule="auto"/>
              <w:jc w:val="center"/>
              <w:rPr>
                <w:rFonts w:ascii="Times New Roman" w:hAnsi="Times New Roman" w:cs="Times New Roman"/>
                <w:b/>
                <w:bCs/>
                <w:color w:val="FFFFFF"/>
                <w:sz w:val="24"/>
                <w:szCs w:val="24"/>
                <w:lang w:eastAsia="es-CR"/>
              </w:rPr>
            </w:pPr>
            <w:r w:rsidRPr="002A7673">
              <w:rPr>
                <w:rFonts w:ascii="Times New Roman" w:hAnsi="Times New Roman" w:cs="Times New Roman"/>
                <w:b/>
                <w:bCs/>
                <w:sz w:val="24"/>
                <w:szCs w:val="24"/>
                <w:lang w:eastAsia="es-CR"/>
              </w:rPr>
              <w:t>Año de fin</w:t>
            </w:r>
          </w:p>
        </w:tc>
      </w:tr>
      <w:tr w:rsidR="0085505C" w:rsidRPr="002A7673" w14:paraId="16710DA7" w14:textId="77777777" w:rsidTr="0048334E">
        <w:trPr>
          <w:trHeight w:val="1224"/>
          <w:jc w:val="center"/>
        </w:trPr>
        <w:tc>
          <w:tcPr>
            <w:tcW w:w="1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BA800"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0718-OAPVT-P01</w:t>
            </w:r>
          </w:p>
        </w:tc>
        <w:tc>
          <w:tcPr>
            <w:tcW w:w="2460" w:type="pct"/>
            <w:tcBorders>
              <w:top w:val="single" w:sz="4" w:space="0" w:color="auto"/>
              <w:left w:val="nil"/>
              <w:bottom w:val="single" w:sz="4" w:space="0" w:color="auto"/>
              <w:right w:val="single" w:sz="4" w:space="0" w:color="auto"/>
            </w:tcBorders>
            <w:shd w:val="clear" w:color="000000" w:fill="FFFFFF"/>
            <w:vAlign w:val="center"/>
            <w:hideMark/>
          </w:tcPr>
          <w:p w14:paraId="56D8E2AA"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Propuesta de Reforma a la Ley 8720</w:t>
            </w:r>
          </w:p>
        </w:tc>
        <w:tc>
          <w:tcPr>
            <w:tcW w:w="1113" w:type="pct"/>
            <w:tcBorders>
              <w:top w:val="nil"/>
              <w:left w:val="nil"/>
              <w:bottom w:val="single" w:sz="8" w:space="0" w:color="auto"/>
              <w:right w:val="single" w:sz="8" w:space="0" w:color="auto"/>
            </w:tcBorders>
            <w:shd w:val="clear" w:color="auto" w:fill="auto"/>
            <w:noWrap/>
            <w:vAlign w:val="center"/>
            <w:hideMark/>
          </w:tcPr>
          <w:p w14:paraId="597C73BD"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2021</w:t>
            </w:r>
          </w:p>
        </w:tc>
      </w:tr>
      <w:tr w:rsidR="0085505C" w:rsidRPr="002A7673" w14:paraId="1DC935FB" w14:textId="77777777" w:rsidTr="0048334E">
        <w:trPr>
          <w:trHeight w:val="1224"/>
          <w:jc w:val="center"/>
        </w:trPr>
        <w:tc>
          <w:tcPr>
            <w:tcW w:w="1427" w:type="pct"/>
            <w:tcBorders>
              <w:top w:val="nil"/>
              <w:left w:val="single" w:sz="4" w:space="0" w:color="auto"/>
              <w:bottom w:val="single" w:sz="4" w:space="0" w:color="auto"/>
              <w:right w:val="single" w:sz="4" w:space="0" w:color="auto"/>
            </w:tcBorders>
            <w:shd w:val="clear" w:color="auto" w:fill="auto"/>
            <w:noWrap/>
            <w:vAlign w:val="center"/>
            <w:hideMark/>
          </w:tcPr>
          <w:p w14:paraId="0A257A0A"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lastRenderedPageBreak/>
              <w:t>0718-OAPVT-P02</w:t>
            </w:r>
          </w:p>
        </w:tc>
        <w:tc>
          <w:tcPr>
            <w:tcW w:w="2460" w:type="pct"/>
            <w:tcBorders>
              <w:top w:val="nil"/>
              <w:left w:val="nil"/>
              <w:bottom w:val="single" w:sz="4" w:space="0" w:color="auto"/>
              <w:right w:val="single" w:sz="4" w:space="0" w:color="auto"/>
            </w:tcBorders>
            <w:shd w:val="clear" w:color="000000" w:fill="FFFFFF"/>
            <w:vAlign w:val="center"/>
            <w:hideMark/>
          </w:tcPr>
          <w:p w14:paraId="5AC79837"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Propuesta de Reglamento a la Ley 8720</w:t>
            </w:r>
          </w:p>
        </w:tc>
        <w:tc>
          <w:tcPr>
            <w:tcW w:w="1113" w:type="pct"/>
            <w:tcBorders>
              <w:top w:val="nil"/>
              <w:left w:val="nil"/>
              <w:bottom w:val="single" w:sz="8" w:space="0" w:color="auto"/>
              <w:right w:val="single" w:sz="8" w:space="0" w:color="auto"/>
            </w:tcBorders>
            <w:shd w:val="clear" w:color="auto" w:fill="auto"/>
            <w:noWrap/>
            <w:vAlign w:val="center"/>
            <w:hideMark/>
          </w:tcPr>
          <w:p w14:paraId="362753DE"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2020</w:t>
            </w:r>
          </w:p>
        </w:tc>
      </w:tr>
      <w:tr w:rsidR="0085505C" w:rsidRPr="002A7673" w14:paraId="36AD2F71" w14:textId="77777777" w:rsidTr="0048334E">
        <w:trPr>
          <w:trHeight w:val="1224"/>
          <w:jc w:val="center"/>
        </w:trPr>
        <w:tc>
          <w:tcPr>
            <w:tcW w:w="1427" w:type="pct"/>
            <w:tcBorders>
              <w:top w:val="nil"/>
              <w:left w:val="single" w:sz="4" w:space="0" w:color="auto"/>
              <w:bottom w:val="single" w:sz="4" w:space="0" w:color="auto"/>
              <w:right w:val="single" w:sz="4" w:space="0" w:color="auto"/>
            </w:tcBorders>
            <w:shd w:val="clear" w:color="auto" w:fill="auto"/>
            <w:noWrap/>
            <w:vAlign w:val="center"/>
            <w:hideMark/>
          </w:tcPr>
          <w:p w14:paraId="4B2898DA"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0718-OAPVT-P03</w:t>
            </w:r>
          </w:p>
        </w:tc>
        <w:tc>
          <w:tcPr>
            <w:tcW w:w="2460" w:type="pct"/>
            <w:tcBorders>
              <w:top w:val="nil"/>
              <w:left w:val="nil"/>
              <w:bottom w:val="single" w:sz="4" w:space="0" w:color="auto"/>
              <w:right w:val="single" w:sz="4" w:space="0" w:color="auto"/>
            </w:tcBorders>
            <w:shd w:val="clear" w:color="000000" w:fill="FFFFFF"/>
            <w:vAlign w:val="center"/>
            <w:hideMark/>
          </w:tcPr>
          <w:p w14:paraId="6F7CC5A6"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Sistematización de experiencias y propuestas de mejora a la metodología de trabajo de la OAPVD</w:t>
            </w:r>
          </w:p>
        </w:tc>
        <w:tc>
          <w:tcPr>
            <w:tcW w:w="1113" w:type="pct"/>
            <w:tcBorders>
              <w:top w:val="nil"/>
              <w:left w:val="nil"/>
              <w:bottom w:val="single" w:sz="8" w:space="0" w:color="auto"/>
              <w:right w:val="single" w:sz="8" w:space="0" w:color="auto"/>
            </w:tcBorders>
            <w:shd w:val="clear" w:color="auto" w:fill="auto"/>
            <w:noWrap/>
            <w:vAlign w:val="center"/>
            <w:hideMark/>
          </w:tcPr>
          <w:p w14:paraId="20B76512"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2019</w:t>
            </w:r>
          </w:p>
        </w:tc>
      </w:tr>
      <w:tr w:rsidR="0085505C" w:rsidRPr="002A7673" w14:paraId="1B38F742" w14:textId="77777777" w:rsidTr="0048334E">
        <w:trPr>
          <w:trHeight w:val="1224"/>
          <w:jc w:val="center"/>
        </w:trPr>
        <w:tc>
          <w:tcPr>
            <w:tcW w:w="1427" w:type="pct"/>
            <w:tcBorders>
              <w:top w:val="nil"/>
              <w:left w:val="single" w:sz="4" w:space="0" w:color="auto"/>
              <w:bottom w:val="single" w:sz="4" w:space="0" w:color="auto"/>
              <w:right w:val="single" w:sz="4" w:space="0" w:color="auto"/>
            </w:tcBorders>
            <w:shd w:val="clear" w:color="auto" w:fill="auto"/>
            <w:noWrap/>
            <w:vAlign w:val="center"/>
            <w:hideMark/>
          </w:tcPr>
          <w:p w14:paraId="2D01DBF7"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0718-OAPVT-P04</w:t>
            </w:r>
          </w:p>
        </w:tc>
        <w:tc>
          <w:tcPr>
            <w:tcW w:w="2460" w:type="pct"/>
            <w:tcBorders>
              <w:top w:val="nil"/>
              <w:left w:val="nil"/>
              <w:bottom w:val="single" w:sz="4" w:space="0" w:color="auto"/>
              <w:right w:val="single" w:sz="4" w:space="0" w:color="auto"/>
            </w:tcBorders>
            <w:shd w:val="clear" w:color="000000" w:fill="FFFFFF"/>
            <w:vAlign w:val="center"/>
            <w:hideMark/>
          </w:tcPr>
          <w:p w14:paraId="3B606B5F"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Estudio de impacto de la Ley 8720</w:t>
            </w:r>
          </w:p>
        </w:tc>
        <w:tc>
          <w:tcPr>
            <w:tcW w:w="1113" w:type="pct"/>
            <w:tcBorders>
              <w:top w:val="nil"/>
              <w:left w:val="nil"/>
              <w:bottom w:val="single" w:sz="8" w:space="0" w:color="auto"/>
              <w:right w:val="single" w:sz="8" w:space="0" w:color="auto"/>
            </w:tcBorders>
            <w:shd w:val="clear" w:color="auto" w:fill="auto"/>
            <w:noWrap/>
            <w:vAlign w:val="center"/>
            <w:hideMark/>
          </w:tcPr>
          <w:p w14:paraId="7D03F0C7"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sz w:val="24"/>
                <w:szCs w:val="24"/>
                <w:lang w:eastAsia="es-CR"/>
              </w:rPr>
              <w:t>2021</w:t>
            </w:r>
          </w:p>
        </w:tc>
      </w:tr>
      <w:bookmarkEnd w:id="247"/>
    </w:tbl>
    <w:p w14:paraId="73726748" w14:textId="77777777" w:rsidR="0085505C" w:rsidRPr="002A7673" w:rsidRDefault="0085505C" w:rsidP="0085505C">
      <w:pPr>
        <w:spacing w:after="0" w:line="360" w:lineRule="auto"/>
        <w:jc w:val="center"/>
        <w:rPr>
          <w:rFonts w:ascii="Times New Roman" w:hAnsi="Times New Roman" w:cs="Times New Roman"/>
          <w:b/>
          <w:bCs/>
        </w:rPr>
      </w:pPr>
    </w:p>
    <w:p w14:paraId="06F119DD"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3.3 Análisis de los recursos formulados para el 2022 relacionados con la ejecución de los proyectos estratégicos</w:t>
      </w:r>
    </w:p>
    <w:p w14:paraId="6A79EB8E"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p>
    <w:p w14:paraId="624E903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El Servicio de Atención y Protección a Víctimas y Testigos no presenta recursos formulados para el 2022.</w:t>
      </w:r>
    </w:p>
    <w:p w14:paraId="7B002BFA"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0A4226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cuanto al análisis realizado a los Proyectos Estratégicos fue necesario consultarle a la Licda. Alexa Gómez Herrera, encargada de los proyectos de la Oficina de Atención y Protección a Víctimas y Testigos, si efectivamente para el periodo 2022 no se presentaban proyectos y externó lo siguiente:</w:t>
      </w:r>
    </w:p>
    <w:p w14:paraId="43C8008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6AC8858B"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color w:val="000000"/>
          <w:sz w:val="26"/>
          <w:szCs w:val="26"/>
        </w:rPr>
        <w:t>“</w:t>
      </w:r>
      <w:r w:rsidRPr="002A7673">
        <w:rPr>
          <w:rFonts w:ascii="Times New Roman" w:hAnsi="Times New Roman" w:cs="Times New Roman"/>
          <w:i/>
          <w:iCs/>
          <w:color w:val="000000"/>
          <w:sz w:val="26"/>
          <w:szCs w:val="26"/>
        </w:rPr>
        <w:t xml:space="preserve">El único proyecto incluido en el Project a inicios de este año y que se tiene previsto para el año 2022 es el Proyecto de Estudio de Impacto de la Ley 8720 (Código 0718-OAPVT-04) el cual no se incluyó en el Sistema de Proyección Plurianual porque para la ejecución </w:t>
      </w:r>
      <w:proofErr w:type="gramStart"/>
      <w:r w:rsidRPr="002A7673">
        <w:rPr>
          <w:rFonts w:ascii="Times New Roman" w:hAnsi="Times New Roman" w:cs="Times New Roman"/>
          <w:i/>
          <w:iCs/>
          <w:color w:val="000000"/>
          <w:sz w:val="26"/>
          <w:szCs w:val="26"/>
        </w:rPr>
        <w:t>del mismo</w:t>
      </w:r>
      <w:proofErr w:type="gramEnd"/>
      <w:r w:rsidRPr="002A7673">
        <w:rPr>
          <w:rFonts w:ascii="Times New Roman" w:hAnsi="Times New Roman" w:cs="Times New Roman"/>
          <w:i/>
          <w:iCs/>
          <w:color w:val="000000"/>
          <w:sz w:val="26"/>
          <w:szCs w:val="26"/>
        </w:rPr>
        <w:t xml:space="preserve"> no se requieren incorporar recursos relacionados con el gasto variable, sino únicamente recurso humano.”</w:t>
      </w:r>
      <w:r w:rsidRPr="002A7673">
        <w:rPr>
          <w:rFonts w:ascii="Times New Roman" w:hAnsi="Times New Roman" w:cs="Times New Roman"/>
          <w:color w:val="000000"/>
          <w:sz w:val="26"/>
          <w:szCs w:val="26"/>
        </w:rPr>
        <w:t>  </w:t>
      </w:r>
    </w:p>
    <w:p w14:paraId="29B80B2D"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bookmarkEnd w:id="245"/>
    <w:p w14:paraId="1491838F"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Detalle de Rebajos por Subpartida</w:t>
      </w:r>
    </w:p>
    <w:p w14:paraId="2D70BFFF"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b/>
          <w:sz w:val="26"/>
          <w:szCs w:val="26"/>
          <w:lang w:val="es-ES" w:eastAsia="es-ES"/>
        </w:rPr>
      </w:pPr>
    </w:p>
    <w:p w14:paraId="5982523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Del análisis efectuado en las subpartidas tanto sensibles como con directrices y del resto del presupuesto, luego de las consultas y revisión no fue necesario realizar rebajos en el periodo presupuestario 2022 de la Oficina de Atención y Protección a Víctimas y Testigos.</w:t>
      </w:r>
    </w:p>
    <w:p w14:paraId="77989A69"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3468A236"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lastRenderedPageBreak/>
        <w:t>Detalle de requerimientos adicionales</w:t>
      </w:r>
    </w:p>
    <w:p w14:paraId="2D23B308"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p>
    <w:p w14:paraId="4D980356"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r w:rsidRPr="002A7673">
        <w:rPr>
          <w:rFonts w:ascii="Times New Roman" w:hAnsi="Times New Roman" w:cs="Times New Roman"/>
          <w:bCs/>
          <w:sz w:val="26"/>
          <w:szCs w:val="26"/>
        </w:rPr>
        <w:t>Para el periodo presupuestario 2022 el Servicio de Atención y Protección de Víctimas y Testigos no solicita requerimientos adicionales.</w:t>
      </w:r>
    </w:p>
    <w:p w14:paraId="5BC4D461"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29147AC9"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eastAsia="Times New Roman" w:hAnsi="Times New Roman" w:cs="Times New Roman"/>
          <w:b/>
          <w:bCs/>
          <w:sz w:val="26"/>
          <w:szCs w:val="26"/>
        </w:rPr>
      </w:pPr>
      <w:r w:rsidRPr="002A7673">
        <w:rPr>
          <w:rFonts w:ascii="Times New Roman" w:eastAsia="Times New Roman" w:hAnsi="Times New Roman" w:cs="Times New Roman"/>
          <w:b/>
          <w:bCs/>
          <w:sz w:val="26"/>
          <w:szCs w:val="26"/>
          <w:lang w:val="es-ES" w:eastAsia="es-ES"/>
        </w:rPr>
        <w:t>Otros Requerimientos Operativos</w:t>
      </w:r>
    </w:p>
    <w:p w14:paraId="11B739EE"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b/>
          <w:bCs/>
          <w:sz w:val="26"/>
          <w:szCs w:val="26"/>
        </w:rPr>
      </w:pPr>
    </w:p>
    <w:p w14:paraId="3D3608D2" w14:textId="77777777" w:rsidR="0085505C" w:rsidRPr="002A7673" w:rsidRDefault="0085505C" w:rsidP="0085505C">
      <w:pPr>
        <w:autoSpaceDE w:val="0"/>
        <w:autoSpaceDN w:val="0"/>
        <w:adjustRightInd w:val="0"/>
        <w:spacing w:after="0" w:line="240" w:lineRule="auto"/>
        <w:ind w:left="851" w:right="851" w:firstLine="709"/>
        <w:jc w:val="both"/>
        <w:rPr>
          <w:rFonts w:ascii="Times New Roman" w:eastAsia="Times New Roman" w:hAnsi="Times New Roman" w:cs="Times New Roman"/>
          <w:color w:val="000000"/>
          <w:sz w:val="26"/>
          <w:szCs w:val="26"/>
          <w:lang w:eastAsia="es-CR"/>
        </w:rPr>
      </w:pPr>
      <w:r w:rsidRPr="002A7673">
        <w:rPr>
          <w:rFonts w:ascii="Times New Roman" w:eastAsia="Times New Roman" w:hAnsi="Times New Roman" w:cs="Times New Roman"/>
          <w:color w:val="000000"/>
          <w:sz w:val="26"/>
          <w:szCs w:val="26"/>
          <w:lang w:eastAsia="es-CR"/>
        </w:rPr>
        <w:t xml:space="preserve">Conforme el acuerdo del Consejo Superior tomado en la sesión N°21-2021, del 12 de marzo, artículo X, en el cual se acordó: </w:t>
      </w:r>
      <w:r w:rsidRPr="002A7673">
        <w:rPr>
          <w:rFonts w:ascii="Times New Roman" w:eastAsia="Times New Roman" w:hAnsi="Times New Roman" w:cs="Times New Roman"/>
          <w:i/>
          <w:iCs/>
          <w:color w:val="000000"/>
          <w:sz w:val="26"/>
          <w:szCs w:val="26"/>
          <w:lang w:eastAsia="es-CR"/>
        </w:rPr>
        <w:t>“Solicitar a la Dirección Ejecutiva que en coordinación con la Dirección de Planificación y debido a las limitaciones presupuestarias, realice un análisis de las necesidades adicionales solicitadas por cada una de las oficinas estableciendo una propuesta de priorización a nivel institucional.”</w:t>
      </w:r>
      <w:r w:rsidRPr="002A7673">
        <w:rPr>
          <w:rFonts w:ascii="Times New Roman" w:eastAsia="Times New Roman" w:hAnsi="Times New Roman" w:cs="Times New Roman"/>
          <w:color w:val="000000"/>
          <w:sz w:val="26"/>
          <w:szCs w:val="26"/>
          <w:lang w:eastAsia="es-CR"/>
        </w:rPr>
        <w:t xml:space="preserve">, se indica que para el programa presupuestario 950 no se están solicitando recursos. </w:t>
      </w:r>
    </w:p>
    <w:p w14:paraId="5CFD4451" w14:textId="77777777" w:rsidR="0085505C" w:rsidRPr="002A7673" w:rsidRDefault="0085505C" w:rsidP="0085505C">
      <w:pPr>
        <w:autoSpaceDE w:val="0"/>
        <w:autoSpaceDN w:val="0"/>
        <w:adjustRightInd w:val="0"/>
        <w:spacing w:after="0" w:line="240" w:lineRule="auto"/>
        <w:ind w:left="851" w:right="851" w:firstLine="709"/>
        <w:jc w:val="both"/>
        <w:rPr>
          <w:rFonts w:ascii="Times New Roman" w:eastAsia="Times New Roman" w:hAnsi="Times New Roman" w:cs="Times New Roman"/>
          <w:b/>
          <w:color w:val="000000"/>
          <w:sz w:val="26"/>
          <w:szCs w:val="26"/>
          <w:lang w:eastAsia="es-CR"/>
        </w:rPr>
      </w:pPr>
    </w:p>
    <w:p w14:paraId="7B32C412" w14:textId="77777777" w:rsidR="0085505C" w:rsidRPr="002A7673" w:rsidRDefault="0085505C" w:rsidP="00FF3FAC">
      <w:pPr>
        <w:numPr>
          <w:ilvl w:val="0"/>
          <w:numId w:val="70"/>
        </w:numPr>
        <w:tabs>
          <w:tab w:val="clear" w:pos="720"/>
          <w:tab w:val="num" w:pos="786"/>
        </w:tabs>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Detalle del Presupuesto Formulado para 2022</w:t>
      </w:r>
    </w:p>
    <w:p w14:paraId="6598CEEA"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3246C1E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 continuación, se incluye archivo que contiene el detalle del gasto de los recursos formulados para el 2022. </w:t>
      </w:r>
    </w:p>
    <w:p w14:paraId="5F8954B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bookmarkStart w:id="248" w:name="_MON_1680433312"/>
    <w:bookmarkEnd w:id="248"/>
    <w:p w14:paraId="3282F6B9" w14:textId="77777777" w:rsidR="0085505C" w:rsidRPr="002A7673" w:rsidRDefault="0085505C" w:rsidP="0085505C">
      <w:pPr>
        <w:spacing w:after="0" w:line="240" w:lineRule="auto"/>
        <w:ind w:left="851" w:right="851"/>
        <w:jc w:val="center"/>
        <w:rPr>
          <w:rFonts w:ascii="Times New Roman" w:hAnsi="Times New Roman" w:cs="Times New Roman"/>
          <w:sz w:val="26"/>
          <w:szCs w:val="26"/>
        </w:rPr>
      </w:pPr>
      <w:r w:rsidRPr="002A7673">
        <w:rPr>
          <w:rFonts w:ascii="Times New Roman" w:hAnsi="Times New Roman" w:cs="Times New Roman"/>
          <w:sz w:val="26"/>
          <w:szCs w:val="26"/>
        </w:rPr>
        <w:object w:dxaOrig="1155" w:dyaOrig="747" w14:anchorId="39869F8A">
          <v:shape id="_x0000_i1160" type="#_x0000_t75" style="width:57.75pt;height:36pt" o:ole="">
            <v:imagedata r:id="rId365" o:title=""/>
          </v:shape>
          <o:OLEObject Type="Embed" ProgID="Excel.Sheet.12" ShapeID="_x0000_i1160" DrawAspect="Icon" ObjectID="_1684067103" r:id="rId366"/>
        </w:object>
      </w:r>
    </w:p>
    <w:p w14:paraId="653FEAAD"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601AD606"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 xml:space="preserve">8.  Carga de Trabajo de los Circuitos Judiciales y Centros de Responsabilidad </w:t>
      </w:r>
    </w:p>
    <w:p w14:paraId="0091829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694BAF99"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 continuación, se detalla la información de la carga de trabajo 2019-2020 del Servicio de Atención y Protección de Víctimas y Testigos.</w:t>
      </w:r>
    </w:p>
    <w:p w14:paraId="179C6B2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bookmarkStart w:id="249" w:name="_MON_1578287628"/>
      <w:bookmarkStart w:id="250" w:name="_MON_1578311419"/>
      <w:bookmarkStart w:id="251" w:name="_MON_1578311436"/>
      <w:bookmarkStart w:id="252" w:name="_MON_1578298139"/>
      <w:bookmarkStart w:id="253" w:name="_MON_1578298295"/>
      <w:bookmarkEnd w:id="249"/>
      <w:bookmarkEnd w:id="250"/>
      <w:bookmarkEnd w:id="251"/>
      <w:bookmarkEnd w:id="252"/>
      <w:bookmarkEnd w:id="253"/>
    </w:p>
    <w:p w14:paraId="66C6C187"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bookmarkStart w:id="254" w:name="_Hlk69466417"/>
      <w:r w:rsidRPr="002A7673">
        <w:rPr>
          <w:rFonts w:ascii="Times New Roman" w:hAnsi="Times New Roman" w:cs="Times New Roman"/>
          <w:b/>
          <w:bCs/>
          <w:sz w:val="26"/>
          <w:szCs w:val="26"/>
        </w:rPr>
        <w:t xml:space="preserve">Movimientos generales de trabajo en el Centro de Responsabilidad de la Oficina de Atención y Protección a la Víctima de Delitos, Programa de </w:t>
      </w:r>
      <w:bookmarkEnd w:id="254"/>
      <w:r w:rsidRPr="002A7673">
        <w:rPr>
          <w:rFonts w:ascii="Times New Roman" w:hAnsi="Times New Roman" w:cs="Times New Roman"/>
          <w:b/>
          <w:bCs/>
          <w:sz w:val="26"/>
          <w:szCs w:val="26"/>
        </w:rPr>
        <w:t>Atención a la Víctima de Delitos, durante el bienio 2019-2020</w:t>
      </w:r>
    </w:p>
    <w:p w14:paraId="71FB5180" w14:textId="77777777" w:rsidR="0085505C" w:rsidRPr="002A7673" w:rsidRDefault="0085505C" w:rsidP="0085505C">
      <w:pPr>
        <w:spacing w:after="0" w:line="360" w:lineRule="auto"/>
        <w:rPr>
          <w:rFonts w:ascii="Times New Roman" w:hAnsi="Times New Roman" w:cs="Times New Roman"/>
        </w:rPr>
      </w:pPr>
    </w:p>
    <w:p w14:paraId="51728632" w14:textId="77777777" w:rsidR="0085505C" w:rsidRPr="002A7673" w:rsidRDefault="0085505C" w:rsidP="0085505C">
      <w:pPr>
        <w:keepNext/>
        <w:widowControl w:val="0"/>
        <w:autoSpaceDE w:val="0"/>
        <w:autoSpaceDN w:val="0"/>
        <w:adjustRightInd w:val="0"/>
        <w:spacing w:after="0" w:line="360" w:lineRule="auto"/>
        <w:jc w:val="center"/>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 xml:space="preserve">Cuadro </w:t>
      </w:r>
      <w:r w:rsidRPr="002A7673">
        <w:rPr>
          <w:rFonts w:ascii="Times New Roman" w:eastAsia="Times New Roman" w:hAnsi="Times New Roman" w:cs="Times New Roman"/>
          <w:b/>
          <w:bCs/>
          <w:sz w:val="26"/>
          <w:szCs w:val="26"/>
          <w:lang w:val="es-ES" w:eastAsia="es-ES"/>
        </w:rPr>
        <w:fldChar w:fldCharType="begin"/>
      </w:r>
      <w:r w:rsidRPr="002A7673">
        <w:rPr>
          <w:rFonts w:ascii="Times New Roman" w:eastAsia="Times New Roman" w:hAnsi="Times New Roman" w:cs="Times New Roman"/>
          <w:b/>
          <w:bCs/>
          <w:sz w:val="26"/>
          <w:szCs w:val="26"/>
          <w:lang w:val="es-ES" w:eastAsia="es-ES"/>
        </w:rPr>
        <w:instrText xml:space="preserve"> SEQ Cuadro \* ARABIC </w:instrText>
      </w:r>
      <w:r w:rsidRPr="002A7673">
        <w:rPr>
          <w:rFonts w:ascii="Times New Roman" w:eastAsia="Times New Roman" w:hAnsi="Times New Roman" w:cs="Times New Roman"/>
          <w:b/>
          <w:bCs/>
          <w:sz w:val="26"/>
          <w:szCs w:val="26"/>
          <w:lang w:val="es-ES" w:eastAsia="es-ES"/>
        </w:rPr>
        <w:fldChar w:fldCharType="separate"/>
      </w:r>
      <w:r w:rsidRPr="002A7673">
        <w:rPr>
          <w:rFonts w:ascii="Times New Roman" w:eastAsia="Times New Roman" w:hAnsi="Times New Roman" w:cs="Times New Roman"/>
          <w:b/>
          <w:bCs/>
          <w:noProof/>
          <w:sz w:val="26"/>
          <w:szCs w:val="26"/>
          <w:lang w:val="es-ES" w:eastAsia="es-ES"/>
        </w:rPr>
        <w:t>1</w:t>
      </w:r>
      <w:r w:rsidRPr="002A7673">
        <w:rPr>
          <w:rFonts w:ascii="Times New Roman" w:eastAsia="Times New Roman" w:hAnsi="Times New Roman" w:cs="Times New Roman"/>
          <w:b/>
          <w:bCs/>
          <w:sz w:val="26"/>
          <w:szCs w:val="26"/>
          <w:lang w:val="es-ES" w:eastAsia="es-ES"/>
        </w:rPr>
        <w:fldChar w:fldCharType="end"/>
      </w:r>
    </w:p>
    <w:p w14:paraId="31931F2E" w14:textId="77777777" w:rsidR="0085505C" w:rsidRPr="002A7673" w:rsidRDefault="0085505C" w:rsidP="0085505C">
      <w:pPr>
        <w:keepNext/>
        <w:widowControl w:val="0"/>
        <w:autoSpaceDE w:val="0"/>
        <w:autoSpaceDN w:val="0"/>
        <w:adjustRightInd w:val="0"/>
        <w:spacing w:after="0" w:line="360" w:lineRule="auto"/>
        <w:jc w:val="center"/>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 xml:space="preserve">Movimientos generales de trabajo para el Centro de Responsabilidad de la Oficina de Atención y Protección a la Víctima de Delitos, Programa de Atención a la Víctima de </w:t>
      </w:r>
      <w:r w:rsidRPr="002A7673">
        <w:rPr>
          <w:rFonts w:ascii="Times New Roman" w:eastAsia="Times New Roman" w:hAnsi="Times New Roman" w:cs="Times New Roman"/>
          <w:b/>
          <w:bCs/>
          <w:sz w:val="26"/>
          <w:szCs w:val="26"/>
          <w:lang w:val="es-ES" w:eastAsia="es-ES"/>
        </w:rPr>
        <w:lastRenderedPageBreak/>
        <w:t>Delitos, durante el bienio 2019-2020</w:t>
      </w:r>
    </w:p>
    <w:tbl>
      <w:tblPr>
        <w:tblW w:w="5000" w:type="pct"/>
        <w:tblBorders>
          <w:top w:val="single" w:sz="8" w:space="0" w:color="auto"/>
          <w:bottom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980"/>
        <w:gridCol w:w="1137"/>
        <w:gridCol w:w="1137"/>
        <w:gridCol w:w="1154"/>
        <w:gridCol w:w="1260"/>
      </w:tblGrid>
      <w:tr w:rsidR="0085505C" w:rsidRPr="002A7673" w14:paraId="050D7A64" w14:textId="77777777" w:rsidTr="0048334E">
        <w:trPr>
          <w:trHeight w:val="20"/>
        </w:trPr>
        <w:tc>
          <w:tcPr>
            <w:tcW w:w="2581" w:type="pct"/>
            <w:vMerge w:val="restart"/>
            <w:shd w:val="clear" w:color="auto" w:fill="auto"/>
            <w:vAlign w:val="center"/>
          </w:tcPr>
          <w:p w14:paraId="741FFA94"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Variable</w:t>
            </w:r>
          </w:p>
        </w:tc>
        <w:tc>
          <w:tcPr>
            <w:tcW w:w="1190" w:type="pct"/>
            <w:gridSpan w:val="2"/>
            <w:shd w:val="clear" w:color="auto" w:fill="auto"/>
            <w:vAlign w:val="center"/>
          </w:tcPr>
          <w:p w14:paraId="09DCFBED"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Año</w:t>
            </w:r>
          </w:p>
        </w:tc>
        <w:tc>
          <w:tcPr>
            <w:tcW w:w="596" w:type="pct"/>
            <w:vMerge w:val="restart"/>
            <w:shd w:val="clear" w:color="auto" w:fill="auto"/>
            <w:vAlign w:val="center"/>
          </w:tcPr>
          <w:p w14:paraId="7DB965D2"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Variación absoluta</w:t>
            </w:r>
          </w:p>
        </w:tc>
        <w:tc>
          <w:tcPr>
            <w:tcW w:w="632" w:type="pct"/>
            <w:vMerge w:val="restart"/>
            <w:shd w:val="clear" w:color="auto" w:fill="auto"/>
            <w:vAlign w:val="center"/>
          </w:tcPr>
          <w:p w14:paraId="4C84285E"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Variación Porcentual</w:t>
            </w:r>
          </w:p>
        </w:tc>
      </w:tr>
      <w:tr w:rsidR="0085505C" w:rsidRPr="002A7673" w14:paraId="623D0EFD" w14:textId="77777777" w:rsidTr="0048334E">
        <w:trPr>
          <w:trHeight w:val="20"/>
        </w:trPr>
        <w:tc>
          <w:tcPr>
            <w:tcW w:w="2581" w:type="pct"/>
            <w:vMerge/>
            <w:tcBorders>
              <w:bottom w:val="single" w:sz="8" w:space="0" w:color="auto"/>
            </w:tcBorders>
            <w:shd w:val="clear" w:color="auto" w:fill="auto"/>
            <w:vAlign w:val="center"/>
          </w:tcPr>
          <w:p w14:paraId="711CF271" w14:textId="77777777" w:rsidR="0085505C" w:rsidRPr="002A7673" w:rsidRDefault="0085505C" w:rsidP="0048334E">
            <w:pPr>
              <w:spacing w:after="0" w:line="360" w:lineRule="auto"/>
              <w:rPr>
                <w:rFonts w:ascii="Times New Roman" w:hAnsi="Times New Roman" w:cs="Times New Roman"/>
                <w:b/>
                <w:bCs/>
                <w:sz w:val="24"/>
                <w:szCs w:val="24"/>
                <w:lang w:eastAsia="es-CR"/>
              </w:rPr>
            </w:pPr>
          </w:p>
        </w:tc>
        <w:tc>
          <w:tcPr>
            <w:tcW w:w="595" w:type="pct"/>
            <w:tcBorders>
              <w:bottom w:val="single" w:sz="8" w:space="0" w:color="auto"/>
            </w:tcBorders>
            <w:shd w:val="clear" w:color="auto" w:fill="auto"/>
            <w:vAlign w:val="center"/>
          </w:tcPr>
          <w:p w14:paraId="7E8DC804"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2019</w:t>
            </w:r>
          </w:p>
        </w:tc>
        <w:tc>
          <w:tcPr>
            <w:tcW w:w="595" w:type="pct"/>
            <w:tcBorders>
              <w:bottom w:val="single" w:sz="8" w:space="0" w:color="auto"/>
            </w:tcBorders>
            <w:shd w:val="clear" w:color="auto" w:fill="auto"/>
            <w:vAlign w:val="center"/>
          </w:tcPr>
          <w:p w14:paraId="203F421B"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2020*</w:t>
            </w:r>
          </w:p>
        </w:tc>
        <w:tc>
          <w:tcPr>
            <w:tcW w:w="596" w:type="pct"/>
            <w:vMerge/>
            <w:tcBorders>
              <w:bottom w:val="single" w:sz="8" w:space="0" w:color="auto"/>
            </w:tcBorders>
            <w:shd w:val="clear" w:color="auto" w:fill="auto"/>
            <w:vAlign w:val="center"/>
          </w:tcPr>
          <w:p w14:paraId="35D7DB01" w14:textId="77777777" w:rsidR="0085505C" w:rsidRPr="002A7673" w:rsidRDefault="0085505C" w:rsidP="0048334E">
            <w:pPr>
              <w:spacing w:after="0" w:line="360" w:lineRule="auto"/>
              <w:rPr>
                <w:rFonts w:ascii="Times New Roman" w:hAnsi="Times New Roman" w:cs="Times New Roman"/>
                <w:b/>
                <w:bCs/>
                <w:sz w:val="24"/>
                <w:szCs w:val="24"/>
                <w:lang w:eastAsia="es-CR"/>
              </w:rPr>
            </w:pPr>
          </w:p>
        </w:tc>
        <w:tc>
          <w:tcPr>
            <w:tcW w:w="632" w:type="pct"/>
            <w:vMerge/>
            <w:tcBorders>
              <w:bottom w:val="single" w:sz="8" w:space="0" w:color="auto"/>
            </w:tcBorders>
            <w:shd w:val="clear" w:color="auto" w:fill="auto"/>
            <w:vAlign w:val="center"/>
          </w:tcPr>
          <w:p w14:paraId="34F97CFF" w14:textId="77777777" w:rsidR="0085505C" w:rsidRPr="002A7673" w:rsidRDefault="0085505C" w:rsidP="0048334E">
            <w:pPr>
              <w:spacing w:after="0" w:line="360" w:lineRule="auto"/>
              <w:rPr>
                <w:rFonts w:ascii="Times New Roman" w:hAnsi="Times New Roman" w:cs="Times New Roman"/>
                <w:b/>
                <w:bCs/>
                <w:sz w:val="24"/>
                <w:szCs w:val="24"/>
                <w:lang w:eastAsia="es-CR"/>
              </w:rPr>
            </w:pPr>
          </w:p>
        </w:tc>
      </w:tr>
      <w:tr w:rsidR="0085505C" w:rsidRPr="002A7673" w14:paraId="63B8D481" w14:textId="77777777" w:rsidTr="0048334E">
        <w:trPr>
          <w:trHeight w:val="20"/>
        </w:trPr>
        <w:tc>
          <w:tcPr>
            <w:tcW w:w="2581" w:type="pct"/>
            <w:tcBorders>
              <w:bottom w:val="nil"/>
            </w:tcBorders>
            <w:shd w:val="clear" w:color="auto" w:fill="auto"/>
            <w:vAlign w:val="bottom"/>
            <w:hideMark/>
          </w:tcPr>
          <w:p w14:paraId="5B74DD45"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5" w:type="pct"/>
            <w:tcBorders>
              <w:bottom w:val="nil"/>
            </w:tcBorders>
            <w:shd w:val="clear" w:color="auto" w:fill="auto"/>
            <w:vAlign w:val="bottom"/>
            <w:hideMark/>
          </w:tcPr>
          <w:p w14:paraId="2D598658"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5" w:type="pct"/>
            <w:tcBorders>
              <w:bottom w:val="nil"/>
            </w:tcBorders>
            <w:shd w:val="clear" w:color="auto" w:fill="auto"/>
            <w:vAlign w:val="bottom"/>
            <w:hideMark/>
          </w:tcPr>
          <w:p w14:paraId="5E83B57C"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6" w:type="pct"/>
            <w:tcBorders>
              <w:bottom w:val="nil"/>
            </w:tcBorders>
            <w:shd w:val="clear" w:color="auto" w:fill="auto"/>
            <w:vAlign w:val="bottom"/>
            <w:hideMark/>
          </w:tcPr>
          <w:p w14:paraId="7DD635E0"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632" w:type="pct"/>
            <w:tcBorders>
              <w:bottom w:val="nil"/>
            </w:tcBorders>
            <w:shd w:val="clear" w:color="auto" w:fill="auto"/>
            <w:vAlign w:val="bottom"/>
            <w:hideMark/>
          </w:tcPr>
          <w:p w14:paraId="1DDDDECB"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r>
      <w:tr w:rsidR="0085505C" w:rsidRPr="002A7673" w14:paraId="00459A32"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44BD52F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rPr>
              <w:t>Circulante inicial</w:t>
            </w:r>
          </w:p>
        </w:tc>
        <w:tc>
          <w:tcPr>
            <w:tcW w:w="595" w:type="pct"/>
            <w:tcBorders>
              <w:top w:val="nil"/>
              <w:left w:val="nil"/>
              <w:bottom w:val="nil"/>
              <w:right w:val="single" w:sz="8" w:space="0" w:color="auto"/>
            </w:tcBorders>
            <w:shd w:val="clear" w:color="auto" w:fill="auto"/>
            <w:vAlign w:val="bottom"/>
            <w:hideMark/>
          </w:tcPr>
          <w:p w14:paraId="2E25DD53"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6 970</w:t>
            </w:r>
          </w:p>
        </w:tc>
        <w:tc>
          <w:tcPr>
            <w:tcW w:w="595" w:type="pct"/>
            <w:tcBorders>
              <w:top w:val="nil"/>
              <w:left w:val="nil"/>
              <w:bottom w:val="nil"/>
              <w:right w:val="single" w:sz="8" w:space="0" w:color="auto"/>
            </w:tcBorders>
            <w:shd w:val="clear" w:color="auto" w:fill="auto"/>
            <w:vAlign w:val="bottom"/>
            <w:hideMark/>
          </w:tcPr>
          <w:p w14:paraId="7DA88713"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4 343</w:t>
            </w:r>
          </w:p>
        </w:tc>
        <w:tc>
          <w:tcPr>
            <w:tcW w:w="596" w:type="pct"/>
            <w:tcBorders>
              <w:top w:val="nil"/>
              <w:left w:val="nil"/>
              <w:bottom w:val="nil"/>
              <w:right w:val="single" w:sz="8" w:space="0" w:color="auto"/>
            </w:tcBorders>
            <w:shd w:val="clear" w:color="auto" w:fill="auto"/>
            <w:vAlign w:val="center"/>
            <w:hideMark/>
          </w:tcPr>
          <w:p w14:paraId="4552E082"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-2 627</w:t>
            </w:r>
          </w:p>
        </w:tc>
        <w:tc>
          <w:tcPr>
            <w:tcW w:w="632" w:type="pct"/>
            <w:tcBorders>
              <w:top w:val="nil"/>
              <w:left w:val="nil"/>
              <w:bottom w:val="nil"/>
              <w:right w:val="nil"/>
            </w:tcBorders>
            <w:shd w:val="clear" w:color="auto" w:fill="auto"/>
            <w:vAlign w:val="center"/>
            <w:hideMark/>
          </w:tcPr>
          <w:p w14:paraId="177BB7C4"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-37,7%</w:t>
            </w:r>
          </w:p>
        </w:tc>
      </w:tr>
      <w:tr w:rsidR="0085505C" w:rsidRPr="002A7673" w14:paraId="3169371F"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0939284A"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rPr>
              <w:t>Entrados</w:t>
            </w:r>
          </w:p>
        </w:tc>
        <w:tc>
          <w:tcPr>
            <w:tcW w:w="595" w:type="pct"/>
            <w:tcBorders>
              <w:top w:val="nil"/>
              <w:left w:val="nil"/>
              <w:bottom w:val="nil"/>
              <w:right w:val="single" w:sz="8" w:space="0" w:color="auto"/>
            </w:tcBorders>
            <w:shd w:val="clear" w:color="auto" w:fill="auto"/>
            <w:vAlign w:val="bottom"/>
            <w:hideMark/>
          </w:tcPr>
          <w:p w14:paraId="70CB543B"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12 807</w:t>
            </w:r>
          </w:p>
        </w:tc>
        <w:tc>
          <w:tcPr>
            <w:tcW w:w="595" w:type="pct"/>
            <w:tcBorders>
              <w:top w:val="nil"/>
              <w:left w:val="nil"/>
              <w:bottom w:val="nil"/>
              <w:right w:val="single" w:sz="8" w:space="0" w:color="auto"/>
            </w:tcBorders>
            <w:shd w:val="clear" w:color="auto" w:fill="auto"/>
            <w:vAlign w:val="bottom"/>
            <w:hideMark/>
          </w:tcPr>
          <w:p w14:paraId="436B503D"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2 841</w:t>
            </w:r>
          </w:p>
        </w:tc>
        <w:tc>
          <w:tcPr>
            <w:tcW w:w="596" w:type="pct"/>
            <w:tcBorders>
              <w:top w:val="nil"/>
              <w:left w:val="nil"/>
              <w:bottom w:val="nil"/>
              <w:right w:val="single" w:sz="8" w:space="0" w:color="auto"/>
            </w:tcBorders>
            <w:shd w:val="clear" w:color="auto" w:fill="auto"/>
            <w:vAlign w:val="center"/>
            <w:hideMark/>
          </w:tcPr>
          <w:p w14:paraId="06F2059C"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-9 966</w:t>
            </w:r>
          </w:p>
        </w:tc>
        <w:tc>
          <w:tcPr>
            <w:tcW w:w="632" w:type="pct"/>
            <w:tcBorders>
              <w:top w:val="nil"/>
              <w:left w:val="nil"/>
              <w:bottom w:val="nil"/>
              <w:right w:val="nil"/>
            </w:tcBorders>
            <w:shd w:val="clear" w:color="auto" w:fill="auto"/>
            <w:vAlign w:val="center"/>
            <w:hideMark/>
          </w:tcPr>
          <w:p w14:paraId="0DCDF629"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-77,8%</w:t>
            </w:r>
          </w:p>
        </w:tc>
      </w:tr>
      <w:tr w:rsidR="0085505C" w:rsidRPr="002A7673" w14:paraId="3D710911"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2C746AE4"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rPr>
              <w:t>Reentrados</w:t>
            </w:r>
          </w:p>
        </w:tc>
        <w:tc>
          <w:tcPr>
            <w:tcW w:w="595" w:type="pct"/>
            <w:tcBorders>
              <w:top w:val="nil"/>
              <w:left w:val="nil"/>
              <w:bottom w:val="nil"/>
              <w:right w:val="single" w:sz="8" w:space="0" w:color="auto"/>
            </w:tcBorders>
            <w:shd w:val="clear" w:color="auto" w:fill="auto"/>
            <w:vAlign w:val="bottom"/>
            <w:hideMark/>
          </w:tcPr>
          <w:p w14:paraId="09358360"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753</w:t>
            </w:r>
          </w:p>
        </w:tc>
        <w:tc>
          <w:tcPr>
            <w:tcW w:w="595" w:type="pct"/>
            <w:tcBorders>
              <w:top w:val="nil"/>
              <w:left w:val="nil"/>
              <w:bottom w:val="nil"/>
              <w:right w:val="single" w:sz="8" w:space="0" w:color="auto"/>
            </w:tcBorders>
            <w:shd w:val="clear" w:color="auto" w:fill="auto"/>
            <w:vAlign w:val="bottom"/>
            <w:hideMark/>
          </w:tcPr>
          <w:p w14:paraId="64FDA57B"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422</w:t>
            </w:r>
          </w:p>
        </w:tc>
        <w:tc>
          <w:tcPr>
            <w:tcW w:w="596" w:type="pct"/>
            <w:tcBorders>
              <w:top w:val="nil"/>
              <w:left w:val="nil"/>
              <w:bottom w:val="nil"/>
              <w:right w:val="single" w:sz="8" w:space="0" w:color="auto"/>
            </w:tcBorders>
            <w:shd w:val="clear" w:color="auto" w:fill="auto"/>
            <w:vAlign w:val="center"/>
            <w:hideMark/>
          </w:tcPr>
          <w:p w14:paraId="71C254F2"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-331</w:t>
            </w:r>
          </w:p>
        </w:tc>
        <w:tc>
          <w:tcPr>
            <w:tcW w:w="632" w:type="pct"/>
            <w:tcBorders>
              <w:top w:val="nil"/>
              <w:left w:val="nil"/>
              <w:bottom w:val="nil"/>
              <w:right w:val="nil"/>
            </w:tcBorders>
            <w:shd w:val="clear" w:color="auto" w:fill="auto"/>
            <w:vAlign w:val="center"/>
            <w:hideMark/>
          </w:tcPr>
          <w:p w14:paraId="4741AC0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-44,0%</w:t>
            </w:r>
          </w:p>
        </w:tc>
      </w:tr>
      <w:tr w:rsidR="0085505C" w:rsidRPr="002A7673" w14:paraId="68236B92"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3475B56E" w14:textId="77777777" w:rsidR="0085505C" w:rsidRPr="002A7673" w:rsidRDefault="0085505C" w:rsidP="0048334E">
            <w:pPr>
              <w:spacing w:after="0" w:line="360" w:lineRule="auto"/>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Terminados</w:t>
            </w:r>
          </w:p>
        </w:tc>
        <w:tc>
          <w:tcPr>
            <w:tcW w:w="595" w:type="pct"/>
            <w:tcBorders>
              <w:top w:val="nil"/>
              <w:left w:val="nil"/>
              <w:bottom w:val="nil"/>
              <w:right w:val="single" w:sz="8" w:space="0" w:color="auto"/>
            </w:tcBorders>
            <w:shd w:val="clear" w:color="auto" w:fill="auto"/>
            <w:vAlign w:val="bottom"/>
            <w:hideMark/>
          </w:tcPr>
          <w:p w14:paraId="22BE1827" w14:textId="77777777" w:rsidR="0085505C" w:rsidRPr="002A7673" w:rsidRDefault="0085505C" w:rsidP="0048334E">
            <w:pPr>
              <w:spacing w:after="0" w:line="360" w:lineRule="auto"/>
              <w:jc w:val="right"/>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15 717</w:t>
            </w:r>
          </w:p>
        </w:tc>
        <w:tc>
          <w:tcPr>
            <w:tcW w:w="595" w:type="pct"/>
            <w:tcBorders>
              <w:top w:val="nil"/>
              <w:left w:val="nil"/>
              <w:bottom w:val="nil"/>
              <w:right w:val="single" w:sz="8" w:space="0" w:color="auto"/>
            </w:tcBorders>
            <w:shd w:val="clear" w:color="auto" w:fill="auto"/>
            <w:vAlign w:val="bottom"/>
            <w:hideMark/>
          </w:tcPr>
          <w:p w14:paraId="71B145D0" w14:textId="77777777" w:rsidR="0085505C" w:rsidRPr="002A7673" w:rsidRDefault="0085505C" w:rsidP="0048334E">
            <w:pPr>
              <w:spacing w:after="0" w:line="360" w:lineRule="auto"/>
              <w:jc w:val="right"/>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4 646</w:t>
            </w:r>
          </w:p>
        </w:tc>
        <w:tc>
          <w:tcPr>
            <w:tcW w:w="596" w:type="pct"/>
            <w:tcBorders>
              <w:top w:val="nil"/>
              <w:left w:val="nil"/>
              <w:bottom w:val="nil"/>
              <w:right w:val="single" w:sz="8" w:space="0" w:color="auto"/>
            </w:tcBorders>
            <w:shd w:val="clear" w:color="auto" w:fill="auto"/>
            <w:vAlign w:val="center"/>
            <w:hideMark/>
          </w:tcPr>
          <w:p w14:paraId="38D03EDD" w14:textId="77777777" w:rsidR="0085505C" w:rsidRPr="002A7673" w:rsidRDefault="0085505C" w:rsidP="0048334E">
            <w:pPr>
              <w:spacing w:after="0" w:line="360" w:lineRule="auto"/>
              <w:jc w:val="right"/>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-11 071</w:t>
            </w:r>
          </w:p>
        </w:tc>
        <w:tc>
          <w:tcPr>
            <w:tcW w:w="632" w:type="pct"/>
            <w:tcBorders>
              <w:top w:val="nil"/>
              <w:left w:val="nil"/>
              <w:bottom w:val="nil"/>
              <w:right w:val="nil"/>
            </w:tcBorders>
            <w:shd w:val="clear" w:color="auto" w:fill="auto"/>
            <w:vAlign w:val="center"/>
            <w:hideMark/>
          </w:tcPr>
          <w:p w14:paraId="28087955" w14:textId="77777777" w:rsidR="0085505C" w:rsidRPr="002A7673" w:rsidRDefault="0085505C" w:rsidP="0048334E">
            <w:pPr>
              <w:spacing w:after="0" w:line="360" w:lineRule="auto"/>
              <w:jc w:val="right"/>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-70,4%</w:t>
            </w:r>
          </w:p>
        </w:tc>
      </w:tr>
      <w:tr w:rsidR="0085505C" w:rsidRPr="002A7673" w14:paraId="2DA32AF4"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31E2BAF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rPr>
              <w:t>Circulante final</w:t>
            </w:r>
          </w:p>
        </w:tc>
        <w:tc>
          <w:tcPr>
            <w:tcW w:w="595" w:type="pct"/>
            <w:tcBorders>
              <w:top w:val="nil"/>
              <w:left w:val="nil"/>
              <w:bottom w:val="nil"/>
              <w:right w:val="single" w:sz="8" w:space="0" w:color="auto"/>
            </w:tcBorders>
            <w:shd w:val="clear" w:color="auto" w:fill="auto"/>
            <w:vAlign w:val="bottom"/>
            <w:hideMark/>
          </w:tcPr>
          <w:p w14:paraId="622CA53F"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4 343</w:t>
            </w:r>
          </w:p>
        </w:tc>
        <w:tc>
          <w:tcPr>
            <w:tcW w:w="595" w:type="pct"/>
            <w:tcBorders>
              <w:top w:val="nil"/>
              <w:left w:val="nil"/>
              <w:bottom w:val="nil"/>
              <w:right w:val="single" w:sz="8" w:space="0" w:color="auto"/>
            </w:tcBorders>
            <w:shd w:val="clear" w:color="auto" w:fill="auto"/>
            <w:vAlign w:val="bottom"/>
            <w:hideMark/>
          </w:tcPr>
          <w:p w14:paraId="65CC4F3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2 935</w:t>
            </w:r>
          </w:p>
        </w:tc>
        <w:tc>
          <w:tcPr>
            <w:tcW w:w="596" w:type="pct"/>
            <w:tcBorders>
              <w:top w:val="nil"/>
              <w:left w:val="nil"/>
              <w:bottom w:val="nil"/>
              <w:right w:val="single" w:sz="8" w:space="0" w:color="auto"/>
            </w:tcBorders>
            <w:shd w:val="clear" w:color="auto" w:fill="auto"/>
            <w:vAlign w:val="center"/>
            <w:hideMark/>
          </w:tcPr>
          <w:p w14:paraId="6A077E9D"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-1 408</w:t>
            </w:r>
          </w:p>
        </w:tc>
        <w:tc>
          <w:tcPr>
            <w:tcW w:w="632" w:type="pct"/>
            <w:tcBorders>
              <w:top w:val="nil"/>
              <w:left w:val="nil"/>
              <w:bottom w:val="nil"/>
              <w:right w:val="nil"/>
            </w:tcBorders>
            <w:shd w:val="clear" w:color="auto" w:fill="auto"/>
            <w:vAlign w:val="center"/>
            <w:hideMark/>
          </w:tcPr>
          <w:p w14:paraId="3C914F7C"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-32,4%</w:t>
            </w:r>
          </w:p>
        </w:tc>
      </w:tr>
      <w:tr w:rsidR="0085505C" w:rsidRPr="002A7673" w14:paraId="464E03FE" w14:textId="77777777" w:rsidTr="0048334E">
        <w:trPr>
          <w:trHeight w:val="20"/>
        </w:trPr>
        <w:tc>
          <w:tcPr>
            <w:tcW w:w="2581" w:type="pct"/>
            <w:tcBorders>
              <w:top w:val="nil"/>
            </w:tcBorders>
            <w:shd w:val="clear" w:color="auto" w:fill="auto"/>
            <w:vAlign w:val="bottom"/>
            <w:hideMark/>
          </w:tcPr>
          <w:p w14:paraId="67B3A37C"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5" w:type="pct"/>
            <w:tcBorders>
              <w:top w:val="nil"/>
            </w:tcBorders>
            <w:shd w:val="clear" w:color="auto" w:fill="auto"/>
            <w:vAlign w:val="bottom"/>
            <w:hideMark/>
          </w:tcPr>
          <w:p w14:paraId="7193CBD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5" w:type="pct"/>
            <w:tcBorders>
              <w:top w:val="nil"/>
            </w:tcBorders>
            <w:shd w:val="clear" w:color="auto" w:fill="auto"/>
            <w:vAlign w:val="bottom"/>
            <w:hideMark/>
          </w:tcPr>
          <w:p w14:paraId="4E012591"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6" w:type="pct"/>
            <w:tcBorders>
              <w:top w:val="nil"/>
            </w:tcBorders>
            <w:shd w:val="clear" w:color="auto" w:fill="auto"/>
            <w:vAlign w:val="bottom"/>
            <w:hideMark/>
          </w:tcPr>
          <w:p w14:paraId="1D0B19B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632" w:type="pct"/>
            <w:tcBorders>
              <w:top w:val="nil"/>
            </w:tcBorders>
            <w:shd w:val="clear" w:color="auto" w:fill="auto"/>
            <w:vAlign w:val="bottom"/>
            <w:hideMark/>
          </w:tcPr>
          <w:p w14:paraId="4DE787B5"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r>
    </w:tbl>
    <w:p w14:paraId="39FC0DED"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*Datos estadísticos de 2020 preliminares.</w:t>
      </w:r>
    </w:p>
    <w:p w14:paraId="15AF1118"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Fuente: Sub Proceso de Estadística, Dirección de Planificación, Poder Judicial.</w:t>
      </w:r>
    </w:p>
    <w:p w14:paraId="782F90F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53D87BD7"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 los movimientos registrados en la tabla anterior, destacan los siguientes hechos: </w:t>
      </w:r>
    </w:p>
    <w:p w14:paraId="3313BE8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781D9BA"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r w:rsidRPr="002A7673">
        <w:rPr>
          <w:rFonts w:ascii="Times New Roman" w:hAnsi="Times New Roman" w:cs="Times New Roman"/>
          <w:b/>
          <w:sz w:val="26"/>
          <w:szCs w:val="26"/>
        </w:rPr>
        <w:t xml:space="preserve">Circulante inicial: </w:t>
      </w:r>
      <w:r w:rsidRPr="002A7673">
        <w:rPr>
          <w:rFonts w:ascii="Times New Roman" w:hAnsi="Times New Roman" w:cs="Times New Roman"/>
          <w:bCs/>
          <w:sz w:val="26"/>
          <w:szCs w:val="26"/>
        </w:rPr>
        <w:t xml:space="preserve">el inicio de 2020 presenta una baja de -2.627 casos menos, con relación a lo registrado a principios de 2019 (6.970). </w:t>
      </w:r>
    </w:p>
    <w:p w14:paraId="6B8A7861"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3A3909D7"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Casos entrados:</w:t>
      </w:r>
      <w:r w:rsidRPr="002A7673">
        <w:rPr>
          <w:rFonts w:ascii="Times New Roman" w:hAnsi="Times New Roman" w:cs="Times New Roman"/>
          <w:sz w:val="26"/>
          <w:szCs w:val="26"/>
        </w:rPr>
        <w:t xml:space="preserve"> El ingreso de casos nuevos muestra un comportamiento descendente en 2020, pasando de 6.970 en 2019 a 4.343 en 2020, lo que consecuentemente le significó </w:t>
      </w:r>
      <w:proofErr w:type="spellStart"/>
      <w:r w:rsidRPr="002A7673">
        <w:rPr>
          <w:rFonts w:ascii="Times New Roman" w:hAnsi="Times New Roman" w:cs="Times New Roman"/>
          <w:sz w:val="26"/>
          <w:szCs w:val="26"/>
        </w:rPr>
        <w:t>al</w:t>
      </w:r>
      <w:proofErr w:type="spellEnd"/>
      <w:r w:rsidRPr="002A7673">
        <w:rPr>
          <w:rFonts w:ascii="Times New Roman" w:hAnsi="Times New Roman" w:cs="Times New Roman"/>
          <w:sz w:val="26"/>
          <w:szCs w:val="26"/>
        </w:rPr>
        <w:t xml:space="preserve"> Oficina de Atención y Protección a la Víctima de Delitos, Programa de Atención a la Víctima de Delitos, un decrecimiento de su carga de trabajo del orden del -77,8%. Uno de los hechos que justifican esta notable merma se relacionan -en esencia- con el efecto de la pandemia.</w:t>
      </w:r>
    </w:p>
    <w:p w14:paraId="393B467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320AF00A"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Casos terminados:</w:t>
      </w:r>
      <w:r w:rsidRPr="002A7673">
        <w:rPr>
          <w:rFonts w:ascii="Times New Roman" w:hAnsi="Times New Roman" w:cs="Times New Roman"/>
          <w:sz w:val="26"/>
          <w:szCs w:val="26"/>
        </w:rPr>
        <w:t xml:space="preserve"> La cantidad de casos terminados llegó a 4.646 en el último año, lo cual denota una disminución de -11.071 finiquitos, en contraste con el 2019 (15.717), para una variación porcentual de -70,4%.</w:t>
      </w:r>
      <w:bookmarkStart w:id="255" w:name="_Hlk35246654"/>
    </w:p>
    <w:bookmarkEnd w:id="255"/>
    <w:p w14:paraId="68A77AEF"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7C2411B7"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Circulante al finalizar al año:</w:t>
      </w:r>
      <w:r w:rsidRPr="002A7673">
        <w:rPr>
          <w:rFonts w:ascii="Times New Roman" w:hAnsi="Times New Roman" w:cs="Times New Roman"/>
          <w:sz w:val="26"/>
          <w:szCs w:val="26"/>
        </w:rPr>
        <w:t xml:space="preserve"> El circulante al finalizar el 2020 en la Oficina de Atención y Protección a la Víctima de Delitos, Programa de Atención a la Víctima de Delitos, acumuló un total de 2.935 casos, mostrando </w:t>
      </w:r>
      <w:r w:rsidRPr="002A7673">
        <w:rPr>
          <w:rFonts w:ascii="Times New Roman" w:hAnsi="Times New Roman" w:cs="Times New Roman"/>
          <w:sz w:val="26"/>
          <w:szCs w:val="26"/>
        </w:rPr>
        <w:lastRenderedPageBreak/>
        <w:t>una disminución de -1.408 unidades versus lo registrado al culminar el año anterior, representando una baja de 32,4%.</w:t>
      </w:r>
    </w:p>
    <w:p w14:paraId="0EC8931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3FBFABB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La disminución en el circulante final en 2020 se puede ver justificado por la brecha entre la cifra de asuntos entrados totales frente a los terminados totales, la cual asciende a 1.383 casos, siendo inferior lo ingresado a lo finiquitado, para un porcentaje de relación entre lo terminado y entrado de 142,4%, resultado superior a lo reportado en 2019 con 115,8%.</w:t>
      </w:r>
    </w:p>
    <w:p w14:paraId="372AE3C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0370CC1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bCs/>
          <w:sz w:val="26"/>
          <w:szCs w:val="26"/>
        </w:rPr>
        <w:t>Movimientos generales de trabajo en el Centro de Responsabilidad de la Oficina de Atención y Protección a la Víctima de Delitos, Programa de Protección a la Víctima de Delitos, durante el bienio 2019-2020</w:t>
      </w:r>
    </w:p>
    <w:p w14:paraId="1951774E" w14:textId="77777777" w:rsidR="0085505C" w:rsidRPr="002A7673" w:rsidRDefault="0085505C" w:rsidP="0085505C">
      <w:pPr>
        <w:spacing w:after="0" w:line="360" w:lineRule="auto"/>
        <w:rPr>
          <w:rFonts w:ascii="Times New Roman" w:hAnsi="Times New Roman" w:cs="Times New Roman"/>
        </w:rPr>
      </w:pPr>
    </w:p>
    <w:p w14:paraId="655A979E" w14:textId="77777777" w:rsidR="0085505C" w:rsidRPr="002A7673" w:rsidRDefault="0085505C" w:rsidP="0085505C">
      <w:pPr>
        <w:keepNext/>
        <w:widowControl w:val="0"/>
        <w:autoSpaceDE w:val="0"/>
        <w:autoSpaceDN w:val="0"/>
        <w:adjustRightInd w:val="0"/>
        <w:spacing w:after="0" w:line="240" w:lineRule="auto"/>
        <w:ind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 xml:space="preserve">Cuadro </w:t>
      </w:r>
      <w:r w:rsidRPr="002A7673">
        <w:rPr>
          <w:rFonts w:ascii="Times New Roman" w:eastAsia="Times New Roman" w:hAnsi="Times New Roman" w:cs="Times New Roman"/>
          <w:b/>
          <w:bCs/>
          <w:sz w:val="26"/>
          <w:szCs w:val="26"/>
          <w:lang w:val="es-ES" w:eastAsia="es-ES"/>
        </w:rPr>
        <w:fldChar w:fldCharType="begin"/>
      </w:r>
      <w:r w:rsidRPr="002A7673">
        <w:rPr>
          <w:rFonts w:ascii="Times New Roman" w:eastAsia="Times New Roman" w:hAnsi="Times New Roman" w:cs="Times New Roman"/>
          <w:b/>
          <w:bCs/>
          <w:sz w:val="26"/>
          <w:szCs w:val="26"/>
          <w:lang w:val="es-ES" w:eastAsia="es-ES"/>
        </w:rPr>
        <w:instrText xml:space="preserve"> SEQ Cuadro \* ARABIC </w:instrText>
      </w:r>
      <w:r w:rsidRPr="002A7673">
        <w:rPr>
          <w:rFonts w:ascii="Times New Roman" w:eastAsia="Times New Roman" w:hAnsi="Times New Roman" w:cs="Times New Roman"/>
          <w:b/>
          <w:bCs/>
          <w:sz w:val="26"/>
          <w:szCs w:val="26"/>
          <w:lang w:val="es-ES" w:eastAsia="es-ES"/>
        </w:rPr>
        <w:fldChar w:fldCharType="separate"/>
      </w:r>
      <w:r w:rsidRPr="002A7673">
        <w:rPr>
          <w:rFonts w:ascii="Times New Roman" w:eastAsia="Times New Roman" w:hAnsi="Times New Roman" w:cs="Times New Roman"/>
          <w:b/>
          <w:bCs/>
          <w:noProof/>
          <w:sz w:val="26"/>
          <w:szCs w:val="26"/>
          <w:lang w:val="es-ES" w:eastAsia="es-ES"/>
        </w:rPr>
        <w:t>1</w:t>
      </w:r>
      <w:r w:rsidRPr="002A7673">
        <w:rPr>
          <w:rFonts w:ascii="Times New Roman" w:eastAsia="Times New Roman" w:hAnsi="Times New Roman" w:cs="Times New Roman"/>
          <w:b/>
          <w:bCs/>
          <w:sz w:val="26"/>
          <w:szCs w:val="26"/>
          <w:lang w:val="es-ES" w:eastAsia="es-ES"/>
        </w:rPr>
        <w:fldChar w:fldCharType="end"/>
      </w:r>
      <w:r w:rsidRPr="002A7673">
        <w:rPr>
          <w:rFonts w:ascii="Times New Roman" w:eastAsia="Times New Roman" w:hAnsi="Times New Roman" w:cs="Times New Roman"/>
          <w:b/>
          <w:bCs/>
          <w:sz w:val="26"/>
          <w:szCs w:val="26"/>
          <w:lang w:val="es-ES" w:eastAsia="es-ES"/>
        </w:rPr>
        <w:t xml:space="preserve"> </w:t>
      </w:r>
    </w:p>
    <w:p w14:paraId="5F776FA6" w14:textId="77777777" w:rsidR="0085505C" w:rsidRPr="002A7673" w:rsidRDefault="0085505C" w:rsidP="0085505C">
      <w:pPr>
        <w:keepNext/>
        <w:widowControl w:val="0"/>
        <w:autoSpaceDE w:val="0"/>
        <w:autoSpaceDN w:val="0"/>
        <w:adjustRightInd w:val="0"/>
        <w:spacing w:after="0" w:line="240" w:lineRule="auto"/>
        <w:ind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Movimientos generales de trabajo para el Centro de Responsabilidad de la Oficina de Atención y Protección a la Víctima de Delitos, Programa de Protección a la Víctima de Delitos, durante el bienio 2019-2020</w:t>
      </w:r>
    </w:p>
    <w:tbl>
      <w:tblPr>
        <w:tblW w:w="5000" w:type="pct"/>
        <w:tblBorders>
          <w:top w:val="single" w:sz="8" w:space="0" w:color="auto"/>
          <w:bottom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980"/>
        <w:gridCol w:w="1137"/>
        <w:gridCol w:w="1137"/>
        <w:gridCol w:w="1154"/>
        <w:gridCol w:w="1260"/>
      </w:tblGrid>
      <w:tr w:rsidR="0085505C" w:rsidRPr="002A7673" w14:paraId="4CFD7BBB" w14:textId="77777777" w:rsidTr="0048334E">
        <w:trPr>
          <w:trHeight w:val="20"/>
        </w:trPr>
        <w:tc>
          <w:tcPr>
            <w:tcW w:w="2581" w:type="pct"/>
            <w:vMerge w:val="restart"/>
            <w:shd w:val="clear" w:color="auto" w:fill="auto"/>
            <w:vAlign w:val="center"/>
          </w:tcPr>
          <w:p w14:paraId="040318B0"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Variable</w:t>
            </w:r>
          </w:p>
        </w:tc>
        <w:tc>
          <w:tcPr>
            <w:tcW w:w="1190" w:type="pct"/>
            <w:gridSpan w:val="2"/>
            <w:shd w:val="clear" w:color="auto" w:fill="auto"/>
            <w:vAlign w:val="center"/>
          </w:tcPr>
          <w:p w14:paraId="05D6C233"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Año</w:t>
            </w:r>
          </w:p>
        </w:tc>
        <w:tc>
          <w:tcPr>
            <w:tcW w:w="596" w:type="pct"/>
            <w:vMerge w:val="restart"/>
            <w:shd w:val="clear" w:color="auto" w:fill="auto"/>
            <w:vAlign w:val="center"/>
          </w:tcPr>
          <w:p w14:paraId="1AE4E317"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Variación absoluta</w:t>
            </w:r>
          </w:p>
        </w:tc>
        <w:tc>
          <w:tcPr>
            <w:tcW w:w="632" w:type="pct"/>
            <w:vMerge w:val="restart"/>
            <w:shd w:val="clear" w:color="auto" w:fill="auto"/>
            <w:vAlign w:val="center"/>
          </w:tcPr>
          <w:p w14:paraId="59E8A48C"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Variación Porcentual</w:t>
            </w:r>
          </w:p>
        </w:tc>
      </w:tr>
      <w:tr w:rsidR="0085505C" w:rsidRPr="002A7673" w14:paraId="3D3958F5" w14:textId="77777777" w:rsidTr="0048334E">
        <w:trPr>
          <w:trHeight w:val="20"/>
        </w:trPr>
        <w:tc>
          <w:tcPr>
            <w:tcW w:w="2581" w:type="pct"/>
            <w:vMerge/>
            <w:tcBorders>
              <w:bottom w:val="single" w:sz="8" w:space="0" w:color="auto"/>
            </w:tcBorders>
            <w:shd w:val="clear" w:color="auto" w:fill="auto"/>
            <w:vAlign w:val="center"/>
          </w:tcPr>
          <w:p w14:paraId="33808BDA" w14:textId="77777777" w:rsidR="0085505C" w:rsidRPr="002A7673" w:rsidRDefault="0085505C" w:rsidP="0048334E">
            <w:pPr>
              <w:spacing w:after="0" w:line="360" w:lineRule="auto"/>
              <w:rPr>
                <w:rFonts w:ascii="Times New Roman" w:hAnsi="Times New Roman" w:cs="Times New Roman"/>
                <w:b/>
                <w:bCs/>
                <w:sz w:val="24"/>
                <w:szCs w:val="24"/>
                <w:lang w:eastAsia="es-CR"/>
              </w:rPr>
            </w:pPr>
          </w:p>
        </w:tc>
        <w:tc>
          <w:tcPr>
            <w:tcW w:w="595" w:type="pct"/>
            <w:tcBorders>
              <w:bottom w:val="single" w:sz="8" w:space="0" w:color="auto"/>
            </w:tcBorders>
            <w:shd w:val="clear" w:color="auto" w:fill="auto"/>
            <w:vAlign w:val="center"/>
          </w:tcPr>
          <w:p w14:paraId="6581F8A5"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2019</w:t>
            </w:r>
          </w:p>
        </w:tc>
        <w:tc>
          <w:tcPr>
            <w:tcW w:w="595" w:type="pct"/>
            <w:tcBorders>
              <w:bottom w:val="single" w:sz="8" w:space="0" w:color="auto"/>
            </w:tcBorders>
            <w:shd w:val="clear" w:color="auto" w:fill="auto"/>
            <w:vAlign w:val="center"/>
          </w:tcPr>
          <w:p w14:paraId="462CB299" w14:textId="77777777" w:rsidR="0085505C" w:rsidRPr="002A7673" w:rsidRDefault="0085505C" w:rsidP="0048334E">
            <w:pPr>
              <w:spacing w:after="0" w:line="360" w:lineRule="auto"/>
              <w:jc w:val="center"/>
              <w:rPr>
                <w:rFonts w:ascii="Times New Roman" w:hAnsi="Times New Roman" w:cs="Times New Roman"/>
                <w:b/>
                <w:bCs/>
                <w:sz w:val="24"/>
                <w:szCs w:val="24"/>
                <w:lang w:eastAsia="es-CR"/>
              </w:rPr>
            </w:pPr>
            <w:r w:rsidRPr="002A7673">
              <w:rPr>
                <w:rFonts w:ascii="Times New Roman" w:hAnsi="Times New Roman" w:cs="Times New Roman"/>
                <w:b/>
                <w:bCs/>
                <w:sz w:val="24"/>
                <w:szCs w:val="24"/>
                <w:lang w:eastAsia="es-CR"/>
              </w:rPr>
              <w:t>2020*</w:t>
            </w:r>
          </w:p>
        </w:tc>
        <w:tc>
          <w:tcPr>
            <w:tcW w:w="596" w:type="pct"/>
            <w:vMerge/>
            <w:tcBorders>
              <w:bottom w:val="single" w:sz="8" w:space="0" w:color="auto"/>
            </w:tcBorders>
            <w:shd w:val="clear" w:color="auto" w:fill="auto"/>
            <w:vAlign w:val="center"/>
          </w:tcPr>
          <w:p w14:paraId="3BCC7D8F" w14:textId="77777777" w:rsidR="0085505C" w:rsidRPr="002A7673" w:rsidRDefault="0085505C" w:rsidP="0048334E">
            <w:pPr>
              <w:spacing w:after="0" w:line="360" w:lineRule="auto"/>
              <w:rPr>
                <w:rFonts w:ascii="Times New Roman" w:hAnsi="Times New Roman" w:cs="Times New Roman"/>
                <w:b/>
                <w:bCs/>
                <w:sz w:val="24"/>
                <w:szCs w:val="24"/>
                <w:lang w:eastAsia="es-CR"/>
              </w:rPr>
            </w:pPr>
          </w:p>
        </w:tc>
        <w:tc>
          <w:tcPr>
            <w:tcW w:w="632" w:type="pct"/>
            <w:vMerge/>
            <w:tcBorders>
              <w:bottom w:val="single" w:sz="8" w:space="0" w:color="auto"/>
            </w:tcBorders>
            <w:shd w:val="clear" w:color="auto" w:fill="auto"/>
            <w:vAlign w:val="center"/>
          </w:tcPr>
          <w:p w14:paraId="2EF9B8F5" w14:textId="77777777" w:rsidR="0085505C" w:rsidRPr="002A7673" w:rsidRDefault="0085505C" w:rsidP="0048334E">
            <w:pPr>
              <w:spacing w:after="0" w:line="360" w:lineRule="auto"/>
              <w:rPr>
                <w:rFonts w:ascii="Times New Roman" w:hAnsi="Times New Roman" w:cs="Times New Roman"/>
                <w:b/>
                <w:bCs/>
                <w:sz w:val="24"/>
                <w:szCs w:val="24"/>
                <w:lang w:eastAsia="es-CR"/>
              </w:rPr>
            </w:pPr>
          </w:p>
        </w:tc>
      </w:tr>
      <w:tr w:rsidR="0085505C" w:rsidRPr="002A7673" w14:paraId="76A6A4BE" w14:textId="77777777" w:rsidTr="0048334E">
        <w:trPr>
          <w:trHeight w:val="20"/>
        </w:trPr>
        <w:tc>
          <w:tcPr>
            <w:tcW w:w="2581" w:type="pct"/>
            <w:tcBorders>
              <w:bottom w:val="nil"/>
            </w:tcBorders>
            <w:shd w:val="clear" w:color="auto" w:fill="auto"/>
            <w:vAlign w:val="bottom"/>
            <w:hideMark/>
          </w:tcPr>
          <w:p w14:paraId="5C16938E"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5" w:type="pct"/>
            <w:tcBorders>
              <w:bottom w:val="nil"/>
            </w:tcBorders>
            <w:shd w:val="clear" w:color="auto" w:fill="auto"/>
            <w:vAlign w:val="bottom"/>
            <w:hideMark/>
          </w:tcPr>
          <w:p w14:paraId="6927A5A5"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5" w:type="pct"/>
            <w:tcBorders>
              <w:bottom w:val="nil"/>
            </w:tcBorders>
            <w:shd w:val="clear" w:color="auto" w:fill="auto"/>
            <w:vAlign w:val="bottom"/>
            <w:hideMark/>
          </w:tcPr>
          <w:p w14:paraId="310A9CD5"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6" w:type="pct"/>
            <w:tcBorders>
              <w:bottom w:val="nil"/>
            </w:tcBorders>
            <w:shd w:val="clear" w:color="auto" w:fill="auto"/>
            <w:vAlign w:val="bottom"/>
            <w:hideMark/>
          </w:tcPr>
          <w:p w14:paraId="7F2F74D0"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632" w:type="pct"/>
            <w:tcBorders>
              <w:bottom w:val="nil"/>
            </w:tcBorders>
            <w:shd w:val="clear" w:color="auto" w:fill="auto"/>
            <w:vAlign w:val="bottom"/>
            <w:hideMark/>
          </w:tcPr>
          <w:p w14:paraId="5AA13CC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r>
      <w:tr w:rsidR="0085505C" w:rsidRPr="002A7673" w14:paraId="2F02CE31"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720AFB2A"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rPr>
              <w:t>Circulante inicial</w:t>
            </w:r>
          </w:p>
        </w:tc>
        <w:tc>
          <w:tcPr>
            <w:tcW w:w="595" w:type="pct"/>
            <w:tcBorders>
              <w:top w:val="nil"/>
              <w:left w:val="nil"/>
              <w:bottom w:val="nil"/>
              <w:right w:val="single" w:sz="8" w:space="0" w:color="auto"/>
            </w:tcBorders>
            <w:shd w:val="clear" w:color="auto" w:fill="auto"/>
            <w:vAlign w:val="bottom"/>
            <w:hideMark/>
          </w:tcPr>
          <w:p w14:paraId="2A527B10"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1 351</w:t>
            </w:r>
          </w:p>
        </w:tc>
        <w:tc>
          <w:tcPr>
            <w:tcW w:w="595" w:type="pct"/>
            <w:tcBorders>
              <w:top w:val="nil"/>
              <w:left w:val="nil"/>
              <w:bottom w:val="nil"/>
              <w:right w:val="single" w:sz="8" w:space="0" w:color="auto"/>
            </w:tcBorders>
            <w:shd w:val="clear" w:color="auto" w:fill="auto"/>
            <w:vAlign w:val="bottom"/>
            <w:hideMark/>
          </w:tcPr>
          <w:p w14:paraId="3947D19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1 578</w:t>
            </w:r>
          </w:p>
        </w:tc>
        <w:tc>
          <w:tcPr>
            <w:tcW w:w="596" w:type="pct"/>
            <w:tcBorders>
              <w:top w:val="nil"/>
              <w:left w:val="nil"/>
              <w:bottom w:val="nil"/>
              <w:right w:val="single" w:sz="8" w:space="0" w:color="auto"/>
            </w:tcBorders>
            <w:shd w:val="clear" w:color="auto" w:fill="auto"/>
            <w:vAlign w:val="center"/>
            <w:hideMark/>
          </w:tcPr>
          <w:p w14:paraId="1340008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227</w:t>
            </w:r>
          </w:p>
        </w:tc>
        <w:tc>
          <w:tcPr>
            <w:tcW w:w="632" w:type="pct"/>
            <w:tcBorders>
              <w:top w:val="nil"/>
              <w:left w:val="single" w:sz="8" w:space="0" w:color="auto"/>
              <w:bottom w:val="nil"/>
              <w:right w:val="nil"/>
            </w:tcBorders>
            <w:shd w:val="clear" w:color="auto" w:fill="auto"/>
            <w:vAlign w:val="center"/>
            <w:hideMark/>
          </w:tcPr>
          <w:p w14:paraId="1960BB6C"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16,8%</w:t>
            </w:r>
          </w:p>
        </w:tc>
      </w:tr>
      <w:tr w:rsidR="0085505C" w:rsidRPr="002A7673" w14:paraId="703C1BC2"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19ACEAD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rPr>
              <w:t>Entrados</w:t>
            </w:r>
          </w:p>
        </w:tc>
        <w:tc>
          <w:tcPr>
            <w:tcW w:w="595" w:type="pct"/>
            <w:tcBorders>
              <w:top w:val="nil"/>
              <w:left w:val="nil"/>
              <w:bottom w:val="nil"/>
              <w:right w:val="single" w:sz="8" w:space="0" w:color="auto"/>
            </w:tcBorders>
            <w:shd w:val="clear" w:color="auto" w:fill="auto"/>
            <w:vAlign w:val="bottom"/>
            <w:hideMark/>
          </w:tcPr>
          <w:p w14:paraId="19BB21EA"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7 346</w:t>
            </w:r>
          </w:p>
        </w:tc>
        <w:tc>
          <w:tcPr>
            <w:tcW w:w="595" w:type="pct"/>
            <w:tcBorders>
              <w:top w:val="nil"/>
              <w:left w:val="nil"/>
              <w:bottom w:val="nil"/>
              <w:right w:val="single" w:sz="8" w:space="0" w:color="auto"/>
            </w:tcBorders>
            <w:shd w:val="clear" w:color="auto" w:fill="auto"/>
            <w:vAlign w:val="bottom"/>
            <w:hideMark/>
          </w:tcPr>
          <w:p w14:paraId="3B10CAA0"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6 491</w:t>
            </w:r>
          </w:p>
        </w:tc>
        <w:tc>
          <w:tcPr>
            <w:tcW w:w="596" w:type="pct"/>
            <w:tcBorders>
              <w:top w:val="nil"/>
              <w:left w:val="nil"/>
              <w:bottom w:val="nil"/>
              <w:right w:val="single" w:sz="8" w:space="0" w:color="auto"/>
            </w:tcBorders>
            <w:shd w:val="clear" w:color="auto" w:fill="auto"/>
            <w:vAlign w:val="center"/>
            <w:hideMark/>
          </w:tcPr>
          <w:p w14:paraId="0E3A33F2"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-855</w:t>
            </w:r>
          </w:p>
        </w:tc>
        <w:tc>
          <w:tcPr>
            <w:tcW w:w="632" w:type="pct"/>
            <w:tcBorders>
              <w:top w:val="nil"/>
              <w:left w:val="single" w:sz="8" w:space="0" w:color="auto"/>
              <w:bottom w:val="nil"/>
              <w:right w:val="nil"/>
            </w:tcBorders>
            <w:shd w:val="clear" w:color="auto" w:fill="auto"/>
            <w:vAlign w:val="center"/>
            <w:hideMark/>
          </w:tcPr>
          <w:p w14:paraId="69E779E4"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-11,6%</w:t>
            </w:r>
          </w:p>
        </w:tc>
      </w:tr>
      <w:tr w:rsidR="0085505C" w:rsidRPr="002A7673" w14:paraId="1EE2B798"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4D01CBF3"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rPr>
              <w:t>Reentrados</w:t>
            </w:r>
          </w:p>
        </w:tc>
        <w:tc>
          <w:tcPr>
            <w:tcW w:w="595" w:type="pct"/>
            <w:tcBorders>
              <w:top w:val="nil"/>
              <w:left w:val="nil"/>
              <w:bottom w:val="nil"/>
              <w:right w:val="single" w:sz="8" w:space="0" w:color="auto"/>
            </w:tcBorders>
            <w:shd w:val="clear" w:color="auto" w:fill="auto"/>
            <w:vAlign w:val="bottom"/>
            <w:hideMark/>
          </w:tcPr>
          <w:p w14:paraId="58FA0776"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201</w:t>
            </w:r>
          </w:p>
        </w:tc>
        <w:tc>
          <w:tcPr>
            <w:tcW w:w="595" w:type="pct"/>
            <w:tcBorders>
              <w:top w:val="nil"/>
              <w:left w:val="nil"/>
              <w:bottom w:val="nil"/>
              <w:right w:val="single" w:sz="8" w:space="0" w:color="auto"/>
            </w:tcBorders>
            <w:shd w:val="clear" w:color="auto" w:fill="auto"/>
            <w:vAlign w:val="bottom"/>
            <w:hideMark/>
          </w:tcPr>
          <w:p w14:paraId="0AFD2013"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191</w:t>
            </w:r>
          </w:p>
        </w:tc>
        <w:tc>
          <w:tcPr>
            <w:tcW w:w="596" w:type="pct"/>
            <w:tcBorders>
              <w:top w:val="nil"/>
              <w:left w:val="nil"/>
              <w:bottom w:val="nil"/>
              <w:right w:val="single" w:sz="8" w:space="0" w:color="auto"/>
            </w:tcBorders>
            <w:shd w:val="clear" w:color="auto" w:fill="auto"/>
            <w:vAlign w:val="center"/>
            <w:hideMark/>
          </w:tcPr>
          <w:p w14:paraId="2BC42317"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-10</w:t>
            </w:r>
          </w:p>
        </w:tc>
        <w:tc>
          <w:tcPr>
            <w:tcW w:w="632" w:type="pct"/>
            <w:tcBorders>
              <w:top w:val="nil"/>
              <w:left w:val="single" w:sz="8" w:space="0" w:color="auto"/>
              <w:bottom w:val="nil"/>
              <w:right w:val="nil"/>
            </w:tcBorders>
            <w:shd w:val="clear" w:color="auto" w:fill="auto"/>
            <w:vAlign w:val="center"/>
            <w:hideMark/>
          </w:tcPr>
          <w:p w14:paraId="1E82E6F3"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-5,0%</w:t>
            </w:r>
          </w:p>
        </w:tc>
      </w:tr>
      <w:tr w:rsidR="0085505C" w:rsidRPr="002A7673" w14:paraId="5CE286B3"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7AAA0859" w14:textId="77777777" w:rsidR="0085505C" w:rsidRPr="002A7673" w:rsidRDefault="0085505C" w:rsidP="0048334E">
            <w:pPr>
              <w:spacing w:after="0" w:line="360" w:lineRule="auto"/>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Terminados</w:t>
            </w:r>
          </w:p>
        </w:tc>
        <w:tc>
          <w:tcPr>
            <w:tcW w:w="595" w:type="pct"/>
            <w:tcBorders>
              <w:top w:val="nil"/>
              <w:left w:val="nil"/>
              <w:bottom w:val="nil"/>
              <w:right w:val="single" w:sz="8" w:space="0" w:color="auto"/>
            </w:tcBorders>
            <w:shd w:val="clear" w:color="auto" w:fill="auto"/>
            <w:vAlign w:val="bottom"/>
            <w:hideMark/>
          </w:tcPr>
          <w:p w14:paraId="680F3F22" w14:textId="77777777" w:rsidR="0085505C" w:rsidRPr="002A7673" w:rsidRDefault="0085505C" w:rsidP="0048334E">
            <w:pPr>
              <w:spacing w:after="0" w:line="360" w:lineRule="auto"/>
              <w:jc w:val="right"/>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7 307</w:t>
            </w:r>
          </w:p>
        </w:tc>
        <w:tc>
          <w:tcPr>
            <w:tcW w:w="595" w:type="pct"/>
            <w:tcBorders>
              <w:top w:val="nil"/>
              <w:left w:val="nil"/>
              <w:bottom w:val="nil"/>
              <w:right w:val="single" w:sz="8" w:space="0" w:color="auto"/>
            </w:tcBorders>
            <w:shd w:val="clear" w:color="auto" w:fill="auto"/>
            <w:vAlign w:val="bottom"/>
            <w:hideMark/>
          </w:tcPr>
          <w:p w14:paraId="2BF5DE7C" w14:textId="77777777" w:rsidR="0085505C" w:rsidRPr="002A7673" w:rsidRDefault="0085505C" w:rsidP="0048334E">
            <w:pPr>
              <w:spacing w:after="0" w:line="360" w:lineRule="auto"/>
              <w:jc w:val="right"/>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6 795</w:t>
            </w:r>
          </w:p>
        </w:tc>
        <w:tc>
          <w:tcPr>
            <w:tcW w:w="596" w:type="pct"/>
            <w:tcBorders>
              <w:top w:val="nil"/>
              <w:left w:val="nil"/>
              <w:bottom w:val="nil"/>
              <w:right w:val="single" w:sz="8" w:space="0" w:color="auto"/>
            </w:tcBorders>
            <w:shd w:val="clear" w:color="auto" w:fill="auto"/>
            <w:vAlign w:val="center"/>
            <w:hideMark/>
          </w:tcPr>
          <w:p w14:paraId="1264FA70" w14:textId="77777777" w:rsidR="0085505C" w:rsidRPr="002A7673" w:rsidRDefault="0085505C" w:rsidP="0048334E">
            <w:pPr>
              <w:spacing w:after="0" w:line="360" w:lineRule="auto"/>
              <w:jc w:val="right"/>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-512</w:t>
            </w:r>
          </w:p>
        </w:tc>
        <w:tc>
          <w:tcPr>
            <w:tcW w:w="632" w:type="pct"/>
            <w:tcBorders>
              <w:top w:val="nil"/>
              <w:left w:val="single" w:sz="8" w:space="0" w:color="auto"/>
              <w:bottom w:val="nil"/>
              <w:right w:val="nil"/>
            </w:tcBorders>
            <w:shd w:val="clear" w:color="auto" w:fill="auto"/>
            <w:vAlign w:val="center"/>
            <w:hideMark/>
          </w:tcPr>
          <w:p w14:paraId="46E867CA" w14:textId="77777777" w:rsidR="0085505C" w:rsidRPr="002A7673" w:rsidRDefault="0085505C" w:rsidP="0048334E">
            <w:pPr>
              <w:spacing w:after="0" w:line="360" w:lineRule="auto"/>
              <w:jc w:val="right"/>
              <w:rPr>
                <w:rFonts w:ascii="Times New Roman" w:hAnsi="Times New Roman" w:cs="Times New Roman"/>
                <w:sz w:val="24"/>
                <w:szCs w:val="24"/>
                <w:highlight w:val="yellow"/>
                <w:lang w:eastAsia="es-CR"/>
              </w:rPr>
            </w:pPr>
            <w:r w:rsidRPr="002A7673">
              <w:rPr>
                <w:rFonts w:ascii="Times New Roman" w:hAnsi="Times New Roman" w:cs="Times New Roman"/>
                <w:sz w:val="24"/>
                <w:szCs w:val="24"/>
              </w:rPr>
              <w:t>-7,0%</w:t>
            </w:r>
          </w:p>
        </w:tc>
      </w:tr>
      <w:tr w:rsidR="0085505C" w:rsidRPr="002A7673" w14:paraId="7B19A940" w14:textId="77777777" w:rsidTr="0048334E">
        <w:trPr>
          <w:trHeight w:val="20"/>
        </w:trPr>
        <w:tc>
          <w:tcPr>
            <w:tcW w:w="2581" w:type="pct"/>
            <w:tcBorders>
              <w:top w:val="nil"/>
              <w:left w:val="nil"/>
              <w:bottom w:val="nil"/>
              <w:right w:val="single" w:sz="8" w:space="0" w:color="auto"/>
            </w:tcBorders>
            <w:shd w:val="clear" w:color="auto" w:fill="auto"/>
            <w:vAlign w:val="bottom"/>
            <w:hideMark/>
          </w:tcPr>
          <w:p w14:paraId="79566474"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rPr>
              <w:t>Circulante final</w:t>
            </w:r>
          </w:p>
        </w:tc>
        <w:tc>
          <w:tcPr>
            <w:tcW w:w="595" w:type="pct"/>
            <w:tcBorders>
              <w:top w:val="nil"/>
              <w:left w:val="nil"/>
              <w:bottom w:val="nil"/>
              <w:right w:val="single" w:sz="8" w:space="0" w:color="auto"/>
            </w:tcBorders>
            <w:shd w:val="clear" w:color="auto" w:fill="auto"/>
            <w:vAlign w:val="bottom"/>
            <w:hideMark/>
          </w:tcPr>
          <w:p w14:paraId="0258B7C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1 579</w:t>
            </w:r>
          </w:p>
        </w:tc>
        <w:tc>
          <w:tcPr>
            <w:tcW w:w="595" w:type="pct"/>
            <w:tcBorders>
              <w:top w:val="nil"/>
              <w:left w:val="nil"/>
              <w:bottom w:val="nil"/>
              <w:right w:val="single" w:sz="8" w:space="0" w:color="auto"/>
            </w:tcBorders>
            <w:shd w:val="clear" w:color="auto" w:fill="auto"/>
            <w:vAlign w:val="bottom"/>
            <w:hideMark/>
          </w:tcPr>
          <w:p w14:paraId="208EBD56"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1 449</w:t>
            </w:r>
          </w:p>
        </w:tc>
        <w:tc>
          <w:tcPr>
            <w:tcW w:w="596" w:type="pct"/>
            <w:tcBorders>
              <w:top w:val="nil"/>
              <w:left w:val="nil"/>
              <w:bottom w:val="nil"/>
              <w:right w:val="single" w:sz="8" w:space="0" w:color="auto"/>
            </w:tcBorders>
            <w:shd w:val="clear" w:color="auto" w:fill="auto"/>
            <w:vAlign w:val="center"/>
            <w:hideMark/>
          </w:tcPr>
          <w:p w14:paraId="1F024BA3"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-130</w:t>
            </w:r>
          </w:p>
        </w:tc>
        <w:tc>
          <w:tcPr>
            <w:tcW w:w="632" w:type="pct"/>
            <w:tcBorders>
              <w:top w:val="nil"/>
              <w:left w:val="single" w:sz="8" w:space="0" w:color="auto"/>
              <w:bottom w:val="nil"/>
              <w:right w:val="nil"/>
            </w:tcBorders>
            <w:shd w:val="clear" w:color="auto" w:fill="auto"/>
            <w:vAlign w:val="center"/>
            <w:hideMark/>
          </w:tcPr>
          <w:p w14:paraId="361C69F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rPr>
              <w:t>-8,2%</w:t>
            </w:r>
          </w:p>
        </w:tc>
      </w:tr>
      <w:tr w:rsidR="0085505C" w:rsidRPr="002A7673" w14:paraId="527DB2E9" w14:textId="77777777" w:rsidTr="0048334E">
        <w:trPr>
          <w:trHeight w:val="20"/>
        </w:trPr>
        <w:tc>
          <w:tcPr>
            <w:tcW w:w="2581" w:type="pct"/>
            <w:tcBorders>
              <w:top w:val="nil"/>
            </w:tcBorders>
            <w:shd w:val="clear" w:color="auto" w:fill="auto"/>
            <w:vAlign w:val="bottom"/>
            <w:hideMark/>
          </w:tcPr>
          <w:p w14:paraId="227F06D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5" w:type="pct"/>
            <w:tcBorders>
              <w:top w:val="nil"/>
            </w:tcBorders>
            <w:shd w:val="clear" w:color="auto" w:fill="auto"/>
            <w:vAlign w:val="bottom"/>
            <w:hideMark/>
          </w:tcPr>
          <w:p w14:paraId="7E374DFC"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5" w:type="pct"/>
            <w:tcBorders>
              <w:top w:val="nil"/>
            </w:tcBorders>
            <w:shd w:val="clear" w:color="auto" w:fill="auto"/>
            <w:vAlign w:val="bottom"/>
            <w:hideMark/>
          </w:tcPr>
          <w:p w14:paraId="2AB7A67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596" w:type="pct"/>
            <w:tcBorders>
              <w:top w:val="nil"/>
            </w:tcBorders>
            <w:shd w:val="clear" w:color="auto" w:fill="auto"/>
            <w:vAlign w:val="bottom"/>
            <w:hideMark/>
          </w:tcPr>
          <w:p w14:paraId="627B29FB"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c>
          <w:tcPr>
            <w:tcW w:w="632" w:type="pct"/>
            <w:tcBorders>
              <w:top w:val="nil"/>
            </w:tcBorders>
            <w:shd w:val="clear" w:color="auto" w:fill="auto"/>
            <w:vAlign w:val="bottom"/>
            <w:hideMark/>
          </w:tcPr>
          <w:p w14:paraId="2A0665D7"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w:t>
            </w:r>
          </w:p>
        </w:tc>
      </w:tr>
    </w:tbl>
    <w:p w14:paraId="3B456B4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18"/>
          <w:szCs w:val="16"/>
        </w:rPr>
        <w:t>*</w:t>
      </w:r>
      <w:r w:rsidRPr="002A7673">
        <w:rPr>
          <w:rFonts w:ascii="Times New Roman" w:hAnsi="Times New Roman" w:cs="Times New Roman"/>
          <w:sz w:val="26"/>
          <w:szCs w:val="26"/>
        </w:rPr>
        <w:t>Datos estadísticos de 2020 preliminares.</w:t>
      </w:r>
    </w:p>
    <w:p w14:paraId="7130C247"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r w:rsidRPr="002A7673">
        <w:rPr>
          <w:rFonts w:ascii="Times New Roman" w:hAnsi="Times New Roman" w:cs="Times New Roman"/>
          <w:b/>
          <w:bCs/>
          <w:sz w:val="26"/>
          <w:szCs w:val="26"/>
        </w:rPr>
        <w:t>Fuente: Sub Proceso de Estadística, Dirección de Planificación, Poder Judicial.</w:t>
      </w:r>
    </w:p>
    <w:p w14:paraId="769A0EEF"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0F3BCB7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 los movimientos registrados en la tabla anterior, destacan los siguientes hechos: </w:t>
      </w:r>
    </w:p>
    <w:p w14:paraId="03F8F8E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0170C47B"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r w:rsidRPr="002A7673">
        <w:rPr>
          <w:rFonts w:ascii="Times New Roman" w:hAnsi="Times New Roman" w:cs="Times New Roman"/>
          <w:b/>
          <w:sz w:val="26"/>
          <w:szCs w:val="26"/>
        </w:rPr>
        <w:t xml:space="preserve">Circulante inicial: </w:t>
      </w:r>
      <w:r w:rsidRPr="002A7673">
        <w:rPr>
          <w:rFonts w:ascii="Times New Roman" w:hAnsi="Times New Roman" w:cs="Times New Roman"/>
          <w:bCs/>
          <w:sz w:val="26"/>
          <w:szCs w:val="26"/>
        </w:rPr>
        <w:t xml:space="preserve">el inicio de 2020 presenta una carga de trabajo de 227 casos más, con relación a lo registrado a principios de 2019 (1.351), para </w:t>
      </w:r>
      <w:r w:rsidRPr="002A7673">
        <w:rPr>
          <w:rFonts w:ascii="Times New Roman" w:hAnsi="Times New Roman" w:cs="Times New Roman"/>
          <w:bCs/>
          <w:sz w:val="26"/>
          <w:szCs w:val="26"/>
        </w:rPr>
        <w:lastRenderedPageBreak/>
        <w:t xml:space="preserve">un incremento de 16,7%. Como se aprecia en el cuadro anterior, tal ventaja se produce </w:t>
      </w:r>
      <w:proofErr w:type="gramStart"/>
      <w:r w:rsidRPr="002A7673">
        <w:rPr>
          <w:rFonts w:ascii="Times New Roman" w:hAnsi="Times New Roman" w:cs="Times New Roman"/>
          <w:bCs/>
          <w:sz w:val="26"/>
          <w:szCs w:val="26"/>
        </w:rPr>
        <w:t>en razón del</w:t>
      </w:r>
      <w:proofErr w:type="gramEnd"/>
      <w:r w:rsidRPr="002A7673">
        <w:rPr>
          <w:rFonts w:ascii="Times New Roman" w:hAnsi="Times New Roman" w:cs="Times New Roman"/>
          <w:bCs/>
          <w:sz w:val="26"/>
          <w:szCs w:val="26"/>
        </w:rPr>
        <w:t xml:space="preserve"> crecimiento de los casos entrados frente a los que se terminaron en el año, lo que en condujo a que el circulante al finalizar el periodo fuese mayor en volumen al que tenía a inicio del año. </w:t>
      </w:r>
    </w:p>
    <w:p w14:paraId="5E2E5602"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32A674D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Casos entrados:</w:t>
      </w:r>
      <w:r w:rsidRPr="002A7673">
        <w:rPr>
          <w:rFonts w:ascii="Times New Roman" w:hAnsi="Times New Roman" w:cs="Times New Roman"/>
          <w:sz w:val="26"/>
          <w:szCs w:val="26"/>
        </w:rPr>
        <w:t xml:space="preserve"> El ingreso de casos nuevos muestra un comportamiento descendente, pasando de 7.346 en 2019 a 6.491 en 2020, lo que consecuentemente le significó en el Centro de Responsabilidad de la Oficina de Atención y Protección a la Víctima de Delitos, Programa de Protección a la Víctima de Delitos, un decrecimiento de su carga de trabajo del orden del -11,6%. Los hechos que justifican esta notable merma se relacionan -en esencia- con el efecto de la pandemia. </w:t>
      </w:r>
    </w:p>
    <w:p w14:paraId="36DCAFC0"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4B4F1E3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Casos terminados:</w:t>
      </w:r>
      <w:r w:rsidRPr="002A7673">
        <w:rPr>
          <w:rFonts w:ascii="Times New Roman" w:hAnsi="Times New Roman" w:cs="Times New Roman"/>
          <w:sz w:val="26"/>
          <w:szCs w:val="26"/>
        </w:rPr>
        <w:t xml:space="preserve"> La cantidad de casos terminados llegó a 6.795 en el último año, lo cual denota una disminución de -512 finiquitos, en contraste con el 2019 (7.307), para una variación porcentual de -7%.</w:t>
      </w:r>
    </w:p>
    <w:p w14:paraId="3546BFB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76353E2B"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Circulante al finalizar al año:</w:t>
      </w:r>
      <w:r w:rsidRPr="002A7673">
        <w:rPr>
          <w:rFonts w:ascii="Times New Roman" w:hAnsi="Times New Roman" w:cs="Times New Roman"/>
          <w:sz w:val="26"/>
          <w:szCs w:val="26"/>
        </w:rPr>
        <w:t xml:space="preserve"> El circulante al finalizar el 2020 de la Oficina de Atención y Protección a la Víctima de Delitos, Programa de Protección a la Víctima de Delitos, acumuló un total de 1.449 casos, mostrando una disminución de 130 unidades versus lo registrado al culminar el año anterior (1.579), lo que representa una baja de 8,2%. </w:t>
      </w:r>
    </w:p>
    <w:p w14:paraId="739EF965"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34D2889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La disminución en el circulante final en 2020 se puede ver justificado por la brecha entre la cifra de asuntos entrados totales frente a los terminados totales, la cual asciende a 113 casos, siendo superior lo finiquitado a lo ingresado, para un porcentaje de relación entre lo terminado y entrado de 101,7%, resultado superior a lo reportado en 2019 con 96,8%.</w:t>
      </w:r>
    </w:p>
    <w:p w14:paraId="0BCF9853" w14:textId="77777777" w:rsidR="0085505C" w:rsidRPr="002A7673" w:rsidRDefault="0085505C" w:rsidP="0085505C">
      <w:pPr>
        <w:spacing w:after="0" w:line="360" w:lineRule="auto"/>
        <w:rPr>
          <w:rFonts w:ascii="Times New Roman" w:hAnsi="Times New Roman" w:cs="Times New Roman"/>
        </w:rPr>
      </w:pPr>
    </w:p>
    <w:p w14:paraId="36135EDA" w14:textId="77777777" w:rsidR="0085505C" w:rsidRPr="002A7673" w:rsidRDefault="0085505C" w:rsidP="0085505C">
      <w:pPr>
        <w:spacing w:after="0" w:line="240" w:lineRule="auto"/>
        <w:jc w:val="center"/>
        <w:rPr>
          <w:rFonts w:ascii="Times New Roman" w:hAnsi="Times New Roman" w:cs="Times New Roman"/>
          <w:b/>
          <w:bCs/>
          <w:sz w:val="26"/>
          <w:szCs w:val="26"/>
        </w:rPr>
      </w:pPr>
      <w:r w:rsidRPr="002A7673">
        <w:rPr>
          <w:rFonts w:ascii="Times New Roman" w:hAnsi="Times New Roman" w:cs="Times New Roman"/>
          <w:b/>
          <w:bCs/>
          <w:sz w:val="26"/>
          <w:szCs w:val="26"/>
        </w:rPr>
        <w:t>Cuadro N° 1</w:t>
      </w:r>
    </w:p>
    <w:p w14:paraId="202A9B9A" w14:textId="77777777" w:rsidR="0085505C" w:rsidRPr="002A7673" w:rsidRDefault="0085505C" w:rsidP="0085505C">
      <w:pPr>
        <w:spacing w:after="0" w:line="240" w:lineRule="auto"/>
        <w:jc w:val="center"/>
        <w:rPr>
          <w:rFonts w:ascii="Times New Roman" w:hAnsi="Times New Roman" w:cs="Times New Roman"/>
          <w:b/>
          <w:bCs/>
          <w:sz w:val="26"/>
          <w:szCs w:val="26"/>
        </w:rPr>
      </w:pPr>
      <w:r w:rsidRPr="002A7673">
        <w:rPr>
          <w:rFonts w:ascii="Times New Roman" w:hAnsi="Times New Roman" w:cs="Times New Roman"/>
          <w:b/>
          <w:bCs/>
          <w:sz w:val="26"/>
          <w:szCs w:val="26"/>
        </w:rPr>
        <w:t>Movimientos generales de trabajo para el Centro de Responsabilidad</w:t>
      </w:r>
    </w:p>
    <w:p w14:paraId="1DA02496" w14:textId="77777777" w:rsidR="0085505C" w:rsidRPr="002A7673" w:rsidRDefault="0085505C" w:rsidP="0085505C">
      <w:pPr>
        <w:spacing w:after="0" w:line="240" w:lineRule="auto"/>
        <w:jc w:val="center"/>
        <w:rPr>
          <w:rFonts w:ascii="Times New Roman" w:hAnsi="Times New Roman" w:cs="Times New Roman"/>
          <w:b/>
          <w:bCs/>
          <w:sz w:val="26"/>
          <w:szCs w:val="26"/>
        </w:rPr>
      </w:pPr>
      <w:r w:rsidRPr="002A7673">
        <w:rPr>
          <w:rFonts w:ascii="Times New Roman" w:hAnsi="Times New Roman" w:cs="Times New Roman"/>
          <w:b/>
          <w:bCs/>
          <w:sz w:val="26"/>
          <w:szCs w:val="26"/>
        </w:rPr>
        <w:t>de la Administración Regional de la Oficina de Atención</w:t>
      </w:r>
    </w:p>
    <w:p w14:paraId="23A84677" w14:textId="77777777" w:rsidR="0085505C" w:rsidRPr="002A7673" w:rsidRDefault="0085505C" w:rsidP="0085505C">
      <w:pPr>
        <w:spacing w:after="0" w:line="240" w:lineRule="auto"/>
        <w:jc w:val="center"/>
        <w:rPr>
          <w:rFonts w:ascii="Times New Roman" w:hAnsi="Times New Roman" w:cs="Times New Roman"/>
          <w:b/>
          <w:bCs/>
          <w:sz w:val="26"/>
          <w:szCs w:val="26"/>
        </w:rPr>
      </w:pPr>
      <w:r w:rsidRPr="002A7673">
        <w:rPr>
          <w:rFonts w:ascii="Times New Roman" w:hAnsi="Times New Roman" w:cs="Times New Roman"/>
          <w:b/>
          <w:bCs/>
          <w:sz w:val="26"/>
          <w:szCs w:val="26"/>
        </w:rPr>
        <w:t>y Protección a la Víctima de Delitos</w:t>
      </w:r>
    </w:p>
    <w:p w14:paraId="09A41102" w14:textId="77777777" w:rsidR="0085505C" w:rsidRPr="002A7673" w:rsidRDefault="0085505C" w:rsidP="0085505C">
      <w:pPr>
        <w:spacing w:after="0" w:line="240" w:lineRule="auto"/>
        <w:jc w:val="center"/>
        <w:rPr>
          <w:rFonts w:ascii="Times New Roman" w:hAnsi="Times New Roman" w:cs="Times New Roman"/>
          <w:sz w:val="26"/>
          <w:szCs w:val="26"/>
        </w:rPr>
      </w:pPr>
      <w:r w:rsidRPr="002A7673">
        <w:rPr>
          <w:rFonts w:ascii="Times New Roman" w:hAnsi="Times New Roman" w:cs="Times New Roman"/>
          <w:b/>
          <w:bCs/>
          <w:sz w:val="26"/>
          <w:szCs w:val="26"/>
        </w:rPr>
        <w:t>durante el bienio 2019-2020</w:t>
      </w:r>
    </w:p>
    <w:tbl>
      <w:tblPr>
        <w:tblW w:w="5000" w:type="pct"/>
        <w:jc w:val="center"/>
        <w:tblCellMar>
          <w:left w:w="70" w:type="dxa"/>
          <w:right w:w="70" w:type="dxa"/>
        </w:tblCellMar>
        <w:tblLook w:val="04A0" w:firstRow="1" w:lastRow="0" w:firstColumn="1" w:lastColumn="0" w:noHBand="0" w:noVBand="1"/>
      </w:tblPr>
      <w:tblGrid>
        <w:gridCol w:w="2943"/>
        <w:gridCol w:w="1661"/>
        <w:gridCol w:w="1661"/>
        <w:gridCol w:w="1661"/>
        <w:gridCol w:w="1742"/>
      </w:tblGrid>
      <w:tr w:rsidR="0085505C" w:rsidRPr="002A7673" w14:paraId="1B9002E2" w14:textId="77777777" w:rsidTr="0048334E">
        <w:trPr>
          <w:tblHeader/>
          <w:jc w:val="center"/>
        </w:trPr>
        <w:tc>
          <w:tcPr>
            <w:tcW w:w="1522" w:type="pct"/>
            <w:vMerge w:val="restart"/>
            <w:tcBorders>
              <w:top w:val="single" w:sz="4" w:space="0" w:color="auto"/>
              <w:left w:val="nil"/>
              <w:bottom w:val="single" w:sz="4" w:space="0" w:color="000000"/>
              <w:right w:val="nil"/>
            </w:tcBorders>
            <w:shd w:val="clear" w:color="auto" w:fill="auto"/>
            <w:vAlign w:val="center"/>
            <w:hideMark/>
          </w:tcPr>
          <w:p w14:paraId="762D4208"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Variable</w:t>
            </w:r>
          </w:p>
        </w:tc>
        <w:tc>
          <w:tcPr>
            <w:tcW w:w="171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14B119C"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Año</w:t>
            </w:r>
          </w:p>
        </w:tc>
        <w:tc>
          <w:tcPr>
            <w:tcW w:w="85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7EF6C4E"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Variación absoluta</w:t>
            </w:r>
          </w:p>
        </w:tc>
        <w:tc>
          <w:tcPr>
            <w:tcW w:w="902" w:type="pct"/>
            <w:vMerge w:val="restart"/>
            <w:tcBorders>
              <w:top w:val="single" w:sz="4" w:space="0" w:color="auto"/>
              <w:left w:val="nil"/>
              <w:bottom w:val="single" w:sz="4" w:space="0" w:color="000000"/>
              <w:right w:val="nil"/>
            </w:tcBorders>
            <w:shd w:val="clear" w:color="auto" w:fill="auto"/>
            <w:vAlign w:val="center"/>
            <w:hideMark/>
          </w:tcPr>
          <w:p w14:paraId="371AD5FC"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Variación Porcentual</w:t>
            </w:r>
          </w:p>
        </w:tc>
      </w:tr>
      <w:tr w:rsidR="0085505C" w:rsidRPr="002A7673" w14:paraId="452BA962" w14:textId="77777777" w:rsidTr="0048334E">
        <w:trPr>
          <w:tblHeader/>
          <w:jc w:val="center"/>
        </w:trPr>
        <w:tc>
          <w:tcPr>
            <w:tcW w:w="1522" w:type="pct"/>
            <w:vMerge/>
            <w:tcBorders>
              <w:top w:val="single" w:sz="4" w:space="0" w:color="auto"/>
              <w:left w:val="nil"/>
              <w:bottom w:val="single" w:sz="4" w:space="0" w:color="000000"/>
              <w:right w:val="nil"/>
            </w:tcBorders>
            <w:vAlign w:val="center"/>
            <w:hideMark/>
          </w:tcPr>
          <w:p w14:paraId="7ECB65E0" w14:textId="77777777" w:rsidR="0085505C" w:rsidRPr="002A7673" w:rsidRDefault="0085505C" w:rsidP="0048334E">
            <w:pPr>
              <w:spacing w:after="0" w:line="360" w:lineRule="auto"/>
              <w:rPr>
                <w:rFonts w:ascii="Times New Roman" w:hAnsi="Times New Roman" w:cs="Times New Roman"/>
                <w:b/>
                <w:bCs/>
                <w:color w:val="000000"/>
                <w:sz w:val="24"/>
                <w:szCs w:val="24"/>
                <w:lang w:eastAsia="es-CR"/>
              </w:rPr>
            </w:pPr>
          </w:p>
        </w:tc>
        <w:tc>
          <w:tcPr>
            <w:tcW w:w="859" w:type="pct"/>
            <w:tcBorders>
              <w:top w:val="nil"/>
              <w:left w:val="single" w:sz="4" w:space="0" w:color="auto"/>
              <w:bottom w:val="single" w:sz="4" w:space="0" w:color="auto"/>
              <w:right w:val="single" w:sz="4" w:space="0" w:color="auto"/>
            </w:tcBorders>
            <w:shd w:val="clear" w:color="auto" w:fill="auto"/>
            <w:vAlign w:val="center"/>
            <w:hideMark/>
          </w:tcPr>
          <w:p w14:paraId="5C10310B"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2019</w:t>
            </w:r>
          </w:p>
        </w:tc>
        <w:tc>
          <w:tcPr>
            <w:tcW w:w="859" w:type="pct"/>
            <w:tcBorders>
              <w:top w:val="nil"/>
              <w:left w:val="nil"/>
              <w:bottom w:val="single" w:sz="4" w:space="0" w:color="auto"/>
              <w:right w:val="single" w:sz="4" w:space="0" w:color="auto"/>
            </w:tcBorders>
            <w:shd w:val="clear" w:color="auto" w:fill="auto"/>
            <w:vAlign w:val="center"/>
            <w:hideMark/>
          </w:tcPr>
          <w:p w14:paraId="743657C6"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2020</w:t>
            </w:r>
          </w:p>
        </w:tc>
        <w:tc>
          <w:tcPr>
            <w:tcW w:w="859" w:type="pct"/>
            <w:vMerge/>
            <w:tcBorders>
              <w:top w:val="single" w:sz="4" w:space="0" w:color="auto"/>
              <w:left w:val="single" w:sz="4" w:space="0" w:color="auto"/>
              <w:bottom w:val="single" w:sz="4" w:space="0" w:color="000000"/>
              <w:right w:val="single" w:sz="4" w:space="0" w:color="auto"/>
            </w:tcBorders>
            <w:vAlign w:val="center"/>
            <w:hideMark/>
          </w:tcPr>
          <w:p w14:paraId="63D22C88" w14:textId="77777777" w:rsidR="0085505C" w:rsidRPr="002A7673" w:rsidRDefault="0085505C" w:rsidP="0048334E">
            <w:pPr>
              <w:spacing w:after="0" w:line="360" w:lineRule="auto"/>
              <w:rPr>
                <w:rFonts w:ascii="Times New Roman" w:hAnsi="Times New Roman" w:cs="Times New Roman"/>
                <w:b/>
                <w:bCs/>
                <w:color w:val="000000"/>
                <w:sz w:val="24"/>
                <w:szCs w:val="24"/>
                <w:lang w:eastAsia="es-CR"/>
              </w:rPr>
            </w:pPr>
          </w:p>
        </w:tc>
        <w:tc>
          <w:tcPr>
            <w:tcW w:w="902" w:type="pct"/>
            <w:vMerge/>
            <w:tcBorders>
              <w:top w:val="single" w:sz="4" w:space="0" w:color="auto"/>
              <w:left w:val="nil"/>
              <w:bottom w:val="single" w:sz="4" w:space="0" w:color="000000"/>
              <w:right w:val="nil"/>
            </w:tcBorders>
            <w:vAlign w:val="center"/>
            <w:hideMark/>
          </w:tcPr>
          <w:p w14:paraId="110342F0" w14:textId="77777777" w:rsidR="0085505C" w:rsidRPr="002A7673" w:rsidRDefault="0085505C" w:rsidP="0048334E">
            <w:pPr>
              <w:spacing w:after="0" w:line="360" w:lineRule="auto"/>
              <w:rPr>
                <w:rFonts w:ascii="Times New Roman" w:hAnsi="Times New Roman" w:cs="Times New Roman"/>
                <w:b/>
                <w:bCs/>
                <w:color w:val="000000"/>
                <w:sz w:val="24"/>
                <w:szCs w:val="24"/>
                <w:lang w:eastAsia="es-CR"/>
              </w:rPr>
            </w:pPr>
          </w:p>
        </w:tc>
      </w:tr>
      <w:tr w:rsidR="0085505C" w:rsidRPr="002A7673" w14:paraId="314D8694" w14:textId="77777777" w:rsidTr="0048334E">
        <w:trPr>
          <w:jc w:val="center"/>
        </w:trPr>
        <w:tc>
          <w:tcPr>
            <w:tcW w:w="1522" w:type="pct"/>
            <w:tcBorders>
              <w:top w:val="nil"/>
              <w:left w:val="nil"/>
              <w:bottom w:val="nil"/>
              <w:right w:val="nil"/>
            </w:tcBorders>
            <w:shd w:val="clear" w:color="auto" w:fill="auto"/>
            <w:noWrap/>
            <w:vAlign w:val="center"/>
            <w:hideMark/>
          </w:tcPr>
          <w:p w14:paraId="370DF748"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p>
        </w:tc>
        <w:tc>
          <w:tcPr>
            <w:tcW w:w="859" w:type="pct"/>
            <w:tcBorders>
              <w:top w:val="nil"/>
              <w:left w:val="single" w:sz="4" w:space="0" w:color="auto"/>
              <w:bottom w:val="nil"/>
              <w:right w:val="single" w:sz="4" w:space="0" w:color="auto"/>
            </w:tcBorders>
            <w:shd w:val="clear" w:color="auto" w:fill="auto"/>
            <w:noWrap/>
            <w:vAlign w:val="center"/>
            <w:hideMark/>
          </w:tcPr>
          <w:p w14:paraId="2DD46777"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859" w:type="pct"/>
            <w:tcBorders>
              <w:top w:val="nil"/>
              <w:left w:val="nil"/>
              <w:bottom w:val="nil"/>
              <w:right w:val="single" w:sz="4" w:space="0" w:color="auto"/>
            </w:tcBorders>
            <w:shd w:val="clear" w:color="auto" w:fill="auto"/>
            <w:noWrap/>
            <w:vAlign w:val="center"/>
            <w:hideMark/>
          </w:tcPr>
          <w:p w14:paraId="4891FFB2"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859" w:type="pct"/>
            <w:tcBorders>
              <w:top w:val="nil"/>
              <w:left w:val="nil"/>
              <w:bottom w:val="nil"/>
              <w:right w:val="single" w:sz="4" w:space="0" w:color="auto"/>
            </w:tcBorders>
            <w:shd w:val="clear" w:color="auto" w:fill="auto"/>
            <w:noWrap/>
            <w:vAlign w:val="center"/>
            <w:hideMark/>
          </w:tcPr>
          <w:p w14:paraId="240B23BC"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902" w:type="pct"/>
            <w:tcBorders>
              <w:top w:val="nil"/>
              <w:left w:val="nil"/>
              <w:bottom w:val="nil"/>
              <w:right w:val="nil"/>
            </w:tcBorders>
            <w:shd w:val="clear" w:color="auto" w:fill="auto"/>
            <w:noWrap/>
            <w:vAlign w:val="center"/>
            <w:hideMark/>
          </w:tcPr>
          <w:p w14:paraId="5A66B57E"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r>
      <w:tr w:rsidR="0085505C" w:rsidRPr="002A7673" w14:paraId="3CFC981F" w14:textId="77777777" w:rsidTr="0048334E">
        <w:trPr>
          <w:jc w:val="center"/>
        </w:trPr>
        <w:tc>
          <w:tcPr>
            <w:tcW w:w="1522" w:type="pct"/>
            <w:tcBorders>
              <w:top w:val="nil"/>
              <w:left w:val="nil"/>
              <w:bottom w:val="nil"/>
              <w:right w:val="nil"/>
            </w:tcBorders>
            <w:shd w:val="clear" w:color="auto" w:fill="auto"/>
            <w:noWrap/>
            <w:vAlign w:val="center"/>
            <w:hideMark/>
          </w:tcPr>
          <w:p w14:paraId="0630B383"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Circulante al iniciar</w:t>
            </w:r>
          </w:p>
        </w:tc>
        <w:tc>
          <w:tcPr>
            <w:tcW w:w="859" w:type="pct"/>
            <w:tcBorders>
              <w:top w:val="nil"/>
              <w:left w:val="single" w:sz="4" w:space="0" w:color="auto"/>
              <w:bottom w:val="nil"/>
              <w:right w:val="single" w:sz="4" w:space="0" w:color="auto"/>
            </w:tcBorders>
            <w:shd w:val="clear" w:color="auto" w:fill="auto"/>
            <w:noWrap/>
            <w:vAlign w:val="center"/>
            <w:hideMark/>
          </w:tcPr>
          <w:p w14:paraId="1563509B"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8 321</w:t>
            </w:r>
          </w:p>
        </w:tc>
        <w:tc>
          <w:tcPr>
            <w:tcW w:w="859" w:type="pct"/>
            <w:tcBorders>
              <w:top w:val="nil"/>
              <w:left w:val="nil"/>
              <w:bottom w:val="nil"/>
              <w:right w:val="single" w:sz="4" w:space="0" w:color="auto"/>
            </w:tcBorders>
            <w:shd w:val="clear" w:color="auto" w:fill="auto"/>
            <w:noWrap/>
            <w:vAlign w:val="center"/>
            <w:hideMark/>
          </w:tcPr>
          <w:p w14:paraId="1E17FDA3"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5 921</w:t>
            </w:r>
          </w:p>
        </w:tc>
        <w:tc>
          <w:tcPr>
            <w:tcW w:w="859" w:type="pct"/>
            <w:tcBorders>
              <w:top w:val="nil"/>
              <w:left w:val="nil"/>
              <w:bottom w:val="nil"/>
              <w:right w:val="single" w:sz="4" w:space="0" w:color="auto"/>
            </w:tcBorders>
            <w:shd w:val="clear" w:color="auto" w:fill="auto"/>
            <w:noWrap/>
            <w:vAlign w:val="center"/>
            <w:hideMark/>
          </w:tcPr>
          <w:p w14:paraId="196A19F4"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-2 400</w:t>
            </w:r>
          </w:p>
        </w:tc>
        <w:tc>
          <w:tcPr>
            <w:tcW w:w="902" w:type="pct"/>
            <w:tcBorders>
              <w:top w:val="nil"/>
              <w:left w:val="nil"/>
              <w:bottom w:val="nil"/>
              <w:right w:val="nil"/>
            </w:tcBorders>
            <w:shd w:val="clear" w:color="auto" w:fill="auto"/>
            <w:noWrap/>
            <w:vAlign w:val="center"/>
            <w:hideMark/>
          </w:tcPr>
          <w:p w14:paraId="167260E9"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-28,8</w:t>
            </w:r>
          </w:p>
        </w:tc>
      </w:tr>
      <w:tr w:rsidR="0085505C" w:rsidRPr="002A7673" w14:paraId="562FFEDE" w14:textId="77777777" w:rsidTr="0048334E">
        <w:trPr>
          <w:jc w:val="center"/>
        </w:trPr>
        <w:tc>
          <w:tcPr>
            <w:tcW w:w="1522" w:type="pct"/>
            <w:tcBorders>
              <w:top w:val="nil"/>
              <w:left w:val="nil"/>
              <w:bottom w:val="nil"/>
              <w:right w:val="nil"/>
            </w:tcBorders>
            <w:shd w:val="clear" w:color="auto" w:fill="auto"/>
            <w:noWrap/>
            <w:vAlign w:val="center"/>
            <w:hideMark/>
          </w:tcPr>
          <w:p w14:paraId="4164B00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lastRenderedPageBreak/>
              <w:t>Casos entrados</w:t>
            </w:r>
          </w:p>
        </w:tc>
        <w:tc>
          <w:tcPr>
            <w:tcW w:w="859" w:type="pct"/>
            <w:tcBorders>
              <w:top w:val="nil"/>
              <w:left w:val="single" w:sz="4" w:space="0" w:color="auto"/>
              <w:bottom w:val="nil"/>
              <w:right w:val="single" w:sz="4" w:space="0" w:color="auto"/>
            </w:tcBorders>
            <w:shd w:val="clear" w:color="auto" w:fill="auto"/>
            <w:noWrap/>
            <w:vAlign w:val="center"/>
            <w:hideMark/>
          </w:tcPr>
          <w:p w14:paraId="4EC2FE46"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20 153</w:t>
            </w:r>
          </w:p>
        </w:tc>
        <w:tc>
          <w:tcPr>
            <w:tcW w:w="859" w:type="pct"/>
            <w:tcBorders>
              <w:top w:val="nil"/>
              <w:left w:val="nil"/>
              <w:bottom w:val="nil"/>
              <w:right w:val="single" w:sz="4" w:space="0" w:color="auto"/>
            </w:tcBorders>
            <w:shd w:val="clear" w:color="auto" w:fill="auto"/>
            <w:noWrap/>
            <w:vAlign w:val="center"/>
            <w:hideMark/>
          </w:tcPr>
          <w:p w14:paraId="29A1A091"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9 332</w:t>
            </w:r>
          </w:p>
        </w:tc>
        <w:tc>
          <w:tcPr>
            <w:tcW w:w="859" w:type="pct"/>
            <w:tcBorders>
              <w:top w:val="nil"/>
              <w:left w:val="nil"/>
              <w:bottom w:val="nil"/>
              <w:right w:val="single" w:sz="4" w:space="0" w:color="auto"/>
            </w:tcBorders>
            <w:shd w:val="clear" w:color="auto" w:fill="auto"/>
            <w:noWrap/>
            <w:vAlign w:val="center"/>
            <w:hideMark/>
          </w:tcPr>
          <w:p w14:paraId="3899AC0C" w14:textId="77777777" w:rsidR="0085505C" w:rsidRPr="002A7673" w:rsidRDefault="0085505C" w:rsidP="0048334E">
            <w:pPr>
              <w:spacing w:after="0" w:line="360" w:lineRule="auto"/>
              <w:jc w:val="right"/>
              <w:rPr>
                <w:rFonts w:ascii="Times New Roman" w:hAnsi="Times New Roman" w:cs="Times New Roman"/>
                <w:sz w:val="24"/>
                <w:szCs w:val="24"/>
                <w:lang w:eastAsia="es-CR"/>
              </w:rPr>
            </w:pPr>
            <w:bookmarkStart w:id="256" w:name="_Hlk67394395"/>
            <w:r w:rsidRPr="002A7673">
              <w:rPr>
                <w:rFonts w:ascii="Times New Roman" w:hAnsi="Times New Roman" w:cs="Times New Roman"/>
                <w:sz w:val="24"/>
                <w:szCs w:val="24"/>
                <w:lang w:eastAsia="es-CR"/>
              </w:rPr>
              <w:t>-10 821</w:t>
            </w:r>
            <w:bookmarkEnd w:id="256"/>
          </w:p>
        </w:tc>
        <w:tc>
          <w:tcPr>
            <w:tcW w:w="902" w:type="pct"/>
            <w:tcBorders>
              <w:top w:val="nil"/>
              <w:left w:val="nil"/>
              <w:bottom w:val="nil"/>
              <w:right w:val="nil"/>
            </w:tcBorders>
            <w:shd w:val="clear" w:color="auto" w:fill="auto"/>
            <w:noWrap/>
            <w:vAlign w:val="center"/>
            <w:hideMark/>
          </w:tcPr>
          <w:p w14:paraId="7A6A2C3C"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-53,7</w:t>
            </w:r>
          </w:p>
        </w:tc>
      </w:tr>
      <w:tr w:rsidR="0085505C" w:rsidRPr="002A7673" w14:paraId="222DA62E" w14:textId="77777777" w:rsidTr="0048334E">
        <w:trPr>
          <w:jc w:val="center"/>
        </w:trPr>
        <w:tc>
          <w:tcPr>
            <w:tcW w:w="1522" w:type="pct"/>
            <w:tcBorders>
              <w:top w:val="nil"/>
              <w:left w:val="nil"/>
              <w:bottom w:val="nil"/>
              <w:right w:val="nil"/>
            </w:tcBorders>
            <w:shd w:val="clear" w:color="auto" w:fill="auto"/>
            <w:noWrap/>
            <w:vAlign w:val="center"/>
            <w:hideMark/>
          </w:tcPr>
          <w:p w14:paraId="0A517B45"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Casos reentrados</w:t>
            </w:r>
          </w:p>
        </w:tc>
        <w:tc>
          <w:tcPr>
            <w:tcW w:w="859" w:type="pct"/>
            <w:tcBorders>
              <w:top w:val="nil"/>
              <w:left w:val="single" w:sz="4" w:space="0" w:color="auto"/>
              <w:bottom w:val="nil"/>
              <w:right w:val="single" w:sz="4" w:space="0" w:color="auto"/>
            </w:tcBorders>
            <w:shd w:val="clear" w:color="auto" w:fill="auto"/>
            <w:noWrap/>
            <w:vAlign w:val="center"/>
            <w:hideMark/>
          </w:tcPr>
          <w:p w14:paraId="72F2B9C4"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954</w:t>
            </w:r>
          </w:p>
        </w:tc>
        <w:tc>
          <w:tcPr>
            <w:tcW w:w="859" w:type="pct"/>
            <w:tcBorders>
              <w:top w:val="nil"/>
              <w:left w:val="nil"/>
              <w:bottom w:val="nil"/>
              <w:right w:val="single" w:sz="4" w:space="0" w:color="auto"/>
            </w:tcBorders>
            <w:shd w:val="clear" w:color="auto" w:fill="auto"/>
            <w:noWrap/>
            <w:vAlign w:val="center"/>
            <w:hideMark/>
          </w:tcPr>
          <w:p w14:paraId="64CD7AC7"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613</w:t>
            </w:r>
          </w:p>
        </w:tc>
        <w:tc>
          <w:tcPr>
            <w:tcW w:w="859" w:type="pct"/>
            <w:tcBorders>
              <w:top w:val="nil"/>
              <w:left w:val="nil"/>
              <w:bottom w:val="nil"/>
              <w:right w:val="single" w:sz="4" w:space="0" w:color="auto"/>
            </w:tcBorders>
            <w:shd w:val="clear" w:color="auto" w:fill="auto"/>
            <w:noWrap/>
            <w:vAlign w:val="center"/>
            <w:hideMark/>
          </w:tcPr>
          <w:p w14:paraId="39EC17C2"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-341</w:t>
            </w:r>
          </w:p>
        </w:tc>
        <w:tc>
          <w:tcPr>
            <w:tcW w:w="902" w:type="pct"/>
            <w:tcBorders>
              <w:top w:val="nil"/>
              <w:left w:val="nil"/>
              <w:bottom w:val="nil"/>
              <w:right w:val="nil"/>
            </w:tcBorders>
            <w:shd w:val="clear" w:color="auto" w:fill="auto"/>
            <w:noWrap/>
            <w:vAlign w:val="center"/>
            <w:hideMark/>
          </w:tcPr>
          <w:p w14:paraId="315843CC"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-35,7</w:t>
            </w:r>
          </w:p>
        </w:tc>
      </w:tr>
      <w:tr w:rsidR="0085505C" w:rsidRPr="002A7673" w14:paraId="7DCF46A9" w14:textId="77777777" w:rsidTr="0048334E">
        <w:trPr>
          <w:jc w:val="center"/>
        </w:trPr>
        <w:tc>
          <w:tcPr>
            <w:tcW w:w="1522" w:type="pct"/>
            <w:tcBorders>
              <w:top w:val="nil"/>
              <w:left w:val="nil"/>
              <w:bottom w:val="nil"/>
              <w:right w:val="nil"/>
            </w:tcBorders>
            <w:shd w:val="clear" w:color="auto" w:fill="auto"/>
            <w:noWrap/>
            <w:vAlign w:val="center"/>
            <w:hideMark/>
          </w:tcPr>
          <w:p w14:paraId="4C4CE79C"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 xml:space="preserve">Casos reactivados </w:t>
            </w:r>
          </w:p>
        </w:tc>
        <w:tc>
          <w:tcPr>
            <w:tcW w:w="859" w:type="pct"/>
            <w:tcBorders>
              <w:top w:val="nil"/>
              <w:left w:val="single" w:sz="4" w:space="0" w:color="auto"/>
              <w:bottom w:val="nil"/>
              <w:right w:val="single" w:sz="4" w:space="0" w:color="auto"/>
            </w:tcBorders>
            <w:shd w:val="clear" w:color="auto" w:fill="auto"/>
            <w:noWrap/>
            <w:vAlign w:val="center"/>
            <w:hideMark/>
          </w:tcPr>
          <w:p w14:paraId="3D5E2EA7"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0</w:t>
            </w:r>
          </w:p>
        </w:tc>
        <w:tc>
          <w:tcPr>
            <w:tcW w:w="859" w:type="pct"/>
            <w:tcBorders>
              <w:top w:val="nil"/>
              <w:left w:val="nil"/>
              <w:bottom w:val="nil"/>
              <w:right w:val="single" w:sz="4" w:space="0" w:color="auto"/>
            </w:tcBorders>
            <w:shd w:val="clear" w:color="auto" w:fill="auto"/>
            <w:noWrap/>
            <w:vAlign w:val="center"/>
            <w:hideMark/>
          </w:tcPr>
          <w:p w14:paraId="6130947B"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0</w:t>
            </w:r>
          </w:p>
        </w:tc>
        <w:tc>
          <w:tcPr>
            <w:tcW w:w="859" w:type="pct"/>
            <w:tcBorders>
              <w:top w:val="nil"/>
              <w:left w:val="nil"/>
              <w:bottom w:val="nil"/>
              <w:right w:val="single" w:sz="4" w:space="0" w:color="auto"/>
            </w:tcBorders>
            <w:shd w:val="clear" w:color="auto" w:fill="auto"/>
            <w:noWrap/>
            <w:vAlign w:val="center"/>
            <w:hideMark/>
          </w:tcPr>
          <w:p w14:paraId="1FBD2E64"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0</w:t>
            </w:r>
          </w:p>
        </w:tc>
        <w:tc>
          <w:tcPr>
            <w:tcW w:w="902" w:type="pct"/>
            <w:tcBorders>
              <w:top w:val="nil"/>
              <w:left w:val="nil"/>
              <w:bottom w:val="nil"/>
              <w:right w:val="nil"/>
            </w:tcBorders>
            <w:shd w:val="clear" w:color="auto" w:fill="auto"/>
            <w:noWrap/>
            <w:vAlign w:val="center"/>
            <w:hideMark/>
          </w:tcPr>
          <w:p w14:paraId="37A987E6"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w:t>
            </w:r>
          </w:p>
        </w:tc>
      </w:tr>
      <w:tr w:rsidR="0085505C" w:rsidRPr="002A7673" w14:paraId="7F1F5142" w14:textId="77777777" w:rsidTr="0048334E">
        <w:trPr>
          <w:jc w:val="center"/>
        </w:trPr>
        <w:tc>
          <w:tcPr>
            <w:tcW w:w="1522" w:type="pct"/>
            <w:tcBorders>
              <w:top w:val="nil"/>
              <w:left w:val="nil"/>
              <w:bottom w:val="nil"/>
              <w:right w:val="nil"/>
            </w:tcBorders>
            <w:shd w:val="clear" w:color="auto" w:fill="auto"/>
            <w:noWrap/>
            <w:vAlign w:val="center"/>
            <w:hideMark/>
          </w:tcPr>
          <w:p w14:paraId="13D6C5DF"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Testimonio de piezas</w:t>
            </w:r>
          </w:p>
        </w:tc>
        <w:tc>
          <w:tcPr>
            <w:tcW w:w="859" w:type="pct"/>
            <w:tcBorders>
              <w:top w:val="nil"/>
              <w:left w:val="single" w:sz="4" w:space="0" w:color="auto"/>
              <w:bottom w:val="nil"/>
              <w:right w:val="single" w:sz="4" w:space="0" w:color="auto"/>
            </w:tcBorders>
            <w:shd w:val="clear" w:color="auto" w:fill="auto"/>
            <w:noWrap/>
            <w:vAlign w:val="center"/>
            <w:hideMark/>
          </w:tcPr>
          <w:p w14:paraId="3171B4E2"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0</w:t>
            </w:r>
          </w:p>
        </w:tc>
        <w:tc>
          <w:tcPr>
            <w:tcW w:w="859" w:type="pct"/>
            <w:tcBorders>
              <w:top w:val="nil"/>
              <w:left w:val="nil"/>
              <w:bottom w:val="nil"/>
              <w:right w:val="single" w:sz="4" w:space="0" w:color="auto"/>
            </w:tcBorders>
            <w:shd w:val="clear" w:color="auto" w:fill="auto"/>
            <w:noWrap/>
            <w:vAlign w:val="center"/>
            <w:hideMark/>
          </w:tcPr>
          <w:p w14:paraId="723516C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0</w:t>
            </w:r>
          </w:p>
        </w:tc>
        <w:tc>
          <w:tcPr>
            <w:tcW w:w="859" w:type="pct"/>
            <w:tcBorders>
              <w:top w:val="nil"/>
              <w:left w:val="nil"/>
              <w:bottom w:val="nil"/>
              <w:right w:val="single" w:sz="4" w:space="0" w:color="auto"/>
            </w:tcBorders>
            <w:shd w:val="clear" w:color="auto" w:fill="auto"/>
            <w:noWrap/>
            <w:vAlign w:val="center"/>
            <w:hideMark/>
          </w:tcPr>
          <w:p w14:paraId="79B7672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0</w:t>
            </w:r>
          </w:p>
        </w:tc>
        <w:tc>
          <w:tcPr>
            <w:tcW w:w="902" w:type="pct"/>
            <w:tcBorders>
              <w:top w:val="nil"/>
              <w:left w:val="nil"/>
              <w:bottom w:val="nil"/>
              <w:right w:val="nil"/>
            </w:tcBorders>
            <w:shd w:val="clear" w:color="auto" w:fill="auto"/>
            <w:noWrap/>
            <w:vAlign w:val="center"/>
            <w:hideMark/>
          </w:tcPr>
          <w:p w14:paraId="0BFCDFB8"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w:t>
            </w:r>
          </w:p>
        </w:tc>
      </w:tr>
      <w:tr w:rsidR="0085505C" w:rsidRPr="002A7673" w14:paraId="6AF1B1D4" w14:textId="77777777" w:rsidTr="0048334E">
        <w:trPr>
          <w:jc w:val="center"/>
        </w:trPr>
        <w:tc>
          <w:tcPr>
            <w:tcW w:w="1522" w:type="pct"/>
            <w:tcBorders>
              <w:top w:val="nil"/>
              <w:left w:val="nil"/>
              <w:bottom w:val="nil"/>
              <w:right w:val="nil"/>
            </w:tcBorders>
            <w:shd w:val="clear" w:color="auto" w:fill="auto"/>
            <w:noWrap/>
            <w:vAlign w:val="center"/>
            <w:hideMark/>
          </w:tcPr>
          <w:p w14:paraId="6F7D52C0"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Casos terminados</w:t>
            </w:r>
          </w:p>
        </w:tc>
        <w:tc>
          <w:tcPr>
            <w:tcW w:w="859" w:type="pct"/>
            <w:tcBorders>
              <w:top w:val="nil"/>
              <w:left w:val="single" w:sz="4" w:space="0" w:color="auto"/>
              <w:bottom w:val="nil"/>
              <w:right w:val="single" w:sz="4" w:space="0" w:color="auto"/>
            </w:tcBorders>
            <w:shd w:val="clear" w:color="auto" w:fill="auto"/>
            <w:noWrap/>
            <w:vAlign w:val="center"/>
            <w:hideMark/>
          </w:tcPr>
          <w:p w14:paraId="35DC80AB"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23 024</w:t>
            </w:r>
          </w:p>
        </w:tc>
        <w:tc>
          <w:tcPr>
            <w:tcW w:w="859" w:type="pct"/>
            <w:tcBorders>
              <w:top w:val="nil"/>
              <w:left w:val="nil"/>
              <w:bottom w:val="nil"/>
              <w:right w:val="single" w:sz="4" w:space="0" w:color="auto"/>
            </w:tcBorders>
            <w:shd w:val="clear" w:color="auto" w:fill="auto"/>
            <w:noWrap/>
            <w:vAlign w:val="center"/>
            <w:hideMark/>
          </w:tcPr>
          <w:p w14:paraId="6740EFC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11 441</w:t>
            </w:r>
          </w:p>
        </w:tc>
        <w:tc>
          <w:tcPr>
            <w:tcW w:w="859" w:type="pct"/>
            <w:tcBorders>
              <w:top w:val="nil"/>
              <w:left w:val="nil"/>
              <w:bottom w:val="nil"/>
              <w:right w:val="single" w:sz="4" w:space="0" w:color="auto"/>
            </w:tcBorders>
            <w:shd w:val="clear" w:color="auto" w:fill="auto"/>
            <w:noWrap/>
            <w:vAlign w:val="center"/>
            <w:hideMark/>
          </w:tcPr>
          <w:p w14:paraId="413B35A1"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-11 583</w:t>
            </w:r>
          </w:p>
        </w:tc>
        <w:tc>
          <w:tcPr>
            <w:tcW w:w="902" w:type="pct"/>
            <w:tcBorders>
              <w:top w:val="nil"/>
              <w:left w:val="nil"/>
              <w:bottom w:val="nil"/>
              <w:right w:val="nil"/>
            </w:tcBorders>
            <w:shd w:val="clear" w:color="auto" w:fill="auto"/>
            <w:noWrap/>
            <w:vAlign w:val="center"/>
            <w:hideMark/>
          </w:tcPr>
          <w:p w14:paraId="17852BE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-50,3</w:t>
            </w:r>
          </w:p>
        </w:tc>
      </w:tr>
      <w:tr w:rsidR="0085505C" w:rsidRPr="002A7673" w14:paraId="2330A882" w14:textId="77777777" w:rsidTr="0048334E">
        <w:trPr>
          <w:jc w:val="center"/>
        </w:trPr>
        <w:tc>
          <w:tcPr>
            <w:tcW w:w="1522" w:type="pct"/>
            <w:tcBorders>
              <w:top w:val="nil"/>
              <w:left w:val="nil"/>
              <w:bottom w:val="nil"/>
              <w:right w:val="nil"/>
            </w:tcBorders>
            <w:shd w:val="clear" w:color="auto" w:fill="auto"/>
            <w:noWrap/>
            <w:vAlign w:val="center"/>
            <w:hideMark/>
          </w:tcPr>
          <w:p w14:paraId="553FF059"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Casos inactivos</w:t>
            </w:r>
          </w:p>
        </w:tc>
        <w:tc>
          <w:tcPr>
            <w:tcW w:w="859" w:type="pct"/>
            <w:tcBorders>
              <w:top w:val="nil"/>
              <w:left w:val="single" w:sz="4" w:space="0" w:color="auto"/>
              <w:bottom w:val="nil"/>
              <w:right w:val="single" w:sz="4" w:space="0" w:color="auto"/>
            </w:tcBorders>
            <w:shd w:val="clear" w:color="auto" w:fill="auto"/>
            <w:noWrap/>
            <w:vAlign w:val="center"/>
            <w:hideMark/>
          </w:tcPr>
          <w:p w14:paraId="10F47A8D"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0</w:t>
            </w:r>
          </w:p>
        </w:tc>
        <w:tc>
          <w:tcPr>
            <w:tcW w:w="859" w:type="pct"/>
            <w:tcBorders>
              <w:top w:val="nil"/>
              <w:left w:val="nil"/>
              <w:bottom w:val="nil"/>
              <w:right w:val="single" w:sz="4" w:space="0" w:color="auto"/>
            </w:tcBorders>
            <w:shd w:val="clear" w:color="auto" w:fill="auto"/>
            <w:noWrap/>
            <w:vAlign w:val="center"/>
            <w:hideMark/>
          </w:tcPr>
          <w:p w14:paraId="0E0E1C23"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0</w:t>
            </w:r>
          </w:p>
        </w:tc>
        <w:tc>
          <w:tcPr>
            <w:tcW w:w="859" w:type="pct"/>
            <w:tcBorders>
              <w:top w:val="nil"/>
              <w:left w:val="nil"/>
              <w:bottom w:val="nil"/>
              <w:right w:val="single" w:sz="4" w:space="0" w:color="auto"/>
            </w:tcBorders>
            <w:shd w:val="clear" w:color="auto" w:fill="auto"/>
            <w:noWrap/>
            <w:vAlign w:val="center"/>
            <w:hideMark/>
          </w:tcPr>
          <w:p w14:paraId="4E5A24EF"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0</w:t>
            </w:r>
          </w:p>
        </w:tc>
        <w:tc>
          <w:tcPr>
            <w:tcW w:w="902" w:type="pct"/>
            <w:tcBorders>
              <w:top w:val="nil"/>
              <w:left w:val="nil"/>
              <w:bottom w:val="nil"/>
              <w:right w:val="nil"/>
            </w:tcBorders>
            <w:shd w:val="clear" w:color="auto" w:fill="auto"/>
            <w:noWrap/>
            <w:vAlign w:val="center"/>
            <w:hideMark/>
          </w:tcPr>
          <w:p w14:paraId="7347C3D5"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w:t>
            </w:r>
          </w:p>
        </w:tc>
      </w:tr>
      <w:tr w:rsidR="0085505C" w:rsidRPr="002A7673" w14:paraId="054925F5" w14:textId="77777777" w:rsidTr="0048334E">
        <w:trPr>
          <w:jc w:val="center"/>
        </w:trPr>
        <w:tc>
          <w:tcPr>
            <w:tcW w:w="1522" w:type="pct"/>
            <w:tcBorders>
              <w:top w:val="nil"/>
              <w:left w:val="nil"/>
              <w:bottom w:val="nil"/>
              <w:right w:val="nil"/>
            </w:tcBorders>
            <w:shd w:val="clear" w:color="auto" w:fill="auto"/>
            <w:noWrap/>
            <w:vAlign w:val="center"/>
            <w:hideMark/>
          </w:tcPr>
          <w:p w14:paraId="1CBD4CE2"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Circulante al finalizar</w:t>
            </w:r>
          </w:p>
        </w:tc>
        <w:tc>
          <w:tcPr>
            <w:tcW w:w="859" w:type="pct"/>
            <w:tcBorders>
              <w:top w:val="nil"/>
              <w:left w:val="single" w:sz="4" w:space="0" w:color="auto"/>
              <w:bottom w:val="nil"/>
              <w:right w:val="single" w:sz="4" w:space="0" w:color="auto"/>
            </w:tcBorders>
            <w:shd w:val="clear" w:color="auto" w:fill="auto"/>
            <w:noWrap/>
            <w:vAlign w:val="center"/>
            <w:hideMark/>
          </w:tcPr>
          <w:p w14:paraId="253B42C9"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5 922</w:t>
            </w:r>
          </w:p>
        </w:tc>
        <w:tc>
          <w:tcPr>
            <w:tcW w:w="859" w:type="pct"/>
            <w:tcBorders>
              <w:top w:val="nil"/>
              <w:left w:val="nil"/>
              <w:bottom w:val="nil"/>
              <w:right w:val="single" w:sz="4" w:space="0" w:color="auto"/>
            </w:tcBorders>
            <w:shd w:val="clear" w:color="auto" w:fill="auto"/>
            <w:noWrap/>
            <w:vAlign w:val="center"/>
            <w:hideMark/>
          </w:tcPr>
          <w:p w14:paraId="6D7DD3D6"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4 384</w:t>
            </w:r>
          </w:p>
        </w:tc>
        <w:tc>
          <w:tcPr>
            <w:tcW w:w="859" w:type="pct"/>
            <w:tcBorders>
              <w:top w:val="nil"/>
              <w:left w:val="nil"/>
              <w:bottom w:val="nil"/>
              <w:right w:val="single" w:sz="4" w:space="0" w:color="auto"/>
            </w:tcBorders>
            <w:shd w:val="clear" w:color="auto" w:fill="auto"/>
            <w:noWrap/>
            <w:vAlign w:val="center"/>
            <w:hideMark/>
          </w:tcPr>
          <w:p w14:paraId="0F34A923"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-1 538</w:t>
            </w:r>
          </w:p>
        </w:tc>
        <w:tc>
          <w:tcPr>
            <w:tcW w:w="902" w:type="pct"/>
            <w:tcBorders>
              <w:top w:val="nil"/>
              <w:left w:val="nil"/>
              <w:bottom w:val="nil"/>
              <w:right w:val="nil"/>
            </w:tcBorders>
            <w:shd w:val="clear" w:color="auto" w:fill="auto"/>
            <w:noWrap/>
            <w:vAlign w:val="center"/>
            <w:hideMark/>
          </w:tcPr>
          <w:p w14:paraId="724968DF" w14:textId="77777777" w:rsidR="0085505C" w:rsidRPr="002A7673" w:rsidRDefault="0085505C" w:rsidP="0048334E">
            <w:pPr>
              <w:spacing w:after="0" w:line="360" w:lineRule="auto"/>
              <w:jc w:val="right"/>
              <w:rPr>
                <w:rFonts w:ascii="Times New Roman" w:hAnsi="Times New Roman" w:cs="Times New Roman"/>
                <w:sz w:val="24"/>
                <w:szCs w:val="24"/>
                <w:lang w:eastAsia="es-CR"/>
              </w:rPr>
            </w:pPr>
            <w:r w:rsidRPr="002A7673">
              <w:rPr>
                <w:rFonts w:ascii="Times New Roman" w:hAnsi="Times New Roman" w:cs="Times New Roman"/>
                <w:sz w:val="24"/>
                <w:szCs w:val="24"/>
                <w:lang w:eastAsia="es-CR"/>
              </w:rPr>
              <w:t>-26,0</w:t>
            </w:r>
          </w:p>
        </w:tc>
      </w:tr>
      <w:tr w:rsidR="0085505C" w:rsidRPr="002A7673" w14:paraId="109C6318" w14:textId="77777777" w:rsidTr="0048334E">
        <w:trPr>
          <w:jc w:val="center"/>
        </w:trPr>
        <w:tc>
          <w:tcPr>
            <w:tcW w:w="1522" w:type="pct"/>
            <w:tcBorders>
              <w:top w:val="nil"/>
              <w:left w:val="nil"/>
              <w:bottom w:val="single" w:sz="4" w:space="0" w:color="auto"/>
              <w:right w:val="nil"/>
            </w:tcBorders>
            <w:shd w:val="clear" w:color="auto" w:fill="auto"/>
            <w:noWrap/>
            <w:vAlign w:val="center"/>
            <w:hideMark/>
          </w:tcPr>
          <w:p w14:paraId="6241CDB1"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859" w:type="pct"/>
            <w:tcBorders>
              <w:top w:val="nil"/>
              <w:left w:val="single" w:sz="4" w:space="0" w:color="auto"/>
              <w:bottom w:val="single" w:sz="4" w:space="0" w:color="auto"/>
              <w:right w:val="single" w:sz="4" w:space="0" w:color="auto"/>
            </w:tcBorders>
            <w:shd w:val="clear" w:color="auto" w:fill="auto"/>
            <w:noWrap/>
            <w:vAlign w:val="center"/>
            <w:hideMark/>
          </w:tcPr>
          <w:p w14:paraId="117CE728"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859" w:type="pct"/>
            <w:tcBorders>
              <w:top w:val="nil"/>
              <w:left w:val="nil"/>
              <w:bottom w:val="single" w:sz="4" w:space="0" w:color="auto"/>
              <w:right w:val="single" w:sz="4" w:space="0" w:color="auto"/>
            </w:tcBorders>
            <w:shd w:val="clear" w:color="auto" w:fill="auto"/>
            <w:noWrap/>
            <w:vAlign w:val="center"/>
            <w:hideMark/>
          </w:tcPr>
          <w:p w14:paraId="7FBC9390"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859" w:type="pct"/>
            <w:tcBorders>
              <w:top w:val="nil"/>
              <w:left w:val="nil"/>
              <w:bottom w:val="single" w:sz="4" w:space="0" w:color="auto"/>
              <w:right w:val="single" w:sz="4" w:space="0" w:color="auto"/>
            </w:tcBorders>
            <w:shd w:val="clear" w:color="auto" w:fill="auto"/>
            <w:noWrap/>
            <w:vAlign w:val="center"/>
            <w:hideMark/>
          </w:tcPr>
          <w:p w14:paraId="0075F7B3"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c>
          <w:tcPr>
            <w:tcW w:w="902" w:type="pct"/>
            <w:tcBorders>
              <w:top w:val="nil"/>
              <w:left w:val="nil"/>
              <w:bottom w:val="single" w:sz="4" w:space="0" w:color="auto"/>
              <w:right w:val="nil"/>
            </w:tcBorders>
            <w:shd w:val="clear" w:color="auto" w:fill="auto"/>
            <w:noWrap/>
            <w:vAlign w:val="center"/>
            <w:hideMark/>
          </w:tcPr>
          <w:p w14:paraId="48AC2F38" w14:textId="77777777" w:rsidR="0085505C" w:rsidRPr="002A7673" w:rsidRDefault="0085505C" w:rsidP="0048334E">
            <w:pPr>
              <w:spacing w:after="0" w:line="360" w:lineRule="auto"/>
              <w:jc w:val="right"/>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 </w:t>
            </w:r>
          </w:p>
        </w:tc>
      </w:tr>
      <w:tr w:rsidR="0085505C" w:rsidRPr="002A7673" w14:paraId="3B05A5DC" w14:textId="77777777" w:rsidTr="0048334E">
        <w:trPr>
          <w:jc w:val="center"/>
        </w:trPr>
        <w:tc>
          <w:tcPr>
            <w:tcW w:w="5000" w:type="pct"/>
            <w:gridSpan w:val="5"/>
            <w:tcBorders>
              <w:top w:val="single" w:sz="4" w:space="0" w:color="auto"/>
              <w:left w:val="nil"/>
              <w:bottom w:val="nil"/>
              <w:right w:val="nil"/>
            </w:tcBorders>
            <w:shd w:val="clear" w:color="auto" w:fill="auto"/>
            <w:noWrap/>
            <w:vAlign w:val="center"/>
            <w:hideMark/>
          </w:tcPr>
          <w:p w14:paraId="5A92564D" w14:textId="77777777" w:rsidR="0085505C" w:rsidRPr="002A7673" w:rsidRDefault="0085505C" w:rsidP="0048334E">
            <w:pPr>
              <w:spacing w:after="0" w:line="360" w:lineRule="auto"/>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Fuente: Sub Proceso de Estadística, Dirección de Planificación, Poder Judicial.</w:t>
            </w:r>
          </w:p>
        </w:tc>
      </w:tr>
    </w:tbl>
    <w:p w14:paraId="62B8B340" w14:textId="77777777" w:rsidR="0085505C" w:rsidRPr="002A7673" w:rsidRDefault="0085505C" w:rsidP="0085505C">
      <w:pPr>
        <w:spacing w:after="0" w:line="360" w:lineRule="auto"/>
        <w:rPr>
          <w:rFonts w:ascii="Times New Roman" w:hAnsi="Times New Roman" w:cs="Times New Roman"/>
        </w:rPr>
      </w:pPr>
    </w:p>
    <w:p w14:paraId="62C17F4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De las cifras contenidas en la tabla anterior, destacan los siguientes hechos: </w:t>
      </w:r>
    </w:p>
    <w:p w14:paraId="343CCF9D"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1BF58770"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Casos entrados:</w:t>
      </w:r>
      <w:r w:rsidRPr="002A7673">
        <w:rPr>
          <w:rFonts w:ascii="Times New Roman" w:hAnsi="Times New Roman" w:cs="Times New Roman"/>
          <w:sz w:val="26"/>
          <w:szCs w:val="26"/>
        </w:rPr>
        <w:t xml:space="preserve"> El número de causas ingresadas en el Centro de Responsabilidad de la Oficina de Atención y Protección a la Víctima de Delitos se registró en 9.332 casos durante el 2020, siendo el caudal recibido sustancialmente menor a lo reportado el año anterior, con una baja de 10.821 unidades, para un decremento porcentual de 53,7%.   </w:t>
      </w:r>
    </w:p>
    <w:p w14:paraId="35599F84"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4A495DE6"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Casos terminados:</w:t>
      </w:r>
      <w:r w:rsidRPr="002A7673">
        <w:rPr>
          <w:rFonts w:ascii="Times New Roman" w:hAnsi="Times New Roman" w:cs="Times New Roman"/>
          <w:sz w:val="26"/>
          <w:szCs w:val="26"/>
        </w:rPr>
        <w:t xml:space="preserve"> La cifra de causas terminadas en esta Administración Regional llegó a 11.441 en el presente año, mostrando -al igual que la entrada- una baja considerable de 11.583 asuntos versus el finiquito logrado en el 2019, para un descenso relativo de 50,3%. </w:t>
      </w:r>
    </w:p>
    <w:p w14:paraId="7BA41D50"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6205815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b/>
          <w:sz w:val="26"/>
          <w:szCs w:val="26"/>
        </w:rPr>
        <w:t>Circulante al finalizar al año:</w:t>
      </w:r>
      <w:r w:rsidRPr="002A7673">
        <w:rPr>
          <w:rFonts w:ascii="Times New Roman" w:hAnsi="Times New Roman" w:cs="Times New Roman"/>
          <w:sz w:val="26"/>
          <w:szCs w:val="26"/>
        </w:rPr>
        <w:t xml:space="preserve"> El circulante de la Oficina de Atención y Protección a la Víctima de Delitos se registró en 4.384 causas al finalizar el 2020, que refleja una reducción de 1.538 procesos versus el circulante acumulado al cierre del año anterior, para una merma porcentual de 26,0%. </w:t>
      </w:r>
    </w:p>
    <w:p w14:paraId="083EF8FD"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72E2BF59"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 pesar de las reducciones comentadas en el número de casos entrados y terminados en el presente año, es un hecho que la cantidad de expedientes terminados resultó superior al caudal recibido en el 2020, por 2.109 unidades </w:t>
      </w:r>
      <w:r w:rsidRPr="002A7673">
        <w:rPr>
          <w:rFonts w:ascii="Times New Roman" w:hAnsi="Times New Roman" w:cs="Times New Roman"/>
          <w:sz w:val="26"/>
          <w:szCs w:val="26"/>
        </w:rPr>
        <w:lastRenderedPageBreak/>
        <w:t xml:space="preserve">(9.332 vs. 11.441), lo cual conduce a la reducción del circulante, anunciada en el párrafo anterior.  </w:t>
      </w:r>
    </w:p>
    <w:p w14:paraId="7FD3B76F"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78311222"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En forma complementaria, se recuerda el conjunto de situaciones externas y extralaborales, ampliamente conocidas a nivel nacional, relacionadas con la emergencia por la pandemia, provocada por la propagación del virus Covid-19, conocido popularmente como “Coronavirus”, que produjo ceses, reducciones o modificaciones, en las labores desarrolladas por el personal de los despachos u oficinas judiciales. </w:t>
      </w:r>
    </w:p>
    <w:p w14:paraId="0D91A973"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281E6770"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9. Ejecución Presupuestaria</w:t>
      </w:r>
    </w:p>
    <w:p w14:paraId="3172F22E"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21C194E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la siguiente tabla se muestra la información de ejecución presupuestaria del Servicio de Atención y Protección de Víctimas y Testigos.</w:t>
      </w:r>
    </w:p>
    <w:p w14:paraId="1A7ADCC8" w14:textId="77777777" w:rsidR="0085505C" w:rsidRPr="002A7673" w:rsidRDefault="0085505C" w:rsidP="0085505C">
      <w:pPr>
        <w:spacing w:after="0" w:line="360" w:lineRule="auto"/>
        <w:ind w:left="284"/>
        <w:rPr>
          <w:rFonts w:ascii="Times New Roman" w:hAnsi="Times New Roman" w:cs="Times New Roman"/>
        </w:rPr>
      </w:pPr>
    </w:p>
    <w:tbl>
      <w:tblPr>
        <w:tblW w:w="5000" w:type="pct"/>
        <w:jc w:val="center"/>
        <w:tblCellMar>
          <w:left w:w="70" w:type="dxa"/>
          <w:right w:w="70" w:type="dxa"/>
        </w:tblCellMar>
        <w:tblLook w:val="04A0" w:firstRow="1" w:lastRow="0" w:firstColumn="1" w:lastColumn="0" w:noHBand="0" w:noVBand="1"/>
      </w:tblPr>
      <w:tblGrid>
        <w:gridCol w:w="4222"/>
        <w:gridCol w:w="1154"/>
        <w:gridCol w:w="1154"/>
        <w:gridCol w:w="1154"/>
        <w:gridCol w:w="1021"/>
        <w:gridCol w:w="953"/>
      </w:tblGrid>
      <w:tr w:rsidR="0085505C" w:rsidRPr="002A7673" w14:paraId="5C8C8D02" w14:textId="77777777" w:rsidTr="0048334E">
        <w:trPr>
          <w:trHeight w:val="552"/>
          <w:jc w:val="center"/>
        </w:trPr>
        <w:tc>
          <w:tcPr>
            <w:tcW w:w="16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49D39"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Centro Gestor / Rubro</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C0993A"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Presupuesto Inicial</w:t>
            </w:r>
          </w:p>
        </w:tc>
        <w:tc>
          <w:tcPr>
            <w:tcW w:w="7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C33A48"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 xml:space="preserve">Presupuesto Actual </w:t>
            </w:r>
          </w:p>
        </w:tc>
        <w:tc>
          <w:tcPr>
            <w:tcW w:w="7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9FD1DF"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Monto Ejecutado</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31934"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Pendiente de Ejecutar</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A946A" w14:textId="77777777" w:rsidR="0085505C" w:rsidRPr="002A7673" w:rsidRDefault="0085505C" w:rsidP="0048334E">
            <w:pPr>
              <w:spacing w:after="0" w:line="360" w:lineRule="auto"/>
              <w:jc w:val="center"/>
              <w:rPr>
                <w:rFonts w:ascii="Times New Roman" w:hAnsi="Times New Roman" w:cs="Times New Roman"/>
                <w:b/>
                <w:bCs/>
                <w:sz w:val="24"/>
                <w:szCs w:val="24"/>
              </w:rPr>
            </w:pPr>
            <w:r w:rsidRPr="002A7673">
              <w:rPr>
                <w:rFonts w:ascii="Times New Roman" w:hAnsi="Times New Roman" w:cs="Times New Roman"/>
                <w:b/>
                <w:bCs/>
                <w:sz w:val="24"/>
                <w:szCs w:val="24"/>
              </w:rPr>
              <w:t>Porcentaje de Ejecución</w:t>
            </w:r>
          </w:p>
        </w:tc>
      </w:tr>
      <w:tr w:rsidR="0085505C" w:rsidRPr="002A7673" w14:paraId="47EB53B6" w14:textId="77777777" w:rsidTr="0048334E">
        <w:trPr>
          <w:trHeight w:val="239"/>
          <w:jc w:val="center"/>
        </w:trPr>
        <w:tc>
          <w:tcPr>
            <w:tcW w:w="16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A7227" w14:textId="77777777" w:rsidR="0085505C" w:rsidRPr="002A7673" w:rsidRDefault="0085505C" w:rsidP="0048334E">
            <w:pPr>
              <w:spacing w:after="0" w:line="360" w:lineRule="auto"/>
              <w:rPr>
                <w:rFonts w:ascii="Times New Roman" w:hAnsi="Times New Roman" w:cs="Times New Roman"/>
                <w:sz w:val="24"/>
                <w:szCs w:val="24"/>
              </w:rPr>
            </w:pPr>
            <w:r w:rsidRPr="002A7673">
              <w:rPr>
                <w:rFonts w:ascii="Times New Roman" w:hAnsi="Times New Roman" w:cs="Times New Roman"/>
                <w:sz w:val="24"/>
                <w:szCs w:val="24"/>
              </w:rPr>
              <w:t>Servicio de Atención y Protección de Víctimas y Testigos</w:t>
            </w:r>
          </w:p>
        </w:tc>
        <w:tc>
          <w:tcPr>
            <w:tcW w:w="693" w:type="pct"/>
            <w:tcBorders>
              <w:top w:val="single" w:sz="4" w:space="0" w:color="auto"/>
              <w:left w:val="nil"/>
              <w:bottom w:val="single" w:sz="4" w:space="0" w:color="auto"/>
              <w:right w:val="single" w:sz="4" w:space="0" w:color="auto"/>
            </w:tcBorders>
            <w:shd w:val="clear" w:color="auto" w:fill="auto"/>
            <w:noWrap/>
            <w:vAlign w:val="center"/>
            <w:hideMark/>
          </w:tcPr>
          <w:p w14:paraId="06C9EF47" w14:textId="77777777" w:rsidR="0085505C" w:rsidRPr="002A7673" w:rsidRDefault="0085505C" w:rsidP="0048334E">
            <w:pPr>
              <w:spacing w:after="0" w:line="360" w:lineRule="auto"/>
              <w:jc w:val="right"/>
              <w:rPr>
                <w:rFonts w:ascii="Times New Roman" w:hAnsi="Times New Roman" w:cs="Times New Roman"/>
                <w:sz w:val="24"/>
                <w:szCs w:val="24"/>
              </w:rPr>
            </w:pPr>
            <w:r w:rsidRPr="002A7673">
              <w:rPr>
                <w:rFonts w:ascii="Times New Roman" w:hAnsi="Times New Roman" w:cs="Times New Roman"/>
                <w:sz w:val="24"/>
                <w:szCs w:val="24"/>
              </w:rPr>
              <w:t>1,589,333,000</w:t>
            </w:r>
          </w:p>
        </w:tc>
        <w:tc>
          <w:tcPr>
            <w:tcW w:w="706" w:type="pct"/>
            <w:tcBorders>
              <w:top w:val="single" w:sz="4" w:space="0" w:color="auto"/>
              <w:left w:val="nil"/>
              <w:bottom w:val="single" w:sz="4" w:space="0" w:color="auto"/>
              <w:right w:val="single" w:sz="4" w:space="0" w:color="auto"/>
            </w:tcBorders>
            <w:shd w:val="clear" w:color="auto" w:fill="auto"/>
            <w:noWrap/>
            <w:vAlign w:val="center"/>
            <w:hideMark/>
          </w:tcPr>
          <w:p w14:paraId="0BED379C" w14:textId="77777777" w:rsidR="0085505C" w:rsidRPr="002A7673" w:rsidRDefault="0085505C" w:rsidP="0048334E">
            <w:pPr>
              <w:spacing w:after="0" w:line="360" w:lineRule="auto"/>
              <w:jc w:val="right"/>
              <w:rPr>
                <w:rFonts w:ascii="Times New Roman" w:hAnsi="Times New Roman" w:cs="Times New Roman"/>
                <w:sz w:val="24"/>
                <w:szCs w:val="24"/>
              </w:rPr>
            </w:pPr>
            <w:r w:rsidRPr="002A7673">
              <w:rPr>
                <w:rFonts w:ascii="Times New Roman" w:hAnsi="Times New Roman" w:cs="Times New Roman"/>
                <w:sz w:val="24"/>
                <w:szCs w:val="24"/>
              </w:rPr>
              <w:t>1,559,548,358</w:t>
            </w:r>
          </w:p>
        </w:tc>
        <w:tc>
          <w:tcPr>
            <w:tcW w:w="706" w:type="pct"/>
            <w:tcBorders>
              <w:top w:val="single" w:sz="4" w:space="0" w:color="auto"/>
              <w:left w:val="nil"/>
              <w:bottom w:val="single" w:sz="4" w:space="0" w:color="auto"/>
              <w:right w:val="single" w:sz="4" w:space="0" w:color="auto"/>
            </w:tcBorders>
            <w:shd w:val="clear" w:color="auto" w:fill="auto"/>
            <w:noWrap/>
            <w:vAlign w:val="center"/>
            <w:hideMark/>
          </w:tcPr>
          <w:p w14:paraId="267B13B8" w14:textId="77777777" w:rsidR="0085505C" w:rsidRPr="002A7673" w:rsidRDefault="0085505C" w:rsidP="0048334E">
            <w:pPr>
              <w:spacing w:after="0" w:line="360" w:lineRule="auto"/>
              <w:jc w:val="right"/>
              <w:rPr>
                <w:rFonts w:ascii="Times New Roman" w:hAnsi="Times New Roman" w:cs="Times New Roman"/>
                <w:sz w:val="24"/>
                <w:szCs w:val="24"/>
              </w:rPr>
            </w:pPr>
            <w:r w:rsidRPr="002A7673">
              <w:rPr>
                <w:rFonts w:ascii="Times New Roman" w:hAnsi="Times New Roman" w:cs="Times New Roman"/>
                <w:sz w:val="24"/>
                <w:szCs w:val="24"/>
              </w:rPr>
              <w:t>1,389,802,094</w:t>
            </w:r>
          </w:p>
        </w:tc>
        <w:tc>
          <w:tcPr>
            <w:tcW w:w="622" w:type="pct"/>
            <w:tcBorders>
              <w:top w:val="single" w:sz="4" w:space="0" w:color="auto"/>
              <w:left w:val="nil"/>
              <w:bottom w:val="single" w:sz="4" w:space="0" w:color="auto"/>
              <w:right w:val="single" w:sz="4" w:space="0" w:color="auto"/>
            </w:tcBorders>
            <w:shd w:val="clear" w:color="auto" w:fill="auto"/>
            <w:noWrap/>
            <w:vAlign w:val="center"/>
            <w:hideMark/>
          </w:tcPr>
          <w:p w14:paraId="5AB04E96" w14:textId="77777777" w:rsidR="0085505C" w:rsidRPr="002A7673" w:rsidRDefault="0085505C" w:rsidP="0048334E">
            <w:pPr>
              <w:spacing w:after="0" w:line="360" w:lineRule="auto"/>
              <w:jc w:val="right"/>
              <w:rPr>
                <w:rFonts w:ascii="Times New Roman" w:hAnsi="Times New Roman" w:cs="Times New Roman"/>
                <w:sz w:val="24"/>
                <w:szCs w:val="24"/>
              </w:rPr>
            </w:pPr>
            <w:r w:rsidRPr="002A7673">
              <w:rPr>
                <w:rFonts w:ascii="Times New Roman" w:hAnsi="Times New Roman" w:cs="Times New Roman"/>
                <w:sz w:val="24"/>
                <w:szCs w:val="24"/>
              </w:rPr>
              <w:t>169,746,264</w:t>
            </w:r>
          </w:p>
        </w:tc>
        <w:tc>
          <w:tcPr>
            <w:tcW w:w="659" w:type="pct"/>
            <w:tcBorders>
              <w:top w:val="single" w:sz="4" w:space="0" w:color="auto"/>
              <w:left w:val="nil"/>
              <w:bottom w:val="single" w:sz="4" w:space="0" w:color="auto"/>
              <w:right w:val="single" w:sz="4" w:space="0" w:color="auto"/>
            </w:tcBorders>
            <w:shd w:val="clear" w:color="auto" w:fill="auto"/>
            <w:noWrap/>
            <w:vAlign w:val="center"/>
            <w:hideMark/>
          </w:tcPr>
          <w:p w14:paraId="38C3BB0A" w14:textId="77777777" w:rsidR="0085505C" w:rsidRPr="002A7673" w:rsidRDefault="0085505C" w:rsidP="0048334E">
            <w:pPr>
              <w:spacing w:after="0" w:line="360" w:lineRule="auto"/>
              <w:jc w:val="center"/>
              <w:rPr>
                <w:rFonts w:ascii="Times New Roman" w:hAnsi="Times New Roman" w:cs="Times New Roman"/>
                <w:sz w:val="24"/>
                <w:szCs w:val="24"/>
              </w:rPr>
            </w:pPr>
            <w:r w:rsidRPr="002A7673">
              <w:rPr>
                <w:rFonts w:ascii="Times New Roman" w:hAnsi="Times New Roman" w:cs="Times New Roman"/>
                <w:sz w:val="24"/>
                <w:szCs w:val="24"/>
              </w:rPr>
              <w:t>89%</w:t>
            </w:r>
          </w:p>
        </w:tc>
      </w:tr>
    </w:tbl>
    <w:p w14:paraId="29F7483B" w14:textId="77777777" w:rsidR="0085505C" w:rsidRPr="002A7673" w:rsidRDefault="0085505C" w:rsidP="0085505C">
      <w:pPr>
        <w:spacing w:after="0" w:line="360" w:lineRule="auto"/>
        <w:ind w:left="284"/>
        <w:rPr>
          <w:rFonts w:ascii="Times New Roman" w:hAnsi="Times New Roman" w:cs="Times New Roman"/>
          <w:sz w:val="28"/>
          <w:szCs w:val="28"/>
        </w:rPr>
      </w:pPr>
    </w:p>
    <w:p w14:paraId="0E9AD47B"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Es importante señalar que el monto total sin ejecutar para el periodo 2020 es de ¢169,746,264 que en consecuencia significa que se alcanzó un 89% de ejecución presupuestaria, cifra superior a la alcanzada durante el 2019, cuando se logró un 78%.</w:t>
      </w:r>
    </w:p>
    <w:p w14:paraId="64D62C60" w14:textId="77777777" w:rsidR="0085505C" w:rsidRPr="002A7673" w:rsidRDefault="0085505C" w:rsidP="0085505C">
      <w:pPr>
        <w:spacing w:after="0" w:line="360" w:lineRule="auto"/>
        <w:ind w:left="284"/>
        <w:rPr>
          <w:rFonts w:ascii="Times New Roman" w:hAnsi="Times New Roman" w:cs="Times New Roman"/>
        </w:rPr>
      </w:pPr>
    </w:p>
    <w:p w14:paraId="077159D6" w14:textId="77777777" w:rsidR="0085505C" w:rsidRPr="002A7673" w:rsidRDefault="0085505C" w:rsidP="0085505C">
      <w:pPr>
        <w:spacing w:after="0" w:line="360" w:lineRule="auto"/>
        <w:ind w:left="284"/>
        <w:jc w:val="center"/>
        <w:rPr>
          <w:rFonts w:ascii="Times New Roman" w:hAnsi="Times New Roman" w:cs="Times New Roman"/>
          <w:noProof/>
          <w:sz w:val="28"/>
          <w:szCs w:val="28"/>
        </w:rPr>
      </w:pPr>
      <w:r w:rsidRPr="002A7673">
        <w:rPr>
          <w:rFonts w:ascii="Times New Roman" w:hAnsi="Times New Roman" w:cs="Times New Roman"/>
          <w:noProof/>
        </w:rPr>
        <w:lastRenderedPageBreak/>
        <w:drawing>
          <wp:inline distT="0" distB="0" distL="0" distR="0" wp14:anchorId="0A93A018" wp14:editId="5C71825F">
            <wp:extent cx="5656173" cy="6400800"/>
            <wp:effectExtent l="0" t="0" r="1905" b="0"/>
            <wp:docPr id="1263269091" name="Imagen 126326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741805" cy="6497706"/>
                    </a:xfrm>
                    <a:prstGeom prst="rect">
                      <a:avLst/>
                    </a:prstGeom>
                    <a:noFill/>
                    <a:ln>
                      <a:noFill/>
                    </a:ln>
                  </pic:spPr>
                </pic:pic>
              </a:graphicData>
            </a:graphic>
          </wp:inline>
        </w:drawing>
      </w:r>
    </w:p>
    <w:p w14:paraId="22901CFE"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p w14:paraId="0DB5033C"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 continuación, se presentan las justificaciones de las subpartidas con baja ejecución:</w:t>
      </w:r>
    </w:p>
    <w:p w14:paraId="7449C8CB" w14:textId="77777777" w:rsidR="0085505C" w:rsidRPr="002A7673" w:rsidRDefault="0085505C" w:rsidP="0085505C">
      <w:pPr>
        <w:spacing w:after="0" w:line="240" w:lineRule="auto"/>
        <w:ind w:left="851" w:right="851" w:firstLine="709"/>
        <w:jc w:val="both"/>
        <w:rPr>
          <w:rFonts w:ascii="Times New Roman" w:hAnsi="Times New Roman" w:cs="Times New Roman"/>
          <w:b/>
          <w:bCs/>
          <w:sz w:val="26"/>
          <w:szCs w:val="26"/>
        </w:rPr>
      </w:pPr>
    </w:p>
    <w:p w14:paraId="4DA91632" w14:textId="77777777" w:rsidR="0085505C" w:rsidRPr="002A7673" w:rsidRDefault="0085505C" w:rsidP="00FF3FAC">
      <w:pPr>
        <w:numPr>
          <w:ilvl w:val="0"/>
          <w:numId w:val="59"/>
        </w:numPr>
        <w:spacing w:after="0" w:line="240" w:lineRule="auto"/>
        <w:ind w:left="851" w:right="851" w:firstLine="709"/>
        <w:jc w:val="both"/>
        <w:rPr>
          <w:rFonts w:ascii="Times New Roman" w:eastAsia="Times New Roman" w:hAnsi="Times New Roman" w:cs="Times New Roman"/>
          <w:color w:val="000000"/>
          <w:sz w:val="26"/>
          <w:szCs w:val="26"/>
          <w:lang w:val="es-ES" w:eastAsia="es-ES"/>
        </w:rPr>
      </w:pPr>
      <w:r w:rsidRPr="002A7673">
        <w:rPr>
          <w:rFonts w:ascii="Times New Roman" w:eastAsia="Times New Roman" w:hAnsi="Times New Roman" w:cs="Times New Roman"/>
          <w:color w:val="000000"/>
          <w:sz w:val="26"/>
          <w:szCs w:val="26"/>
          <w:lang w:val="es-ES" w:eastAsia="es-ES"/>
        </w:rPr>
        <w:lastRenderedPageBreak/>
        <w:t>Los recursos de la subpartida 10499 Servicios Generales, presentan un monto sin ejecutar de ¢5.719.296, (3%) del total de recursos no ejecutados; debido a que el costo de fumigación disminuyó, asimismo disminuyeron las traducciones justamente por ser un año en que las personas llegaban poco a la oficina por la pandemia. </w:t>
      </w:r>
    </w:p>
    <w:p w14:paraId="6AC55F24"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color w:val="000000"/>
          <w:sz w:val="26"/>
          <w:szCs w:val="26"/>
          <w:lang w:val="es-ES" w:eastAsia="es-ES"/>
        </w:rPr>
      </w:pPr>
      <w:r w:rsidRPr="002A7673">
        <w:rPr>
          <w:rFonts w:ascii="Times New Roman" w:eastAsia="Times New Roman" w:hAnsi="Times New Roman" w:cs="Times New Roman"/>
          <w:color w:val="000000"/>
          <w:sz w:val="26"/>
          <w:szCs w:val="26"/>
          <w:lang w:val="es-ES" w:eastAsia="es-ES"/>
        </w:rPr>
        <w:t xml:space="preserve"> </w:t>
      </w:r>
    </w:p>
    <w:p w14:paraId="30DFE642" w14:textId="77777777" w:rsidR="0085505C" w:rsidRPr="002A7673" w:rsidRDefault="0085505C" w:rsidP="00FF3FAC">
      <w:pPr>
        <w:numPr>
          <w:ilvl w:val="0"/>
          <w:numId w:val="59"/>
        </w:numPr>
        <w:spacing w:after="0" w:line="240" w:lineRule="auto"/>
        <w:ind w:left="851" w:right="851" w:firstLine="709"/>
        <w:jc w:val="both"/>
        <w:rPr>
          <w:rFonts w:ascii="Times New Roman" w:eastAsia="Times New Roman" w:hAnsi="Times New Roman" w:cs="Times New Roman"/>
          <w:color w:val="000000"/>
          <w:sz w:val="26"/>
          <w:szCs w:val="26"/>
          <w:lang w:val="es-ES" w:eastAsia="es-ES"/>
        </w:rPr>
      </w:pPr>
      <w:r w:rsidRPr="002A7673">
        <w:rPr>
          <w:rFonts w:ascii="Times New Roman" w:eastAsia="Times New Roman" w:hAnsi="Times New Roman" w:cs="Times New Roman"/>
          <w:color w:val="000000"/>
          <w:sz w:val="26"/>
          <w:szCs w:val="26"/>
          <w:lang w:val="es-ES" w:eastAsia="es-ES"/>
        </w:rPr>
        <w:t>Para la subpartida 29902 Útiles y materiales médico, hospitalario y de investigación, el monto sin ejecutar es de ¢5.580.499 (3%) del total de recursos no ejecutados; inicialmente se reforzó para comprar algunos implementos hospitalarios debido a la pandemia. No obstante, luego el Departamento de Proveeduría procedió a la entrega de los artículos requeridos.</w:t>
      </w:r>
    </w:p>
    <w:p w14:paraId="18914753"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color w:val="000000"/>
          <w:sz w:val="26"/>
          <w:szCs w:val="26"/>
          <w:lang w:val="es-ES" w:eastAsia="es-ES"/>
        </w:rPr>
      </w:pPr>
    </w:p>
    <w:p w14:paraId="1869EA5C" w14:textId="77777777" w:rsidR="0085505C" w:rsidRPr="002A7673" w:rsidRDefault="0085505C" w:rsidP="00FF3FAC">
      <w:pPr>
        <w:numPr>
          <w:ilvl w:val="0"/>
          <w:numId w:val="59"/>
        </w:numPr>
        <w:spacing w:after="0" w:line="240" w:lineRule="auto"/>
        <w:ind w:left="851" w:right="851" w:firstLine="709"/>
        <w:jc w:val="both"/>
        <w:rPr>
          <w:rFonts w:ascii="Times New Roman" w:eastAsia="Times New Roman" w:hAnsi="Times New Roman" w:cs="Times New Roman"/>
          <w:color w:val="000000"/>
          <w:sz w:val="26"/>
          <w:szCs w:val="26"/>
          <w:lang w:val="es-ES" w:eastAsia="es-ES"/>
        </w:rPr>
      </w:pPr>
      <w:r w:rsidRPr="002A7673">
        <w:rPr>
          <w:rFonts w:ascii="Times New Roman" w:eastAsia="Times New Roman" w:hAnsi="Times New Roman" w:cs="Times New Roman"/>
          <w:color w:val="000000"/>
          <w:sz w:val="26"/>
          <w:szCs w:val="26"/>
          <w:lang w:val="es-ES" w:eastAsia="es-ES"/>
        </w:rPr>
        <w:t>En la subpartida 50103 Equipo de comunicación, el monto sin ejecutar es de ¢5.204.027 (3%) del total de recursos no ejecutados; la oficina indica que fue necesario comprar menos de lo previsto.</w:t>
      </w:r>
    </w:p>
    <w:p w14:paraId="32508F88" w14:textId="77777777" w:rsidR="0085505C" w:rsidRPr="002A7673" w:rsidRDefault="0085505C" w:rsidP="0085505C">
      <w:pPr>
        <w:spacing w:after="0" w:line="240" w:lineRule="auto"/>
        <w:ind w:left="851" w:right="851" w:firstLine="709"/>
        <w:jc w:val="both"/>
        <w:rPr>
          <w:rFonts w:ascii="Times New Roman" w:eastAsia="Times New Roman" w:hAnsi="Times New Roman" w:cs="Times New Roman"/>
          <w:color w:val="000000"/>
          <w:sz w:val="26"/>
          <w:szCs w:val="26"/>
          <w:lang w:val="es-ES" w:eastAsia="es-ES"/>
        </w:rPr>
      </w:pPr>
    </w:p>
    <w:p w14:paraId="579F3284" w14:textId="77777777" w:rsidR="0085505C" w:rsidRPr="002A7673" w:rsidRDefault="0085505C" w:rsidP="0085505C">
      <w:pPr>
        <w:spacing w:after="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 </w:t>
      </w:r>
    </w:p>
    <w:p w14:paraId="1161D131" w14:textId="77777777" w:rsidR="0085505C" w:rsidRPr="002A7673" w:rsidRDefault="0085505C" w:rsidP="00FF3FAC">
      <w:pPr>
        <w:numPr>
          <w:ilvl w:val="0"/>
          <w:numId w:val="65"/>
        </w:numPr>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sz w:val="26"/>
          <w:szCs w:val="26"/>
          <w:lang w:val="es-ES" w:eastAsia="es-ES"/>
        </w:rPr>
        <w:t>Plan Anual Operativo</w:t>
      </w:r>
    </w:p>
    <w:p w14:paraId="70A2F31B"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36553664"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r w:rsidRPr="002A7673">
        <w:rPr>
          <w:rFonts w:ascii="Times New Roman" w:hAnsi="Times New Roman" w:cs="Times New Roman"/>
          <w:b/>
          <w:sz w:val="26"/>
          <w:szCs w:val="26"/>
        </w:rPr>
        <w:t>Cumplimiento del Plan Anual Operativo 2020</w:t>
      </w:r>
    </w:p>
    <w:p w14:paraId="7E145D3C"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6E49CEDD"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El siguiente gráfico permite observar el porcentaje de cumplimiento de las metas propuestas en los Planes Anuales Operativos del Programa durante el 2020, obteniendo un alto porcentaje de cumplimiento con un 98.66%, resultado muy similar al del 2019, cuando se logró un 98.93%.</w:t>
      </w:r>
    </w:p>
    <w:p w14:paraId="2091EF18" w14:textId="77777777" w:rsidR="0085505C" w:rsidRPr="002A7673" w:rsidRDefault="0085505C" w:rsidP="0085505C">
      <w:pPr>
        <w:spacing w:after="0" w:line="360" w:lineRule="auto"/>
        <w:rPr>
          <w:rFonts w:ascii="Times New Roman" w:hAnsi="Times New Roman" w:cs="Times New Roman"/>
          <w:b/>
          <w:sz w:val="28"/>
          <w:szCs w:val="28"/>
        </w:rPr>
      </w:pPr>
    </w:p>
    <w:p w14:paraId="198E3A79" w14:textId="77777777" w:rsidR="0085505C" w:rsidRPr="002A7673" w:rsidRDefault="0085505C" w:rsidP="0085505C">
      <w:pPr>
        <w:spacing w:after="0" w:line="360" w:lineRule="auto"/>
        <w:jc w:val="center"/>
        <w:rPr>
          <w:rFonts w:ascii="Times New Roman" w:hAnsi="Times New Roman" w:cs="Times New Roman"/>
          <w:b/>
          <w:sz w:val="28"/>
          <w:szCs w:val="28"/>
        </w:rPr>
      </w:pPr>
      <w:r w:rsidRPr="002A7673">
        <w:rPr>
          <w:rFonts w:ascii="Times New Roman" w:hAnsi="Times New Roman" w:cs="Times New Roman"/>
          <w:noProof/>
          <w:sz w:val="24"/>
          <w:szCs w:val="24"/>
        </w:rPr>
        <w:drawing>
          <wp:inline distT="0" distB="0" distL="0" distR="0" wp14:anchorId="09A3658F" wp14:editId="5C7BD9C4">
            <wp:extent cx="5086350" cy="304800"/>
            <wp:effectExtent l="0" t="0" r="0" b="0"/>
            <wp:docPr id="140785415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368">
                      <a:extLst>
                        <a:ext uri="{28A0092B-C50C-407E-A947-70E740481C1C}">
                          <a14:useLocalDpi xmlns:a14="http://schemas.microsoft.com/office/drawing/2010/main" val="0"/>
                        </a:ext>
                      </a:extLst>
                    </a:blip>
                    <a:stretch>
                      <a:fillRect/>
                    </a:stretch>
                  </pic:blipFill>
                  <pic:spPr>
                    <a:xfrm>
                      <a:off x="0" y="0"/>
                      <a:ext cx="5086350" cy="304800"/>
                    </a:xfrm>
                    <a:prstGeom prst="rect">
                      <a:avLst/>
                    </a:prstGeom>
                  </pic:spPr>
                </pic:pic>
              </a:graphicData>
            </a:graphic>
          </wp:inline>
        </w:drawing>
      </w:r>
    </w:p>
    <w:p w14:paraId="0065E3C4" w14:textId="77777777" w:rsidR="0085505C" w:rsidRPr="002A7673" w:rsidRDefault="0085505C" w:rsidP="0085505C">
      <w:pPr>
        <w:spacing w:after="0" w:line="360" w:lineRule="auto"/>
        <w:jc w:val="center"/>
        <w:rPr>
          <w:rFonts w:ascii="Times New Roman" w:hAnsi="Times New Roman" w:cs="Times New Roman"/>
          <w:b/>
          <w:sz w:val="28"/>
          <w:szCs w:val="28"/>
        </w:rPr>
      </w:pPr>
      <w:r w:rsidRPr="002A7673">
        <w:rPr>
          <w:rFonts w:ascii="Times New Roman" w:hAnsi="Times New Roman" w:cs="Times New Roman"/>
          <w:noProof/>
        </w:rPr>
        <w:lastRenderedPageBreak/>
        <w:drawing>
          <wp:inline distT="0" distB="0" distL="0" distR="0" wp14:anchorId="165E2499" wp14:editId="34AEC6BE">
            <wp:extent cx="4073525" cy="2286000"/>
            <wp:effectExtent l="0" t="0" r="3175" b="0"/>
            <wp:docPr id="1263269092" name="Gráfico 1263269092">
              <a:extLst xmlns:a="http://schemas.openxmlformats.org/drawingml/2006/main">
                <a:ext uri="{FF2B5EF4-FFF2-40B4-BE49-F238E27FC236}">
                  <a16:creationId xmlns:a16="http://schemas.microsoft.com/office/drawing/2014/main" id="{EDDB8BD9-31CC-400E-8F56-39D2568283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p>
    <w:p w14:paraId="5FDF8555" w14:textId="77777777" w:rsidR="0085505C" w:rsidRPr="002A7673" w:rsidRDefault="0085505C" w:rsidP="0085505C">
      <w:pPr>
        <w:spacing w:after="0" w:line="360" w:lineRule="auto"/>
        <w:rPr>
          <w:rFonts w:ascii="Times New Roman" w:hAnsi="Times New Roman" w:cs="Times New Roman"/>
        </w:rPr>
      </w:pPr>
    </w:p>
    <w:p w14:paraId="1D0AF163" w14:textId="77777777" w:rsidR="0085505C" w:rsidRPr="002A7673" w:rsidRDefault="0085505C" w:rsidP="0085505C">
      <w:pPr>
        <w:spacing w:after="0" w:line="360" w:lineRule="auto"/>
        <w:rPr>
          <w:rFonts w:ascii="Times New Roman" w:hAnsi="Times New Roman" w:cs="Times New Roman"/>
        </w:rPr>
      </w:pPr>
    </w:p>
    <w:p w14:paraId="47DB2D38"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 continuación, se detalla el porcentaje del cumplimiento PAO 2020 del Servicio de Atención y Protección de Víctimas y Testigos según Oficina. </w:t>
      </w:r>
    </w:p>
    <w:p w14:paraId="3E629768" w14:textId="77777777" w:rsidR="0085505C" w:rsidRPr="002A7673" w:rsidRDefault="0085505C" w:rsidP="0085505C">
      <w:pPr>
        <w:spacing w:after="0" w:line="360" w:lineRule="auto"/>
        <w:rPr>
          <w:rFonts w:ascii="Times New Roman" w:hAnsi="Times New Roman" w:cs="Times New Roman"/>
          <w:sz w:val="28"/>
          <w:szCs w:val="28"/>
        </w:rPr>
      </w:pPr>
    </w:p>
    <w:tbl>
      <w:tblPr>
        <w:tblW w:w="9243" w:type="dxa"/>
        <w:tblCellMar>
          <w:left w:w="70" w:type="dxa"/>
          <w:right w:w="70" w:type="dxa"/>
        </w:tblCellMar>
        <w:tblLook w:val="04A0" w:firstRow="1" w:lastRow="0" w:firstColumn="1" w:lastColumn="0" w:noHBand="0" w:noVBand="1"/>
      </w:tblPr>
      <w:tblGrid>
        <w:gridCol w:w="2519"/>
        <w:gridCol w:w="869"/>
        <w:gridCol w:w="2523"/>
        <w:gridCol w:w="1363"/>
        <w:gridCol w:w="1163"/>
        <w:gridCol w:w="1231"/>
      </w:tblGrid>
      <w:tr w:rsidR="0085505C" w:rsidRPr="002A7673" w14:paraId="40E9EFD0" w14:textId="77777777" w:rsidTr="0048334E">
        <w:trPr>
          <w:trHeight w:val="337"/>
        </w:trPr>
        <w:tc>
          <w:tcPr>
            <w:tcW w:w="2552" w:type="dxa"/>
            <w:tcBorders>
              <w:top w:val="nil"/>
              <w:left w:val="nil"/>
              <w:bottom w:val="nil"/>
              <w:right w:val="nil"/>
            </w:tcBorders>
            <w:shd w:val="clear" w:color="auto" w:fill="auto"/>
            <w:hideMark/>
          </w:tcPr>
          <w:p w14:paraId="6757575B" w14:textId="77777777" w:rsidR="0085505C" w:rsidRPr="002A7673" w:rsidRDefault="0085505C" w:rsidP="0048334E">
            <w:pPr>
              <w:spacing w:after="0" w:line="360" w:lineRule="auto"/>
              <w:rPr>
                <w:rFonts w:ascii="Times New Roman" w:hAnsi="Times New Roman" w:cs="Times New Roman"/>
                <w:b/>
                <w:bCs/>
                <w:color w:val="000000"/>
                <w:sz w:val="24"/>
                <w:szCs w:val="24"/>
                <w:u w:val="single"/>
                <w:lang w:eastAsia="es-CR"/>
              </w:rPr>
            </w:pPr>
            <w:r w:rsidRPr="002A7673">
              <w:rPr>
                <w:rFonts w:ascii="Times New Roman" w:hAnsi="Times New Roman" w:cs="Times New Roman"/>
                <w:b/>
                <w:bCs/>
                <w:color w:val="000000"/>
                <w:sz w:val="24"/>
                <w:szCs w:val="24"/>
                <w:u w:val="single"/>
                <w:lang w:eastAsia="es-CR"/>
              </w:rPr>
              <w:t>Porcentaje Avance Total:</w:t>
            </w:r>
          </w:p>
        </w:tc>
        <w:tc>
          <w:tcPr>
            <w:tcW w:w="518" w:type="dxa"/>
            <w:tcBorders>
              <w:top w:val="nil"/>
              <w:left w:val="nil"/>
              <w:bottom w:val="nil"/>
              <w:right w:val="nil"/>
            </w:tcBorders>
            <w:shd w:val="clear" w:color="auto" w:fill="auto"/>
            <w:noWrap/>
            <w:vAlign w:val="bottom"/>
            <w:hideMark/>
          </w:tcPr>
          <w:p w14:paraId="1CBF3173" w14:textId="77777777" w:rsidR="0085505C" w:rsidRPr="002A7673" w:rsidRDefault="0085505C" w:rsidP="0048334E">
            <w:pPr>
              <w:spacing w:after="0" w:line="360" w:lineRule="auto"/>
              <w:rPr>
                <w:rFonts w:ascii="Times New Roman" w:hAnsi="Times New Roman" w:cs="Times New Roman"/>
                <w:sz w:val="24"/>
                <w:szCs w:val="24"/>
                <w:lang w:eastAsia="es-CR"/>
              </w:rPr>
            </w:pPr>
            <w:r w:rsidRPr="002A7673">
              <w:rPr>
                <w:rFonts w:ascii="Times New Roman" w:hAnsi="Times New Roman" w:cs="Times New Roman"/>
                <w:sz w:val="24"/>
                <w:szCs w:val="24"/>
                <w:lang w:eastAsia="es-CR"/>
              </w:rPr>
              <w:t>98,66%</w:t>
            </w:r>
          </w:p>
        </w:tc>
        <w:tc>
          <w:tcPr>
            <w:tcW w:w="2558" w:type="dxa"/>
            <w:tcBorders>
              <w:top w:val="nil"/>
              <w:left w:val="nil"/>
              <w:bottom w:val="nil"/>
              <w:right w:val="nil"/>
            </w:tcBorders>
            <w:shd w:val="clear" w:color="auto" w:fill="auto"/>
            <w:noWrap/>
            <w:vAlign w:val="bottom"/>
            <w:hideMark/>
          </w:tcPr>
          <w:p w14:paraId="6DD8D820" w14:textId="77777777" w:rsidR="0085505C" w:rsidRPr="002A7673" w:rsidRDefault="0085505C" w:rsidP="0048334E">
            <w:pPr>
              <w:spacing w:after="0" w:line="360" w:lineRule="auto"/>
              <w:rPr>
                <w:rFonts w:ascii="Times New Roman" w:hAnsi="Times New Roman" w:cs="Times New Roman"/>
                <w:sz w:val="24"/>
                <w:szCs w:val="24"/>
                <w:lang w:eastAsia="es-CR"/>
              </w:rPr>
            </w:pPr>
          </w:p>
        </w:tc>
        <w:tc>
          <w:tcPr>
            <w:tcW w:w="1274" w:type="dxa"/>
            <w:tcBorders>
              <w:top w:val="nil"/>
              <w:left w:val="nil"/>
              <w:bottom w:val="nil"/>
              <w:right w:val="nil"/>
            </w:tcBorders>
            <w:shd w:val="clear" w:color="auto" w:fill="auto"/>
            <w:noWrap/>
            <w:vAlign w:val="bottom"/>
            <w:hideMark/>
          </w:tcPr>
          <w:p w14:paraId="32E82B2D" w14:textId="77777777" w:rsidR="0085505C" w:rsidRPr="002A7673" w:rsidRDefault="0085505C" w:rsidP="0048334E">
            <w:pPr>
              <w:spacing w:after="0" w:line="360" w:lineRule="auto"/>
              <w:rPr>
                <w:rFonts w:ascii="Times New Roman" w:hAnsi="Times New Roman" w:cs="Times New Roman"/>
                <w:sz w:val="24"/>
                <w:szCs w:val="24"/>
                <w:lang w:eastAsia="es-CR"/>
              </w:rPr>
            </w:pPr>
          </w:p>
        </w:tc>
        <w:tc>
          <w:tcPr>
            <w:tcW w:w="1178" w:type="dxa"/>
            <w:tcBorders>
              <w:top w:val="nil"/>
              <w:left w:val="nil"/>
              <w:bottom w:val="nil"/>
              <w:right w:val="nil"/>
            </w:tcBorders>
            <w:shd w:val="clear" w:color="auto" w:fill="auto"/>
            <w:noWrap/>
            <w:vAlign w:val="bottom"/>
            <w:hideMark/>
          </w:tcPr>
          <w:p w14:paraId="0FCD3864" w14:textId="77777777" w:rsidR="0085505C" w:rsidRPr="002A7673" w:rsidRDefault="0085505C" w:rsidP="0048334E">
            <w:pPr>
              <w:spacing w:after="0" w:line="360" w:lineRule="auto"/>
              <w:rPr>
                <w:rFonts w:ascii="Times New Roman" w:hAnsi="Times New Roman" w:cs="Times New Roman"/>
                <w:sz w:val="24"/>
                <w:szCs w:val="24"/>
                <w:lang w:eastAsia="es-CR"/>
              </w:rPr>
            </w:pPr>
          </w:p>
        </w:tc>
        <w:tc>
          <w:tcPr>
            <w:tcW w:w="1163" w:type="dxa"/>
            <w:tcBorders>
              <w:top w:val="nil"/>
              <w:left w:val="nil"/>
              <w:bottom w:val="nil"/>
              <w:right w:val="nil"/>
            </w:tcBorders>
            <w:shd w:val="clear" w:color="auto" w:fill="auto"/>
            <w:noWrap/>
            <w:vAlign w:val="bottom"/>
            <w:hideMark/>
          </w:tcPr>
          <w:p w14:paraId="4EF8FC0A" w14:textId="77777777" w:rsidR="0085505C" w:rsidRPr="002A7673" w:rsidRDefault="0085505C" w:rsidP="0048334E">
            <w:pPr>
              <w:spacing w:after="0" w:line="360" w:lineRule="auto"/>
              <w:rPr>
                <w:rFonts w:ascii="Times New Roman" w:hAnsi="Times New Roman" w:cs="Times New Roman"/>
                <w:sz w:val="24"/>
                <w:szCs w:val="24"/>
                <w:lang w:eastAsia="es-CR"/>
              </w:rPr>
            </w:pPr>
          </w:p>
        </w:tc>
      </w:tr>
      <w:tr w:rsidR="0085505C" w:rsidRPr="002A7673" w14:paraId="11F9639F" w14:textId="77777777" w:rsidTr="0048334E">
        <w:trPr>
          <w:trHeight w:val="289"/>
        </w:trPr>
        <w:tc>
          <w:tcPr>
            <w:tcW w:w="2552" w:type="dxa"/>
            <w:tcBorders>
              <w:top w:val="nil"/>
              <w:left w:val="nil"/>
              <w:bottom w:val="nil"/>
              <w:right w:val="nil"/>
            </w:tcBorders>
            <w:shd w:val="clear" w:color="auto" w:fill="auto"/>
            <w:hideMark/>
          </w:tcPr>
          <w:p w14:paraId="69A1D2C8" w14:textId="77777777" w:rsidR="0085505C" w:rsidRPr="002A7673" w:rsidRDefault="0085505C" w:rsidP="0048334E">
            <w:pPr>
              <w:spacing w:after="0" w:line="360" w:lineRule="auto"/>
              <w:rPr>
                <w:rFonts w:ascii="Times New Roman" w:hAnsi="Times New Roman" w:cs="Times New Roman"/>
                <w:b/>
                <w:bCs/>
                <w:color w:val="000000"/>
                <w:sz w:val="24"/>
                <w:szCs w:val="24"/>
                <w:u w:val="single"/>
                <w:lang w:eastAsia="es-CR"/>
              </w:rPr>
            </w:pPr>
            <w:proofErr w:type="gramStart"/>
            <w:r w:rsidRPr="002A7673">
              <w:rPr>
                <w:rFonts w:ascii="Times New Roman" w:hAnsi="Times New Roman" w:cs="Times New Roman"/>
                <w:b/>
                <w:bCs/>
                <w:color w:val="000000"/>
                <w:sz w:val="24"/>
                <w:szCs w:val="24"/>
                <w:u w:val="single"/>
                <w:lang w:eastAsia="es-CR"/>
              </w:rPr>
              <w:t>Total</w:t>
            </w:r>
            <w:proofErr w:type="gramEnd"/>
            <w:r w:rsidRPr="002A7673">
              <w:rPr>
                <w:rFonts w:ascii="Times New Roman" w:hAnsi="Times New Roman" w:cs="Times New Roman"/>
                <w:b/>
                <w:bCs/>
                <w:color w:val="000000"/>
                <w:sz w:val="24"/>
                <w:szCs w:val="24"/>
                <w:u w:val="single"/>
                <w:lang w:eastAsia="es-CR"/>
              </w:rPr>
              <w:t xml:space="preserve"> de Metas con Avance:</w:t>
            </w:r>
          </w:p>
        </w:tc>
        <w:tc>
          <w:tcPr>
            <w:tcW w:w="518" w:type="dxa"/>
            <w:tcBorders>
              <w:top w:val="nil"/>
              <w:left w:val="nil"/>
              <w:bottom w:val="nil"/>
              <w:right w:val="nil"/>
            </w:tcBorders>
            <w:shd w:val="clear" w:color="auto" w:fill="auto"/>
            <w:vAlign w:val="center"/>
            <w:hideMark/>
          </w:tcPr>
          <w:p w14:paraId="002022CB"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39</w:t>
            </w:r>
          </w:p>
        </w:tc>
        <w:tc>
          <w:tcPr>
            <w:tcW w:w="2558" w:type="dxa"/>
            <w:tcBorders>
              <w:top w:val="nil"/>
              <w:left w:val="nil"/>
              <w:bottom w:val="nil"/>
              <w:right w:val="nil"/>
            </w:tcBorders>
            <w:shd w:val="clear" w:color="auto" w:fill="auto"/>
            <w:hideMark/>
          </w:tcPr>
          <w:p w14:paraId="6BE37AF1" w14:textId="77777777" w:rsidR="0085505C" w:rsidRPr="002A7673" w:rsidRDefault="0085505C" w:rsidP="0048334E">
            <w:pPr>
              <w:spacing w:after="0" w:line="360" w:lineRule="auto"/>
              <w:rPr>
                <w:rFonts w:ascii="Times New Roman" w:hAnsi="Times New Roman" w:cs="Times New Roman"/>
                <w:b/>
                <w:bCs/>
                <w:color w:val="000000"/>
                <w:sz w:val="24"/>
                <w:szCs w:val="24"/>
                <w:u w:val="single"/>
                <w:lang w:eastAsia="es-CR"/>
              </w:rPr>
            </w:pPr>
            <w:proofErr w:type="gramStart"/>
            <w:r w:rsidRPr="002A7673">
              <w:rPr>
                <w:rFonts w:ascii="Times New Roman" w:hAnsi="Times New Roman" w:cs="Times New Roman"/>
                <w:b/>
                <w:bCs/>
                <w:color w:val="000000"/>
                <w:sz w:val="24"/>
                <w:szCs w:val="24"/>
                <w:u w:val="single"/>
                <w:lang w:eastAsia="es-CR"/>
              </w:rPr>
              <w:t>Total</w:t>
            </w:r>
            <w:proofErr w:type="gramEnd"/>
            <w:r w:rsidRPr="002A7673">
              <w:rPr>
                <w:rFonts w:ascii="Times New Roman" w:hAnsi="Times New Roman" w:cs="Times New Roman"/>
                <w:b/>
                <w:bCs/>
                <w:color w:val="000000"/>
                <w:sz w:val="24"/>
                <w:szCs w:val="24"/>
                <w:u w:val="single"/>
                <w:lang w:eastAsia="es-CR"/>
              </w:rPr>
              <w:t xml:space="preserve"> de Metas Formuladas:</w:t>
            </w:r>
          </w:p>
        </w:tc>
        <w:tc>
          <w:tcPr>
            <w:tcW w:w="1274" w:type="dxa"/>
            <w:tcBorders>
              <w:top w:val="nil"/>
              <w:left w:val="nil"/>
              <w:bottom w:val="nil"/>
              <w:right w:val="nil"/>
            </w:tcBorders>
            <w:shd w:val="clear" w:color="auto" w:fill="auto"/>
            <w:hideMark/>
          </w:tcPr>
          <w:p w14:paraId="10F06E69"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39</w:t>
            </w:r>
          </w:p>
        </w:tc>
        <w:tc>
          <w:tcPr>
            <w:tcW w:w="1178" w:type="dxa"/>
            <w:tcBorders>
              <w:top w:val="nil"/>
              <w:left w:val="nil"/>
              <w:bottom w:val="nil"/>
              <w:right w:val="nil"/>
            </w:tcBorders>
            <w:shd w:val="clear" w:color="auto" w:fill="auto"/>
            <w:noWrap/>
            <w:vAlign w:val="bottom"/>
            <w:hideMark/>
          </w:tcPr>
          <w:p w14:paraId="72C86192"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p>
        </w:tc>
        <w:tc>
          <w:tcPr>
            <w:tcW w:w="1163" w:type="dxa"/>
            <w:tcBorders>
              <w:top w:val="nil"/>
              <w:left w:val="nil"/>
              <w:bottom w:val="nil"/>
              <w:right w:val="nil"/>
            </w:tcBorders>
            <w:shd w:val="clear" w:color="auto" w:fill="auto"/>
            <w:noWrap/>
            <w:vAlign w:val="bottom"/>
            <w:hideMark/>
          </w:tcPr>
          <w:p w14:paraId="0C541D6C" w14:textId="77777777" w:rsidR="0085505C" w:rsidRPr="002A7673" w:rsidRDefault="0085505C" w:rsidP="0048334E">
            <w:pPr>
              <w:spacing w:after="0" w:line="360" w:lineRule="auto"/>
              <w:rPr>
                <w:rFonts w:ascii="Times New Roman" w:hAnsi="Times New Roman" w:cs="Times New Roman"/>
                <w:sz w:val="24"/>
                <w:szCs w:val="24"/>
                <w:lang w:eastAsia="es-CR"/>
              </w:rPr>
            </w:pPr>
          </w:p>
        </w:tc>
      </w:tr>
      <w:tr w:rsidR="0085505C" w:rsidRPr="002A7673" w14:paraId="104CA389" w14:textId="77777777" w:rsidTr="0048334E">
        <w:trPr>
          <w:trHeight w:val="289"/>
        </w:trPr>
        <w:tc>
          <w:tcPr>
            <w:tcW w:w="2552" w:type="dxa"/>
            <w:tcBorders>
              <w:top w:val="nil"/>
              <w:left w:val="nil"/>
              <w:bottom w:val="nil"/>
              <w:right w:val="nil"/>
            </w:tcBorders>
            <w:shd w:val="clear" w:color="auto" w:fill="auto"/>
            <w:noWrap/>
            <w:vAlign w:val="bottom"/>
            <w:hideMark/>
          </w:tcPr>
          <w:p w14:paraId="276F84C2" w14:textId="77777777" w:rsidR="0085505C" w:rsidRPr="002A7673" w:rsidRDefault="0085505C" w:rsidP="0048334E">
            <w:pPr>
              <w:spacing w:after="0" w:line="360" w:lineRule="auto"/>
              <w:rPr>
                <w:rFonts w:ascii="Times New Roman" w:hAnsi="Times New Roman" w:cs="Times New Roman"/>
                <w:sz w:val="24"/>
                <w:szCs w:val="24"/>
                <w:lang w:eastAsia="es-CR"/>
              </w:rPr>
            </w:pPr>
          </w:p>
        </w:tc>
        <w:tc>
          <w:tcPr>
            <w:tcW w:w="518" w:type="dxa"/>
            <w:tcBorders>
              <w:top w:val="nil"/>
              <w:left w:val="nil"/>
              <w:bottom w:val="nil"/>
              <w:right w:val="nil"/>
            </w:tcBorders>
            <w:shd w:val="clear" w:color="auto" w:fill="auto"/>
            <w:noWrap/>
            <w:vAlign w:val="bottom"/>
            <w:hideMark/>
          </w:tcPr>
          <w:p w14:paraId="7C44D094" w14:textId="77777777" w:rsidR="0085505C" w:rsidRPr="002A7673" w:rsidRDefault="0085505C" w:rsidP="0048334E">
            <w:pPr>
              <w:spacing w:after="0" w:line="360" w:lineRule="auto"/>
              <w:rPr>
                <w:rFonts w:ascii="Times New Roman" w:hAnsi="Times New Roman" w:cs="Times New Roman"/>
                <w:sz w:val="24"/>
                <w:szCs w:val="24"/>
                <w:lang w:eastAsia="es-CR"/>
              </w:rPr>
            </w:pPr>
          </w:p>
        </w:tc>
        <w:tc>
          <w:tcPr>
            <w:tcW w:w="2558" w:type="dxa"/>
            <w:tcBorders>
              <w:top w:val="nil"/>
              <w:left w:val="nil"/>
              <w:bottom w:val="nil"/>
              <w:right w:val="nil"/>
            </w:tcBorders>
            <w:shd w:val="clear" w:color="auto" w:fill="auto"/>
            <w:noWrap/>
            <w:vAlign w:val="bottom"/>
            <w:hideMark/>
          </w:tcPr>
          <w:p w14:paraId="7702B041" w14:textId="77777777" w:rsidR="0085505C" w:rsidRPr="002A7673" w:rsidRDefault="0085505C" w:rsidP="0048334E">
            <w:pPr>
              <w:spacing w:after="0" w:line="360" w:lineRule="auto"/>
              <w:rPr>
                <w:rFonts w:ascii="Times New Roman" w:hAnsi="Times New Roman" w:cs="Times New Roman"/>
                <w:sz w:val="24"/>
                <w:szCs w:val="24"/>
                <w:lang w:eastAsia="es-CR"/>
              </w:rPr>
            </w:pPr>
          </w:p>
        </w:tc>
        <w:tc>
          <w:tcPr>
            <w:tcW w:w="1274" w:type="dxa"/>
            <w:tcBorders>
              <w:top w:val="nil"/>
              <w:left w:val="nil"/>
              <w:bottom w:val="nil"/>
              <w:right w:val="nil"/>
            </w:tcBorders>
            <w:shd w:val="clear" w:color="auto" w:fill="auto"/>
            <w:noWrap/>
            <w:vAlign w:val="bottom"/>
            <w:hideMark/>
          </w:tcPr>
          <w:p w14:paraId="3D309C6F" w14:textId="77777777" w:rsidR="0085505C" w:rsidRPr="002A7673" w:rsidRDefault="0085505C" w:rsidP="0048334E">
            <w:pPr>
              <w:spacing w:after="0" w:line="360" w:lineRule="auto"/>
              <w:rPr>
                <w:rFonts w:ascii="Times New Roman" w:hAnsi="Times New Roman" w:cs="Times New Roman"/>
                <w:sz w:val="24"/>
                <w:szCs w:val="24"/>
                <w:lang w:eastAsia="es-CR"/>
              </w:rPr>
            </w:pPr>
          </w:p>
        </w:tc>
        <w:tc>
          <w:tcPr>
            <w:tcW w:w="1178" w:type="dxa"/>
            <w:tcBorders>
              <w:top w:val="nil"/>
              <w:left w:val="nil"/>
              <w:bottom w:val="nil"/>
              <w:right w:val="nil"/>
            </w:tcBorders>
            <w:shd w:val="clear" w:color="auto" w:fill="auto"/>
            <w:noWrap/>
            <w:vAlign w:val="bottom"/>
            <w:hideMark/>
          </w:tcPr>
          <w:p w14:paraId="0CEE1AAE" w14:textId="77777777" w:rsidR="0085505C" w:rsidRPr="002A7673" w:rsidRDefault="0085505C" w:rsidP="0048334E">
            <w:pPr>
              <w:spacing w:after="0" w:line="360" w:lineRule="auto"/>
              <w:rPr>
                <w:rFonts w:ascii="Times New Roman" w:hAnsi="Times New Roman" w:cs="Times New Roman"/>
                <w:sz w:val="24"/>
                <w:szCs w:val="24"/>
                <w:lang w:eastAsia="es-CR"/>
              </w:rPr>
            </w:pPr>
          </w:p>
        </w:tc>
        <w:tc>
          <w:tcPr>
            <w:tcW w:w="1163" w:type="dxa"/>
            <w:tcBorders>
              <w:top w:val="nil"/>
              <w:left w:val="nil"/>
              <w:bottom w:val="nil"/>
              <w:right w:val="nil"/>
            </w:tcBorders>
            <w:shd w:val="clear" w:color="auto" w:fill="auto"/>
            <w:noWrap/>
            <w:vAlign w:val="bottom"/>
            <w:hideMark/>
          </w:tcPr>
          <w:p w14:paraId="25823C36" w14:textId="77777777" w:rsidR="0085505C" w:rsidRPr="002A7673" w:rsidRDefault="0085505C" w:rsidP="0048334E">
            <w:pPr>
              <w:spacing w:after="0" w:line="360" w:lineRule="auto"/>
              <w:rPr>
                <w:rFonts w:ascii="Times New Roman" w:hAnsi="Times New Roman" w:cs="Times New Roman"/>
                <w:sz w:val="24"/>
                <w:szCs w:val="24"/>
                <w:lang w:eastAsia="es-CR"/>
              </w:rPr>
            </w:pPr>
          </w:p>
        </w:tc>
      </w:tr>
      <w:tr w:rsidR="0085505C" w:rsidRPr="002A7673" w14:paraId="63031BAF" w14:textId="77777777" w:rsidTr="0048334E">
        <w:trPr>
          <w:trHeight w:val="542"/>
        </w:trPr>
        <w:tc>
          <w:tcPr>
            <w:tcW w:w="2552" w:type="dxa"/>
            <w:tcBorders>
              <w:top w:val="single" w:sz="4" w:space="0" w:color="auto"/>
              <w:left w:val="single" w:sz="4" w:space="0" w:color="auto"/>
              <w:bottom w:val="single" w:sz="4" w:space="0" w:color="auto"/>
              <w:right w:val="single" w:sz="4" w:space="0" w:color="auto"/>
            </w:tcBorders>
            <w:shd w:val="clear" w:color="C0C0C0" w:fill="C0C0C0"/>
            <w:vAlign w:val="center"/>
            <w:hideMark/>
          </w:tcPr>
          <w:p w14:paraId="672A6FEC"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Circuito o Programa</w:t>
            </w:r>
          </w:p>
        </w:tc>
        <w:tc>
          <w:tcPr>
            <w:tcW w:w="518" w:type="dxa"/>
            <w:tcBorders>
              <w:top w:val="single" w:sz="4" w:space="0" w:color="auto"/>
              <w:left w:val="nil"/>
              <w:bottom w:val="single" w:sz="4" w:space="0" w:color="auto"/>
              <w:right w:val="single" w:sz="4" w:space="0" w:color="auto"/>
            </w:tcBorders>
            <w:shd w:val="clear" w:color="C0C0C0" w:fill="C0C0C0"/>
            <w:vAlign w:val="center"/>
            <w:hideMark/>
          </w:tcPr>
          <w:p w14:paraId="62149091"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Código</w:t>
            </w:r>
          </w:p>
        </w:tc>
        <w:tc>
          <w:tcPr>
            <w:tcW w:w="2558" w:type="dxa"/>
            <w:tcBorders>
              <w:top w:val="single" w:sz="4" w:space="0" w:color="auto"/>
              <w:left w:val="nil"/>
              <w:bottom w:val="single" w:sz="4" w:space="0" w:color="auto"/>
              <w:right w:val="single" w:sz="4" w:space="0" w:color="auto"/>
            </w:tcBorders>
            <w:shd w:val="clear" w:color="C0C0C0" w:fill="C0C0C0"/>
            <w:vAlign w:val="center"/>
            <w:hideMark/>
          </w:tcPr>
          <w:p w14:paraId="49FAF0BA"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Oficina</w:t>
            </w:r>
          </w:p>
        </w:tc>
        <w:tc>
          <w:tcPr>
            <w:tcW w:w="1274" w:type="dxa"/>
            <w:tcBorders>
              <w:top w:val="single" w:sz="4" w:space="0" w:color="auto"/>
              <w:left w:val="nil"/>
              <w:bottom w:val="single" w:sz="4" w:space="0" w:color="auto"/>
              <w:right w:val="single" w:sz="4" w:space="0" w:color="auto"/>
            </w:tcBorders>
            <w:shd w:val="clear" w:color="C0C0C0" w:fill="C0C0C0"/>
            <w:vAlign w:val="center"/>
            <w:hideMark/>
          </w:tcPr>
          <w:p w14:paraId="3AF1F88C"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Metas Formuladas</w:t>
            </w:r>
          </w:p>
        </w:tc>
        <w:tc>
          <w:tcPr>
            <w:tcW w:w="1178" w:type="dxa"/>
            <w:tcBorders>
              <w:top w:val="single" w:sz="4" w:space="0" w:color="auto"/>
              <w:left w:val="nil"/>
              <w:bottom w:val="single" w:sz="4" w:space="0" w:color="auto"/>
              <w:right w:val="single" w:sz="4" w:space="0" w:color="auto"/>
            </w:tcBorders>
            <w:shd w:val="clear" w:color="C0C0C0" w:fill="C0C0C0"/>
            <w:hideMark/>
          </w:tcPr>
          <w:p w14:paraId="6FD8D8B1"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Metas con Avance</w:t>
            </w:r>
          </w:p>
        </w:tc>
        <w:tc>
          <w:tcPr>
            <w:tcW w:w="1163" w:type="dxa"/>
            <w:tcBorders>
              <w:top w:val="single" w:sz="4" w:space="0" w:color="auto"/>
              <w:left w:val="nil"/>
              <w:bottom w:val="single" w:sz="4" w:space="0" w:color="auto"/>
              <w:right w:val="single" w:sz="4" w:space="0" w:color="auto"/>
            </w:tcBorders>
            <w:shd w:val="clear" w:color="C0C0C0" w:fill="C0C0C0"/>
            <w:vAlign w:val="center"/>
            <w:hideMark/>
          </w:tcPr>
          <w:p w14:paraId="6CFDE33A" w14:textId="77777777" w:rsidR="0085505C" w:rsidRPr="002A7673" w:rsidRDefault="0085505C" w:rsidP="0048334E">
            <w:pPr>
              <w:spacing w:after="0" w:line="360" w:lineRule="auto"/>
              <w:jc w:val="center"/>
              <w:rPr>
                <w:rFonts w:ascii="Times New Roman" w:hAnsi="Times New Roman" w:cs="Times New Roman"/>
                <w:b/>
                <w:bCs/>
                <w:color w:val="000000"/>
                <w:sz w:val="24"/>
                <w:szCs w:val="24"/>
                <w:lang w:eastAsia="es-CR"/>
              </w:rPr>
            </w:pPr>
            <w:r w:rsidRPr="002A7673">
              <w:rPr>
                <w:rFonts w:ascii="Times New Roman" w:hAnsi="Times New Roman" w:cs="Times New Roman"/>
                <w:b/>
                <w:bCs/>
                <w:color w:val="000000"/>
                <w:sz w:val="24"/>
                <w:szCs w:val="24"/>
                <w:lang w:eastAsia="es-CR"/>
              </w:rPr>
              <w:t>Porcentaje</w:t>
            </w:r>
          </w:p>
        </w:tc>
      </w:tr>
      <w:tr w:rsidR="0085505C" w:rsidRPr="002A7673" w14:paraId="75FE1450" w14:textId="77777777" w:rsidTr="0048334E">
        <w:trPr>
          <w:trHeight w:val="542"/>
        </w:trPr>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0949ECE8"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Servicio de Atención y Protección de Víctimas y Testigos</w:t>
            </w:r>
          </w:p>
        </w:tc>
        <w:tc>
          <w:tcPr>
            <w:tcW w:w="518" w:type="dxa"/>
            <w:tcBorders>
              <w:top w:val="nil"/>
              <w:left w:val="nil"/>
              <w:bottom w:val="single" w:sz="4" w:space="0" w:color="auto"/>
              <w:right w:val="single" w:sz="4" w:space="0" w:color="auto"/>
            </w:tcBorders>
            <w:shd w:val="clear" w:color="auto" w:fill="auto"/>
            <w:vAlign w:val="center"/>
            <w:hideMark/>
          </w:tcPr>
          <w:p w14:paraId="74123C12"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1106</w:t>
            </w:r>
          </w:p>
        </w:tc>
        <w:tc>
          <w:tcPr>
            <w:tcW w:w="2558" w:type="dxa"/>
            <w:tcBorders>
              <w:top w:val="nil"/>
              <w:left w:val="nil"/>
              <w:bottom w:val="single" w:sz="4" w:space="0" w:color="auto"/>
              <w:right w:val="single" w:sz="4" w:space="0" w:color="auto"/>
            </w:tcBorders>
            <w:shd w:val="clear" w:color="auto" w:fill="auto"/>
            <w:vAlign w:val="center"/>
            <w:hideMark/>
          </w:tcPr>
          <w:p w14:paraId="7A977CCA" w14:textId="77777777" w:rsidR="0085505C" w:rsidRPr="002A7673" w:rsidRDefault="00317F53" w:rsidP="0048334E">
            <w:pPr>
              <w:spacing w:after="0" w:line="360" w:lineRule="auto"/>
              <w:rPr>
                <w:rFonts w:ascii="Times New Roman" w:hAnsi="Times New Roman" w:cs="Times New Roman"/>
                <w:color w:val="000000"/>
                <w:sz w:val="24"/>
                <w:szCs w:val="24"/>
                <w:lang w:eastAsia="es-CR"/>
              </w:rPr>
            </w:pPr>
            <w:hyperlink r:id="rId370" w:history="1">
              <w:r w:rsidR="0085505C" w:rsidRPr="002A7673">
                <w:rPr>
                  <w:rFonts w:ascii="Times New Roman" w:hAnsi="Times New Roman" w:cs="Times New Roman"/>
                  <w:color w:val="000000"/>
                  <w:sz w:val="24"/>
                  <w:szCs w:val="24"/>
                  <w:lang w:eastAsia="es-CR"/>
                </w:rPr>
                <w:t>UNIDAD DE PROTECCION DE VICTIMAS Y TESTIGOS</w:t>
              </w:r>
            </w:hyperlink>
          </w:p>
        </w:tc>
        <w:tc>
          <w:tcPr>
            <w:tcW w:w="1274" w:type="dxa"/>
            <w:tcBorders>
              <w:top w:val="nil"/>
              <w:left w:val="nil"/>
              <w:bottom w:val="single" w:sz="4" w:space="0" w:color="auto"/>
              <w:right w:val="single" w:sz="4" w:space="0" w:color="auto"/>
            </w:tcBorders>
            <w:shd w:val="clear" w:color="auto" w:fill="auto"/>
            <w:vAlign w:val="center"/>
            <w:hideMark/>
          </w:tcPr>
          <w:p w14:paraId="209B5423"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8</w:t>
            </w:r>
          </w:p>
        </w:tc>
        <w:tc>
          <w:tcPr>
            <w:tcW w:w="1178" w:type="dxa"/>
            <w:tcBorders>
              <w:top w:val="nil"/>
              <w:left w:val="nil"/>
              <w:bottom w:val="single" w:sz="4" w:space="0" w:color="auto"/>
              <w:right w:val="single" w:sz="4" w:space="0" w:color="auto"/>
            </w:tcBorders>
            <w:shd w:val="clear" w:color="auto" w:fill="auto"/>
            <w:vAlign w:val="center"/>
            <w:hideMark/>
          </w:tcPr>
          <w:p w14:paraId="01F774D9"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8</w:t>
            </w:r>
          </w:p>
        </w:tc>
        <w:tc>
          <w:tcPr>
            <w:tcW w:w="1163" w:type="dxa"/>
            <w:tcBorders>
              <w:top w:val="nil"/>
              <w:left w:val="nil"/>
              <w:bottom w:val="single" w:sz="4" w:space="0" w:color="auto"/>
              <w:right w:val="single" w:sz="4" w:space="0" w:color="auto"/>
            </w:tcBorders>
            <w:shd w:val="clear" w:color="auto" w:fill="auto"/>
            <w:vAlign w:val="center"/>
            <w:hideMark/>
          </w:tcPr>
          <w:p w14:paraId="0D4A49CE"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100.00%</w:t>
            </w:r>
          </w:p>
        </w:tc>
      </w:tr>
      <w:tr w:rsidR="0085505C" w:rsidRPr="002A7673" w14:paraId="46468342" w14:textId="77777777" w:rsidTr="0048334E">
        <w:trPr>
          <w:trHeight w:val="542"/>
        </w:trPr>
        <w:tc>
          <w:tcPr>
            <w:tcW w:w="2552" w:type="dxa"/>
            <w:vMerge/>
            <w:tcBorders>
              <w:top w:val="nil"/>
              <w:left w:val="single" w:sz="4" w:space="0" w:color="auto"/>
              <w:bottom w:val="single" w:sz="4" w:space="0" w:color="auto"/>
              <w:right w:val="single" w:sz="4" w:space="0" w:color="auto"/>
            </w:tcBorders>
            <w:vAlign w:val="center"/>
            <w:hideMark/>
          </w:tcPr>
          <w:p w14:paraId="2F5E45E7"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p>
        </w:tc>
        <w:tc>
          <w:tcPr>
            <w:tcW w:w="518" w:type="dxa"/>
            <w:tcBorders>
              <w:top w:val="nil"/>
              <w:left w:val="nil"/>
              <w:bottom w:val="single" w:sz="4" w:space="0" w:color="auto"/>
              <w:right w:val="single" w:sz="4" w:space="0" w:color="auto"/>
            </w:tcBorders>
            <w:shd w:val="clear" w:color="auto" w:fill="auto"/>
            <w:vAlign w:val="center"/>
            <w:hideMark/>
          </w:tcPr>
          <w:p w14:paraId="4EAC7B6B"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0718</w:t>
            </w:r>
          </w:p>
        </w:tc>
        <w:tc>
          <w:tcPr>
            <w:tcW w:w="2558" w:type="dxa"/>
            <w:tcBorders>
              <w:top w:val="nil"/>
              <w:left w:val="nil"/>
              <w:bottom w:val="single" w:sz="4" w:space="0" w:color="auto"/>
              <w:right w:val="single" w:sz="4" w:space="0" w:color="auto"/>
            </w:tcBorders>
            <w:shd w:val="clear" w:color="auto" w:fill="auto"/>
            <w:vAlign w:val="center"/>
            <w:hideMark/>
          </w:tcPr>
          <w:p w14:paraId="4A07A32B" w14:textId="77777777" w:rsidR="0085505C" w:rsidRPr="002A7673" w:rsidRDefault="00317F53" w:rsidP="0048334E">
            <w:pPr>
              <w:spacing w:after="0" w:line="360" w:lineRule="auto"/>
              <w:rPr>
                <w:rFonts w:ascii="Times New Roman" w:hAnsi="Times New Roman" w:cs="Times New Roman"/>
                <w:color w:val="000000"/>
                <w:sz w:val="24"/>
                <w:szCs w:val="24"/>
                <w:lang w:eastAsia="es-CR"/>
              </w:rPr>
            </w:pPr>
            <w:hyperlink r:id="rId371" w:history="1">
              <w:r w:rsidR="0085505C" w:rsidRPr="002A7673">
                <w:rPr>
                  <w:rFonts w:ascii="Times New Roman" w:hAnsi="Times New Roman" w:cs="Times New Roman"/>
                  <w:color w:val="000000"/>
                  <w:sz w:val="24"/>
                  <w:szCs w:val="24"/>
                  <w:lang w:eastAsia="es-CR"/>
                </w:rPr>
                <w:t xml:space="preserve">OFICINA DE ATENCION A LA </w:t>
              </w:r>
              <w:r w:rsidR="0085505C" w:rsidRPr="002A7673">
                <w:rPr>
                  <w:rFonts w:ascii="Times New Roman" w:hAnsi="Times New Roman" w:cs="Times New Roman"/>
                  <w:color w:val="000000"/>
                  <w:sz w:val="24"/>
                  <w:szCs w:val="24"/>
                  <w:lang w:eastAsia="es-CR"/>
                </w:rPr>
                <w:lastRenderedPageBreak/>
                <w:t>VICTIMA DE DELITOS</w:t>
              </w:r>
            </w:hyperlink>
          </w:p>
        </w:tc>
        <w:tc>
          <w:tcPr>
            <w:tcW w:w="1274" w:type="dxa"/>
            <w:tcBorders>
              <w:top w:val="nil"/>
              <w:left w:val="nil"/>
              <w:bottom w:val="single" w:sz="4" w:space="0" w:color="auto"/>
              <w:right w:val="single" w:sz="4" w:space="0" w:color="auto"/>
            </w:tcBorders>
            <w:shd w:val="clear" w:color="auto" w:fill="auto"/>
            <w:vAlign w:val="center"/>
            <w:hideMark/>
          </w:tcPr>
          <w:p w14:paraId="220B86A9"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lastRenderedPageBreak/>
              <w:t>31</w:t>
            </w:r>
          </w:p>
        </w:tc>
        <w:tc>
          <w:tcPr>
            <w:tcW w:w="1178" w:type="dxa"/>
            <w:tcBorders>
              <w:top w:val="nil"/>
              <w:left w:val="nil"/>
              <w:bottom w:val="single" w:sz="4" w:space="0" w:color="auto"/>
              <w:right w:val="single" w:sz="4" w:space="0" w:color="auto"/>
            </w:tcBorders>
            <w:shd w:val="clear" w:color="auto" w:fill="auto"/>
            <w:vAlign w:val="center"/>
            <w:hideMark/>
          </w:tcPr>
          <w:p w14:paraId="2F39B34C" w14:textId="77777777" w:rsidR="0085505C" w:rsidRPr="002A7673" w:rsidRDefault="0085505C" w:rsidP="0048334E">
            <w:pPr>
              <w:spacing w:after="0" w:line="360" w:lineRule="auto"/>
              <w:jc w:val="center"/>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31</w:t>
            </w:r>
          </w:p>
        </w:tc>
        <w:tc>
          <w:tcPr>
            <w:tcW w:w="1163" w:type="dxa"/>
            <w:tcBorders>
              <w:top w:val="nil"/>
              <w:left w:val="nil"/>
              <w:bottom w:val="single" w:sz="4" w:space="0" w:color="auto"/>
              <w:right w:val="single" w:sz="4" w:space="0" w:color="auto"/>
            </w:tcBorders>
            <w:shd w:val="clear" w:color="auto" w:fill="auto"/>
            <w:vAlign w:val="center"/>
            <w:hideMark/>
          </w:tcPr>
          <w:p w14:paraId="53A04366" w14:textId="77777777" w:rsidR="0085505C" w:rsidRPr="002A7673" w:rsidRDefault="0085505C" w:rsidP="0048334E">
            <w:pPr>
              <w:spacing w:after="0" w:line="360" w:lineRule="auto"/>
              <w:rPr>
                <w:rFonts w:ascii="Times New Roman" w:hAnsi="Times New Roman" w:cs="Times New Roman"/>
                <w:color w:val="000000"/>
                <w:sz w:val="24"/>
                <w:szCs w:val="24"/>
                <w:lang w:eastAsia="es-CR"/>
              </w:rPr>
            </w:pPr>
            <w:r w:rsidRPr="002A7673">
              <w:rPr>
                <w:rFonts w:ascii="Times New Roman" w:hAnsi="Times New Roman" w:cs="Times New Roman"/>
                <w:color w:val="000000"/>
                <w:sz w:val="24"/>
                <w:szCs w:val="24"/>
                <w:lang w:eastAsia="es-CR"/>
              </w:rPr>
              <w:t>97.32%</w:t>
            </w:r>
          </w:p>
        </w:tc>
      </w:tr>
    </w:tbl>
    <w:p w14:paraId="1A2667B3" w14:textId="77777777" w:rsidR="0085505C" w:rsidRPr="002A7673" w:rsidRDefault="0085505C" w:rsidP="0085505C">
      <w:pPr>
        <w:spacing w:after="0" w:line="360" w:lineRule="auto"/>
        <w:rPr>
          <w:rFonts w:ascii="Times New Roman" w:hAnsi="Times New Roman" w:cs="Times New Roman"/>
          <w:b/>
          <w:sz w:val="28"/>
          <w:szCs w:val="28"/>
        </w:rPr>
      </w:pPr>
    </w:p>
    <w:p w14:paraId="4E650702"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14CAAE6C" w14:textId="77777777" w:rsidR="0085505C" w:rsidRPr="002A7673" w:rsidRDefault="0085505C" w:rsidP="00FF3FAC">
      <w:pPr>
        <w:numPr>
          <w:ilvl w:val="0"/>
          <w:numId w:val="65"/>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Programación presupuestaria</w:t>
      </w:r>
    </w:p>
    <w:p w14:paraId="3E921EC8"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06B3A551"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La programación presupuestaria del Programa 950, está respaldada por los planes anuales operativos elaborados en concordancia con el plan estratégico 2019-2024, por la Oficina de Atención y la Unidad de Protección a la Víctima del Delito. </w:t>
      </w:r>
    </w:p>
    <w:p w14:paraId="34D9D2EB" w14:textId="77777777" w:rsidR="0085505C" w:rsidRPr="002A7673" w:rsidRDefault="0085505C" w:rsidP="0085505C">
      <w:pPr>
        <w:spacing w:after="0" w:line="240" w:lineRule="auto"/>
        <w:ind w:left="851" w:right="851" w:firstLine="709"/>
        <w:jc w:val="both"/>
        <w:rPr>
          <w:rFonts w:ascii="Times New Roman" w:hAnsi="Times New Roman" w:cs="Times New Roman"/>
          <w:sz w:val="26"/>
          <w:szCs w:val="26"/>
        </w:rPr>
      </w:pPr>
    </w:p>
    <w:bookmarkStart w:id="257" w:name="_MON_1679313470"/>
    <w:bookmarkEnd w:id="257"/>
    <w:p w14:paraId="237D4795" w14:textId="77777777" w:rsidR="0085505C" w:rsidRPr="002A7673" w:rsidRDefault="0085505C" w:rsidP="0085505C">
      <w:pPr>
        <w:spacing w:after="0" w:line="240" w:lineRule="auto"/>
        <w:ind w:left="851" w:right="851"/>
        <w:jc w:val="center"/>
        <w:rPr>
          <w:rFonts w:ascii="Times New Roman" w:hAnsi="Times New Roman" w:cs="Times New Roman"/>
          <w:sz w:val="26"/>
          <w:szCs w:val="26"/>
        </w:rPr>
      </w:pPr>
      <w:r w:rsidRPr="002A7673">
        <w:rPr>
          <w:rFonts w:ascii="Times New Roman" w:hAnsi="Times New Roman" w:cs="Times New Roman"/>
          <w:sz w:val="26"/>
          <w:szCs w:val="26"/>
        </w:rPr>
        <w:object w:dxaOrig="1155" w:dyaOrig="747" w14:anchorId="7CA33816">
          <v:shape id="_x0000_i1161" type="#_x0000_t75" style="width:57.75pt;height:36pt" o:ole="">
            <v:imagedata r:id="rId372" o:title=""/>
          </v:shape>
          <o:OLEObject Type="Embed" ProgID="Excel.Sheet.12" ShapeID="_x0000_i1161" DrawAspect="Icon" ObjectID="_1684067104" r:id="rId373"/>
        </w:object>
      </w:r>
    </w:p>
    <w:p w14:paraId="182FDA2D" w14:textId="77777777" w:rsidR="0085505C" w:rsidRPr="002A7673" w:rsidRDefault="0085505C" w:rsidP="0085505C">
      <w:pPr>
        <w:spacing w:after="0" w:line="240" w:lineRule="auto"/>
        <w:ind w:left="851" w:right="851" w:firstLine="709"/>
        <w:jc w:val="both"/>
        <w:rPr>
          <w:rFonts w:ascii="Times New Roman" w:hAnsi="Times New Roman" w:cs="Times New Roman"/>
          <w:b/>
          <w:sz w:val="26"/>
          <w:szCs w:val="26"/>
        </w:rPr>
      </w:pPr>
    </w:p>
    <w:p w14:paraId="7ED1A8EA" w14:textId="77777777" w:rsidR="0085505C" w:rsidRPr="002A7673" w:rsidRDefault="0085505C" w:rsidP="00FF3FAC">
      <w:pPr>
        <w:numPr>
          <w:ilvl w:val="0"/>
          <w:numId w:val="65"/>
        </w:numPr>
        <w:spacing w:after="0" w:line="240" w:lineRule="auto"/>
        <w:ind w:left="851" w:right="851" w:firstLine="709"/>
        <w:jc w:val="both"/>
        <w:rPr>
          <w:rFonts w:ascii="Times New Roman" w:eastAsia="Times New Roman" w:hAnsi="Times New Roman" w:cs="Times New Roman"/>
          <w:b/>
          <w:sz w:val="26"/>
          <w:szCs w:val="26"/>
          <w:lang w:val="es-ES" w:eastAsia="es-ES"/>
        </w:rPr>
      </w:pPr>
      <w:r w:rsidRPr="002A7673">
        <w:rPr>
          <w:rFonts w:ascii="Times New Roman" w:eastAsia="Times New Roman" w:hAnsi="Times New Roman" w:cs="Times New Roman"/>
          <w:b/>
          <w:sz w:val="26"/>
          <w:szCs w:val="26"/>
          <w:lang w:val="es-ES" w:eastAsia="es-ES"/>
        </w:rPr>
        <w:t>Afectación Plan Estratégico Institucional</w:t>
      </w:r>
    </w:p>
    <w:p w14:paraId="4C4A1E88" w14:textId="77777777" w:rsidR="0085505C" w:rsidRPr="002A7673" w:rsidRDefault="0085505C" w:rsidP="0085505C">
      <w:pPr>
        <w:spacing w:after="0" w:line="240" w:lineRule="auto"/>
        <w:ind w:left="851" w:right="851" w:firstLine="709"/>
        <w:jc w:val="both"/>
        <w:rPr>
          <w:rFonts w:ascii="Times New Roman" w:hAnsi="Times New Roman" w:cs="Times New Roman"/>
          <w:bCs/>
          <w:sz w:val="26"/>
          <w:szCs w:val="26"/>
        </w:rPr>
      </w:pPr>
    </w:p>
    <w:p w14:paraId="52821542" w14:textId="77777777" w:rsidR="0085505C" w:rsidRPr="002A7673" w:rsidRDefault="0085505C" w:rsidP="0085505C">
      <w:pPr>
        <w:spacing w:after="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 xml:space="preserve">En cuanto a si el presupuesto máximo autorizado por Corte Plena para 2022 afecta los compromisos del PEI para el periodo presupuestario 2022, se realizó la consulta y la respuesta es que no se visualiza afectación. </w:t>
      </w:r>
    </w:p>
    <w:p w14:paraId="63765440" w14:textId="77777777" w:rsidR="0085505C" w:rsidRPr="002A7673" w:rsidRDefault="0085505C" w:rsidP="0085505C">
      <w:pPr>
        <w:spacing w:after="0" w:line="240" w:lineRule="auto"/>
        <w:ind w:left="851" w:right="851" w:firstLine="709"/>
        <w:jc w:val="both"/>
        <w:rPr>
          <w:rFonts w:ascii="Times New Roman" w:hAnsi="Times New Roman" w:cs="Times New Roman"/>
          <w:color w:val="000000"/>
          <w:sz w:val="26"/>
          <w:szCs w:val="26"/>
        </w:rPr>
      </w:pPr>
    </w:p>
    <w:p w14:paraId="4D8AFBD5" w14:textId="77777777" w:rsidR="0085505C" w:rsidRPr="002A7673" w:rsidRDefault="0085505C" w:rsidP="0085505C">
      <w:pPr>
        <w:spacing w:after="0" w:line="480" w:lineRule="auto"/>
        <w:ind w:firstLine="709"/>
        <w:jc w:val="both"/>
        <w:rPr>
          <w:rFonts w:ascii="Times New Roman" w:hAnsi="Times New Roman" w:cs="Times New Roman"/>
          <w:b/>
          <w:sz w:val="28"/>
          <w:szCs w:val="28"/>
        </w:rPr>
      </w:pPr>
      <w:r w:rsidRPr="002A7673">
        <w:rPr>
          <w:rFonts w:ascii="Times New Roman" w:hAnsi="Times New Roman" w:cs="Times New Roman"/>
          <w:b/>
          <w:sz w:val="28"/>
          <w:szCs w:val="28"/>
        </w:rPr>
        <w:t xml:space="preserve">Se acordó: </w:t>
      </w:r>
      <w:r w:rsidRPr="002A7673">
        <w:rPr>
          <w:rFonts w:ascii="Times New Roman" w:eastAsiaTheme="majorEastAsia" w:hAnsi="Times New Roman" w:cs="Times New Roman"/>
          <w:b/>
          <w:sz w:val="28"/>
          <w:szCs w:val="28"/>
        </w:rPr>
        <w:t>1)</w:t>
      </w:r>
      <w:r w:rsidRPr="002A7673">
        <w:rPr>
          <w:rFonts w:ascii="Times New Roman" w:eastAsiaTheme="majorEastAsia" w:hAnsi="Times New Roman" w:cs="Times New Roman"/>
          <w:bCs/>
          <w:sz w:val="28"/>
          <w:szCs w:val="28"/>
        </w:rPr>
        <w:t xml:space="preserve"> Dar por conocido el presupuesto y la programación presupuestaria del </w:t>
      </w:r>
      <w:r w:rsidRPr="002A7673">
        <w:rPr>
          <w:rFonts w:ascii="Times New Roman" w:hAnsi="Times New Roman" w:cs="Times New Roman"/>
          <w:sz w:val="28"/>
          <w:szCs w:val="28"/>
        </w:rPr>
        <w:t xml:space="preserve">Programa 950 </w:t>
      </w:r>
      <w:bookmarkStart w:id="258" w:name="_Hlk70875283"/>
      <w:r w:rsidRPr="002A7673">
        <w:rPr>
          <w:rFonts w:ascii="Times New Roman" w:hAnsi="Times New Roman" w:cs="Times New Roman"/>
          <w:sz w:val="28"/>
          <w:szCs w:val="28"/>
        </w:rPr>
        <w:t>Servicio de Atención y Protección de Víctimas y Testigos</w:t>
      </w:r>
      <w:bookmarkEnd w:id="258"/>
      <w:r w:rsidRPr="002A7673">
        <w:rPr>
          <w:rFonts w:ascii="Times New Roman" w:eastAsiaTheme="majorEastAsia" w:hAnsi="Times New Roman" w:cs="Times New Roman"/>
          <w:bCs/>
          <w:sz w:val="28"/>
          <w:szCs w:val="28"/>
        </w:rPr>
        <w:t xml:space="preserve"> para el 2022; sin embargo, se estará a la espera del análisis global del presupuesto 2022, para presentar una propuesta general que integre todas las necesidades institucionales.</w:t>
      </w:r>
      <w:r w:rsidRPr="002A7673">
        <w:rPr>
          <w:rFonts w:ascii="Times New Roman" w:hAnsi="Times New Roman" w:cs="Times New Roman"/>
          <w:sz w:val="28"/>
          <w:szCs w:val="28"/>
        </w:rPr>
        <w:t xml:space="preserve"> </w:t>
      </w:r>
      <w:r w:rsidRPr="002A7673">
        <w:rPr>
          <w:rFonts w:ascii="Times New Roman" w:hAnsi="Times New Roman" w:cs="Times New Roman"/>
          <w:b/>
          <w:bCs/>
          <w:sz w:val="28"/>
          <w:szCs w:val="28"/>
        </w:rPr>
        <w:t>2)</w:t>
      </w:r>
      <w:r w:rsidRPr="002A7673">
        <w:rPr>
          <w:rFonts w:ascii="Times New Roman" w:hAnsi="Times New Roman" w:cs="Times New Roman"/>
          <w:sz w:val="28"/>
          <w:szCs w:val="28"/>
        </w:rPr>
        <w:t xml:space="preserve"> Se insta a la </w:t>
      </w:r>
      <w:bookmarkStart w:id="259" w:name="_Hlk70875622"/>
      <w:r w:rsidRPr="002A7673">
        <w:rPr>
          <w:rFonts w:ascii="Times New Roman" w:hAnsi="Times New Roman" w:cs="Times New Roman"/>
          <w:sz w:val="28"/>
          <w:szCs w:val="28"/>
        </w:rPr>
        <w:t>jefatura del Programa 950 Servicio de Atención y Protección de Víctimas y Testigos</w:t>
      </w:r>
      <w:bookmarkEnd w:id="259"/>
      <w:r w:rsidRPr="002A7673">
        <w:rPr>
          <w:rFonts w:ascii="Times New Roman" w:hAnsi="Times New Roman" w:cs="Times New Roman"/>
          <w:sz w:val="28"/>
          <w:szCs w:val="28"/>
        </w:rPr>
        <w:t xml:space="preserve">, a dar seguimiento permanente a la ejecución presupuestaria con el fin de lograr una mayor ejecución de los recursos presupuestarios asignados. </w:t>
      </w:r>
      <w:bookmarkStart w:id="260" w:name="_Hlk70875526"/>
      <w:r w:rsidRPr="002A7673">
        <w:rPr>
          <w:rFonts w:ascii="Times New Roman" w:hAnsi="Times New Roman" w:cs="Times New Roman"/>
          <w:b/>
          <w:bCs/>
          <w:sz w:val="28"/>
          <w:szCs w:val="28"/>
        </w:rPr>
        <w:t>Se declara acuerdo firme.</w:t>
      </w:r>
    </w:p>
    <w:bookmarkEnd w:id="260"/>
    <w:p w14:paraId="67EBF963" w14:textId="77777777" w:rsidR="0085505C" w:rsidRPr="002A7673" w:rsidRDefault="0085505C" w:rsidP="0085505C">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lastRenderedPageBreak/>
        <w:t>ARTÍCULO XVIII</w:t>
      </w:r>
    </w:p>
    <w:p w14:paraId="13C63566" w14:textId="77777777" w:rsidR="0085505C" w:rsidRPr="002A7673" w:rsidRDefault="0085505C" w:rsidP="007125D1">
      <w:pPr>
        <w:autoSpaceDE w:val="0"/>
        <w:autoSpaceDN w:val="0"/>
        <w:adjustRightInd w:val="0"/>
        <w:spacing w:before="120" w:after="0" w:line="480" w:lineRule="auto"/>
        <w:ind w:firstLine="301"/>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w:t>
      </w:r>
      <w:r w:rsidRPr="002A7673">
        <w:rPr>
          <w:rFonts w:ascii="Times New Roman" w:hAnsi="Times New Roman" w:cs="Times New Roman"/>
          <w:b/>
          <w:bCs/>
          <w:color w:val="00B050"/>
          <w:sz w:val="28"/>
          <w:szCs w:val="28"/>
        </w:rPr>
        <w:t>4422-2021</w:t>
      </w:r>
    </w:p>
    <w:p w14:paraId="35FB4360" w14:textId="77777777" w:rsidR="0085505C" w:rsidRPr="002A7673" w:rsidRDefault="0085505C" w:rsidP="0085505C">
      <w:pPr>
        <w:spacing w:before="120" w:after="120" w:line="480" w:lineRule="auto"/>
        <w:ind w:firstLine="709"/>
        <w:jc w:val="both"/>
        <w:rPr>
          <w:rFonts w:ascii="Times New Roman" w:hAnsi="Times New Roman" w:cs="Times New Roman"/>
          <w:color w:val="000000"/>
          <w:sz w:val="28"/>
          <w:szCs w:val="28"/>
        </w:rPr>
      </w:pPr>
      <w:r w:rsidRPr="002A7673">
        <w:rPr>
          <w:rFonts w:ascii="Times New Roman" w:hAnsi="Times New Roman" w:cs="Times New Roman"/>
          <w:sz w:val="28"/>
          <w:szCs w:val="28"/>
        </w:rPr>
        <w:t>En reunión de trabajo del pasado 23 de abril, la licenciada Nacira Valverde Bermúdez,</w:t>
      </w:r>
      <w:r w:rsidRPr="002A7673">
        <w:rPr>
          <w:rFonts w:ascii="Times New Roman" w:hAnsi="Times New Roman" w:cs="Times New Roman"/>
          <w:color w:val="000000"/>
          <w:sz w:val="28"/>
          <w:szCs w:val="28"/>
          <w:shd w:val="clear" w:color="auto" w:fill="FFFFFF"/>
        </w:rPr>
        <w:t xml:space="preserve"> </w:t>
      </w:r>
      <w:r w:rsidRPr="002A7673">
        <w:rPr>
          <w:rFonts w:ascii="Times New Roman" w:hAnsi="Times New Roman" w:cs="Times New Roman"/>
          <w:sz w:val="28"/>
          <w:szCs w:val="28"/>
        </w:rPr>
        <w:t xml:space="preserve">Directora de Planificación informó </w:t>
      </w:r>
      <w:r w:rsidRPr="002A7673">
        <w:rPr>
          <w:rFonts w:ascii="Times New Roman" w:hAnsi="Times New Roman" w:cs="Times New Roman"/>
          <w:color w:val="000000"/>
          <w:sz w:val="28"/>
          <w:szCs w:val="28"/>
        </w:rPr>
        <w:t xml:space="preserve">que mediante correo electrónico de este 21 de abril, el licenciado </w:t>
      </w:r>
      <w:proofErr w:type="spellStart"/>
      <w:r w:rsidRPr="002A7673">
        <w:rPr>
          <w:rFonts w:ascii="Times New Roman" w:hAnsi="Times New Roman" w:cs="Times New Roman"/>
          <w:color w:val="000000"/>
          <w:sz w:val="28"/>
          <w:szCs w:val="28"/>
        </w:rPr>
        <w:t>Róger</w:t>
      </w:r>
      <w:proofErr w:type="spellEnd"/>
      <w:r w:rsidRPr="002A7673">
        <w:rPr>
          <w:rFonts w:ascii="Times New Roman" w:hAnsi="Times New Roman" w:cs="Times New Roman"/>
          <w:color w:val="000000"/>
          <w:sz w:val="28"/>
          <w:szCs w:val="28"/>
        </w:rPr>
        <w:t xml:space="preserve"> Mata Brenes, Director del Despacho de la Presidencia de la Corte Suprema de Justicia, expone ante el Consejo Superior la necesidad de contratar un profesional en ciencias políticas, adscrito al Departamento de Prensa y Comunicación Organizacional /Presidencia /Despacho de la Presidencia, con el fin de integrar un equipo de trabajo interdisciplinario en ciencias sociales que elabore estrategias oportunas, pertinentes e integrales que refuercen la institucionalidad del Poder Judicial como pilar de la democracia costarricense. </w:t>
      </w:r>
    </w:p>
    <w:p w14:paraId="035491FF" w14:textId="77777777" w:rsidR="0085505C" w:rsidRPr="002A7673" w:rsidRDefault="0085505C" w:rsidP="0085505C">
      <w:pPr>
        <w:spacing w:after="0" w:line="240" w:lineRule="auto"/>
        <w:ind w:left="851" w:right="851" w:firstLine="709"/>
        <w:jc w:val="both"/>
        <w:rPr>
          <w:rFonts w:ascii="Times New Roman" w:hAnsi="Times New Roman" w:cs="Times New Roman"/>
          <w:color w:val="000000"/>
          <w:sz w:val="26"/>
          <w:szCs w:val="26"/>
        </w:rPr>
      </w:pPr>
      <w:r w:rsidRPr="002A7673">
        <w:rPr>
          <w:rFonts w:ascii="Times New Roman" w:hAnsi="Times New Roman" w:cs="Times New Roman"/>
          <w:color w:val="000000"/>
          <w:sz w:val="26"/>
          <w:szCs w:val="26"/>
        </w:rPr>
        <w:t>En el citado correo indica:</w:t>
      </w:r>
    </w:p>
    <w:p w14:paraId="5E718820" w14:textId="77777777" w:rsidR="0085505C" w:rsidRPr="002A7673" w:rsidRDefault="0085505C" w:rsidP="0085505C">
      <w:pPr>
        <w:spacing w:after="0" w:line="240" w:lineRule="auto"/>
        <w:ind w:left="851" w:right="851" w:firstLine="709"/>
        <w:jc w:val="both"/>
        <w:rPr>
          <w:rFonts w:ascii="Times New Roman" w:hAnsi="Times New Roman" w:cs="Times New Roman"/>
          <w:color w:val="000000"/>
          <w:sz w:val="26"/>
          <w:szCs w:val="26"/>
        </w:rPr>
      </w:pPr>
    </w:p>
    <w:p w14:paraId="44801F13" w14:textId="77777777" w:rsidR="0085505C" w:rsidRPr="002A7673" w:rsidRDefault="0085505C" w:rsidP="0085505C">
      <w:pPr>
        <w:spacing w:after="0" w:line="240" w:lineRule="auto"/>
        <w:ind w:left="851" w:right="851" w:firstLine="709"/>
        <w:jc w:val="both"/>
        <w:rPr>
          <w:rFonts w:ascii="Times New Roman" w:hAnsi="Times New Roman" w:cs="Times New Roman"/>
          <w:i/>
          <w:iCs/>
          <w:color w:val="000000"/>
          <w:sz w:val="26"/>
          <w:szCs w:val="26"/>
        </w:rPr>
      </w:pPr>
      <w:r w:rsidRPr="002A7673">
        <w:rPr>
          <w:rFonts w:ascii="Times New Roman" w:hAnsi="Times New Roman" w:cs="Times New Roman"/>
          <w:i/>
          <w:iCs/>
          <w:color w:val="000000"/>
          <w:sz w:val="26"/>
          <w:szCs w:val="26"/>
        </w:rPr>
        <w:t>“(…)</w:t>
      </w:r>
    </w:p>
    <w:p w14:paraId="0234F885" w14:textId="77777777" w:rsidR="0085505C" w:rsidRPr="002A7673" w:rsidRDefault="0085505C" w:rsidP="0085505C">
      <w:pPr>
        <w:spacing w:after="0" w:line="240" w:lineRule="auto"/>
        <w:ind w:left="851" w:right="851" w:firstLine="709"/>
        <w:jc w:val="both"/>
        <w:rPr>
          <w:rFonts w:ascii="Times New Roman" w:hAnsi="Times New Roman" w:cs="Times New Roman"/>
          <w:i/>
          <w:iCs/>
          <w:color w:val="000000"/>
          <w:sz w:val="26"/>
          <w:szCs w:val="26"/>
        </w:rPr>
      </w:pPr>
    </w:p>
    <w:p w14:paraId="452EA6E9"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lang w:val="es-ES"/>
        </w:rPr>
      </w:pPr>
      <w:r w:rsidRPr="002A7673">
        <w:rPr>
          <w:rFonts w:ascii="Times New Roman" w:hAnsi="Times New Roman" w:cs="Times New Roman"/>
          <w:i/>
          <w:iCs/>
          <w:sz w:val="26"/>
          <w:szCs w:val="26"/>
          <w:lang w:val="es-ES"/>
        </w:rPr>
        <w:t xml:space="preserve">Nuestra sociedad debe asumir grandes retos, por ello el abordaje de las posibles crisis que afectan la </w:t>
      </w:r>
      <w:proofErr w:type="gramStart"/>
      <w:r w:rsidRPr="002A7673">
        <w:rPr>
          <w:rFonts w:ascii="Times New Roman" w:hAnsi="Times New Roman" w:cs="Times New Roman"/>
          <w:i/>
          <w:iCs/>
          <w:sz w:val="26"/>
          <w:szCs w:val="26"/>
          <w:lang w:val="es-ES"/>
        </w:rPr>
        <w:t>institucionalidad  para</w:t>
      </w:r>
      <w:proofErr w:type="gramEnd"/>
      <w:r w:rsidRPr="002A7673">
        <w:rPr>
          <w:rFonts w:ascii="Times New Roman" w:hAnsi="Times New Roman" w:cs="Times New Roman"/>
          <w:i/>
          <w:iCs/>
          <w:sz w:val="26"/>
          <w:szCs w:val="26"/>
          <w:lang w:val="es-ES"/>
        </w:rPr>
        <w:t xml:space="preserve"> evitar vulneraciones a la reputación e imagen institucional  son esenciales, las mismas deben acompañarse de acciones que potencien la transparencia y la rendición de cuentas que acrecienten la confianza y la credibilidad en la institucionalidad de la justicia.  </w:t>
      </w:r>
    </w:p>
    <w:p w14:paraId="29C61303"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lang w:val="es-ES"/>
        </w:rPr>
      </w:pPr>
    </w:p>
    <w:p w14:paraId="2ED426D1"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val="es-ES"/>
        </w:rPr>
        <w:t xml:space="preserve">La convergencia de la dinámica social </w:t>
      </w:r>
      <w:proofErr w:type="gramStart"/>
      <w:r w:rsidRPr="002A7673">
        <w:rPr>
          <w:rFonts w:ascii="Times New Roman" w:hAnsi="Times New Roman" w:cs="Times New Roman"/>
          <w:i/>
          <w:iCs/>
          <w:sz w:val="26"/>
          <w:szCs w:val="26"/>
          <w:lang w:val="es-ES"/>
        </w:rPr>
        <w:t>actual  identifica</w:t>
      </w:r>
      <w:proofErr w:type="gramEnd"/>
      <w:r w:rsidRPr="002A7673">
        <w:rPr>
          <w:rFonts w:ascii="Times New Roman" w:hAnsi="Times New Roman" w:cs="Times New Roman"/>
          <w:i/>
          <w:iCs/>
          <w:sz w:val="26"/>
          <w:szCs w:val="26"/>
          <w:lang w:val="es-ES"/>
        </w:rPr>
        <w:t xml:space="preserve">  actores decisivos que impactan directamente en la legitimidad y confianza es así que</w:t>
      </w:r>
      <w:r w:rsidRPr="002A7673">
        <w:rPr>
          <w:rFonts w:ascii="Times New Roman" w:hAnsi="Times New Roman" w:cs="Times New Roman"/>
          <w:i/>
          <w:iCs/>
          <w:sz w:val="26"/>
          <w:szCs w:val="26"/>
          <w:lang w:val="es-ES" w:eastAsia="es-CR"/>
        </w:rPr>
        <w:t> </w:t>
      </w:r>
      <w:r w:rsidRPr="002A7673">
        <w:rPr>
          <w:rFonts w:ascii="Times New Roman" w:hAnsi="Times New Roman" w:cs="Times New Roman"/>
          <w:i/>
          <w:iCs/>
          <w:sz w:val="26"/>
          <w:szCs w:val="26"/>
          <w:lang w:eastAsia="es-CR"/>
        </w:rPr>
        <w:t xml:space="preserve"> los esfuerzos  deben dirigirse hacia ese objetivo, que van más allá del servicio público que se brinda. Como Poder de la República tenemos la </w:t>
      </w:r>
      <w:r w:rsidRPr="002A7673">
        <w:rPr>
          <w:rFonts w:ascii="Times New Roman" w:hAnsi="Times New Roman" w:cs="Times New Roman"/>
          <w:i/>
          <w:iCs/>
          <w:sz w:val="26"/>
          <w:szCs w:val="26"/>
          <w:lang w:eastAsia="es-CR"/>
        </w:rPr>
        <w:lastRenderedPageBreak/>
        <w:t xml:space="preserve">obligación de interactuar </w:t>
      </w:r>
      <w:proofErr w:type="gramStart"/>
      <w:r w:rsidRPr="002A7673">
        <w:rPr>
          <w:rFonts w:ascii="Times New Roman" w:hAnsi="Times New Roman" w:cs="Times New Roman"/>
          <w:i/>
          <w:iCs/>
          <w:sz w:val="26"/>
          <w:szCs w:val="26"/>
          <w:lang w:eastAsia="es-CR"/>
        </w:rPr>
        <w:t>con  otros</w:t>
      </w:r>
      <w:proofErr w:type="gramEnd"/>
      <w:r w:rsidRPr="002A7673">
        <w:rPr>
          <w:rFonts w:ascii="Times New Roman" w:hAnsi="Times New Roman" w:cs="Times New Roman"/>
          <w:i/>
          <w:iCs/>
          <w:sz w:val="26"/>
          <w:szCs w:val="26"/>
          <w:lang w:eastAsia="es-CR"/>
        </w:rPr>
        <w:t xml:space="preserve"> Poderes del Estado, instituciones públicas,  sociedad civil, medios de comunicación, sector gremial, sector empresarial, actores políticos,  entre otros, para el abordaje los más certero posible  que  minimice  los efectos negativos que puedan generarse desde diferentes trincheras por los intereses en juego.   </w:t>
      </w:r>
    </w:p>
    <w:p w14:paraId="1BE1F9C4" w14:textId="77777777" w:rsidR="0085505C" w:rsidRPr="002A7673" w:rsidRDefault="0085505C" w:rsidP="0085505C">
      <w:pPr>
        <w:shd w:val="clear" w:color="auto" w:fill="FFFFFF"/>
        <w:spacing w:after="0" w:line="240" w:lineRule="auto"/>
        <w:ind w:left="851" w:right="851" w:firstLine="709"/>
        <w:jc w:val="both"/>
        <w:rPr>
          <w:rFonts w:ascii="Times New Roman" w:hAnsi="Times New Roman" w:cs="Times New Roman"/>
          <w:i/>
          <w:iCs/>
          <w:sz w:val="26"/>
          <w:szCs w:val="26"/>
          <w:lang w:eastAsia="es-CR"/>
        </w:rPr>
      </w:pPr>
    </w:p>
    <w:p w14:paraId="4737A5E0"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lang w:val="es-ES"/>
        </w:rPr>
      </w:pPr>
      <w:r w:rsidRPr="002A7673">
        <w:rPr>
          <w:rFonts w:ascii="Times New Roman" w:hAnsi="Times New Roman" w:cs="Times New Roman"/>
          <w:i/>
          <w:iCs/>
          <w:sz w:val="26"/>
          <w:szCs w:val="26"/>
          <w:lang w:val="es-ES"/>
        </w:rPr>
        <w:t xml:space="preserve">En esta solicitud no podemos dejar de lado que el desarrollo del Poder Judicial costarricense es distinto a sus homólogos del continente. Lo integran un conjunto de órganos vinculados lo que implica un esfuerzo mayor para hacerle frente a las obligaciones relacionadas con su imagen pública y la transparencia institucional en procura de generar y mantener la confianza ciudadana. Actualmente el Poder Judicial no se encuentra restringido meramente a un concepto estricto de aplicación de normas sino </w:t>
      </w:r>
      <w:proofErr w:type="gramStart"/>
      <w:r w:rsidRPr="002A7673">
        <w:rPr>
          <w:rFonts w:ascii="Times New Roman" w:hAnsi="Times New Roman" w:cs="Times New Roman"/>
          <w:i/>
          <w:iCs/>
          <w:sz w:val="26"/>
          <w:szCs w:val="26"/>
          <w:lang w:val="es-ES"/>
        </w:rPr>
        <w:t>que  ha</w:t>
      </w:r>
      <w:proofErr w:type="gramEnd"/>
      <w:r w:rsidRPr="002A7673">
        <w:rPr>
          <w:rFonts w:ascii="Times New Roman" w:hAnsi="Times New Roman" w:cs="Times New Roman"/>
          <w:i/>
          <w:iCs/>
          <w:sz w:val="26"/>
          <w:szCs w:val="26"/>
          <w:lang w:val="es-ES"/>
        </w:rPr>
        <w:t xml:space="preserve"> ido tomando una especial relevancia como un agente político (no partidario) en muchas de las decisiones con especial trascendencia de índole nacional. </w:t>
      </w:r>
    </w:p>
    <w:p w14:paraId="3CE35BC4"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lang w:val="es-ES"/>
        </w:rPr>
      </w:pPr>
    </w:p>
    <w:p w14:paraId="79443C6D"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lang w:val="es-ES"/>
        </w:rPr>
      </w:pPr>
      <w:r w:rsidRPr="002A7673">
        <w:rPr>
          <w:rFonts w:ascii="Times New Roman" w:hAnsi="Times New Roman" w:cs="Times New Roman"/>
          <w:i/>
          <w:iCs/>
          <w:sz w:val="26"/>
          <w:szCs w:val="26"/>
          <w:lang w:val="es-ES"/>
        </w:rPr>
        <w:t xml:space="preserve">El Poder Judicial se ha convertido en un actor decisivo en el ejercicio del poder público, que lo ubica un día sí y otro también ante  la crítica sobre su accionar, no solo de las personas usuarias sino de los medios de comunicación, grupos y personas activas en redes sociales, programas de opinión especializados, grupos organizados de opinión, profesionales en derecho, agrupaciones políticas, esta atomización nos impone el reto de fortalecer  las capacidades de respuesta a las exigencias actuales que permitan un posicionamiento más estratégico y ordenado  de la institucionalidad de la justicia. La labor de este profesional </w:t>
      </w:r>
      <w:proofErr w:type="gramStart"/>
      <w:r w:rsidRPr="002A7673">
        <w:rPr>
          <w:rFonts w:ascii="Times New Roman" w:hAnsi="Times New Roman" w:cs="Times New Roman"/>
          <w:i/>
          <w:iCs/>
          <w:sz w:val="26"/>
          <w:szCs w:val="26"/>
          <w:lang w:val="es-ES"/>
        </w:rPr>
        <w:t>es,  en</w:t>
      </w:r>
      <w:proofErr w:type="gramEnd"/>
      <w:r w:rsidRPr="002A7673">
        <w:rPr>
          <w:rFonts w:ascii="Times New Roman" w:hAnsi="Times New Roman" w:cs="Times New Roman"/>
          <w:i/>
          <w:iCs/>
          <w:sz w:val="26"/>
          <w:szCs w:val="26"/>
          <w:lang w:val="es-ES"/>
        </w:rPr>
        <w:t xml:space="preserve"> esencia ser un funcionario al servicio del Poder Judicial y no únicamente para la jerarquía, su función asesora en esta materia debe ser transversal por las particularidades del Poder Judicial  que agrupa al Organismo de Investigación Judicial, Ministerio Público, Defensa Pública, Judicatura y un ámbito administrativo.</w:t>
      </w:r>
    </w:p>
    <w:p w14:paraId="49CF13B7"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lang w:val="es-ES"/>
        </w:rPr>
      </w:pPr>
    </w:p>
    <w:p w14:paraId="28341F89" w14:textId="77777777" w:rsidR="0085505C" w:rsidRPr="002A7673" w:rsidRDefault="0085505C" w:rsidP="0085505C">
      <w:pPr>
        <w:shd w:val="clear" w:color="auto" w:fill="FFFFFF"/>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color w:val="000000"/>
          <w:sz w:val="26"/>
          <w:szCs w:val="26"/>
          <w:lang w:eastAsia="es-CR"/>
        </w:rPr>
        <w:t xml:space="preserve">El profesional en ciencias políticas complementaría el trabajo que desde hace poco menos de un quinquenio inició la institución de fortalecer las acciones de comunicación  en todos los órganos judiciales; este profesional, a partir de la observación de hechos de la realidad política podrá brindar explicaciones lo más certeras posibles acerca de su funcionamiento que aunque hay eventos que ocurren en otras áreas de poder, sí logran  permear a la administración de justicia como un todo, unas veces para protegerla otras, todo lo contrario, las experiencias vividas en los últimos años son prueba de ello. </w:t>
      </w:r>
    </w:p>
    <w:p w14:paraId="72AA8C41" w14:textId="77777777" w:rsidR="0085505C" w:rsidRPr="002A7673" w:rsidRDefault="0085505C" w:rsidP="0085505C">
      <w:pPr>
        <w:shd w:val="clear" w:color="auto" w:fill="FFFFFF"/>
        <w:spacing w:after="0" w:line="240" w:lineRule="auto"/>
        <w:ind w:left="851" w:right="851" w:firstLine="709"/>
        <w:jc w:val="both"/>
        <w:rPr>
          <w:rFonts w:ascii="Times New Roman" w:hAnsi="Times New Roman" w:cs="Times New Roman"/>
          <w:i/>
          <w:iCs/>
          <w:sz w:val="26"/>
          <w:szCs w:val="26"/>
          <w:lang w:eastAsia="es-CR"/>
        </w:rPr>
      </w:pPr>
    </w:p>
    <w:p w14:paraId="13D39061" w14:textId="77777777" w:rsidR="0085505C" w:rsidRPr="002A7673" w:rsidRDefault="0085505C" w:rsidP="0085505C">
      <w:pPr>
        <w:shd w:val="clear" w:color="auto" w:fill="FFFFFF"/>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color w:val="000000"/>
          <w:sz w:val="26"/>
          <w:szCs w:val="26"/>
          <w:lang w:eastAsia="es-CR"/>
        </w:rPr>
        <w:t>Por lo anteriormente expuesto me permito solicitar, la inclusión de en la formulación del presupuesto 2021 para la contratación de un profesional en ciencias políticas, sin perjuicio que se puedan valorar otras alternativas para resolver esta necesidad como considerar una consultoría externa sobre el tema de llegar a ser posible o una recalificación de plaza en caso de quedar una vacante.”</w:t>
      </w:r>
    </w:p>
    <w:p w14:paraId="365688F8" w14:textId="77777777" w:rsidR="0085505C" w:rsidRPr="002A7673" w:rsidRDefault="0085505C" w:rsidP="0085505C">
      <w:pPr>
        <w:autoSpaceDE w:val="0"/>
        <w:autoSpaceDN w:val="0"/>
        <w:adjustRightInd w:val="0"/>
        <w:spacing w:after="0" w:line="240" w:lineRule="auto"/>
        <w:rPr>
          <w:rFonts w:ascii="Times New Roman" w:eastAsia="Times New Roman" w:hAnsi="Times New Roman" w:cs="Times New Roman"/>
          <w:color w:val="000000"/>
          <w:sz w:val="28"/>
          <w:szCs w:val="28"/>
          <w:lang w:eastAsia="es-CR"/>
        </w:rPr>
      </w:pPr>
    </w:p>
    <w:p w14:paraId="30D1609F" w14:textId="77777777" w:rsidR="0085505C" w:rsidRPr="002A7673" w:rsidRDefault="0085505C" w:rsidP="0085505C">
      <w:pPr>
        <w:spacing w:after="0" w:line="480" w:lineRule="auto"/>
        <w:ind w:firstLine="709"/>
        <w:jc w:val="both"/>
        <w:rPr>
          <w:rFonts w:ascii="Times New Roman" w:hAnsi="Times New Roman" w:cs="Times New Roman"/>
          <w:b/>
          <w:sz w:val="28"/>
          <w:szCs w:val="28"/>
        </w:rPr>
      </w:pPr>
      <w:r w:rsidRPr="002A7673">
        <w:rPr>
          <w:rFonts w:ascii="Times New Roman" w:eastAsia="Times New Roman" w:hAnsi="Times New Roman" w:cs="Times New Roman"/>
          <w:b/>
          <w:bCs/>
          <w:color w:val="000000"/>
          <w:sz w:val="28"/>
          <w:szCs w:val="28"/>
          <w:lang w:eastAsia="es-CR"/>
        </w:rPr>
        <w:t>Se acordó</w:t>
      </w:r>
      <w:r w:rsidRPr="002A7673">
        <w:rPr>
          <w:rFonts w:ascii="Times New Roman" w:eastAsia="Times New Roman" w:hAnsi="Times New Roman" w:cs="Times New Roman"/>
          <w:color w:val="000000"/>
          <w:sz w:val="28"/>
          <w:szCs w:val="28"/>
          <w:lang w:eastAsia="es-CR"/>
        </w:rPr>
        <w:t xml:space="preserve">: </w:t>
      </w:r>
      <w:r w:rsidRPr="002A7673">
        <w:rPr>
          <w:rFonts w:ascii="Times New Roman" w:eastAsia="Times New Roman" w:hAnsi="Times New Roman" w:cs="Times New Roman"/>
          <w:b/>
          <w:bCs/>
          <w:color w:val="000000"/>
          <w:sz w:val="28"/>
          <w:szCs w:val="28"/>
          <w:lang w:eastAsia="es-CR"/>
        </w:rPr>
        <w:t>1)</w:t>
      </w:r>
      <w:r w:rsidRPr="002A7673">
        <w:rPr>
          <w:rFonts w:ascii="Times New Roman" w:eastAsia="Times New Roman" w:hAnsi="Times New Roman" w:cs="Times New Roman"/>
          <w:color w:val="000000"/>
          <w:sz w:val="28"/>
          <w:szCs w:val="28"/>
          <w:lang w:eastAsia="es-CR"/>
        </w:rPr>
        <w:t xml:space="preserve"> Debido a las limitaciones existentes para la creación de plazas, se </w:t>
      </w:r>
      <w:proofErr w:type="gramStart"/>
      <w:r w:rsidRPr="002A7673">
        <w:rPr>
          <w:rFonts w:ascii="Times New Roman" w:eastAsia="Times New Roman" w:hAnsi="Times New Roman" w:cs="Times New Roman"/>
          <w:color w:val="000000"/>
          <w:sz w:val="28"/>
          <w:szCs w:val="28"/>
          <w:lang w:eastAsia="es-CR"/>
        </w:rPr>
        <w:t>dispuso</w:t>
      </w:r>
      <w:proofErr w:type="gramEnd"/>
      <w:r w:rsidRPr="002A7673">
        <w:rPr>
          <w:rFonts w:ascii="Times New Roman" w:eastAsia="Times New Roman" w:hAnsi="Times New Roman" w:cs="Times New Roman"/>
          <w:color w:val="000000"/>
          <w:sz w:val="28"/>
          <w:szCs w:val="28"/>
          <w:lang w:eastAsia="es-CR"/>
        </w:rPr>
        <w:t xml:space="preserve"> solicitar al Despacho de la Presidencia, realizar una valoración de las plazas vacantes en el </w:t>
      </w:r>
      <w:bookmarkStart w:id="261" w:name="_Hlk70875721"/>
      <w:r w:rsidRPr="002A7673">
        <w:rPr>
          <w:rFonts w:ascii="Times New Roman" w:eastAsia="Times New Roman" w:hAnsi="Times New Roman" w:cs="Times New Roman"/>
          <w:color w:val="000000"/>
          <w:sz w:val="28"/>
          <w:szCs w:val="28"/>
          <w:lang w:eastAsia="es-CR"/>
        </w:rPr>
        <w:t xml:space="preserve">Departamento de Prensa y Comunicación </w:t>
      </w:r>
      <w:bookmarkEnd w:id="261"/>
      <w:r w:rsidRPr="002A7673">
        <w:rPr>
          <w:rFonts w:ascii="Times New Roman" w:eastAsia="Times New Roman" w:hAnsi="Times New Roman" w:cs="Times New Roman"/>
          <w:sz w:val="28"/>
          <w:szCs w:val="28"/>
          <w:lang w:eastAsia="es-CR"/>
        </w:rPr>
        <w:t xml:space="preserve">para identificar la disponibilidad de alguna plaza, a la que se le puedan variar los requisitos académicos para cubrir esta necesidad. </w:t>
      </w:r>
      <w:bookmarkStart w:id="262" w:name="_Hlk70876059"/>
      <w:r w:rsidRPr="002A7673">
        <w:rPr>
          <w:rFonts w:ascii="Times New Roman" w:hAnsi="Times New Roman" w:cs="Times New Roman"/>
          <w:b/>
          <w:bCs/>
          <w:sz w:val="28"/>
          <w:szCs w:val="28"/>
        </w:rPr>
        <w:t>Se declara acuerdo firme.</w:t>
      </w:r>
    </w:p>
    <w:bookmarkEnd w:id="262"/>
    <w:p w14:paraId="6B747506" w14:textId="77777777" w:rsidR="0085505C" w:rsidRPr="002A7673" w:rsidRDefault="0085505C" w:rsidP="0085505C">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XIX</w:t>
      </w:r>
    </w:p>
    <w:p w14:paraId="043BC891" w14:textId="77777777" w:rsidR="0085505C" w:rsidRPr="002A7673" w:rsidRDefault="0085505C" w:rsidP="007125D1">
      <w:pPr>
        <w:autoSpaceDE w:val="0"/>
        <w:autoSpaceDN w:val="0"/>
        <w:adjustRightInd w:val="0"/>
        <w:spacing w:before="120" w:after="0" w:line="480" w:lineRule="auto"/>
        <w:ind w:firstLine="301"/>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3837, </w:t>
      </w:r>
      <w:r w:rsidRPr="002A7673">
        <w:rPr>
          <w:rFonts w:ascii="Times New Roman" w:hAnsi="Times New Roman" w:cs="Times New Roman"/>
          <w:b/>
          <w:bCs/>
          <w:color w:val="00B050"/>
          <w:sz w:val="28"/>
          <w:szCs w:val="28"/>
        </w:rPr>
        <w:t>4236-2021</w:t>
      </w:r>
    </w:p>
    <w:p w14:paraId="048A1F72" w14:textId="77777777" w:rsidR="0085505C" w:rsidRPr="002A7673" w:rsidRDefault="0085505C" w:rsidP="0085505C">
      <w:pPr>
        <w:spacing w:before="120" w:after="12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Mediante correo electrónico de este 27 de abril se remitió a la Dirección de Planificación el oficio 1357-DE-2021, en el cual la Dirección Ejecutiva informa con respecto al punto 4 del acuerdo tomado por el Consejo Superior en la sesión 30-2021(Presupuesto) celebrada el 16 de abril de 2021, artículo XIII, en el cual se indicó:  </w:t>
      </w:r>
    </w:p>
    <w:p w14:paraId="41E517CE"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eastAsia="Arial" w:hAnsi="Times New Roman" w:cs="Times New Roman"/>
          <w:i/>
          <w:sz w:val="26"/>
          <w:szCs w:val="26"/>
        </w:rPr>
        <w:t>“</w:t>
      </w:r>
      <w:r w:rsidRPr="002A7673">
        <w:rPr>
          <w:rFonts w:ascii="Times New Roman" w:eastAsia="Arial" w:hAnsi="Times New Roman" w:cs="Times New Roman"/>
          <w:b/>
          <w:i/>
          <w:sz w:val="26"/>
          <w:szCs w:val="26"/>
        </w:rPr>
        <w:t>Se acordó</w:t>
      </w:r>
      <w:r w:rsidRPr="002A7673">
        <w:rPr>
          <w:rFonts w:ascii="Times New Roman" w:eastAsia="Arial" w:hAnsi="Times New Roman" w:cs="Times New Roman"/>
          <w:i/>
          <w:sz w:val="26"/>
          <w:szCs w:val="26"/>
        </w:rPr>
        <w:t xml:space="preserve">: (…)  </w:t>
      </w:r>
      <w:r w:rsidRPr="002A7673">
        <w:rPr>
          <w:rFonts w:ascii="Times New Roman" w:eastAsia="Arial" w:hAnsi="Times New Roman" w:cs="Times New Roman"/>
          <w:b/>
          <w:i/>
          <w:sz w:val="26"/>
          <w:szCs w:val="26"/>
          <w:u w:color="000000"/>
        </w:rPr>
        <w:t>4)</w:t>
      </w:r>
      <w:r w:rsidRPr="002A7673">
        <w:rPr>
          <w:rFonts w:ascii="Times New Roman" w:eastAsia="Arial" w:hAnsi="Times New Roman" w:cs="Times New Roman"/>
          <w:i/>
          <w:sz w:val="26"/>
          <w:szCs w:val="26"/>
          <w:u w:color="000000"/>
        </w:rPr>
        <w:t xml:space="preserve"> En relación con el contrato EBI en la</w:t>
      </w:r>
      <w:r w:rsidRPr="002A7673">
        <w:rPr>
          <w:rFonts w:ascii="Times New Roman" w:eastAsia="Arial" w:hAnsi="Times New Roman" w:cs="Times New Roman"/>
          <w:i/>
          <w:sz w:val="26"/>
          <w:szCs w:val="26"/>
        </w:rPr>
        <w:t xml:space="preserve"> </w:t>
      </w:r>
      <w:r w:rsidRPr="002A7673">
        <w:rPr>
          <w:rFonts w:ascii="Times New Roman" w:eastAsia="Arial" w:hAnsi="Times New Roman" w:cs="Times New Roman"/>
          <w:i/>
          <w:sz w:val="26"/>
          <w:szCs w:val="26"/>
          <w:u w:color="000000"/>
        </w:rPr>
        <w:t>Oficina de Depósito de Objetos, para la destrucción de evidencias que por orden del juez</w:t>
      </w:r>
      <w:r w:rsidRPr="002A7673">
        <w:rPr>
          <w:rFonts w:ascii="Times New Roman" w:eastAsia="Arial" w:hAnsi="Times New Roman" w:cs="Times New Roman"/>
          <w:i/>
          <w:sz w:val="26"/>
          <w:szCs w:val="26"/>
        </w:rPr>
        <w:t xml:space="preserve"> </w:t>
      </w:r>
      <w:r w:rsidRPr="002A7673">
        <w:rPr>
          <w:rFonts w:ascii="Times New Roman" w:eastAsia="Arial" w:hAnsi="Times New Roman" w:cs="Times New Roman"/>
          <w:i/>
          <w:sz w:val="26"/>
          <w:szCs w:val="26"/>
          <w:u w:color="000000"/>
        </w:rPr>
        <w:t>quedan eliminadas del proceso, la Dirección Ejecutiva consultará al Gestor Ambiental del</w:t>
      </w:r>
      <w:r w:rsidRPr="002A7673">
        <w:rPr>
          <w:rFonts w:ascii="Times New Roman" w:eastAsia="Arial" w:hAnsi="Times New Roman" w:cs="Times New Roman"/>
          <w:i/>
          <w:sz w:val="26"/>
          <w:szCs w:val="26"/>
        </w:rPr>
        <w:t xml:space="preserve"> </w:t>
      </w:r>
      <w:r w:rsidRPr="002A7673">
        <w:rPr>
          <w:rFonts w:ascii="Times New Roman" w:eastAsia="Arial" w:hAnsi="Times New Roman" w:cs="Times New Roman"/>
          <w:i/>
          <w:sz w:val="26"/>
          <w:szCs w:val="26"/>
          <w:u w:color="000000"/>
        </w:rPr>
        <w:t>Poder Judicial en relación con el costo de este contrato e informará al Consejo Superior lo</w:t>
      </w:r>
      <w:r w:rsidRPr="002A7673">
        <w:rPr>
          <w:rFonts w:ascii="Times New Roman" w:eastAsia="Arial" w:hAnsi="Times New Roman" w:cs="Times New Roman"/>
          <w:i/>
          <w:sz w:val="26"/>
          <w:szCs w:val="26"/>
        </w:rPr>
        <w:t xml:space="preserve"> </w:t>
      </w:r>
      <w:r w:rsidRPr="002A7673">
        <w:rPr>
          <w:rFonts w:ascii="Times New Roman" w:eastAsia="Arial" w:hAnsi="Times New Roman" w:cs="Times New Roman"/>
          <w:i/>
          <w:sz w:val="26"/>
          <w:szCs w:val="26"/>
          <w:u w:color="000000"/>
        </w:rPr>
        <w:t>que corresponda</w:t>
      </w:r>
      <w:r w:rsidRPr="002A7673">
        <w:rPr>
          <w:rFonts w:ascii="Times New Roman" w:eastAsia="Arial" w:hAnsi="Times New Roman" w:cs="Times New Roman"/>
          <w:i/>
          <w:sz w:val="26"/>
          <w:szCs w:val="26"/>
        </w:rPr>
        <w:t xml:space="preserve">. </w:t>
      </w:r>
      <w:r w:rsidRPr="002A7673">
        <w:rPr>
          <w:rFonts w:ascii="Times New Roman" w:eastAsia="Arial" w:hAnsi="Times New Roman" w:cs="Times New Roman"/>
          <w:b/>
          <w:i/>
          <w:sz w:val="26"/>
          <w:szCs w:val="26"/>
        </w:rPr>
        <w:t>Se declara acuerdo firme</w:t>
      </w:r>
      <w:r w:rsidRPr="002A7673">
        <w:rPr>
          <w:rFonts w:ascii="Times New Roman" w:eastAsia="Arial" w:hAnsi="Times New Roman" w:cs="Times New Roman"/>
          <w:i/>
          <w:sz w:val="26"/>
          <w:szCs w:val="26"/>
        </w:rPr>
        <w:t xml:space="preserve">.” </w:t>
      </w:r>
    </w:p>
    <w:p w14:paraId="0CCF06F1"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este oficio se indica lo siguiente:</w:t>
      </w:r>
    </w:p>
    <w:p w14:paraId="7D49FB80" w14:textId="77777777" w:rsidR="0085505C" w:rsidRPr="002A7673" w:rsidRDefault="0085505C" w:rsidP="0085505C">
      <w:pPr>
        <w:spacing w:before="120" w:after="12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lastRenderedPageBreak/>
        <w:t xml:space="preserve">“(…)  Con respecto a lo acordado en el punto 4 del anterior acuerdo, es necesario indicar al honorable Consejo Superior, que los servicios de recolección de los desechos resultantes de las destrucciones realizadas por el Depósito de Objetos del Organismo de Investigación </w:t>
      </w:r>
      <w:proofErr w:type="gramStart"/>
      <w:r w:rsidRPr="002A7673">
        <w:rPr>
          <w:rFonts w:ascii="Times New Roman" w:eastAsia="Arial" w:hAnsi="Times New Roman" w:cs="Times New Roman"/>
          <w:i/>
          <w:iCs/>
          <w:sz w:val="26"/>
          <w:szCs w:val="26"/>
        </w:rPr>
        <w:t>Judicial,</w:t>
      </w:r>
      <w:proofErr w:type="gramEnd"/>
      <w:r w:rsidRPr="002A7673">
        <w:rPr>
          <w:rFonts w:ascii="Times New Roman" w:eastAsia="Arial" w:hAnsi="Times New Roman" w:cs="Times New Roman"/>
          <w:i/>
          <w:iCs/>
          <w:sz w:val="26"/>
          <w:szCs w:val="26"/>
        </w:rPr>
        <w:t xml:space="preserve"> son realizados por medio del contrato N° 034118, suscrito con la contratista Empresas </w:t>
      </w:r>
      <w:proofErr w:type="spellStart"/>
      <w:r w:rsidRPr="002A7673">
        <w:rPr>
          <w:rFonts w:ascii="Times New Roman" w:eastAsia="Arial" w:hAnsi="Times New Roman" w:cs="Times New Roman"/>
          <w:i/>
          <w:iCs/>
          <w:sz w:val="26"/>
          <w:szCs w:val="26"/>
        </w:rPr>
        <w:t>Berthier</w:t>
      </w:r>
      <w:proofErr w:type="spellEnd"/>
      <w:r w:rsidRPr="002A7673">
        <w:rPr>
          <w:rFonts w:ascii="Times New Roman" w:eastAsia="Arial" w:hAnsi="Times New Roman" w:cs="Times New Roman"/>
          <w:i/>
          <w:iCs/>
          <w:sz w:val="26"/>
          <w:szCs w:val="26"/>
        </w:rPr>
        <w:t xml:space="preserve"> EBI de Costa Rica, S.A., suscrito el 21 de agosto del 2018 y que se encuentra vigente hasta el 28 de agosto del 2022.  </w:t>
      </w:r>
    </w:p>
    <w:p w14:paraId="1A42674C" w14:textId="77777777" w:rsidR="0085505C" w:rsidRPr="002A7673" w:rsidRDefault="0085505C" w:rsidP="0085505C">
      <w:pPr>
        <w:spacing w:before="120" w:after="12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Respecto a este contrato y según lo indicado en el anterior acuerdo, se consultó al Gestor Ambiental, Eugenio Solís Rodríguez, </w:t>
      </w:r>
      <w:proofErr w:type="gramStart"/>
      <w:r w:rsidRPr="002A7673">
        <w:rPr>
          <w:rFonts w:ascii="Times New Roman" w:eastAsia="Arial" w:hAnsi="Times New Roman" w:cs="Times New Roman"/>
          <w:i/>
          <w:iCs/>
          <w:sz w:val="26"/>
          <w:szCs w:val="26"/>
        </w:rPr>
        <w:t>quien</w:t>
      </w:r>
      <w:proofErr w:type="gramEnd"/>
      <w:r w:rsidRPr="002A7673">
        <w:rPr>
          <w:rFonts w:ascii="Times New Roman" w:eastAsia="Arial" w:hAnsi="Times New Roman" w:cs="Times New Roman"/>
          <w:i/>
          <w:iCs/>
          <w:sz w:val="26"/>
          <w:szCs w:val="26"/>
        </w:rPr>
        <w:t xml:space="preserve"> por medio de correo del 26 de abril de 2021, informó: </w:t>
      </w:r>
    </w:p>
    <w:p w14:paraId="00818396" w14:textId="77777777" w:rsidR="0085505C" w:rsidRPr="002A7673" w:rsidRDefault="0085505C" w:rsidP="0085505C">
      <w:pPr>
        <w:spacing w:before="120" w:after="12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“En atención a la solicitud del CS, me permito indicar lo siguiente a partir de la información brindada por el </w:t>
      </w:r>
      <w:proofErr w:type="spellStart"/>
      <w:r w:rsidRPr="002A7673">
        <w:rPr>
          <w:rFonts w:ascii="Times New Roman" w:eastAsia="Arial" w:hAnsi="Times New Roman" w:cs="Times New Roman"/>
          <w:i/>
          <w:iCs/>
          <w:sz w:val="26"/>
          <w:szCs w:val="26"/>
        </w:rPr>
        <w:t>Deposito</w:t>
      </w:r>
      <w:proofErr w:type="spellEnd"/>
      <w:r w:rsidRPr="002A7673">
        <w:rPr>
          <w:rFonts w:ascii="Times New Roman" w:eastAsia="Arial" w:hAnsi="Times New Roman" w:cs="Times New Roman"/>
          <w:i/>
          <w:iCs/>
          <w:sz w:val="26"/>
          <w:szCs w:val="26"/>
        </w:rPr>
        <w:t xml:space="preserve"> (sic) de Objetos: </w:t>
      </w:r>
    </w:p>
    <w:p w14:paraId="03A1D515" w14:textId="77777777" w:rsidR="0085505C" w:rsidRPr="002A7673" w:rsidRDefault="0085505C" w:rsidP="0085505C">
      <w:pPr>
        <w:spacing w:before="120" w:after="12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El contrato fue firmado en agosto 2018 considerando las siguientes condiciones:  </w:t>
      </w:r>
    </w:p>
    <w:p w14:paraId="727833F5" w14:textId="77777777" w:rsidR="0085505C" w:rsidRPr="002A7673" w:rsidRDefault="0085505C" w:rsidP="0085505C">
      <w:pPr>
        <w:spacing w:after="0" w:line="240" w:lineRule="auto"/>
        <w:ind w:left="680"/>
        <w:rPr>
          <w:rFonts w:ascii="Times New Roman" w:hAnsi="Times New Roman" w:cs="Times New Roman"/>
          <w:i/>
          <w:iCs/>
        </w:rPr>
      </w:pPr>
      <w:r w:rsidRPr="002A7673">
        <w:rPr>
          <w:rFonts w:ascii="Times New Roman" w:eastAsia="Arial" w:hAnsi="Times New Roman" w:cs="Times New Roman"/>
          <w:i/>
          <w:iCs/>
        </w:rPr>
        <w:t xml:space="preserve"> </w:t>
      </w:r>
    </w:p>
    <w:tbl>
      <w:tblPr>
        <w:tblStyle w:val="TableGrid0"/>
        <w:tblW w:w="5000" w:type="pct"/>
        <w:tblInd w:w="0" w:type="dxa"/>
        <w:tblCellMar>
          <w:top w:w="16" w:type="dxa"/>
          <w:bottom w:w="50" w:type="dxa"/>
          <w:right w:w="7" w:type="dxa"/>
        </w:tblCellMar>
        <w:tblLook w:val="04A0" w:firstRow="1" w:lastRow="0" w:firstColumn="1" w:lastColumn="0" w:noHBand="0" w:noVBand="1"/>
      </w:tblPr>
      <w:tblGrid>
        <w:gridCol w:w="3272"/>
        <w:gridCol w:w="1876"/>
        <w:gridCol w:w="372"/>
        <w:gridCol w:w="1640"/>
        <w:gridCol w:w="612"/>
        <w:gridCol w:w="1876"/>
      </w:tblGrid>
      <w:tr w:rsidR="0085505C" w:rsidRPr="002A7673" w14:paraId="0B5D844A" w14:textId="77777777" w:rsidTr="0048334E">
        <w:trPr>
          <w:trHeight w:val="1186"/>
        </w:trPr>
        <w:tc>
          <w:tcPr>
            <w:tcW w:w="1696" w:type="pct"/>
            <w:tcBorders>
              <w:top w:val="single" w:sz="8" w:space="0" w:color="000000"/>
              <w:left w:val="single" w:sz="8" w:space="0" w:color="000000"/>
              <w:bottom w:val="single" w:sz="8" w:space="0" w:color="000000"/>
              <w:right w:val="single" w:sz="8" w:space="0" w:color="000000"/>
            </w:tcBorders>
          </w:tcPr>
          <w:p w14:paraId="086E4596" w14:textId="77777777" w:rsidR="0085505C" w:rsidRPr="002A7673" w:rsidRDefault="0085505C" w:rsidP="0048334E">
            <w:pPr>
              <w:spacing w:line="275" w:lineRule="auto"/>
              <w:ind w:left="72" w:right="60"/>
              <w:jc w:val="both"/>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Peso promedio mensual de residuos generados en el Depósito de Objetos </w:t>
            </w:r>
          </w:p>
          <w:p w14:paraId="09703E39" w14:textId="77777777" w:rsidR="0085505C" w:rsidRPr="002A7673" w:rsidRDefault="0085505C" w:rsidP="0048334E">
            <w:pPr>
              <w:ind w:left="72"/>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(kg) </w:t>
            </w:r>
          </w:p>
        </w:tc>
        <w:tc>
          <w:tcPr>
            <w:tcW w:w="972" w:type="pct"/>
            <w:tcBorders>
              <w:top w:val="single" w:sz="8" w:space="0" w:color="000000"/>
              <w:left w:val="single" w:sz="8" w:space="0" w:color="000000"/>
              <w:bottom w:val="single" w:sz="8" w:space="0" w:color="000000"/>
              <w:right w:val="nil"/>
            </w:tcBorders>
            <w:vAlign w:val="bottom"/>
          </w:tcPr>
          <w:p w14:paraId="320FC30F" w14:textId="77777777" w:rsidR="0085505C" w:rsidRPr="002A7673" w:rsidRDefault="0085505C" w:rsidP="0048334E">
            <w:pPr>
              <w:tabs>
                <w:tab w:val="center" w:pos="1163"/>
              </w:tabs>
              <w:spacing w:after="23"/>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Costo </w:t>
            </w:r>
            <w:r w:rsidRPr="002A7673">
              <w:rPr>
                <w:rFonts w:ascii="Times New Roman" w:eastAsia="Arial" w:hAnsi="Times New Roman" w:cs="Times New Roman"/>
                <w:b/>
                <w:i/>
                <w:iCs/>
                <w:sz w:val="24"/>
                <w:szCs w:val="24"/>
              </w:rPr>
              <w:tab/>
              <w:t xml:space="preserve">por </w:t>
            </w:r>
          </w:p>
          <w:p w14:paraId="21BAF2B0" w14:textId="77777777" w:rsidR="0085505C" w:rsidRPr="002A7673" w:rsidRDefault="0085505C" w:rsidP="0048334E">
            <w:pPr>
              <w:ind w:left="70"/>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(colones) </w:t>
            </w:r>
          </w:p>
        </w:tc>
        <w:tc>
          <w:tcPr>
            <w:tcW w:w="193" w:type="pct"/>
            <w:tcBorders>
              <w:top w:val="single" w:sz="8" w:space="0" w:color="000000"/>
              <w:left w:val="nil"/>
              <w:bottom w:val="single" w:sz="8" w:space="0" w:color="000000"/>
              <w:right w:val="single" w:sz="8" w:space="0" w:color="000000"/>
            </w:tcBorders>
            <w:vAlign w:val="bottom"/>
          </w:tcPr>
          <w:p w14:paraId="1BFD146B" w14:textId="77777777" w:rsidR="0085505C" w:rsidRPr="002A7673" w:rsidRDefault="0085505C" w:rsidP="0048334E">
            <w:pPr>
              <w:jc w:val="both"/>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kg </w:t>
            </w:r>
          </w:p>
        </w:tc>
        <w:tc>
          <w:tcPr>
            <w:tcW w:w="850" w:type="pct"/>
            <w:tcBorders>
              <w:top w:val="single" w:sz="8" w:space="0" w:color="000000"/>
              <w:left w:val="single" w:sz="8" w:space="0" w:color="000000"/>
              <w:bottom w:val="single" w:sz="8" w:space="0" w:color="000000"/>
              <w:right w:val="nil"/>
            </w:tcBorders>
            <w:vAlign w:val="bottom"/>
          </w:tcPr>
          <w:p w14:paraId="5705157A" w14:textId="77777777" w:rsidR="0085505C" w:rsidRPr="002A7673" w:rsidRDefault="0085505C" w:rsidP="0048334E">
            <w:pPr>
              <w:ind w:left="72"/>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Costo mensual </w:t>
            </w:r>
          </w:p>
        </w:tc>
        <w:tc>
          <w:tcPr>
            <w:tcW w:w="317" w:type="pct"/>
            <w:tcBorders>
              <w:top w:val="single" w:sz="8" w:space="0" w:color="000000"/>
              <w:left w:val="nil"/>
              <w:bottom w:val="single" w:sz="8" w:space="0" w:color="000000"/>
              <w:right w:val="single" w:sz="8" w:space="0" w:color="000000"/>
            </w:tcBorders>
            <w:vAlign w:val="bottom"/>
          </w:tcPr>
          <w:p w14:paraId="7915C388" w14:textId="77777777" w:rsidR="0085505C" w:rsidRPr="002A7673" w:rsidRDefault="0085505C" w:rsidP="0048334E">
            <w:pPr>
              <w:jc w:val="both"/>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total </w:t>
            </w:r>
          </w:p>
        </w:tc>
        <w:tc>
          <w:tcPr>
            <w:tcW w:w="972" w:type="pct"/>
            <w:tcBorders>
              <w:top w:val="single" w:sz="8" w:space="0" w:color="000000"/>
              <w:left w:val="single" w:sz="8" w:space="0" w:color="000000"/>
              <w:bottom w:val="single" w:sz="8" w:space="0" w:color="000000"/>
              <w:right w:val="single" w:sz="8" w:space="0" w:color="000000"/>
            </w:tcBorders>
            <w:vAlign w:val="bottom"/>
          </w:tcPr>
          <w:p w14:paraId="52FB2CEB" w14:textId="77777777" w:rsidR="0085505C" w:rsidRPr="002A7673" w:rsidRDefault="0085505C" w:rsidP="0048334E">
            <w:pPr>
              <w:tabs>
                <w:tab w:val="right" w:pos="1626"/>
              </w:tabs>
              <w:spacing w:after="23"/>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Costo </w:t>
            </w:r>
            <w:r w:rsidRPr="002A7673">
              <w:rPr>
                <w:rFonts w:ascii="Times New Roman" w:eastAsia="Arial" w:hAnsi="Times New Roman" w:cs="Times New Roman"/>
                <w:b/>
                <w:i/>
                <w:iCs/>
                <w:sz w:val="24"/>
                <w:szCs w:val="24"/>
              </w:rPr>
              <w:tab/>
              <w:t xml:space="preserve">total </w:t>
            </w:r>
          </w:p>
          <w:p w14:paraId="08F71E99" w14:textId="77777777" w:rsidR="0085505C" w:rsidRPr="002A7673" w:rsidRDefault="0085505C" w:rsidP="0048334E">
            <w:pPr>
              <w:ind w:left="70"/>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anual  </w:t>
            </w:r>
          </w:p>
        </w:tc>
      </w:tr>
      <w:tr w:rsidR="0085505C" w:rsidRPr="002A7673" w14:paraId="443BFDB5" w14:textId="77777777" w:rsidTr="0048334E">
        <w:trPr>
          <w:trHeight w:val="602"/>
        </w:trPr>
        <w:tc>
          <w:tcPr>
            <w:tcW w:w="1696" w:type="pct"/>
            <w:tcBorders>
              <w:top w:val="single" w:sz="8" w:space="0" w:color="000000"/>
              <w:left w:val="single" w:sz="8" w:space="0" w:color="000000"/>
              <w:bottom w:val="single" w:sz="8" w:space="0" w:color="000000"/>
              <w:right w:val="single" w:sz="8" w:space="0" w:color="000000"/>
            </w:tcBorders>
          </w:tcPr>
          <w:p w14:paraId="1DA8C0E9" w14:textId="77777777" w:rsidR="0085505C" w:rsidRPr="002A7673" w:rsidRDefault="0085505C" w:rsidP="0048334E">
            <w:pPr>
              <w:spacing w:after="16"/>
              <w:ind w:left="72"/>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 </w:t>
            </w:r>
          </w:p>
          <w:p w14:paraId="6DFD5CB2" w14:textId="77777777" w:rsidR="0085505C" w:rsidRPr="002A7673" w:rsidRDefault="0085505C" w:rsidP="0048334E">
            <w:pPr>
              <w:ind w:left="72"/>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6 000,00 </w:t>
            </w:r>
          </w:p>
        </w:tc>
        <w:tc>
          <w:tcPr>
            <w:tcW w:w="972" w:type="pct"/>
            <w:tcBorders>
              <w:top w:val="single" w:sz="8" w:space="0" w:color="000000"/>
              <w:left w:val="single" w:sz="8" w:space="0" w:color="000000"/>
              <w:bottom w:val="single" w:sz="8" w:space="0" w:color="000000"/>
              <w:right w:val="nil"/>
            </w:tcBorders>
            <w:vAlign w:val="bottom"/>
          </w:tcPr>
          <w:p w14:paraId="2BD9FF64" w14:textId="77777777" w:rsidR="0085505C" w:rsidRPr="002A7673" w:rsidRDefault="0085505C" w:rsidP="0048334E">
            <w:pPr>
              <w:ind w:left="70"/>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85,00 </w:t>
            </w:r>
          </w:p>
        </w:tc>
        <w:tc>
          <w:tcPr>
            <w:tcW w:w="193" w:type="pct"/>
            <w:tcBorders>
              <w:top w:val="single" w:sz="8" w:space="0" w:color="000000"/>
              <w:left w:val="nil"/>
              <w:bottom w:val="single" w:sz="8" w:space="0" w:color="000000"/>
              <w:right w:val="single" w:sz="8" w:space="0" w:color="000000"/>
            </w:tcBorders>
          </w:tcPr>
          <w:p w14:paraId="65277A5D" w14:textId="77777777" w:rsidR="0085505C" w:rsidRPr="002A7673" w:rsidRDefault="0085505C" w:rsidP="0048334E">
            <w:pPr>
              <w:rPr>
                <w:rFonts w:ascii="Times New Roman" w:hAnsi="Times New Roman" w:cs="Times New Roman"/>
                <w:i/>
                <w:iCs/>
                <w:sz w:val="24"/>
                <w:szCs w:val="24"/>
              </w:rPr>
            </w:pPr>
          </w:p>
        </w:tc>
        <w:tc>
          <w:tcPr>
            <w:tcW w:w="850" w:type="pct"/>
            <w:tcBorders>
              <w:top w:val="single" w:sz="8" w:space="0" w:color="000000"/>
              <w:left w:val="single" w:sz="8" w:space="0" w:color="000000"/>
              <w:bottom w:val="single" w:sz="8" w:space="0" w:color="000000"/>
              <w:right w:val="nil"/>
            </w:tcBorders>
            <w:vAlign w:val="bottom"/>
          </w:tcPr>
          <w:p w14:paraId="368E363A" w14:textId="77777777" w:rsidR="0085505C" w:rsidRPr="002A7673" w:rsidRDefault="0085505C" w:rsidP="0048334E">
            <w:pPr>
              <w:ind w:left="72"/>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510 000,00 </w:t>
            </w:r>
          </w:p>
        </w:tc>
        <w:tc>
          <w:tcPr>
            <w:tcW w:w="317" w:type="pct"/>
            <w:tcBorders>
              <w:top w:val="single" w:sz="8" w:space="0" w:color="000000"/>
              <w:left w:val="nil"/>
              <w:bottom w:val="single" w:sz="8" w:space="0" w:color="000000"/>
              <w:right w:val="single" w:sz="8" w:space="0" w:color="000000"/>
            </w:tcBorders>
          </w:tcPr>
          <w:p w14:paraId="08C30CE4" w14:textId="77777777" w:rsidR="0085505C" w:rsidRPr="002A7673" w:rsidRDefault="0085505C" w:rsidP="0048334E">
            <w:pPr>
              <w:rPr>
                <w:rFonts w:ascii="Times New Roman" w:hAnsi="Times New Roman" w:cs="Times New Roman"/>
                <w:i/>
                <w:iCs/>
                <w:sz w:val="24"/>
                <w:szCs w:val="24"/>
              </w:rPr>
            </w:pPr>
          </w:p>
        </w:tc>
        <w:tc>
          <w:tcPr>
            <w:tcW w:w="972" w:type="pct"/>
            <w:tcBorders>
              <w:top w:val="single" w:sz="8" w:space="0" w:color="000000"/>
              <w:left w:val="single" w:sz="8" w:space="0" w:color="000000"/>
              <w:bottom w:val="single" w:sz="8" w:space="0" w:color="000000"/>
              <w:right w:val="single" w:sz="8" w:space="0" w:color="000000"/>
            </w:tcBorders>
            <w:vAlign w:val="bottom"/>
          </w:tcPr>
          <w:p w14:paraId="3DD234AF" w14:textId="77777777" w:rsidR="0085505C" w:rsidRPr="002A7673" w:rsidRDefault="0085505C" w:rsidP="0048334E">
            <w:pPr>
              <w:ind w:left="70"/>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6 120 000,00 </w:t>
            </w:r>
          </w:p>
        </w:tc>
      </w:tr>
    </w:tbl>
    <w:p w14:paraId="4C80E451" w14:textId="77777777" w:rsidR="0085505C" w:rsidRPr="002A7673" w:rsidRDefault="0085505C" w:rsidP="0085505C">
      <w:pPr>
        <w:spacing w:after="0" w:line="240" w:lineRule="auto"/>
        <w:ind w:left="680"/>
        <w:rPr>
          <w:rFonts w:ascii="Times New Roman" w:hAnsi="Times New Roman" w:cs="Times New Roman"/>
          <w:i/>
          <w:iCs/>
        </w:rPr>
      </w:pPr>
      <w:r w:rsidRPr="002A7673">
        <w:rPr>
          <w:rFonts w:ascii="Times New Roman" w:eastAsia="Arial" w:hAnsi="Times New Roman" w:cs="Times New Roman"/>
          <w:i/>
          <w:iCs/>
        </w:rPr>
        <w:t xml:space="preserve"> </w:t>
      </w:r>
    </w:p>
    <w:tbl>
      <w:tblPr>
        <w:tblStyle w:val="TableGrid0"/>
        <w:tblW w:w="5000" w:type="pct"/>
        <w:tblInd w:w="0" w:type="dxa"/>
        <w:tblCellMar>
          <w:top w:w="26" w:type="dxa"/>
          <w:left w:w="70" w:type="dxa"/>
          <w:right w:w="115" w:type="dxa"/>
        </w:tblCellMar>
        <w:tblLook w:val="04A0" w:firstRow="1" w:lastRow="0" w:firstColumn="1" w:lastColumn="0" w:noHBand="0" w:noVBand="1"/>
      </w:tblPr>
      <w:tblGrid>
        <w:gridCol w:w="1981"/>
        <w:gridCol w:w="1841"/>
        <w:gridCol w:w="1534"/>
        <w:gridCol w:w="1378"/>
        <w:gridCol w:w="1534"/>
        <w:gridCol w:w="1380"/>
      </w:tblGrid>
      <w:tr w:rsidR="0085505C" w:rsidRPr="002A7673" w14:paraId="73983E70" w14:textId="77777777" w:rsidTr="0048334E">
        <w:trPr>
          <w:trHeight w:val="320"/>
        </w:trPr>
        <w:tc>
          <w:tcPr>
            <w:tcW w:w="2776" w:type="pct"/>
            <w:gridSpan w:val="3"/>
            <w:tcBorders>
              <w:top w:val="single" w:sz="8" w:space="0" w:color="000000"/>
              <w:left w:val="single" w:sz="8" w:space="0" w:color="000000"/>
              <w:bottom w:val="single" w:sz="8" w:space="0" w:color="000000"/>
              <w:right w:val="nil"/>
            </w:tcBorders>
          </w:tcPr>
          <w:p w14:paraId="07C3CFEB"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Tipo de residuos y su distribución </w:t>
            </w:r>
          </w:p>
        </w:tc>
        <w:tc>
          <w:tcPr>
            <w:tcW w:w="714" w:type="pct"/>
            <w:tcBorders>
              <w:top w:val="single" w:sz="8" w:space="0" w:color="000000"/>
              <w:left w:val="nil"/>
              <w:bottom w:val="single" w:sz="8" w:space="0" w:color="000000"/>
              <w:right w:val="nil"/>
            </w:tcBorders>
          </w:tcPr>
          <w:p w14:paraId="7E0C31B3" w14:textId="77777777" w:rsidR="0085505C" w:rsidRPr="002A7673" w:rsidRDefault="0085505C" w:rsidP="0048334E">
            <w:pPr>
              <w:rPr>
                <w:rFonts w:ascii="Times New Roman" w:hAnsi="Times New Roman" w:cs="Times New Roman"/>
                <w:i/>
                <w:iCs/>
                <w:sz w:val="24"/>
                <w:szCs w:val="24"/>
              </w:rPr>
            </w:pPr>
          </w:p>
        </w:tc>
        <w:tc>
          <w:tcPr>
            <w:tcW w:w="795" w:type="pct"/>
            <w:tcBorders>
              <w:top w:val="single" w:sz="8" w:space="0" w:color="000000"/>
              <w:left w:val="nil"/>
              <w:bottom w:val="single" w:sz="8" w:space="0" w:color="000000"/>
              <w:right w:val="nil"/>
            </w:tcBorders>
          </w:tcPr>
          <w:p w14:paraId="34DB9D3C" w14:textId="77777777" w:rsidR="0085505C" w:rsidRPr="002A7673" w:rsidRDefault="0085505C" w:rsidP="0048334E">
            <w:pPr>
              <w:rPr>
                <w:rFonts w:ascii="Times New Roman" w:hAnsi="Times New Roman" w:cs="Times New Roman"/>
                <w:i/>
                <w:iCs/>
                <w:sz w:val="24"/>
                <w:szCs w:val="24"/>
              </w:rPr>
            </w:pPr>
          </w:p>
        </w:tc>
        <w:tc>
          <w:tcPr>
            <w:tcW w:w="715" w:type="pct"/>
            <w:tcBorders>
              <w:top w:val="single" w:sz="8" w:space="0" w:color="000000"/>
              <w:left w:val="nil"/>
              <w:bottom w:val="single" w:sz="8" w:space="0" w:color="000000"/>
              <w:right w:val="single" w:sz="8" w:space="0" w:color="000000"/>
            </w:tcBorders>
          </w:tcPr>
          <w:p w14:paraId="682BCE5A" w14:textId="77777777" w:rsidR="0085505C" w:rsidRPr="002A7673" w:rsidRDefault="0085505C" w:rsidP="0048334E">
            <w:pPr>
              <w:rPr>
                <w:rFonts w:ascii="Times New Roman" w:hAnsi="Times New Roman" w:cs="Times New Roman"/>
                <w:i/>
                <w:iCs/>
                <w:sz w:val="24"/>
                <w:szCs w:val="24"/>
              </w:rPr>
            </w:pPr>
          </w:p>
        </w:tc>
      </w:tr>
      <w:tr w:rsidR="0085505C" w:rsidRPr="002A7673" w14:paraId="5CB2CF2C" w14:textId="77777777" w:rsidTr="0048334E">
        <w:trPr>
          <w:trHeight w:val="322"/>
        </w:trPr>
        <w:tc>
          <w:tcPr>
            <w:tcW w:w="1027" w:type="pct"/>
            <w:tcBorders>
              <w:top w:val="single" w:sz="8" w:space="0" w:color="000000"/>
              <w:left w:val="single" w:sz="8" w:space="0" w:color="000000"/>
              <w:bottom w:val="single" w:sz="8" w:space="0" w:color="000000"/>
              <w:right w:val="single" w:sz="8" w:space="0" w:color="000000"/>
            </w:tcBorders>
          </w:tcPr>
          <w:p w14:paraId="32A05689"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papel y cartón </w:t>
            </w:r>
          </w:p>
        </w:tc>
        <w:tc>
          <w:tcPr>
            <w:tcW w:w="954" w:type="pct"/>
            <w:tcBorders>
              <w:top w:val="single" w:sz="8" w:space="0" w:color="000000"/>
              <w:left w:val="single" w:sz="8" w:space="0" w:color="000000"/>
              <w:bottom w:val="single" w:sz="8" w:space="0" w:color="000000"/>
              <w:right w:val="single" w:sz="8" w:space="0" w:color="000000"/>
            </w:tcBorders>
          </w:tcPr>
          <w:p w14:paraId="4C248562"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plástico </w:t>
            </w:r>
          </w:p>
        </w:tc>
        <w:tc>
          <w:tcPr>
            <w:tcW w:w="795" w:type="pct"/>
            <w:tcBorders>
              <w:top w:val="single" w:sz="8" w:space="0" w:color="000000"/>
              <w:left w:val="single" w:sz="8" w:space="0" w:color="000000"/>
              <w:bottom w:val="single" w:sz="8" w:space="0" w:color="000000"/>
              <w:right w:val="single" w:sz="8" w:space="0" w:color="000000"/>
            </w:tcBorders>
          </w:tcPr>
          <w:p w14:paraId="301DE29C"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metal </w:t>
            </w:r>
          </w:p>
        </w:tc>
        <w:tc>
          <w:tcPr>
            <w:tcW w:w="714" w:type="pct"/>
            <w:tcBorders>
              <w:top w:val="single" w:sz="8" w:space="0" w:color="000000"/>
              <w:left w:val="single" w:sz="8" w:space="0" w:color="000000"/>
              <w:bottom w:val="single" w:sz="8" w:space="0" w:color="000000"/>
              <w:right w:val="single" w:sz="8" w:space="0" w:color="000000"/>
            </w:tcBorders>
          </w:tcPr>
          <w:p w14:paraId="058B44A1"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vidrio </w:t>
            </w:r>
          </w:p>
        </w:tc>
        <w:tc>
          <w:tcPr>
            <w:tcW w:w="795" w:type="pct"/>
            <w:tcBorders>
              <w:top w:val="single" w:sz="8" w:space="0" w:color="000000"/>
              <w:left w:val="single" w:sz="8" w:space="0" w:color="000000"/>
              <w:bottom w:val="single" w:sz="8" w:space="0" w:color="000000"/>
              <w:right w:val="single" w:sz="8" w:space="0" w:color="000000"/>
            </w:tcBorders>
          </w:tcPr>
          <w:p w14:paraId="4AD492AE"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tejidos </w:t>
            </w:r>
          </w:p>
        </w:tc>
        <w:tc>
          <w:tcPr>
            <w:tcW w:w="715" w:type="pct"/>
            <w:tcBorders>
              <w:top w:val="single" w:sz="8" w:space="0" w:color="000000"/>
              <w:left w:val="single" w:sz="8" w:space="0" w:color="000000"/>
              <w:bottom w:val="single" w:sz="8" w:space="0" w:color="000000"/>
              <w:right w:val="single" w:sz="8" w:space="0" w:color="000000"/>
            </w:tcBorders>
          </w:tcPr>
          <w:p w14:paraId="580BEDE8"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madera </w:t>
            </w:r>
          </w:p>
        </w:tc>
      </w:tr>
      <w:tr w:rsidR="0085505C" w:rsidRPr="002A7673" w14:paraId="40439844" w14:textId="77777777" w:rsidTr="0048334E">
        <w:trPr>
          <w:trHeight w:val="319"/>
        </w:trPr>
        <w:tc>
          <w:tcPr>
            <w:tcW w:w="1027" w:type="pct"/>
            <w:tcBorders>
              <w:top w:val="single" w:sz="8" w:space="0" w:color="000000"/>
              <w:left w:val="single" w:sz="8" w:space="0" w:color="000000"/>
              <w:bottom w:val="single" w:sz="8" w:space="0" w:color="000000"/>
              <w:right w:val="single" w:sz="8" w:space="0" w:color="000000"/>
            </w:tcBorders>
          </w:tcPr>
          <w:p w14:paraId="52C2A86B"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25% </w:t>
            </w:r>
          </w:p>
        </w:tc>
        <w:tc>
          <w:tcPr>
            <w:tcW w:w="954" w:type="pct"/>
            <w:tcBorders>
              <w:top w:val="single" w:sz="8" w:space="0" w:color="000000"/>
              <w:left w:val="single" w:sz="8" w:space="0" w:color="000000"/>
              <w:bottom w:val="single" w:sz="8" w:space="0" w:color="000000"/>
              <w:right w:val="single" w:sz="8" w:space="0" w:color="000000"/>
            </w:tcBorders>
          </w:tcPr>
          <w:p w14:paraId="10C3FE1F"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20% </w:t>
            </w:r>
          </w:p>
        </w:tc>
        <w:tc>
          <w:tcPr>
            <w:tcW w:w="795" w:type="pct"/>
            <w:tcBorders>
              <w:top w:val="single" w:sz="8" w:space="0" w:color="000000"/>
              <w:left w:val="single" w:sz="8" w:space="0" w:color="000000"/>
              <w:bottom w:val="single" w:sz="8" w:space="0" w:color="000000"/>
              <w:right w:val="single" w:sz="8" w:space="0" w:color="000000"/>
            </w:tcBorders>
          </w:tcPr>
          <w:p w14:paraId="49F8984B"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13,75% </w:t>
            </w:r>
          </w:p>
        </w:tc>
        <w:tc>
          <w:tcPr>
            <w:tcW w:w="714" w:type="pct"/>
            <w:tcBorders>
              <w:top w:val="single" w:sz="8" w:space="0" w:color="000000"/>
              <w:left w:val="single" w:sz="8" w:space="0" w:color="000000"/>
              <w:bottom w:val="single" w:sz="8" w:space="0" w:color="000000"/>
              <w:right w:val="single" w:sz="8" w:space="0" w:color="000000"/>
            </w:tcBorders>
          </w:tcPr>
          <w:p w14:paraId="60F75574"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13,75% </w:t>
            </w:r>
          </w:p>
        </w:tc>
        <w:tc>
          <w:tcPr>
            <w:tcW w:w="795" w:type="pct"/>
            <w:tcBorders>
              <w:top w:val="single" w:sz="8" w:space="0" w:color="000000"/>
              <w:left w:val="single" w:sz="8" w:space="0" w:color="000000"/>
              <w:bottom w:val="single" w:sz="8" w:space="0" w:color="000000"/>
              <w:right w:val="single" w:sz="8" w:space="0" w:color="000000"/>
            </w:tcBorders>
          </w:tcPr>
          <w:p w14:paraId="0B9625AD"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13,75% </w:t>
            </w:r>
          </w:p>
        </w:tc>
        <w:tc>
          <w:tcPr>
            <w:tcW w:w="715" w:type="pct"/>
            <w:tcBorders>
              <w:top w:val="single" w:sz="8" w:space="0" w:color="000000"/>
              <w:left w:val="single" w:sz="8" w:space="0" w:color="000000"/>
              <w:bottom w:val="single" w:sz="8" w:space="0" w:color="000000"/>
              <w:right w:val="single" w:sz="8" w:space="0" w:color="000000"/>
            </w:tcBorders>
          </w:tcPr>
          <w:p w14:paraId="1A300BDB"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13,75% </w:t>
            </w:r>
          </w:p>
        </w:tc>
      </w:tr>
    </w:tbl>
    <w:p w14:paraId="7C353C05" w14:textId="77777777" w:rsidR="0085505C" w:rsidRPr="002A7673" w:rsidRDefault="0085505C" w:rsidP="0085505C">
      <w:pPr>
        <w:spacing w:after="19" w:line="240" w:lineRule="auto"/>
        <w:ind w:left="680"/>
        <w:rPr>
          <w:rFonts w:ascii="Times New Roman" w:hAnsi="Times New Roman" w:cs="Times New Roman"/>
          <w:i/>
          <w:iCs/>
        </w:rPr>
      </w:pPr>
      <w:r w:rsidRPr="002A7673">
        <w:rPr>
          <w:rFonts w:ascii="Times New Roman" w:eastAsia="Arial" w:hAnsi="Times New Roman" w:cs="Times New Roman"/>
          <w:i/>
          <w:iCs/>
        </w:rPr>
        <w:t xml:space="preserve"> </w:t>
      </w:r>
    </w:p>
    <w:p w14:paraId="214C8B6C"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El año pasado la empresa EBI solicitó un reajuste en el precio pagado por kg de residuo, se cambió de 87.5 colones/kg a 88.5 colones/kg. Al incorporar el </w:t>
      </w:r>
      <w:proofErr w:type="spellStart"/>
      <w:r w:rsidRPr="002A7673">
        <w:rPr>
          <w:rFonts w:ascii="Times New Roman" w:eastAsia="Arial" w:hAnsi="Times New Roman" w:cs="Times New Roman"/>
          <w:i/>
          <w:iCs/>
          <w:sz w:val="26"/>
          <w:szCs w:val="26"/>
        </w:rPr>
        <w:t>i.v.a</w:t>
      </w:r>
      <w:proofErr w:type="spellEnd"/>
      <w:r w:rsidRPr="002A7673">
        <w:rPr>
          <w:rFonts w:ascii="Times New Roman" w:eastAsia="Arial" w:hAnsi="Times New Roman" w:cs="Times New Roman"/>
          <w:i/>
          <w:iCs/>
          <w:sz w:val="26"/>
          <w:szCs w:val="26"/>
        </w:rPr>
        <w:t xml:space="preserve">. el monto asciende a 100 colones/kg. </w:t>
      </w:r>
    </w:p>
    <w:p w14:paraId="108D6E9A"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 </w:t>
      </w:r>
    </w:p>
    <w:p w14:paraId="1CD8BE8C"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El monto que se ha erogado por año es el siguiente: </w:t>
      </w:r>
    </w:p>
    <w:p w14:paraId="4212C7F7"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 </w:t>
      </w:r>
    </w:p>
    <w:tbl>
      <w:tblPr>
        <w:tblStyle w:val="TableGrid0"/>
        <w:tblW w:w="5000" w:type="pct"/>
        <w:tblInd w:w="0" w:type="dxa"/>
        <w:tblCellMar>
          <w:top w:w="16" w:type="dxa"/>
          <w:left w:w="70" w:type="dxa"/>
          <w:bottom w:w="47" w:type="dxa"/>
          <w:right w:w="13" w:type="dxa"/>
        </w:tblCellMar>
        <w:tblLook w:val="04A0" w:firstRow="1" w:lastRow="0" w:firstColumn="1" w:lastColumn="0" w:noHBand="0" w:noVBand="1"/>
      </w:tblPr>
      <w:tblGrid>
        <w:gridCol w:w="5127"/>
        <w:gridCol w:w="4521"/>
      </w:tblGrid>
      <w:tr w:rsidR="0085505C" w:rsidRPr="002A7673" w14:paraId="486A0668" w14:textId="77777777" w:rsidTr="0048334E">
        <w:trPr>
          <w:trHeight w:val="320"/>
        </w:trPr>
        <w:tc>
          <w:tcPr>
            <w:tcW w:w="2657" w:type="pct"/>
            <w:tcBorders>
              <w:top w:val="single" w:sz="8" w:space="0" w:color="000000"/>
              <w:left w:val="single" w:sz="8" w:space="0" w:color="000000"/>
              <w:bottom w:val="single" w:sz="8" w:space="0" w:color="000000"/>
              <w:right w:val="single" w:sz="8" w:space="0" w:color="000000"/>
            </w:tcBorders>
          </w:tcPr>
          <w:p w14:paraId="658E3707"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Monto pagado en 2019 </w:t>
            </w:r>
          </w:p>
        </w:tc>
        <w:tc>
          <w:tcPr>
            <w:tcW w:w="2343" w:type="pct"/>
            <w:tcBorders>
              <w:top w:val="single" w:sz="8" w:space="0" w:color="000000"/>
              <w:left w:val="single" w:sz="8" w:space="0" w:color="000000"/>
              <w:bottom w:val="single" w:sz="8" w:space="0" w:color="000000"/>
              <w:right w:val="single" w:sz="8" w:space="0" w:color="000000"/>
            </w:tcBorders>
          </w:tcPr>
          <w:p w14:paraId="1BE201C1"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1 324 625,00 </w:t>
            </w:r>
          </w:p>
        </w:tc>
      </w:tr>
      <w:tr w:rsidR="0085505C" w:rsidRPr="002A7673" w14:paraId="02172D1E" w14:textId="77777777" w:rsidTr="0048334E">
        <w:trPr>
          <w:trHeight w:val="322"/>
        </w:trPr>
        <w:tc>
          <w:tcPr>
            <w:tcW w:w="2657" w:type="pct"/>
            <w:tcBorders>
              <w:top w:val="single" w:sz="8" w:space="0" w:color="000000"/>
              <w:left w:val="single" w:sz="8" w:space="0" w:color="000000"/>
              <w:bottom w:val="single" w:sz="8" w:space="0" w:color="000000"/>
              <w:right w:val="single" w:sz="8" w:space="0" w:color="000000"/>
            </w:tcBorders>
          </w:tcPr>
          <w:p w14:paraId="26848D96"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Monto pagado en 2020 </w:t>
            </w:r>
          </w:p>
        </w:tc>
        <w:tc>
          <w:tcPr>
            <w:tcW w:w="2343" w:type="pct"/>
            <w:tcBorders>
              <w:top w:val="single" w:sz="8" w:space="0" w:color="000000"/>
              <w:left w:val="single" w:sz="8" w:space="0" w:color="000000"/>
              <w:bottom w:val="single" w:sz="8" w:space="0" w:color="000000"/>
              <w:right w:val="single" w:sz="8" w:space="0" w:color="000000"/>
            </w:tcBorders>
          </w:tcPr>
          <w:p w14:paraId="46388A1C"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711 875,20 </w:t>
            </w:r>
          </w:p>
        </w:tc>
      </w:tr>
      <w:tr w:rsidR="0085505C" w:rsidRPr="002A7673" w14:paraId="6578CE3A" w14:textId="77777777" w:rsidTr="0048334E">
        <w:trPr>
          <w:trHeight w:val="602"/>
        </w:trPr>
        <w:tc>
          <w:tcPr>
            <w:tcW w:w="2657" w:type="pct"/>
            <w:tcBorders>
              <w:top w:val="single" w:sz="8" w:space="0" w:color="000000"/>
              <w:left w:val="single" w:sz="8" w:space="0" w:color="000000"/>
              <w:bottom w:val="single" w:sz="8" w:space="0" w:color="000000"/>
              <w:right w:val="single" w:sz="8" w:space="0" w:color="000000"/>
            </w:tcBorders>
          </w:tcPr>
          <w:p w14:paraId="4E2A7C50" w14:textId="77777777" w:rsidR="0085505C" w:rsidRPr="002A7673" w:rsidRDefault="0085505C" w:rsidP="0048334E">
            <w:pPr>
              <w:jc w:val="both"/>
              <w:rPr>
                <w:rFonts w:ascii="Times New Roman" w:hAnsi="Times New Roman" w:cs="Times New Roman"/>
                <w:i/>
                <w:iCs/>
                <w:sz w:val="24"/>
                <w:szCs w:val="24"/>
              </w:rPr>
            </w:pPr>
            <w:r w:rsidRPr="002A7673">
              <w:rPr>
                <w:rFonts w:ascii="Times New Roman" w:eastAsia="Arial" w:hAnsi="Times New Roman" w:cs="Times New Roman"/>
                <w:b/>
                <w:i/>
                <w:iCs/>
                <w:sz w:val="24"/>
                <w:szCs w:val="24"/>
              </w:rPr>
              <w:t xml:space="preserve">Monto pagado en 2021 (hasta el momento) </w:t>
            </w:r>
          </w:p>
        </w:tc>
        <w:tc>
          <w:tcPr>
            <w:tcW w:w="2343" w:type="pct"/>
            <w:tcBorders>
              <w:top w:val="single" w:sz="8" w:space="0" w:color="000000"/>
              <w:left w:val="single" w:sz="8" w:space="0" w:color="000000"/>
              <w:bottom w:val="single" w:sz="8" w:space="0" w:color="000000"/>
              <w:right w:val="single" w:sz="8" w:space="0" w:color="000000"/>
            </w:tcBorders>
            <w:vAlign w:val="bottom"/>
          </w:tcPr>
          <w:p w14:paraId="4EEFED8B" w14:textId="77777777" w:rsidR="0085505C" w:rsidRPr="002A7673" w:rsidRDefault="0085505C" w:rsidP="0048334E">
            <w:pPr>
              <w:rPr>
                <w:rFonts w:ascii="Times New Roman" w:hAnsi="Times New Roman" w:cs="Times New Roman"/>
                <w:i/>
                <w:iCs/>
                <w:sz w:val="24"/>
                <w:szCs w:val="24"/>
              </w:rPr>
            </w:pPr>
            <w:r w:rsidRPr="002A7673">
              <w:rPr>
                <w:rFonts w:ascii="Times New Roman" w:eastAsia="Arial" w:hAnsi="Times New Roman" w:cs="Times New Roman"/>
                <w:i/>
                <w:iCs/>
                <w:sz w:val="24"/>
                <w:szCs w:val="24"/>
              </w:rPr>
              <w:t xml:space="preserve">248 000,00 </w:t>
            </w:r>
          </w:p>
        </w:tc>
      </w:tr>
    </w:tbl>
    <w:p w14:paraId="668C7404" w14:textId="77777777" w:rsidR="0085505C" w:rsidRPr="002A7673" w:rsidRDefault="0085505C" w:rsidP="0085505C">
      <w:pPr>
        <w:spacing w:after="16" w:line="240" w:lineRule="auto"/>
        <w:ind w:left="680"/>
        <w:rPr>
          <w:rFonts w:ascii="Times New Roman" w:hAnsi="Times New Roman" w:cs="Times New Roman"/>
          <w:i/>
          <w:iCs/>
        </w:rPr>
      </w:pPr>
      <w:r w:rsidRPr="002A7673">
        <w:rPr>
          <w:rFonts w:ascii="Times New Roman" w:eastAsia="Arial" w:hAnsi="Times New Roman" w:cs="Times New Roman"/>
          <w:i/>
          <w:iCs/>
        </w:rPr>
        <w:lastRenderedPageBreak/>
        <w:t xml:space="preserve"> </w:t>
      </w:r>
    </w:p>
    <w:p w14:paraId="354B9B57"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Los residuos que se gestionan a través de este contrato son los que no pueden ser reciclados por distintas circunstancias (por ejemplo: el material no se recicla en el país; el material está contaminado o las condiciones en que se encuentra no lo permite, etc.). Por otro lado, los residuos valorizables se entregan a gestores autorizados de residuos sin un costo asociado (excepto en casos especiales). Adjunto los certificados de gestión de residuos valorizables.” </w:t>
      </w:r>
    </w:p>
    <w:p w14:paraId="309322F0"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 </w:t>
      </w:r>
    </w:p>
    <w:p w14:paraId="17B00BDC"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Según se observa del anterior criterio, si bien es cierto se cuenta con el contrato para la recolección de desechos producto de las destrucciones de objetos decomisados, se ha optado por hacer entrega de los desechos susceptibles de reciclaje a gestores ambientales autorizados, dejando solamente aquellos desechos que no es posible reciclar para ser gestionados por medio del contrato N° 034118, por lo que el volumen de desechos a procesar por medio del referido contrato se ha reducido de manera importante. Para muestra el monto que se ha pagada durante los años 2019, 2020 y lo que ha transcurrido del año 2021. </w:t>
      </w:r>
    </w:p>
    <w:p w14:paraId="57C3B303" w14:textId="77777777" w:rsidR="0085505C" w:rsidRPr="002A7673" w:rsidRDefault="0085505C" w:rsidP="0085505C">
      <w:pPr>
        <w:spacing w:after="0" w:line="240" w:lineRule="auto"/>
        <w:ind w:left="851" w:right="851" w:firstLine="709"/>
        <w:jc w:val="both"/>
        <w:rPr>
          <w:rFonts w:ascii="Times New Roman" w:hAnsi="Times New Roman" w:cs="Times New Roman"/>
          <w:i/>
          <w:iCs/>
          <w:sz w:val="26"/>
          <w:szCs w:val="26"/>
        </w:rPr>
      </w:pPr>
      <w:r w:rsidRPr="002A7673">
        <w:rPr>
          <w:rFonts w:ascii="Times New Roman" w:eastAsia="Arial" w:hAnsi="Times New Roman" w:cs="Times New Roman"/>
          <w:i/>
          <w:iCs/>
          <w:sz w:val="26"/>
          <w:szCs w:val="26"/>
        </w:rPr>
        <w:t xml:space="preserve"> </w:t>
      </w:r>
    </w:p>
    <w:p w14:paraId="09B76DDC" w14:textId="77777777" w:rsidR="0085505C" w:rsidRPr="002A7673" w:rsidRDefault="0085505C" w:rsidP="0085505C">
      <w:pPr>
        <w:spacing w:after="0" w:line="240" w:lineRule="auto"/>
        <w:ind w:left="851" w:right="851" w:firstLine="709"/>
        <w:jc w:val="both"/>
        <w:rPr>
          <w:rFonts w:ascii="Times New Roman" w:eastAsia="Arial" w:hAnsi="Times New Roman" w:cs="Times New Roman"/>
          <w:i/>
          <w:iCs/>
          <w:sz w:val="26"/>
          <w:szCs w:val="26"/>
        </w:rPr>
      </w:pPr>
      <w:r w:rsidRPr="002A7673">
        <w:rPr>
          <w:rFonts w:ascii="Times New Roman" w:eastAsia="Arial" w:hAnsi="Times New Roman" w:cs="Times New Roman"/>
          <w:i/>
          <w:iCs/>
          <w:sz w:val="26"/>
          <w:szCs w:val="26"/>
        </w:rPr>
        <w:t>Por lo anterior es necesario que, con este registro histórico y dado que los desechos reciclables se están entregando a gestores ambientales autorizados, se revise el monto formulado para el año 2022 por parte del Organismo de Investigación Judicial, pues según consulta realizada en el SIGA-PJ, para este contrato se formularon para ese año la suma de Ȼ5,083,451.00.”</w:t>
      </w:r>
    </w:p>
    <w:p w14:paraId="5CFE3662" w14:textId="77777777" w:rsidR="0085505C" w:rsidRPr="002A7673" w:rsidRDefault="0085505C" w:rsidP="0085505C">
      <w:pPr>
        <w:spacing w:after="12" w:line="268" w:lineRule="auto"/>
        <w:ind w:left="675" w:right="55" w:hanging="10"/>
        <w:jc w:val="both"/>
        <w:rPr>
          <w:rFonts w:ascii="Times New Roman" w:hAnsi="Times New Roman" w:cs="Times New Roman"/>
          <w:i/>
          <w:iCs/>
        </w:rPr>
      </w:pPr>
    </w:p>
    <w:p w14:paraId="1F7946EA" w14:textId="77777777" w:rsidR="0085505C" w:rsidRPr="002A7673" w:rsidRDefault="0085505C" w:rsidP="0085505C">
      <w:pPr>
        <w:spacing w:after="0" w:line="360" w:lineRule="auto"/>
        <w:jc w:val="center"/>
        <w:rPr>
          <w:rFonts w:ascii="Times New Roman" w:hAnsi="Times New Roman" w:cs="Times New Roman"/>
          <w:color w:val="000000"/>
          <w:sz w:val="28"/>
          <w:szCs w:val="28"/>
        </w:rPr>
      </w:pPr>
      <w:r w:rsidRPr="002A7673">
        <w:rPr>
          <w:rFonts w:ascii="Times New Roman" w:hAnsi="Times New Roman" w:cs="Times New Roman"/>
          <w:color w:val="000000"/>
          <w:sz w:val="28"/>
          <w:szCs w:val="28"/>
        </w:rPr>
        <w:object w:dxaOrig="1508" w:dyaOrig="984" w14:anchorId="1CABA4B9">
          <v:shape id="_x0000_i1162" type="#_x0000_t75" style="width:1in;height:50.25pt" o:ole="">
            <v:imagedata r:id="rId374" o:title=""/>
          </v:shape>
          <o:OLEObject Type="Embed" ProgID="AcroExch.Document.DC" ShapeID="_x0000_i1162" DrawAspect="Icon" ObjectID="_1684067105" r:id="rId375"/>
        </w:object>
      </w:r>
    </w:p>
    <w:p w14:paraId="0AA23569" w14:textId="77777777" w:rsidR="0085505C" w:rsidRPr="002A7673" w:rsidRDefault="0085505C" w:rsidP="0085505C">
      <w:pPr>
        <w:ind w:right="851"/>
        <w:jc w:val="center"/>
        <w:rPr>
          <w:rFonts w:ascii="Times New Roman" w:hAnsi="Times New Roman" w:cs="Times New Roman"/>
          <w:sz w:val="28"/>
          <w:szCs w:val="28"/>
          <w:lang w:val="es-ES_tradnl"/>
        </w:rPr>
      </w:pPr>
      <w:r w:rsidRPr="002A7673">
        <w:rPr>
          <w:rFonts w:ascii="Times New Roman" w:hAnsi="Times New Roman" w:cs="Times New Roman"/>
          <w:sz w:val="28"/>
          <w:szCs w:val="28"/>
        </w:rPr>
        <w:t>-0-</w:t>
      </w:r>
    </w:p>
    <w:p w14:paraId="0BE7ABAE" w14:textId="77777777" w:rsidR="0085505C" w:rsidRPr="002A7673" w:rsidRDefault="0085505C" w:rsidP="0085505C">
      <w:pPr>
        <w:spacing w:before="120" w:after="12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Al respecto, se informa </w:t>
      </w:r>
      <w:proofErr w:type="gramStart"/>
      <w:r w:rsidRPr="002A7673">
        <w:rPr>
          <w:rFonts w:ascii="Times New Roman" w:hAnsi="Times New Roman" w:cs="Times New Roman"/>
          <w:sz w:val="26"/>
          <w:szCs w:val="26"/>
        </w:rPr>
        <w:t>que</w:t>
      </w:r>
      <w:proofErr w:type="gramEnd"/>
      <w:r w:rsidRPr="002A7673">
        <w:rPr>
          <w:rFonts w:ascii="Times New Roman" w:hAnsi="Times New Roman" w:cs="Times New Roman"/>
          <w:sz w:val="26"/>
          <w:szCs w:val="26"/>
        </w:rPr>
        <w:t xml:space="preserve"> mediante correo electrónico de este 28 de abril, la Licda. Ana </w:t>
      </w:r>
      <w:proofErr w:type="spellStart"/>
      <w:r w:rsidRPr="002A7673">
        <w:rPr>
          <w:rFonts w:ascii="Times New Roman" w:hAnsi="Times New Roman" w:cs="Times New Roman"/>
          <w:sz w:val="26"/>
          <w:szCs w:val="26"/>
        </w:rPr>
        <w:t>Yancy</w:t>
      </w:r>
      <w:proofErr w:type="spellEnd"/>
      <w:r w:rsidRPr="002A7673">
        <w:rPr>
          <w:rFonts w:ascii="Times New Roman" w:hAnsi="Times New Roman" w:cs="Times New Roman"/>
          <w:sz w:val="26"/>
          <w:szCs w:val="26"/>
        </w:rPr>
        <w:t xml:space="preserve"> Ramírez Rodríguez, Jefa del Depósito de Objetos Decomisados, confirmó que con respecto al dinero presupuestado para este contrato, efectivamente se ha reducido la cantidad de objetos para destrucción, y se proyecta hacer cuatro destrucciones anuales. Agregó </w:t>
      </w:r>
      <w:proofErr w:type="gramStart"/>
      <w:r w:rsidRPr="002A7673">
        <w:rPr>
          <w:rFonts w:ascii="Times New Roman" w:hAnsi="Times New Roman" w:cs="Times New Roman"/>
          <w:sz w:val="26"/>
          <w:szCs w:val="26"/>
        </w:rPr>
        <w:t>que</w:t>
      </w:r>
      <w:proofErr w:type="gramEnd"/>
      <w:r w:rsidRPr="002A7673">
        <w:rPr>
          <w:rFonts w:ascii="Times New Roman" w:hAnsi="Times New Roman" w:cs="Times New Roman"/>
          <w:sz w:val="26"/>
          <w:szCs w:val="26"/>
        </w:rPr>
        <w:t xml:space="preserve"> considerando el tamaño y peso de los objetos pendientes de destruir, se estima requerir un presupuesto de 400 mil colones por destrucción, para un monto total de 1 millón seiscientos mil colones por año.</w:t>
      </w:r>
    </w:p>
    <w:p w14:paraId="51B1DDF8" w14:textId="77777777" w:rsidR="0085505C" w:rsidRPr="002A7673" w:rsidRDefault="0085505C" w:rsidP="0085505C">
      <w:pPr>
        <w:autoSpaceDE w:val="0"/>
        <w:autoSpaceDN w:val="0"/>
        <w:adjustRightInd w:val="0"/>
        <w:spacing w:after="0" w:line="240" w:lineRule="auto"/>
        <w:rPr>
          <w:rFonts w:ascii="Times New Roman" w:eastAsia="Times New Roman" w:hAnsi="Times New Roman" w:cs="Times New Roman"/>
          <w:b/>
          <w:bCs/>
          <w:color w:val="000000"/>
          <w:lang w:eastAsia="es-CR"/>
        </w:rPr>
      </w:pPr>
    </w:p>
    <w:p w14:paraId="2F9D4FEE" w14:textId="77777777" w:rsidR="0085505C" w:rsidRPr="002A7673" w:rsidRDefault="0085505C" w:rsidP="0085505C">
      <w:pPr>
        <w:spacing w:after="0" w:line="480" w:lineRule="auto"/>
        <w:ind w:firstLine="709"/>
        <w:jc w:val="both"/>
        <w:rPr>
          <w:rFonts w:ascii="Times New Roman" w:hAnsi="Times New Roman" w:cs="Times New Roman"/>
          <w:b/>
          <w:color w:val="FF0000"/>
          <w:sz w:val="28"/>
          <w:szCs w:val="28"/>
        </w:rPr>
      </w:pPr>
      <w:r w:rsidRPr="002A7673">
        <w:rPr>
          <w:rFonts w:ascii="Times New Roman" w:hAnsi="Times New Roman" w:cs="Times New Roman"/>
          <w:b/>
          <w:bCs/>
          <w:sz w:val="28"/>
          <w:szCs w:val="28"/>
        </w:rPr>
        <w:t>Se acordó</w:t>
      </w:r>
      <w:r w:rsidRPr="002A7673">
        <w:rPr>
          <w:rFonts w:ascii="Times New Roman" w:hAnsi="Times New Roman" w:cs="Times New Roman"/>
          <w:sz w:val="28"/>
          <w:szCs w:val="28"/>
        </w:rPr>
        <w:t xml:space="preserve">: </w:t>
      </w:r>
      <w:r w:rsidRPr="002A7673">
        <w:rPr>
          <w:rFonts w:ascii="Times New Roman" w:hAnsi="Times New Roman" w:cs="Times New Roman"/>
          <w:b/>
          <w:bCs/>
          <w:sz w:val="28"/>
          <w:szCs w:val="28"/>
        </w:rPr>
        <w:t>1)</w:t>
      </w:r>
      <w:r w:rsidRPr="002A7673">
        <w:rPr>
          <w:rFonts w:ascii="Times New Roman" w:hAnsi="Times New Roman" w:cs="Times New Roman"/>
          <w:sz w:val="28"/>
          <w:szCs w:val="28"/>
        </w:rPr>
        <w:t xml:space="preserve"> Ajustar la previsión presupuestaria realizada por el </w:t>
      </w:r>
      <w:bookmarkStart w:id="263" w:name="_Hlk70876117"/>
      <w:r w:rsidRPr="002A7673">
        <w:rPr>
          <w:rFonts w:ascii="Times New Roman" w:hAnsi="Times New Roman" w:cs="Times New Roman"/>
          <w:sz w:val="28"/>
          <w:szCs w:val="28"/>
        </w:rPr>
        <w:t>Depósito de Objetos del Organismo de Investigación Judicial</w:t>
      </w:r>
      <w:bookmarkEnd w:id="263"/>
      <w:r w:rsidRPr="002A7673">
        <w:rPr>
          <w:rFonts w:ascii="Times New Roman" w:hAnsi="Times New Roman" w:cs="Times New Roman"/>
          <w:sz w:val="28"/>
          <w:szCs w:val="28"/>
        </w:rPr>
        <w:t xml:space="preserve">, para la atención del contrato </w:t>
      </w:r>
      <w:proofErr w:type="spellStart"/>
      <w:r w:rsidRPr="002A7673">
        <w:rPr>
          <w:rFonts w:ascii="Times New Roman" w:hAnsi="Times New Roman" w:cs="Times New Roman"/>
          <w:sz w:val="28"/>
          <w:szCs w:val="28"/>
        </w:rPr>
        <w:t>contrato</w:t>
      </w:r>
      <w:proofErr w:type="spellEnd"/>
      <w:r w:rsidRPr="002A7673">
        <w:rPr>
          <w:rFonts w:ascii="Times New Roman" w:hAnsi="Times New Roman" w:cs="Times New Roman"/>
          <w:sz w:val="28"/>
          <w:szCs w:val="28"/>
        </w:rPr>
        <w:t xml:space="preserve"> N° 034118, suscrito con la contratista Empresas </w:t>
      </w:r>
      <w:proofErr w:type="spellStart"/>
      <w:r w:rsidRPr="002A7673">
        <w:rPr>
          <w:rFonts w:ascii="Times New Roman" w:hAnsi="Times New Roman" w:cs="Times New Roman"/>
          <w:sz w:val="28"/>
          <w:szCs w:val="28"/>
        </w:rPr>
        <w:t>Berthier</w:t>
      </w:r>
      <w:proofErr w:type="spellEnd"/>
      <w:r w:rsidRPr="002A7673">
        <w:rPr>
          <w:rFonts w:ascii="Times New Roman" w:hAnsi="Times New Roman" w:cs="Times New Roman"/>
          <w:sz w:val="28"/>
          <w:szCs w:val="28"/>
        </w:rPr>
        <w:t xml:space="preserve"> EBI de Costa Rica, S.A., suscrito el 21 de agosto del 2018 y que se encuentra vigente hasta el 28 de agosto del 2022, a un monto total de Ȼ1.600.000 (Un millón seiscientos mil colones exactos) para el año 2022. </w:t>
      </w:r>
      <w:r w:rsidRPr="002A7673">
        <w:rPr>
          <w:rFonts w:ascii="Times New Roman" w:hAnsi="Times New Roman" w:cs="Times New Roman"/>
          <w:b/>
          <w:bCs/>
          <w:sz w:val="28"/>
          <w:szCs w:val="28"/>
        </w:rPr>
        <w:t>Se declara acuerdo firme.</w:t>
      </w:r>
    </w:p>
    <w:p w14:paraId="41103953" w14:textId="77777777" w:rsidR="0085505C" w:rsidRPr="002A7673" w:rsidRDefault="0085505C" w:rsidP="0085505C">
      <w:pPr>
        <w:keepNext/>
        <w:shd w:val="clear" w:color="auto" w:fill="FFFFFF"/>
        <w:autoSpaceDE w:val="0"/>
        <w:autoSpaceDN w:val="0"/>
        <w:spacing w:after="0" w:line="360" w:lineRule="auto"/>
        <w:jc w:val="center"/>
        <w:outlineLvl w:val="0"/>
        <w:rPr>
          <w:rFonts w:ascii="Times New Roman" w:eastAsia="Times New Roman" w:hAnsi="Times New Roman" w:cs="Times New Roman"/>
          <w:b/>
          <w:bCs/>
          <w:color w:val="000000"/>
          <w:kern w:val="36"/>
          <w:sz w:val="28"/>
          <w:szCs w:val="28"/>
          <w:u w:val="single"/>
          <w:lang w:eastAsia="es-ES"/>
        </w:rPr>
      </w:pPr>
      <w:r w:rsidRPr="002A7673">
        <w:rPr>
          <w:rFonts w:ascii="Times New Roman" w:eastAsia="Times New Roman" w:hAnsi="Times New Roman" w:cs="Times New Roman"/>
          <w:b/>
          <w:bCs/>
          <w:color w:val="000000"/>
          <w:kern w:val="36"/>
          <w:sz w:val="28"/>
          <w:szCs w:val="28"/>
          <w:u w:val="single"/>
          <w:lang w:eastAsia="es-ES"/>
        </w:rPr>
        <w:t>ARTÍCULO XX</w:t>
      </w:r>
    </w:p>
    <w:p w14:paraId="458842EF" w14:textId="77777777" w:rsidR="0085505C" w:rsidRPr="002A7673" w:rsidRDefault="0085505C" w:rsidP="007125D1">
      <w:pPr>
        <w:widowControl w:val="0"/>
        <w:spacing w:before="120" w:after="120" w:line="480" w:lineRule="auto"/>
        <w:rPr>
          <w:rFonts w:ascii="Times New Roman" w:eastAsia="Times New Roman" w:hAnsi="Times New Roman" w:cs="Times New Roman"/>
          <w:b/>
          <w:bCs/>
          <w:color w:val="00B050"/>
          <w:sz w:val="28"/>
          <w:szCs w:val="28"/>
          <w:lang w:eastAsia="es-ES"/>
        </w:rPr>
      </w:pPr>
      <w:r w:rsidRPr="002A7673">
        <w:rPr>
          <w:rFonts w:ascii="Times New Roman" w:eastAsia="Times New Roman" w:hAnsi="Times New Roman" w:cs="Times New Roman"/>
          <w:b/>
          <w:bCs/>
          <w:sz w:val="28"/>
          <w:szCs w:val="28"/>
          <w:lang w:eastAsia="es-ES"/>
        </w:rPr>
        <w:t xml:space="preserve">Documento Nº 21-2021, </w:t>
      </w:r>
      <w:r w:rsidRPr="002A7673">
        <w:rPr>
          <w:rFonts w:ascii="Times New Roman" w:eastAsia="Times New Roman" w:hAnsi="Times New Roman" w:cs="Times New Roman"/>
          <w:b/>
          <w:bCs/>
          <w:color w:val="339933"/>
          <w:sz w:val="28"/>
          <w:szCs w:val="28"/>
          <w:lang w:eastAsia="es-ES"/>
        </w:rPr>
        <w:t>4304-2021</w:t>
      </w:r>
      <w:r w:rsidRPr="002A7673">
        <w:rPr>
          <w:rFonts w:ascii="Times New Roman" w:eastAsia="Times New Roman" w:hAnsi="Times New Roman" w:cs="Times New Roman"/>
          <w:color w:val="339933"/>
          <w:sz w:val="20"/>
          <w:szCs w:val="20"/>
          <w:lang w:eastAsia="es-ES"/>
        </w:rPr>
        <w:t xml:space="preserve">, </w:t>
      </w:r>
      <w:r w:rsidRPr="002A7673">
        <w:rPr>
          <w:rFonts w:ascii="Times New Roman" w:eastAsia="Times New Roman" w:hAnsi="Times New Roman" w:cs="Times New Roman"/>
          <w:b/>
          <w:bCs/>
          <w:color w:val="339933"/>
          <w:sz w:val="28"/>
          <w:szCs w:val="28"/>
          <w:lang w:eastAsia="es-ES"/>
        </w:rPr>
        <w:t>4385-2021</w:t>
      </w:r>
    </w:p>
    <w:p w14:paraId="177CB6A6" w14:textId="77777777" w:rsidR="0085505C" w:rsidRPr="002A7673" w:rsidRDefault="0085505C" w:rsidP="0085505C">
      <w:pPr>
        <w:widowControl w:val="0"/>
        <w:spacing w:after="120" w:line="480" w:lineRule="auto"/>
        <w:rPr>
          <w:rFonts w:ascii="Times New Roman" w:eastAsia="Times New Roman" w:hAnsi="Times New Roman" w:cs="Times New Roman"/>
          <w:snapToGrid w:val="0"/>
          <w:sz w:val="28"/>
          <w:szCs w:val="28"/>
          <w:lang w:eastAsia="es-ES"/>
        </w:rPr>
      </w:pPr>
      <w:r w:rsidRPr="002A7673">
        <w:rPr>
          <w:rFonts w:ascii="Times New Roman" w:eastAsia="Times New Roman" w:hAnsi="Times New Roman" w:cs="Times New Roman"/>
          <w:snapToGrid w:val="0"/>
          <w:sz w:val="28"/>
          <w:szCs w:val="28"/>
          <w:lang w:eastAsia="es-ES"/>
        </w:rPr>
        <w:t>La licenciada Nacira Valverde Bermúdez, Directora interina de Planificación, mediante oficio N° 499-PLA-MI-2021 del 28 de abril de 2021, comunicó:</w:t>
      </w:r>
    </w:p>
    <w:p w14:paraId="2677C065"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“Le remito el informe suscrito por el Ing. Jorge Fernando Rodríguez Salazar, Jefe </w:t>
      </w:r>
      <w:proofErr w:type="spellStart"/>
      <w:r w:rsidRPr="002A7673">
        <w:rPr>
          <w:rFonts w:ascii="Times New Roman" w:hAnsi="Times New Roman" w:cs="Times New Roman"/>
          <w:sz w:val="26"/>
          <w:szCs w:val="26"/>
        </w:rPr>
        <w:t>a.i.</w:t>
      </w:r>
      <w:proofErr w:type="spellEnd"/>
      <w:r w:rsidRPr="002A7673">
        <w:rPr>
          <w:rFonts w:ascii="Times New Roman" w:hAnsi="Times New Roman" w:cs="Times New Roman"/>
          <w:sz w:val="26"/>
          <w:szCs w:val="26"/>
        </w:rPr>
        <w:t xml:space="preserve"> del Subproceso de Modernización Institucional, relacionado con el análisis de plazas de </w:t>
      </w:r>
      <w:proofErr w:type="gramStart"/>
      <w:r w:rsidRPr="002A7673">
        <w:rPr>
          <w:rFonts w:ascii="Times New Roman" w:hAnsi="Times New Roman" w:cs="Times New Roman"/>
          <w:sz w:val="26"/>
          <w:szCs w:val="26"/>
        </w:rPr>
        <w:t>Técnicas y Técnicos</w:t>
      </w:r>
      <w:proofErr w:type="gramEnd"/>
      <w:r w:rsidRPr="002A7673">
        <w:rPr>
          <w:rFonts w:ascii="Times New Roman" w:hAnsi="Times New Roman" w:cs="Times New Roman"/>
          <w:sz w:val="26"/>
          <w:szCs w:val="26"/>
        </w:rPr>
        <w:t xml:space="preserve"> Jurídicos de la Defensa Pública, con la intención de buscar alternativas para el reforzamiento de las plazas requeridas para la Defensa Pública según prioridades institucionales.</w:t>
      </w:r>
    </w:p>
    <w:p w14:paraId="5B1C9E1C"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73EA7395"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Con el fin de que se manifestaran al respecto, mediante oficio 420-PLA-MI-2021 del 14 de abril de 2021, el preliminar de este documento fue puesto en conocimiento del máster Juan Carlos Pérez Murillo, Director de la Defensa Pública, además, se le solicitó criterio a la Dirección de Gestión Humana y al Subproceso de Presupuesto de la Dirección de Gestión Humana. Como respuesta se recibió el oficio JEFDP-620-2021 el 20 de abril de 2021, suscrito por el Máster Pérez Murillo, Director de la Defensa Pública, así como el oficio JEFDP-635-2021 el 23 de abril de 2021 en ampliación al oficio anterior citado, suscrito por el Máster Pérez Murillo, Director de la Defensa Pública. Las observaciones fueron atendidas y consideradas en lo pertinente en el informe que se presenta.”</w:t>
      </w:r>
    </w:p>
    <w:p w14:paraId="04610C0D"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1A17F803" w14:textId="77777777" w:rsidR="0085505C" w:rsidRPr="002A7673" w:rsidRDefault="0085505C" w:rsidP="0085505C">
      <w:pPr>
        <w:widowControl w:val="0"/>
        <w:spacing w:after="240" w:line="276" w:lineRule="auto"/>
        <w:jc w:val="center"/>
        <w:rPr>
          <w:rFonts w:ascii="Times New Roman" w:hAnsi="Times New Roman" w:cs="Times New Roman"/>
          <w:sz w:val="26"/>
          <w:szCs w:val="26"/>
        </w:rPr>
      </w:pPr>
      <w:r w:rsidRPr="002A7673">
        <w:rPr>
          <w:rFonts w:ascii="Times New Roman" w:hAnsi="Times New Roman" w:cs="Times New Roman"/>
          <w:sz w:val="26"/>
          <w:szCs w:val="26"/>
        </w:rPr>
        <w:t>- 0 -</w:t>
      </w:r>
    </w:p>
    <w:p w14:paraId="249241CA" w14:textId="77777777" w:rsidR="0085505C" w:rsidRPr="002A7673" w:rsidRDefault="0085505C" w:rsidP="0085505C">
      <w:pPr>
        <w:widowControl w:val="0"/>
        <w:spacing w:after="0" w:line="480" w:lineRule="auto"/>
        <w:ind w:firstLine="709"/>
        <w:jc w:val="both"/>
        <w:rPr>
          <w:rFonts w:ascii="Times New Roman" w:hAnsi="Times New Roman" w:cs="Times New Roman"/>
          <w:sz w:val="28"/>
          <w:szCs w:val="28"/>
        </w:rPr>
      </w:pPr>
      <w:r w:rsidRPr="002A7673">
        <w:rPr>
          <w:rFonts w:ascii="Times New Roman" w:hAnsi="Times New Roman" w:cs="Times New Roman"/>
          <w:sz w:val="28"/>
          <w:szCs w:val="28"/>
        </w:rPr>
        <w:t xml:space="preserve">A </w:t>
      </w:r>
      <w:proofErr w:type="gramStart"/>
      <w:r w:rsidRPr="002A7673">
        <w:rPr>
          <w:rFonts w:ascii="Times New Roman" w:hAnsi="Times New Roman" w:cs="Times New Roman"/>
          <w:sz w:val="28"/>
          <w:szCs w:val="28"/>
        </w:rPr>
        <w:t>continuación</w:t>
      </w:r>
      <w:proofErr w:type="gramEnd"/>
      <w:r w:rsidRPr="002A7673">
        <w:rPr>
          <w:rFonts w:ascii="Times New Roman" w:hAnsi="Times New Roman" w:cs="Times New Roman"/>
          <w:sz w:val="28"/>
          <w:szCs w:val="28"/>
        </w:rPr>
        <w:t xml:space="preserve"> se transcribe el citado informe que dice:</w:t>
      </w:r>
    </w:p>
    <w:p w14:paraId="19F2ACCA"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lang w:eastAsia="es-CR"/>
        </w:rPr>
      </w:pPr>
      <w:r w:rsidRPr="002A7673">
        <w:rPr>
          <w:rFonts w:ascii="Times New Roman" w:hAnsi="Times New Roman" w:cs="Times New Roman"/>
          <w:sz w:val="26"/>
          <w:szCs w:val="26"/>
        </w:rPr>
        <w:t xml:space="preserve">“En el presente informe se presenta el análisis realizado de las 88 plazas de </w:t>
      </w:r>
      <w:proofErr w:type="gramStart"/>
      <w:r w:rsidRPr="002A7673">
        <w:rPr>
          <w:rFonts w:ascii="Times New Roman" w:hAnsi="Times New Roman" w:cs="Times New Roman"/>
          <w:sz w:val="26"/>
          <w:szCs w:val="26"/>
        </w:rPr>
        <w:t>técnicas y técnicos</w:t>
      </w:r>
      <w:proofErr w:type="gramEnd"/>
      <w:r w:rsidRPr="002A7673">
        <w:rPr>
          <w:rFonts w:ascii="Times New Roman" w:hAnsi="Times New Roman" w:cs="Times New Roman"/>
          <w:sz w:val="26"/>
          <w:szCs w:val="26"/>
        </w:rPr>
        <w:t xml:space="preserve"> jurídicos que laboran en la Defensa Pública. Para ello, e</w:t>
      </w:r>
      <w:r w:rsidRPr="002A7673">
        <w:rPr>
          <w:rFonts w:ascii="Times New Roman" w:hAnsi="Times New Roman" w:cs="Times New Roman"/>
          <w:sz w:val="26"/>
          <w:szCs w:val="26"/>
          <w:lang w:eastAsia="es-CR"/>
        </w:rPr>
        <w:t>s importante indicar que se toma en consideración lo indicado por el Ministerio de Hacienda, mediante oficio DM-0436-2020 del 15 de abril del 2020, en el cual se señala el Título IV de la Ley 9635 “Fortalecimiento de las Finanzas Públicas” se establecen la regla fiscal y los criterios que deben considerarse para la formulación del presupuesto 2021. También se indica que mediante oficio DM-0321-2020 de fecha 27 de marzo de 2020, se comunicó: </w:t>
      </w:r>
    </w:p>
    <w:p w14:paraId="0DDB8306"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sz w:val="26"/>
          <w:szCs w:val="26"/>
          <w:lang w:eastAsia="es-CR"/>
        </w:rPr>
      </w:pPr>
    </w:p>
    <w:p w14:paraId="393E3527"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“…para el proceso de elaboración del presupuesto para el ejercicio económico del 2021, el porcentaje de crecimiento del gasto corriente será de un 4,13%, el cual se aplicará en el Presupuesto Nacional de manera agregada, considerando las erogaciones del pago de los intereses de la deuda; razón por la que este Ministerio realizó un ejercicio interno para estimar el monto máximo a presupuestar en gasto corriente por parte de su representada…”.</w:t>
      </w:r>
    </w:p>
    <w:p w14:paraId="2289E6F2"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sz w:val="26"/>
          <w:szCs w:val="26"/>
          <w:lang w:eastAsia="es-CR"/>
        </w:rPr>
      </w:pPr>
    </w:p>
    <w:p w14:paraId="1F6D9A39"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sz w:val="26"/>
          <w:szCs w:val="26"/>
          <w:lang w:eastAsia="es-CR"/>
        </w:rPr>
      </w:pPr>
      <w:r w:rsidRPr="002A7673">
        <w:rPr>
          <w:rFonts w:ascii="Times New Roman" w:hAnsi="Times New Roman" w:cs="Times New Roman"/>
          <w:sz w:val="26"/>
          <w:szCs w:val="26"/>
          <w:lang w:eastAsia="es-CR"/>
        </w:rPr>
        <w:t>En el mismo oficio DM-0436-2020 se considera lo anterior y atendiendo lo dispuesto en los artículos 176 y 177 de la Constitución Política, 32 y 35 de la Ley 8131 “Ley de la Administración Financiera de la República y Presupuestos Públicos”, 38 de su Reglamento y sus reformas, y 4 y 5 de los Lineamientos Técnicos sobre el Presupuesto de la República, se comunica:</w:t>
      </w:r>
    </w:p>
    <w:p w14:paraId="4AC23B0C"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sz w:val="26"/>
          <w:szCs w:val="26"/>
          <w:lang w:eastAsia="es-CR"/>
        </w:rPr>
      </w:pPr>
    </w:p>
    <w:p w14:paraId="186019FF"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“…el gasto presupuestario máximo, monto que deberá considerar la entidad a su cargo para formular su anteproyecto de gasto para el ejercicio presupuestario del 2021. </w:t>
      </w:r>
    </w:p>
    <w:p w14:paraId="39D20EEC"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sz w:val="26"/>
          <w:szCs w:val="26"/>
          <w:lang w:eastAsia="es-CR"/>
        </w:rPr>
      </w:pPr>
    </w:p>
    <w:p w14:paraId="4A9351EB" w14:textId="77777777" w:rsidR="0085505C" w:rsidRPr="002A7673" w:rsidRDefault="0085505C" w:rsidP="0085505C">
      <w:pPr>
        <w:widowControl w:val="0"/>
        <w:spacing w:after="0" w:line="240" w:lineRule="auto"/>
        <w:ind w:left="851" w:right="851"/>
        <w:jc w:val="center"/>
        <w:textAlignment w:val="baseline"/>
        <w:rPr>
          <w:rFonts w:ascii="Times New Roman" w:hAnsi="Times New Roman" w:cs="Times New Roman"/>
          <w:b/>
          <w:bCs/>
          <w:i/>
          <w:iCs/>
          <w:sz w:val="26"/>
          <w:szCs w:val="26"/>
          <w:lang w:eastAsia="es-CR"/>
        </w:rPr>
      </w:pPr>
      <w:r w:rsidRPr="002A7673">
        <w:rPr>
          <w:rFonts w:ascii="Times New Roman" w:hAnsi="Times New Roman" w:cs="Times New Roman"/>
          <w:b/>
          <w:bCs/>
          <w:i/>
          <w:iCs/>
          <w:sz w:val="26"/>
          <w:szCs w:val="26"/>
          <w:lang w:eastAsia="es-CR"/>
        </w:rPr>
        <w:t>GASTO PRESUPUESTARIO MÁXIMO INSTITUCIONAL</w:t>
      </w:r>
    </w:p>
    <w:p w14:paraId="10BA8A94" w14:textId="77777777" w:rsidR="0085505C" w:rsidRPr="002A7673" w:rsidRDefault="0085505C" w:rsidP="0085505C">
      <w:pPr>
        <w:widowControl w:val="0"/>
        <w:spacing w:after="0" w:line="240" w:lineRule="auto"/>
        <w:ind w:left="851" w:right="851" w:firstLine="709"/>
        <w:jc w:val="center"/>
        <w:textAlignment w:val="baseline"/>
        <w:rPr>
          <w:rFonts w:ascii="Times New Roman" w:hAnsi="Times New Roman" w:cs="Times New Roman"/>
          <w:lang w:eastAsia="es-CR"/>
        </w:rPr>
      </w:pP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990"/>
        <w:gridCol w:w="1125"/>
      </w:tblGrid>
      <w:tr w:rsidR="0085505C" w:rsidRPr="002A7673" w14:paraId="731BC33B" w14:textId="77777777" w:rsidTr="0048334E">
        <w:trPr>
          <w:trHeight w:val="285"/>
          <w:jc w:val="center"/>
        </w:trPr>
        <w:tc>
          <w:tcPr>
            <w:tcW w:w="8115" w:type="dxa"/>
            <w:gridSpan w:val="2"/>
            <w:tcBorders>
              <w:top w:val="single" w:sz="6" w:space="0" w:color="auto"/>
              <w:left w:val="single" w:sz="6" w:space="0" w:color="auto"/>
              <w:bottom w:val="single" w:sz="6" w:space="0" w:color="auto"/>
              <w:right w:val="single" w:sz="6" w:space="0" w:color="auto"/>
            </w:tcBorders>
            <w:vAlign w:val="bottom"/>
            <w:hideMark/>
          </w:tcPr>
          <w:p w14:paraId="5F62F9F3" w14:textId="77777777" w:rsidR="0085505C" w:rsidRPr="002A7673" w:rsidRDefault="0085505C" w:rsidP="0048334E">
            <w:pPr>
              <w:widowControl w:val="0"/>
              <w:autoSpaceDN w:val="0"/>
              <w:spacing w:after="0" w:line="256" w:lineRule="auto"/>
              <w:jc w:val="both"/>
              <w:textAlignment w:val="baseline"/>
              <w:rPr>
                <w:rFonts w:ascii="Times New Roman" w:hAnsi="Times New Roman" w:cs="Times New Roman"/>
                <w:sz w:val="20"/>
                <w:szCs w:val="20"/>
                <w:lang w:eastAsia="es-CR"/>
              </w:rPr>
            </w:pPr>
            <w:r w:rsidRPr="002A7673">
              <w:rPr>
                <w:rFonts w:ascii="Times New Roman" w:hAnsi="Times New Roman" w:cs="Times New Roman"/>
                <w:i/>
                <w:iCs/>
                <w:sz w:val="20"/>
                <w:szCs w:val="20"/>
                <w:lang w:eastAsia="es-CR"/>
              </w:rPr>
              <w:t>Poder Judicial (en millones de colones)</w:t>
            </w:r>
            <w:r w:rsidRPr="002A7673">
              <w:rPr>
                <w:rFonts w:ascii="Times New Roman" w:hAnsi="Times New Roman" w:cs="Times New Roman"/>
                <w:sz w:val="20"/>
                <w:szCs w:val="20"/>
                <w:lang w:eastAsia="es-CR"/>
              </w:rPr>
              <w:t> </w:t>
            </w:r>
          </w:p>
        </w:tc>
      </w:tr>
      <w:tr w:rsidR="0085505C" w:rsidRPr="002A7673" w14:paraId="7752746D" w14:textId="77777777" w:rsidTr="0048334E">
        <w:trPr>
          <w:trHeight w:val="285"/>
          <w:jc w:val="center"/>
        </w:trPr>
        <w:tc>
          <w:tcPr>
            <w:tcW w:w="6990" w:type="dxa"/>
            <w:tcBorders>
              <w:top w:val="nil"/>
              <w:left w:val="single" w:sz="6" w:space="0" w:color="auto"/>
              <w:bottom w:val="single" w:sz="6" w:space="0" w:color="auto"/>
              <w:right w:val="single" w:sz="6" w:space="0" w:color="auto"/>
            </w:tcBorders>
            <w:vAlign w:val="bottom"/>
            <w:hideMark/>
          </w:tcPr>
          <w:p w14:paraId="0B1D941D" w14:textId="77777777" w:rsidR="0085505C" w:rsidRPr="002A7673" w:rsidRDefault="0085505C" w:rsidP="0048334E">
            <w:pPr>
              <w:widowControl w:val="0"/>
              <w:autoSpaceDN w:val="0"/>
              <w:spacing w:after="0" w:line="256" w:lineRule="auto"/>
              <w:jc w:val="both"/>
              <w:textAlignment w:val="baseline"/>
              <w:rPr>
                <w:rFonts w:ascii="Times New Roman" w:hAnsi="Times New Roman" w:cs="Times New Roman"/>
                <w:sz w:val="20"/>
                <w:szCs w:val="20"/>
                <w:lang w:eastAsia="es-CR"/>
              </w:rPr>
            </w:pPr>
            <w:r w:rsidRPr="002A7673">
              <w:rPr>
                <w:rFonts w:ascii="Times New Roman" w:hAnsi="Times New Roman" w:cs="Times New Roman"/>
                <w:i/>
                <w:iCs/>
                <w:sz w:val="20"/>
                <w:szCs w:val="20"/>
                <w:lang w:eastAsia="es-CR"/>
              </w:rPr>
              <w:t>Gasto Presupuestario Máximo</w:t>
            </w:r>
            <w:r w:rsidRPr="002A7673">
              <w:rPr>
                <w:rFonts w:ascii="Times New Roman" w:hAnsi="Times New Roman" w:cs="Times New Roman"/>
                <w:sz w:val="20"/>
                <w:szCs w:val="20"/>
                <w:lang w:eastAsia="es-CR"/>
              </w:rPr>
              <w:t> </w:t>
            </w:r>
          </w:p>
        </w:tc>
        <w:tc>
          <w:tcPr>
            <w:tcW w:w="1125" w:type="dxa"/>
            <w:tcBorders>
              <w:top w:val="nil"/>
              <w:left w:val="nil"/>
              <w:bottom w:val="single" w:sz="6" w:space="0" w:color="auto"/>
              <w:right w:val="single" w:sz="6" w:space="0" w:color="auto"/>
            </w:tcBorders>
            <w:vAlign w:val="bottom"/>
            <w:hideMark/>
          </w:tcPr>
          <w:p w14:paraId="08C7E2BF" w14:textId="77777777" w:rsidR="0085505C" w:rsidRPr="002A7673" w:rsidRDefault="0085505C" w:rsidP="0048334E">
            <w:pPr>
              <w:widowControl w:val="0"/>
              <w:autoSpaceDN w:val="0"/>
              <w:spacing w:after="0" w:line="256" w:lineRule="auto"/>
              <w:jc w:val="both"/>
              <w:textAlignment w:val="baseline"/>
              <w:rPr>
                <w:rFonts w:ascii="Times New Roman" w:hAnsi="Times New Roman" w:cs="Times New Roman"/>
                <w:sz w:val="20"/>
                <w:szCs w:val="20"/>
                <w:lang w:eastAsia="es-CR"/>
              </w:rPr>
            </w:pPr>
            <w:r w:rsidRPr="002A7673">
              <w:rPr>
                <w:rFonts w:ascii="Times New Roman" w:hAnsi="Times New Roman" w:cs="Times New Roman"/>
                <w:i/>
                <w:iCs/>
                <w:sz w:val="20"/>
                <w:szCs w:val="20"/>
                <w:lang w:eastAsia="es-CR"/>
              </w:rPr>
              <w:t>468.793,00</w:t>
            </w:r>
            <w:r w:rsidRPr="002A7673">
              <w:rPr>
                <w:rFonts w:ascii="Times New Roman" w:hAnsi="Times New Roman" w:cs="Times New Roman"/>
                <w:sz w:val="20"/>
                <w:szCs w:val="20"/>
                <w:lang w:eastAsia="es-CR"/>
              </w:rPr>
              <w:t> </w:t>
            </w:r>
          </w:p>
        </w:tc>
      </w:tr>
      <w:tr w:rsidR="0085505C" w:rsidRPr="002A7673" w14:paraId="731B8844" w14:textId="77777777" w:rsidTr="0048334E">
        <w:trPr>
          <w:trHeight w:val="285"/>
          <w:jc w:val="center"/>
        </w:trPr>
        <w:tc>
          <w:tcPr>
            <w:tcW w:w="6990" w:type="dxa"/>
            <w:tcBorders>
              <w:top w:val="nil"/>
              <w:left w:val="single" w:sz="6" w:space="0" w:color="auto"/>
              <w:bottom w:val="single" w:sz="6" w:space="0" w:color="auto"/>
              <w:right w:val="single" w:sz="6" w:space="0" w:color="auto"/>
            </w:tcBorders>
            <w:vAlign w:val="bottom"/>
            <w:hideMark/>
          </w:tcPr>
          <w:p w14:paraId="31497EE5" w14:textId="77777777" w:rsidR="0085505C" w:rsidRPr="002A7673" w:rsidRDefault="0085505C" w:rsidP="0048334E">
            <w:pPr>
              <w:widowControl w:val="0"/>
              <w:autoSpaceDN w:val="0"/>
              <w:spacing w:after="0" w:line="256" w:lineRule="auto"/>
              <w:jc w:val="both"/>
              <w:textAlignment w:val="baseline"/>
              <w:rPr>
                <w:rFonts w:ascii="Times New Roman" w:hAnsi="Times New Roman" w:cs="Times New Roman"/>
                <w:sz w:val="20"/>
                <w:szCs w:val="20"/>
                <w:lang w:eastAsia="es-CR"/>
              </w:rPr>
            </w:pPr>
            <w:r w:rsidRPr="002A7673">
              <w:rPr>
                <w:rFonts w:ascii="Times New Roman" w:hAnsi="Times New Roman" w:cs="Times New Roman"/>
                <w:i/>
                <w:iCs/>
                <w:sz w:val="20"/>
                <w:szCs w:val="20"/>
                <w:lang w:eastAsia="es-CR"/>
              </w:rPr>
              <w:t>Gasto Corriente (incluye Contribución estatal al Seguro de Salud) 1/</w:t>
            </w:r>
            <w:r w:rsidRPr="002A7673">
              <w:rPr>
                <w:rFonts w:ascii="Times New Roman" w:hAnsi="Times New Roman" w:cs="Times New Roman"/>
                <w:sz w:val="20"/>
                <w:szCs w:val="20"/>
                <w:lang w:eastAsia="es-CR"/>
              </w:rPr>
              <w:t> </w:t>
            </w:r>
          </w:p>
        </w:tc>
        <w:tc>
          <w:tcPr>
            <w:tcW w:w="1125" w:type="dxa"/>
            <w:tcBorders>
              <w:top w:val="nil"/>
              <w:left w:val="nil"/>
              <w:bottom w:val="single" w:sz="6" w:space="0" w:color="auto"/>
              <w:right w:val="single" w:sz="6" w:space="0" w:color="auto"/>
            </w:tcBorders>
            <w:vAlign w:val="bottom"/>
            <w:hideMark/>
          </w:tcPr>
          <w:p w14:paraId="6B95F66C" w14:textId="77777777" w:rsidR="0085505C" w:rsidRPr="002A7673" w:rsidRDefault="0085505C" w:rsidP="0048334E">
            <w:pPr>
              <w:widowControl w:val="0"/>
              <w:autoSpaceDN w:val="0"/>
              <w:spacing w:after="0" w:line="256" w:lineRule="auto"/>
              <w:jc w:val="both"/>
              <w:textAlignment w:val="baseline"/>
              <w:rPr>
                <w:rFonts w:ascii="Times New Roman" w:hAnsi="Times New Roman" w:cs="Times New Roman"/>
                <w:sz w:val="20"/>
                <w:szCs w:val="20"/>
                <w:lang w:eastAsia="es-CR"/>
              </w:rPr>
            </w:pPr>
            <w:r w:rsidRPr="002A7673">
              <w:rPr>
                <w:rFonts w:ascii="Times New Roman" w:hAnsi="Times New Roman" w:cs="Times New Roman"/>
                <w:i/>
                <w:iCs/>
                <w:sz w:val="20"/>
                <w:szCs w:val="20"/>
                <w:lang w:eastAsia="es-CR"/>
              </w:rPr>
              <w:t>443.707,00</w:t>
            </w:r>
            <w:r w:rsidRPr="002A7673">
              <w:rPr>
                <w:rFonts w:ascii="Times New Roman" w:hAnsi="Times New Roman" w:cs="Times New Roman"/>
                <w:sz w:val="20"/>
                <w:szCs w:val="20"/>
                <w:lang w:eastAsia="es-CR"/>
              </w:rPr>
              <w:t> </w:t>
            </w:r>
          </w:p>
        </w:tc>
      </w:tr>
      <w:tr w:rsidR="0085505C" w:rsidRPr="002A7673" w14:paraId="68849473" w14:textId="77777777" w:rsidTr="0048334E">
        <w:trPr>
          <w:trHeight w:val="285"/>
          <w:jc w:val="center"/>
        </w:trPr>
        <w:tc>
          <w:tcPr>
            <w:tcW w:w="6990" w:type="dxa"/>
            <w:tcBorders>
              <w:top w:val="nil"/>
              <w:left w:val="single" w:sz="6" w:space="0" w:color="auto"/>
              <w:bottom w:val="single" w:sz="6" w:space="0" w:color="auto"/>
              <w:right w:val="single" w:sz="6" w:space="0" w:color="auto"/>
            </w:tcBorders>
            <w:vAlign w:val="bottom"/>
            <w:hideMark/>
          </w:tcPr>
          <w:p w14:paraId="02477C70" w14:textId="77777777" w:rsidR="0085505C" w:rsidRPr="002A7673" w:rsidRDefault="0085505C" w:rsidP="0048334E">
            <w:pPr>
              <w:widowControl w:val="0"/>
              <w:autoSpaceDN w:val="0"/>
              <w:spacing w:after="0" w:line="256" w:lineRule="auto"/>
              <w:jc w:val="both"/>
              <w:textAlignment w:val="baseline"/>
              <w:rPr>
                <w:rFonts w:ascii="Times New Roman" w:hAnsi="Times New Roman" w:cs="Times New Roman"/>
                <w:sz w:val="20"/>
                <w:szCs w:val="20"/>
                <w:lang w:eastAsia="es-CR"/>
              </w:rPr>
            </w:pPr>
            <w:r w:rsidRPr="002A7673">
              <w:rPr>
                <w:rFonts w:ascii="Times New Roman" w:hAnsi="Times New Roman" w:cs="Times New Roman"/>
                <w:i/>
                <w:iCs/>
                <w:sz w:val="20"/>
                <w:szCs w:val="20"/>
                <w:lang w:eastAsia="es-CR"/>
              </w:rPr>
              <w:t>Gasto de Capital</w:t>
            </w:r>
            <w:r w:rsidRPr="002A7673">
              <w:rPr>
                <w:rFonts w:ascii="Times New Roman" w:hAnsi="Times New Roman" w:cs="Times New Roman"/>
                <w:sz w:val="20"/>
                <w:szCs w:val="20"/>
                <w:lang w:eastAsia="es-CR"/>
              </w:rPr>
              <w:t> </w:t>
            </w:r>
          </w:p>
        </w:tc>
        <w:tc>
          <w:tcPr>
            <w:tcW w:w="1125" w:type="dxa"/>
            <w:tcBorders>
              <w:top w:val="nil"/>
              <w:left w:val="nil"/>
              <w:bottom w:val="single" w:sz="6" w:space="0" w:color="auto"/>
              <w:right w:val="single" w:sz="6" w:space="0" w:color="auto"/>
            </w:tcBorders>
            <w:vAlign w:val="bottom"/>
            <w:hideMark/>
          </w:tcPr>
          <w:p w14:paraId="0B7D7F2D" w14:textId="77777777" w:rsidR="0085505C" w:rsidRPr="002A7673" w:rsidRDefault="0085505C" w:rsidP="0048334E">
            <w:pPr>
              <w:widowControl w:val="0"/>
              <w:autoSpaceDN w:val="0"/>
              <w:spacing w:after="0" w:line="256" w:lineRule="auto"/>
              <w:jc w:val="both"/>
              <w:textAlignment w:val="baseline"/>
              <w:rPr>
                <w:rFonts w:ascii="Times New Roman" w:hAnsi="Times New Roman" w:cs="Times New Roman"/>
                <w:sz w:val="20"/>
                <w:szCs w:val="20"/>
                <w:lang w:eastAsia="es-CR"/>
              </w:rPr>
            </w:pPr>
            <w:r w:rsidRPr="002A7673">
              <w:rPr>
                <w:rFonts w:ascii="Times New Roman" w:hAnsi="Times New Roman" w:cs="Times New Roman"/>
                <w:i/>
                <w:iCs/>
                <w:sz w:val="20"/>
                <w:szCs w:val="20"/>
                <w:lang w:eastAsia="es-CR"/>
              </w:rPr>
              <w:t>25.086,00</w:t>
            </w:r>
            <w:r w:rsidRPr="002A7673">
              <w:rPr>
                <w:rFonts w:ascii="Times New Roman" w:hAnsi="Times New Roman" w:cs="Times New Roman"/>
                <w:sz w:val="20"/>
                <w:szCs w:val="20"/>
                <w:lang w:eastAsia="es-CR"/>
              </w:rPr>
              <w:t> </w:t>
            </w:r>
          </w:p>
        </w:tc>
      </w:tr>
    </w:tbl>
    <w:p w14:paraId="413FEBF7" w14:textId="77777777" w:rsidR="0085505C" w:rsidRPr="002A7673" w:rsidRDefault="0085505C" w:rsidP="0085505C">
      <w:pPr>
        <w:widowControl w:val="0"/>
        <w:spacing w:after="0" w:line="240" w:lineRule="auto"/>
        <w:ind w:left="555" w:right="465"/>
        <w:jc w:val="both"/>
        <w:textAlignment w:val="baseline"/>
        <w:rPr>
          <w:rFonts w:ascii="Times New Roman" w:hAnsi="Times New Roman" w:cs="Times New Roman"/>
          <w:sz w:val="16"/>
          <w:szCs w:val="16"/>
          <w:lang w:eastAsia="es-CR"/>
        </w:rPr>
      </w:pPr>
      <w:r w:rsidRPr="002A7673">
        <w:rPr>
          <w:rFonts w:ascii="Times New Roman" w:hAnsi="Times New Roman" w:cs="Times New Roman"/>
          <w:sz w:val="16"/>
          <w:szCs w:val="16"/>
          <w:lang w:eastAsia="es-CR"/>
        </w:rPr>
        <w:t>1/ Monto estimado con cero crecimientos en plazas y costo de vida.  </w:t>
      </w:r>
    </w:p>
    <w:p w14:paraId="4C4C3860" w14:textId="77777777" w:rsidR="0085505C" w:rsidRPr="002A7673" w:rsidRDefault="0085505C" w:rsidP="0085505C">
      <w:pPr>
        <w:widowControl w:val="0"/>
        <w:spacing w:after="0" w:line="240" w:lineRule="auto"/>
        <w:ind w:left="555" w:right="465"/>
        <w:jc w:val="both"/>
        <w:textAlignment w:val="baseline"/>
        <w:rPr>
          <w:rFonts w:ascii="Times New Roman" w:hAnsi="Times New Roman" w:cs="Times New Roman"/>
          <w:i/>
          <w:iCs/>
          <w:lang w:eastAsia="es-CR"/>
        </w:rPr>
      </w:pPr>
    </w:p>
    <w:p w14:paraId="231B85F5"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sz w:val="26"/>
          <w:szCs w:val="26"/>
          <w:lang w:eastAsia="es-CR"/>
        </w:rPr>
      </w:pPr>
      <w:r w:rsidRPr="002A7673">
        <w:rPr>
          <w:rFonts w:ascii="Times New Roman" w:hAnsi="Times New Roman" w:cs="Times New Roman"/>
          <w:i/>
          <w:iCs/>
          <w:sz w:val="26"/>
          <w:szCs w:val="26"/>
          <w:lang w:eastAsia="es-CR"/>
        </w:rPr>
        <w:t>El límite del gasto corriente comunicado no podrá ser mayor al que se muestra en el cuadro anterior, sin embargo, en caso de que la entidad requiera presupuestar mayores recursos en gasto de capital, podrá hacerlo, tomando recursos del límite del gasto corriente, respetando el monto del gasto presupuestario máximo.</w:t>
      </w:r>
      <w:r w:rsidRPr="002A7673">
        <w:rPr>
          <w:rFonts w:ascii="Times New Roman" w:hAnsi="Times New Roman" w:cs="Times New Roman"/>
          <w:sz w:val="26"/>
          <w:szCs w:val="26"/>
          <w:lang w:eastAsia="es-CR"/>
        </w:rPr>
        <w:t> </w:t>
      </w:r>
    </w:p>
    <w:p w14:paraId="71EEBBA0"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sz w:val="26"/>
          <w:szCs w:val="26"/>
          <w:lang w:eastAsia="es-CR"/>
        </w:rPr>
      </w:pPr>
    </w:p>
    <w:p w14:paraId="6EA0EF18"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sz w:val="26"/>
          <w:szCs w:val="26"/>
          <w:lang w:eastAsia="es-CR"/>
        </w:rPr>
      </w:pPr>
      <w:r w:rsidRPr="002A7673">
        <w:rPr>
          <w:rFonts w:ascii="Times New Roman" w:hAnsi="Times New Roman" w:cs="Times New Roman"/>
          <w:i/>
          <w:iCs/>
          <w:sz w:val="26"/>
          <w:szCs w:val="26"/>
          <w:lang w:eastAsia="es-CR"/>
        </w:rPr>
        <w:t>Asimismo, no se autorizará la creación de plazas, ni la solicitud de recursos adicionales al monto de gasto presupuestario máximo comunicado, por lo que estas opciones estarán deshabilitadas en el Sistema de Formulación Presupuestaria (SFP)…”.</w:t>
      </w:r>
    </w:p>
    <w:p w14:paraId="2F01633B" w14:textId="77777777" w:rsidR="0085505C" w:rsidRPr="002A7673" w:rsidRDefault="0085505C" w:rsidP="0085505C">
      <w:pPr>
        <w:widowControl w:val="0"/>
        <w:spacing w:after="0" w:line="240" w:lineRule="auto"/>
        <w:ind w:left="851" w:right="851" w:firstLine="709"/>
        <w:jc w:val="both"/>
        <w:textAlignment w:val="baseline"/>
        <w:rPr>
          <w:rFonts w:ascii="Times New Roman" w:hAnsi="Times New Roman" w:cs="Times New Roman"/>
          <w:sz w:val="26"/>
          <w:szCs w:val="26"/>
          <w:lang w:eastAsia="es-CR"/>
        </w:rPr>
      </w:pPr>
    </w:p>
    <w:p w14:paraId="63489D7B"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lang w:eastAsia="es-CR"/>
        </w:rPr>
        <w:t xml:space="preserve">Teniendo claro las limitaciones presupuestarias de la Institución, </w:t>
      </w:r>
      <w:r w:rsidRPr="002A7673">
        <w:rPr>
          <w:rFonts w:ascii="Times New Roman" w:hAnsi="Times New Roman" w:cs="Times New Roman"/>
          <w:sz w:val="26"/>
          <w:szCs w:val="26"/>
        </w:rPr>
        <w:t>la restricción de la Regla Fiscal y la creación de plazas nuevas es que la Dirección de Planificación procede a analizar los recursos existentes, con la intención de buscar alternativas para el reforzamiento de las plazas requeridas según prioridades institucionales. De esta manera, se identifica la posibilidad de analizar las plazas de Técnicos y Técnicas Jurídicas de la Defensa Pública, con la finalidad de detectar en que oficinas de la Defensa Pública del país, al hacer un ajuste de las plazas de medio tiempo a tiempo completo, se podrían liberar recursos que puedan ser utilizados para los fines requeridos, sin afectación en la carga de trabajo actual de los despachos de la Defensa Pública, tanto a nivel integral como la carga por plaza, ni afectación a las condiciones labores de cada servidora o servidor judicial que hoy mantienen una categoría de Técnico Jurídico a medio tiempo.</w:t>
      </w:r>
    </w:p>
    <w:p w14:paraId="73CE69B9"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50BAC994" w14:textId="77777777" w:rsidR="0085505C" w:rsidRPr="002A7673" w:rsidRDefault="0085505C" w:rsidP="00FF3FAC">
      <w:pPr>
        <w:widowControl w:val="0"/>
        <w:numPr>
          <w:ilvl w:val="0"/>
          <w:numId w:val="79"/>
        </w:numPr>
        <w:autoSpaceDE w:val="0"/>
        <w:autoSpaceDN w:val="0"/>
        <w:adjustRightInd w:val="0"/>
        <w:spacing w:after="0" w:line="240" w:lineRule="auto"/>
        <w:ind w:left="851" w:right="851" w:firstLine="709"/>
        <w:jc w:val="both"/>
        <w:rPr>
          <w:rFonts w:ascii="Times New Roman" w:hAnsi="Times New Roman" w:cs="Times New Roman"/>
          <w:b/>
          <w:sz w:val="26"/>
          <w:szCs w:val="26"/>
          <w:u w:val="single"/>
        </w:rPr>
      </w:pPr>
      <w:bookmarkStart w:id="264" w:name="_Hlk13492785"/>
      <w:r w:rsidRPr="002A7673">
        <w:rPr>
          <w:rFonts w:ascii="Times New Roman" w:hAnsi="Times New Roman" w:cs="Times New Roman"/>
          <w:b/>
          <w:sz w:val="26"/>
          <w:szCs w:val="26"/>
          <w:u w:val="single"/>
        </w:rPr>
        <w:t>Antecedentes de necesidades de la Defensa Pública en personas Defensoras Públicas con respaldo técnico</w:t>
      </w:r>
    </w:p>
    <w:p w14:paraId="28D417D8"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lang w:eastAsia="es-CR"/>
        </w:rPr>
      </w:pPr>
    </w:p>
    <w:p w14:paraId="6BA39494"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lang w:eastAsia="es-CR"/>
        </w:rPr>
      </w:pPr>
      <w:r w:rsidRPr="002A7673">
        <w:rPr>
          <w:rFonts w:ascii="Times New Roman" w:hAnsi="Times New Roman" w:cs="Times New Roman"/>
          <w:sz w:val="26"/>
          <w:szCs w:val="26"/>
          <w:lang w:eastAsia="es-CR"/>
        </w:rPr>
        <w:t>A continuación, se citan algunos estudios realizados por la Dirección de Planificación, en los cuales se ha identificado y puesto en conocimiento del Consejo Superior e incluso Corte Plena, las necesidades de la Defensa Pública en cuanto a personal Defensor Público:</w:t>
      </w:r>
    </w:p>
    <w:p w14:paraId="7D87ED2B"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lang w:eastAsia="es-CR"/>
        </w:rPr>
      </w:pPr>
    </w:p>
    <w:p w14:paraId="62A2911E" w14:textId="77777777" w:rsidR="0085505C" w:rsidRPr="002A7673" w:rsidRDefault="0085505C" w:rsidP="00FF3FAC">
      <w:pPr>
        <w:widowControl w:val="0"/>
        <w:numPr>
          <w:ilvl w:val="0"/>
          <w:numId w:val="80"/>
        </w:numPr>
        <w:autoSpaceDN w:val="0"/>
        <w:spacing w:after="0" w:line="240" w:lineRule="auto"/>
        <w:ind w:left="851" w:right="851" w:firstLine="709"/>
        <w:jc w:val="both"/>
        <w:rPr>
          <w:rFonts w:ascii="Times New Roman" w:eastAsia="Times New Roman" w:hAnsi="Times New Roman" w:cs="Times New Roman"/>
          <w:sz w:val="26"/>
          <w:szCs w:val="26"/>
          <w:lang w:val="es-ES" w:eastAsia="es-CR"/>
        </w:rPr>
      </w:pPr>
      <w:r w:rsidRPr="002A7673">
        <w:rPr>
          <w:rFonts w:ascii="Times New Roman" w:eastAsia="Times New Roman" w:hAnsi="Times New Roman" w:cs="Times New Roman"/>
          <w:sz w:val="26"/>
          <w:szCs w:val="26"/>
          <w:lang w:val="es-ES" w:eastAsia="es-CR"/>
        </w:rPr>
        <w:t>El Consejo Superior en sesión del 17 de abril de 2020 (Presupuesto 2020), artículo XXI y Corte Plena, el 02 de junio de 2020 (Presupuesto 2020); aprueban el informe 507-PLA-RH-MI-2020 "</w:t>
      </w:r>
      <w:r w:rsidRPr="002A7673">
        <w:rPr>
          <w:rFonts w:ascii="Times New Roman" w:eastAsia="Times New Roman" w:hAnsi="Times New Roman" w:cs="Times New Roman"/>
          <w:i/>
          <w:iCs/>
          <w:sz w:val="26"/>
          <w:szCs w:val="26"/>
          <w:lang w:val="es-ES" w:eastAsia="es-CR"/>
        </w:rPr>
        <w:t>Impacto organizacional y presupuestario en el Poder Judicial, (Defensa Pública) a partir de la promulgación de la Ley 9593 de Acceso a la Justicia de los Pueblos Indígenas</w:t>
      </w:r>
      <w:r w:rsidRPr="002A7673">
        <w:rPr>
          <w:rFonts w:ascii="Times New Roman" w:eastAsia="Times New Roman" w:hAnsi="Times New Roman" w:cs="Times New Roman"/>
          <w:sz w:val="26"/>
          <w:szCs w:val="26"/>
          <w:lang w:val="es-ES" w:eastAsia="es-CR"/>
        </w:rPr>
        <w:t xml:space="preserve">", en el cual se detecta la necesidad de reforzar la Defensa </w:t>
      </w:r>
      <w:r w:rsidRPr="002A7673">
        <w:rPr>
          <w:rFonts w:ascii="Times New Roman" w:eastAsia="Times New Roman" w:hAnsi="Times New Roman" w:cs="Times New Roman"/>
          <w:sz w:val="26"/>
          <w:szCs w:val="26"/>
          <w:lang w:val="es-ES" w:eastAsia="es-CR"/>
        </w:rPr>
        <w:lastRenderedPageBreak/>
        <w:t>Pública con dos plazas de persona defensora para la atención de asuntos de Pensión Alimentaria, que se recomienda, mientras la carga de trabajo lo permita, brinde colaboración en materia penal y demás disposiciones de la Jefatura de la Defensa Pública; con el fin de dar sostenibilidad al plan de trabajo propuesto en este informe; dado a que, al reforzar la estructura del recurso humano de la Defensa Pública de Bribri y la Defensa Pública de Buenos Aires, se estaría en la capacidad para asumir la atención ordinaria de asuntos donde figure como parte actora o demanda una o más personas usuarias indígenas.</w:t>
      </w:r>
    </w:p>
    <w:p w14:paraId="11A6078A"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CR"/>
        </w:rPr>
      </w:pPr>
    </w:p>
    <w:p w14:paraId="297BF23B" w14:textId="77777777" w:rsidR="0085505C" w:rsidRPr="002A7673" w:rsidRDefault="0085505C" w:rsidP="00FF3FAC">
      <w:pPr>
        <w:widowControl w:val="0"/>
        <w:numPr>
          <w:ilvl w:val="0"/>
          <w:numId w:val="80"/>
        </w:numPr>
        <w:autoSpaceDN w:val="0"/>
        <w:spacing w:after="0" w:line="240" w:lineRule="auto"/>
        <w:ind w:left="851" w:right="851" w:firstLine="709"/>
        <w:jc w:val="both"/>
        <w:rPr>
          <w:rFonts w:ascii="Times New Roman" w:eastAsia="Times New Roman" w:hAnsi="Times New Roman" w:cs="Times New Roman"/>
          <w:sz w:val="26"/>
          <w:szCs w:val="26"/>
          <w:lang w:val="es-ES" w:eastAsia="es-CR"/>
        </w:rPr>
      </w:pPr>
      <w:r w:rsidRPr="002A7673">
        <w:rPr>
          <w:rFonts w:ascii="Times New Roman" w:eastAsia="Times New Roman" w:hAnsi="Times New Roman" w:cs="Times New Roman"/>
          <w:sz w:val="26"/>
          <w:szCs w:val="26"/>
          <w:lang w:val="es-ES" w:eastAsia="es-CR"/>
        </w:rPr>
        <w:t>Respecto a la Defensa Pública en materia de Pensiones Alimentarias y la asignación de plazas que pudiera eventualmente hacer la Defensa en Tarrazú; la Corte Plena en sesión 31-2020 celebrada el 2 de junio del 2020, artículo II, aprobó la inclusión en el presupuesto extraordinario 2021 de la Institución de 33 plazas</w:t>
      </w:r>
      <w:r w:rsidRPr="002A7673">
        <w:rPr>
          <w:rFonts w:ascii="Times New Roman" w:eastAsia="Times New Roman" w:hAnsi="Times New Roman" w:cs="Times New Roman"/>
          <w:sz w:val="26"/>
          <w:szCs w:val="26"/>
          <w:vertAlign w:val="superscript"/>
          <w:lang w:val="es-ES" w:eastAsia="es-ES"/>
        </w:rPr>
        <w:footnoteReference w:id="7"/>
      </w:r>
      <w:r w:rsidRPr="002A7673">
        <w:rPr>
          <w:rFonts w:ascii="Times New Roman" w:eastAsia="Times New Roman" w:hAnsi="Times New Roman" w:cs="Times New Roman"/>
          <w:sz w:val="26"/>
          <w:szCs w:val="26"/>
          <w:lang w:val="es-ES" w:eastAsia="es-CR"/>
        </w:rPr>
        <w:t xml:space="preserve"> de Defensora o Defensor Público:</w:t>
      </w:r>
    </w:p>
    <w:p w14:paraId="130884A6"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CR"/>
        </w:rPr>
      </w:pPr>
    </w:p>
    <w:p w14:paraId="48D58528"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426239DB"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p>
    <w:p w14:paraId="4D5256BB"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 xml:space="preserve">La Dirección de Planificación tomará nota para los fines </w:t>
      </w:r>
      <w:r w:rsidRPr="002A7673">
        <w:rPr>
          <w:rFonts w:ascii="Times New Roman" w:hAnsi="Times New Roman" w:cs="Times New Roman"/>
          <w:i/>
          <w:iCs/>
          <w:sz w:val="26"/>
          <w:szCs w:val="26"/>
          <w:lang w:eastAsia="es-CR"/>
        </w:rPr>
        <w:lastRenderedPageBreak/>
        <w:t>consiguientes. Se declara acuerdo firme.”.</w:t>
      </w:r>
    </w:p>
    <w:p w14:paraId="6AD62B68"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lang w:eastAsia="es-CR"/>
        </w:rPr>
      </w:pPr>
    </w:p>
    <w:p w14:paraId="354C2F11"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CR"/>
        </w:rPr>
      </w:pPr>
      <w:r w:rsidRPr="002A7673">
        <w:rPr>
          <w:rFonts w:ascii="Times New Roman" w:eastAsia="Times New Roman" w:hAnsi="Times New Roman" w:cs="Times New Roman"/>
          <w:sz w:val="26"/>
          <w:szCs w:val="26"/>
          <w:lang w:val="es-ES" w:eastAsia="es-CR"/>
        </w:rPr>
        <w:t>De aprobarse nuevamente el recurso por parte de Corte Plena para 2022, con este recurso se solventaría la necesidad planteada por la Defensa Pública mediante oficio JEFDP-06-2020 en donde solicitan a la Dirección de Planificación estudio para asignación recurso adicional (referencia interna 53-2020):</w:t>
      </w:r>
    </w:p>
    <w:p w14:paraId="46B6636F"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CR"/>
        </w:rPr>
      </w:pPr>
    </w:p>
    <w:p w14:paraId="5E11855F"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61366480"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 xml:space="preserve"> </w:t>
      </w:r>
    </w:p>
    <w:p w14:paraId="7EBA7E47"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En virtud de ello, en fecha 16 de diciembre de 2019, se rindió el informe número No. 1516-59-SAEE-2019, cuya recomendación final a la Jefatura de la Defensa Pública refiere:</w:t>
      </w:r>
    </w:p>
    <w:p w14:paraId="538B6CB1"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p>
    <w:p w14:paraId="26D5A8BB"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“4.1 Promover acciones formales ante la Dirección de Planificación tendientes a garantizar el servicio de asistencia legal en la materia de pensiones alimentarias para las personas usuarias en la localidad de Tarrazú, a fin de hacer efectivos sus derechos legítimos.”</w:t>
      </w:r>
    </w:p>
    <w:p w14:paraId="6DB6CD05"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p>
    <w:p w14:paraId="18E436C6"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 xml:space="preserve">En virtud de lo expuesto y siendo que: </w:t>
      </w:r>
    </w:p>
    <w:p w14:paraId="06160A72"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p>
    <w:p w14:paraId="169B79F4" w14:textId="77777777" w:rsidR="0085505C" w:rsidRPr="002A7673" w:rsidRDefault="0085505C" w:rsidP="00FF3FAC">
      <w:pPr>
        <w:widowControl w:val="0"/>
        <w:numPr>
          <w:ilvl w:val="0"/>
          <w:numId w:val="81"/>
        </w:numPr>
        <w:autoSpaceDN w:val="0"/>
        <w:spacing w:after="0" w:line="240" w:lineRule="auto"/>
        <w:ind w:left="851" w:right="851" w:firstLine="709"/>
        <w:jc w:val="both"/>
        <w:rPr>
          <w:rFonts w:ascii="Times New Roman" w:eastAsia="Times New Roman" w:hAnsi="Times New Roman" w:cs="Times New Roman"/>
          <w:i/>
          <w:iCs/>
          <w:sz w:val="26"/>
          <w:szCs w:val="26"/>
          <w:lang w:val="es-ES" w:eastAsia="es-CR"/>
        </w:rPr>
      </w:pPr>
      <w:r w:rsidRPr="002A7673">
        <w:rPr>
          <w:rFonts w:ascii="Times New Roman" w:eastAsia="Times New Roman" w:hAnsi="Times New Roman" w:cs="Times New Roman"/>
          <w:i/>
          <w:iCs/>
          <w:sz w:val="26"/>
          <w:szCs w:val="26"/>
          <w:lang w:val="es-ES" w:eastAsia="es-CR"/>
        </w:rPr>
        <w:t>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65A24481"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i/>
          <w:iCs/>
          <w:sz w:val="26"/>
          <w:szCs w:val="26"/>
          <w:lang w:val="es-ES" w:eastAsia="es-CR"/>
        </w:rPr>
      </w:pPr>
    </w:p>
    <w:p w14:paraId="1D2AF1EA"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 xml:space="preserve"> 2) Tomando en cuenta la recomendación brindada por el Departamento de Auditoría y que su plazo de cumplimiento es inmediato:</w:t>
      </w:r>
    </w:p>
    <w:p w14:paraId="138F6AD0"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p>
    <w:p w14:paraId="00016803"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r w:rsidRPr="002A7673">
        <w:rPr>
          <w:rFonts w:ascii="Times New Roman" w:hAnsi="Times New Roman" w:cs="Times New Roman"/>
          <w:i/>
          <w:iCs/>
          <w:sz w:val="26"/>
          <w:szCs w:val="26"/>
          <w:lang w:eastAsia="es-CR"/>
        </w:rPr>
        <w:t xml:space="preserve">Se solicita respetuosamente se realicen los estudios técnicos respectivos para la creación de una plaza de pensiones alimentarias en la Defensa Pública de Tarrazú por tratarse de la atención de una materia sensible cuyo servicio está dirigido mayoritariamente a población en </w:t>
      </w:r>
      <w:r w:rsidRPr="002A7673">
        <w:rPr>
          <w:rFonts w:ascii="Times New Roman" w:hAnsi="Times New Roman" w:cs="Times New Roman"/>
          <w:i/>
          <w:iCs/>
          <w:sz w:val="26"/>
          <w:szCs w:val="26"/>
          <w:lang w:eastAsia="es-CR"/>
        </w:rPr>
        <w:lastRenderedPageBreak/>
        <w:t>situación de vulnerabilidad como son mujeres, personas menores de edad o adultas mayores, personas en situación de discapacidad, todas con situación de pobreza.”.</w:t>
      </w:r>
    </w:p>
    <w:p w14:paraId="50FFE247"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lang w:eastAsia="es-CR"/>
        </w:rPr>
      </w:pPr>
    </w:p>
    <w:p w14:paraId="03989790"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lang w:eastAsia="es-CR"/>
        </w:rPr>
      </w:pPr>
      <w:r w:rsidRPr="002A7673">
        <w:rPr>
          <w:rFonts w:ascii="Times New Roman" w:hAnsi="Times New Roman" w:cs="Times New Roman"/>
          <w:sz w:val="26"/>
          <w:szCs w:val="26"/>
          <w:lang w:eastAsia="es-CR"/>
        </w:rPr>
        <w:t>Por su parte, en materia Penal, existen oficinas de Tribunales Penales que no tienen la estructura mínima para hacer juicios colegiados destacados en la zona, a fin de atender casos de personas privadas de libertad, como es el caso de Quepos (una Jueza o Juez), Sarapiquí (una Jueza o Juez), Siquirres (una Jueza o Juez), Turrialba (una Jueza o Juez), Cañas (una Jueza o Juez) y Santa Cruz (dos jueces). Estos Tribunales se han reforzado durante la emergencia nacional por motivo del Covid-19, mediante la modalidad de licencias con goce de salario, de tal forma que tienen la capacidad in situ de poder hacer los juicios colegiados, sin necesidad de que las personas juzgadoras de otros despachos cabeceras se desplacen hacia esos lugares diariamente. De esta manera, ha sido requerido de forma paralela, reforzar las oficinas de la Defensa Pública con el personal Defensor necesario para cubrir oportunamente las necesidades de las oficinas jurisdiccionales. De esta manera, según el último acuerdo del Consejo Superior relacionado al tema citado, en la sesión 25-2021, celebrada el 25 de marzo de 2021, artículo LXXI, se dio continuidad a cinco licencias con goce de salario de personas Defensoras Públicas a partir del 1 de abril y hasta el 30 de junio, en las zonas de: Sarapiquí, Siquirres, Turrialba, Cañas y Santa Cruz; como parte de las estructuras mínimas requeridas para la atención de juicios colegiados en las zonas mencionadas.</w:t>
      </w:r>
    </w:p>
    <w:p w14:paraId="0FFB2185"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b/>
          <w:sz w:val="26"/>
          <w:szCs w:val="26"/>
          <w:u w:val="single"/>
        </w:rPr>
      </w:pPr>
    </w:p>
    <w:p w14:paraId="30419341" w14:textId="77777777" w:rsidR="0085505C" w:rsidRPr="002A7673" w:rsidRDefault="0085505C" w:rsidP="00FF3FAC">
      <w:pPr>
        <w:widowControl w:val="0"/>
        <w:numPr>
          <w:ilvl w:val="0"/>
          <w:numId w:val="79"/>
        </w:numPr>
        <w:autoSpaceDE w:val="0"/>
        <w:autoSpaceDN w:val="0"/>
        <w:adjustRightInd w:val="0"/>
        <w:spacing w:after="0" w:line="240" w:lineRule="auto"/>
        <w:ind w:left="851" w:right="851" w:firstLine="709"/>
        <w:jc w:val="both"/>
        <w:rPr>
          <w:rFonts w:ascii="Times New Roman" w:hAnsi="Times New Roman" w:cs="Times New Roman"/>
          <w:b/>
          <w:sz w:val="26"/>
          <w:szCs w:val="26"/>
          <w:u w:val="single"/>
        </w:rPr>
      </w:pPr>
      <w:r w:rsidRPr="002A7673">
        <w:rPr>
          <w:rFonts w:ascii="Times New Roman" w:hAnsi="Times New Roman" w:cs="Times New Roman"/>
          <w:b/>
          <w:sz w:val="26"/>
          <w:szCs w:val="26"/>
          <w:u w:val="single"/>
        </w:rPr>
        <w:t xml:space="preserve">Análisis de la situación actual de las plazas vacantes de </w:t>
      </w:r>
      <w:proofErr w:type="gramStart"/>
      <w:r w:rsidRPr="002A7673">
        <w:rPr>
          <w:rFonts w:ascii="Times New Roman" w:hAnsi="Times New Roman" w:cs="Times New Roman"/>
          <w:b/>
          <w:sz w:val="26"/>
          <w:szCs w:val="26"/>
          <w:u w:val="single"/>
        </w:rPr>
        <w:t>técnicas y técnicos</w:t>
      </w:r>
      <w:proofErr w:type="gramEnd"/>
      <w:r w:rsidRPr="002A7673">
        <w:rPr>
          <w:rFonts w:ascii="Times New Roman" w:hAnsi="Times New Roman" w:cs="Times New Roman"/>
          <w:b/>
          <w:sz w:val="26"/>
          <w:szCs w:val="26"/>
          <w:u w:val="single"/>
        </w:rPr>
        <w:t xml:space="preserve"> jurídicos en </w:t>
      </w:r>
      <w:bookmarkEnd w:id="264"/>
      <w:r w:rsidRPr="002A7673">
        <w:rPr>
          <w:rFonts w:ascii="Times New Roman" w:hAnsi="Times New Roman" w:cs="Times New Roman"/>
          <w:b/>
          <w:sz w:val="26"/>
          <w:szCs w:val="26"/>
          <w:u w:val="single"/>
        </w:rPr>
        <w:t>la Defensa Pública</w:t>
      </w:r>
    </w:p>
    <w:p w14:paraId="5EBAF755"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b/>
          <w:sz w:val="26"/>
          <w:szCs w:val="26"/>
          <w:u w:val="single"/>
        </w:rPr>
      </w:pPr>
    </w:p>
    <w:p w14:paraId="45AF6619"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 continuación, se detallan los resultados obtenidos del análisis de las 88 plazas de </w:t>
      </w:r>
      <w:proofErr w:type="gramStart"/>
      <w:r w:rsidRPr="002A7673">
        <w:rPr>
          <w:rFonts w:ascii="Times New Roman" w:hAnsi="Times New Roman" w:cs="Times New Roman"/>
          <w:sz w:val="26"/>
          <w:szCs w:val="26"/>
        </w:rPr>
        <w:t>Técnicos y Técnicas</w:t>
      </w:r>
      <w:proofErr w:type="gramEnd"/>
      <w:r w:rsidRPr="002A7673">
        <w:rPr>
          <w:rFonts w:ascii="Times New Roman" w:hAnsi="Times New Roman" w:cs="Times New Roman"/>
          <w:sz w:val="26"/>
          <w:szCs w:val="26"/>
        </w:rPr>
        <w:t xml:space="preserve"> Jurídicas</w:t>
      </w:r>
      <w:r w:rsidRPr="002A7673">
        <w:rPr>
          <w:rFonts w:ascii="Times New Roman" w:hAnsi="Times New Roman" w:cs="Times New Roman"/>
          <w:sz w:val="26"/>
          <w:szCs w:val="26"/>
          <w:vertAlign w:val="superscript"/>
        </w:rPr>
        <w:footnoteReference w:id="8"/>
      </w:r>
      <w:r w:rsidRPr="002A7673">
        <w:rPr>
          <w:rFonts w:ascii="Times New Roman" w:hAnsi="Times New Roman" w:cs="Times New Roman"/>
          <w:sz w:val="26"/>
          <w:szCs w:val="26"/>
        </w:rPr>
        <w:t xml:space="preserve"> que laboran en la Defensa Pública, el cual contempla el análisis por oficina, condición de la plaza (propiedad o vacante), si la plaza está adscrita a la oficina en modalidad de medio tiempo o tiempo completo.</w:t>
      </w:r>
    </w:p>
    <w:p w14:paraId="74ECAE56"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36E9109B"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b/>
          <w:sz w:val="26"/>
          <w:szCs w:val="26"/>
          <w:u w:val="single"/>
        </w:rPr>
      </w:pPr>
      <w:r w:rsidRPr="002A7673">
        <w:rPr>
          <w:rFonts w:ascii="Times New Roman" w:hAnsi="Times New Roman" w:cs="Times New Roman"/>
          <w:b/>
          <w:sz w:val="26"/>
          <w:szCs w:val="26"/>
          <w:u w:val="single"/>
        </w:rPr>
        <w:t xml:space="preserve">Consideraciones </w:t>
      </w:r>
    </w:p>
    <w:p w14:paraId="262ECB6C"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b/>
          <w:sz w:val="26"/>
          <w:szCs w:val="26"/>
          <w:u w:val="single"/>
        </w:rPr>
      </w:pPr>
    </w:p>
    <w:p w14:paraId="6C3EC227" w14:textId="77777777" w:rsidR="0085505C" w:rsidRPr="002A7673" w:rsidRDefault="0085505C" w:rsidP="00FF3FAC">
      <w:pPr>
        <w:widowControl w:val="0"/>
        <w:numPr>
          <w:ilvl w:val="0"/>
          <w:numId w:val="82"/>
        </w:numPr>
        <w:autoSpaceDE w:val="0"/>
        <w:autoSpaceDN w:val="0"/>
        <w:adjustRightInd w:val="0"/>
        <w:spacing w:after="0" w:line="240" w:lineRule="auto"/>
        <w:ind w:left="851" w:right="851"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 xml:space="preserve">Plazas que se podrían recalificar sin ninguna afectación al </w:t>
      </w:r>
      <w:r w:rsidRPr="002A7673">
        <w:rPr>
          <w:rFonts w:ascii="Times New Roman" w:eastAsia="Times New Roman" w:hAnsi="Times New Roman" w:cs="Times New Roman"/>
          <w:b/>
          <w:bCs/>
          <w:sz w:val="26"/>
          <w:szCs w:val="26"/>
          <w:lang w:val="es-ES" w:eastAsia="es-ES"/>
        </w:rPr>
        <w:lastRenderedPageBreak/>
        <w:t>personal involucrado</w:t>
      </w:r>
    </w:p>
    <w:p w14:paraId="3EAB3CCB"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b/>
          <w:bCs/>
          <w:sz w:val="26"/>
          <w:szCs w:val="26"/>
          <w:lang w:val="es-ES" w:eastAsia="es-ES"/>
        </w:rPr>
      </w:pPr>
    </w:p>
    <w:p w14:paraId="4A47FD81"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sz w:val="26"/>
          <w:szCs w:val="26"/>
          <w:lang w:val="es-ES" w:eastAsia="es-ES"/>
        </w:rPr>
        <w:t xml:space="preserve">Existen tres oficinas donde se encontró plazas de medio tiempo de persona Técnica Jurídica, donde existe la condición de que hay una plaza dada en propiedad y otra vacante y ambas están </w:t>
      </w:r>
      <w:r w:rsidRPr="002A7673">
        <w:rPr>
          <w:rFonts w:ascii="Times New Roman" w:eastAsia="Times New Roman" w:hAnsi="Times New Roman" w:cs="Times New Roman"/>
          <w:b/>
          <w:bCs/>
          <w:sz w:val="26"/>
          <w:szCs w:val="26"/>
          <w:lang w:val="es-ES" w:eastAsia="es-ES"/>
        </w:rPr>
        <w:t>ocupadas por la misma persona.</w:t>
      </w:r>
    </w:p>
    <w:p w14:paraId="46D51BD3" w14:textId="77777777" w:rsidR="0085505C" w:rsidRPr="002A7673" w:rsidRDefault="0085505C" w:rsidP="0085505C">
      <w:pPr>
        <w:widowControl w:val="0"/>
        <w:spacing w:after="0" w:line="240" w:lineRule="auto"/>
        <w:ind w:left="851" w:right="851" w:firstLine="709"/>
        <w:jc w:val="center"/>
        <w:rPr>
          <w:rFonts w:ascii="Times New Roman" w:hAnsi="Times New Roman" w:cs="Times New Roman"/>
          <w:b/>
          <w:bCs/>
          <w:sz w:val="26"/>
          <w:szCs w:val="26"/>
          <w:shd w:val="clear" w:color="auto" w:fill="FFFFFF"/>
        </w:rPr>
      </w:pPr>
    </w:p>
    <w:p w14:paraId="78993EF2"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 xml:space="preserve">Cuadro </w:t>
      </w:r>
      <w:r w:rsidRPr="002A7673">
        <w:rPr>
          <w:rFonts w:ascii="Times New Roman" w:hAnsi="Times New Roman" w:cs="Times New Roman"/>
          <w:b/>
          <w:bCs/>
          <w:sz w:val="26"/>
          <w:szCs w:val="26"/>
          <w:shd w:val="clear" w:color="auto" w:fill="FFFFFF"/>
        </w:rPr>
        <w:fldChar w:fldCharType="begin"/>
      </w:r>
      <w:r w:rsidRPr="002A7673">
        <w:rPr>
          <w:rFonts w:ascii="Times New Roman" w:hAnsi="Times New Roman" w:cs="Times New Roman"/>
          <w:b/>
          <w:bCs/>
          <w:sz w:val="26"/>
          <w:szCs w:val="26"/>
          <w:shd w:val="clear" w:color="auto" w:fill="FFFFFF"/>
        </w:rPr>
        <w:instrText xml:space="preserve"> SEQ Cuadro \* ARABIC </w:instrText>
      </w:r>
      <w:r w:rsidRPr="002A7673">
        <w:rPr>
          <w:rFonts w:ascii="Times New Roman" w:hAnsi="Times New Roman" w:cs="Times New Roman"/>
          <w:b/>
          <w:bCs/>
          <w:sz w:val="26"/>
          <w:szCs w:val="26"/>
          <w:shd w:val="clear" w:color="auto" w:fill="FFFFFF"/>
        </w:rPr>
        <w:fldChar w:fldCharType="separate"/>
      </w:r>
      <w:r w:rsidRPr="002A7673">
        <w:rPr>
          <w:rFonts w:ascii="Times New Roman" w:hAnsi="Times New Roman" w:cs="Times New Roman"/>
          <w:b/>
          <w:bCs/>
          <w:noProof/>
          <w:sz w:val="26"/>
          <w:szCs w:val="26"/>
          <w:shd w:val="clear" w:color="auto" w:fill="FFFFFF"/>
        </w:rPr>
        <w:t>1</w:t>
      </w:r>
      <w:r w:rsidRPr="002A7673">
        <w:rPr>
          <w:rFonts w:ascii="Times New Roman" w:hAnsi="Times New Roman" w:cs="Times New Roman"/>
          <w:b/>
          <w:bCs/>
          <w:sz w:val="26"/>
          <w:szCs w:val="26"/>
          <w:shd w:val="clear" w:color="auto" w:fill="FFFFFF"/>
        </w:rPr>
        <w:fldChar w:fldCharType="end"/>
      </w:r>
    </w:p>
    <w:p w14:paraId="2A10CD31"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Oficinas con dos plazas de Técnico Jurídico de medio tiempo ocupadas por el mismo funcionario</w:t>
      </w:r>
    </w:p>
    <w:p w14:paraId="619C8D44" w14:textId="77777777" w:rsidR="0085505C" w:rsidRPr="002A7673" w:rsidRDefault="0085505C" w:rsidP="0085505C">
      <w:pPr>
        <w:widowControl w:val="0"/>
        <w:spacing w:after="0" w:line="240" w:lineRule="auto"/>
        <w:jc w:val="center"/>
        <w:rPr>
          <w:rFonts w:ascii="Times New Roman" w:hAnsi="Times New Roman" w:cs="Times New Roman"/>
          <w:b/>
          <w:bCs/>
          <w:shd w:val="clear" w:color="auto" w:fill="FFFFFF"/>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2"/>
        <w:gridCol w:w="952"/>
        <w:gridCol w:w="674"/>
        <w:gridCol w:w="862"/>
        <w:gridCol w:w="1010"/>
        <w:gridCol w:w="1407"/>
        <w:gridCol w:w="941"/>
        <w:gridCol w:w="1367"/>
        <w:gridCol w:w="753"/>
      </w:tblGrid>
      <w:tr w:rsidR="0085505C" w:rsidRPr="002A7673" w14:paraId="6B04EC99" w14:textId="77777777" w:rsidTr="0048334E">
        <w:trPr>
          <w:trHeight w:val="585"/>
        </w:trPr>
        <w:tc>
          <w:tcPr>
            <w:tcW w:w="959" w:type="pct"/>
            <w:shd w:val="clear" w:color="auto" w:fill="FFE699"/>
            <w:vAlign w:val="center"/>
            <w:hideMark/>
          </w:tcPr>
          <w:p w14:paraId="4DE459F2"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 xml:space="preserve">Oficina Destacada según Defensa </w:t>
            </w:r>
          </w:p>
        </w:tc>
        <w:tc>
          <w:tcPr>
            <w:tcW w:w="411" w:type="pct"/>
            <w:shd w:val="clear" w:color="auto" w:fill="FFE699"/>
            <w:vAlign w:val="center"/>
            <w:hideMark/>
          </w:tcPr>
          <w:p w14:paraId="4C5B7680"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Clase</w:t>
            </w:r>
          </w:p>
        </w:tc>
        <w:tc>
          <w:tcPr>
            <w:tcW w:w="344" w:type="pct"/>
            <w:shd w:val="clear" w:color="auto" w:fill="FFE699"/>
            <w:vAlign w:val="center"/>
            <w:hideMark/>
          </w:tcPr>
          <w:p w14:paraId="6BDDE151"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Puesto</w:t>
            </w:r>
          </w:p>
        </w:tc>
        <w:tc>
          <w:tcPr>
            <w:tcW w:w="482" w:type="pct"/>
            <w:shd w:val="clear" w:color="auto" w:fill="FFE699"/>
            <w:vAlign w:val="center"/>
            <w:hideMark/>
          </w:tcPr>
          <w:p w14:paraId="3A19D1F1"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Estado Puesto</w:t>
            </w:r>
          </w:p>
        </w:tc>
        <w:tc>
          <w:tcPr>
            <w:tcW w:w="522" w:type="pct"/>
            <w:shd w:val="clear" w:color="auto" w:fill="FFE699"/>
            <w:vAlign w:val="center"/>
            <w:hideMark/>
          </w:tcPr>
          <w:p w14:paraId="0B97EB96"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Cédula Propietario</w:t>
            </w:r>
          </w:p>
        </w:tc>
        <w:tc>
          <w:tcPr>
            <w:tcW w:w="719" w:type="pct"/>
            <w:shd w:val="clear" w:color="auto" w:fill="FFE699"/>
            <w:vAlign w:val="center"/>
            <w:hideMark/>
          </w:tcPr>
          <w:p w14:paraId="5E359595"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 xml:space="preserve">Funcionario Propietario </w:t>
            </w:r>
          </w:p>
        </w:tc>
        <w:tc>
          <w:tcPr>
            <w:tcW w:w="469" w:type="pct"/>
            <w:shd w:val="clear" w:color="auto" w:fill="FFE699"/>
            <w:vAlign w:val="center"/>
            <w:hideMark/>
          </w:tcPr>
          <w:p w14:paraId="48B868E5"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Cédula Interino</w:t>
            </w:r>
          </w:p>
        </w:tc>
        <w:tc>
          <w:tcPr>
            <w:tcW w:w="705" w:type="pct"/>
            <w:shd w:val="clear" w:color="auto" w:fill="FFE699"/>
            <w:vAlign w:val="center"/>
            <w:hideMark/>
          </w:tcPr>
          <w:p w14:paraId="659CE504"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 xml:space="preserve">Funcionario Interino </w:t>
            </w:r>
          </w:p>
        </w:tc>
        <w:tc>
          <w:tcPr>
            <w:tcW w:w="388" w:type="pct"/>
            <w:shd w:val="clear" w:color="auto" w:fill="FFE699"/>
            <w:vAlign w:val="center"/>
            <w:hideMark/>
          </w:tcPr>
          <w:p w14:paraId="4F0AC3C3"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Horario</w:t>
            </w:r>
          </w:p>
        </w:tc>
      </w:tr>
      <w:tr w:rsidR="0085505C" w:rsidRPr="002A7673" w14:paraId="1DF6C23E" w14:textId="77777777" w:rsidTr="0048334E">
        <w:trPr>
          <w:trHeight w:val="660"/>
        </w:trPr>
        <w:tc>
          <w:tcPr>
            <w:tcW w:w="959" w:type="pct"/>
            <w:vAlign w:val="center"/>
            <w:hideMark/>
          </w:tcPr>
          <w:p w14:paraId="36F5A4D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II CIRCUITO JUDICIAL ZONA SUR</w:t>
            </w:r>
          </w:p>
        </w:tc>
        <w:tc>
          <w:tcPr>
            <w:tcW w:w="411" w:type="pct"/>
            <w:vAlign w:val="center"/>
            <w:hideMark/>
          </w:tcPr>
          <w:p w14:paraId="08C19E4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06E2D3C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47317</w:t>
            </w:r>
          </w:p>
        </w:tc>
        <w:tc>
          <w:tcPr>
            <w:tcW w:w="482" w:type="pct"/>
            <w:vAlign w:val="center"/>
            <w:hideMark/>
          </w:tcPr>
          <w:p w14:paraId="46E3510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Propiedad</w:t>
            </w:r>
          </w:p>
        </w:tc>
        <w:tc>
          <w:tcPr>
            <w:tcW w:w="522" w:type="pct"/>
            <w:vAlign w:val="center"/>
            <w:hideMark/>
          </w:tcPr>
          <w:p w14:paraId="19A894A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112630086</w:t>
            </w:r>
          </w:p>
        </w:tc>
        <w:tc>
          <w:tcPr>
            <w:tcW w:w="719" w:type="pct"/>
            <w:vAlign w:val="center"/>
            <w:hideMark/>
          </w:tcPr>
          <w:p w14:paraId="735B57A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DANIELA PATRICIA SALAS PEÑA</w:t>
            </w:r>
          </w:p>
        </w:tc>
        <w:tc>
          <w:tcPr>
            <w:tcW w:w="469" w:type="pct"/>
            <w:vAlign w:val="center"/>
            <w:hideMark/>
          </w:tcPr>
          <w:p w14:paraId="123DA59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604540284</w:t>
            </w:r>
          </w:p>
        </w:tc>
        <w:tc>
          <w:tcPr>
            <w:tcW w:w="705" w:type="pct"/>
            <w:vAlign w:val="center"/>
            <w:hideMark/>
          </w:tcPr>
          <w:p w14:paraId="62064D1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ESTRELLITA ARIAS CONCEPCION</w:t>
            </w:r>
          </w:p>
        </w:tc>
        <w:tc>
          <w:tcPr>
            <w:tcW w:w="388" w:type="pct"/>
            <w:vAlign w:val="center"/>
            <w:hideMark/>
          </w:tcPr>
          <w:p w14:paraId="26C9921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r w:rsidR="0085505C" w:rsidRPr="002A7673" w14:paraId="35697634" w14:textId="77777777" w:rsidTr="0048334E">
        <w:trPr>
          <w:trHeight w:val="589"/>
        </w:trPr>
        <w:tc>
          <w:tcPr>
            <w:tcW w:w="959" w:type="pct"/>
            <w:vAlign w:val="center"/>
            <w:hideMark/>
          </w:tcPr>
          <w:p w14:paraId="1E86935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II CIRCUITO JUDICIAL ZONA SUR</w:t>
            </w:r>
          </w:p>
        </w:tc>
        <w:tc>
          <w:tcPr>
            <w:tcW w:w="411" w:type="pct"/>
            <w:vAlign w:val="center"/>
            <w:hideMark/>
          </w:tcPr>
          <w:p w14:paraId="2BCF9A7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5665BEF7"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102153</w:t>
            </w:r>
          </w:p>
        </w:tc>
        <w:tc>
          <w:tcPr>
            <w:tcW w:w="482" w:type="pct"/>
            <w:vAlign w:val="center"/>
            <w:hideMark/>
          </w:tcPr>
          <w:p w14:paraId="185BED9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Vacante</w:t>
            </w:r>
          </w:p>
        </w:tc>
        <w:tc>
          <w:tcPr>
            <w:tcW w:w="522" w:type="pct"/>
            <w:vAlign w:val="center"/>
            <w:hideMark/>
          </w:tcPr>
          <w:p w14:paraId="19B7586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719" w:type="pct"/>
            <w:vAlign w:val="center"/>
            <w:hideMark/>
          </w:tcPr>
          <w:p w14:paraId="29C671D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xml:space="preserve">  </w:t>
            </w:r>
          </w:p>
        </w:tc>
        <w:tc>
          <w:tcPr>
            <w:tcW w:w="469" w:type="pct"/>
            <w:vAlign w:val="center"/>
            <w:hideMark/>
          </w:tcPr>
          <w:p w14:paraId="3D0AB89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604540284</w:t>
            </w:r>
          </w:p>
        </w:tc>
        <w:tc>
          <w:tcPr>
            <w:tcW w:w="705" w:type="pct"/>
            <w:vAlign w:val="center"/>
            <w:hideMark/>
          </w:tcPr>
          <w:p w14:paraId="5F59925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ESTRELLITA ARIAS CONCEPCION</w:t>
            </w:r>
          </w:p>
        </w:tc>
        <w:tc>
          <w:tcPr>
            <w:tcW w:w="388" w:type="pct"/>
            <w:vAlign w:val="center"/>
            <w:hideMark/>
          </w:tcPr>
          <w:p w14:paraId="0A4FE0A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r w:rsidR="0085505C" w:rsidRPr="002A7673" w14:paraId="6A174971" w14:textId="77777777" w:rsidTr="0048334E">
        <w:trPr>
          <w:trHeight w:val="330"/>
        </w:trPr>
        <w:tc>
          <w:tcPr>
            <w:tcW w:w="959" w:type="pct"/>
            <w:shd w:val="clear" w:color="auto" w:fill="FFE699"/>
            <w:vAlign w:val="center"/>
            <w:hideMark/>
          </w:tcPr>
          <w:p w14:paraId="29E86A1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11" w:type="pct"/>
            <w:shd w:val="clear" w:color="auto" w:fill="FFE699"/>
            <w:vAlign w:val="center"/>
            <w:hideMark/>
          </w:tcPr>
          <w:p w14:paraId="543A5C2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344" w:type="pct"/>
            <w:shd w:val="clear" w:color="auto" w:fill="FFE699"/>
            <w:vAlign w:val="center"/>
            <w:hideMark/>
          </w:tcPr>
          <w:p w14:paraId="5DEE2AA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82" w:type="pct"/>
            <w:shd w:val="clear" w:color="auto" w:fill="FFE699"/>
            <w:vAlign w:val="center"/>
            <w:hideMark/>
          </w:tcPr>
          <w:p w14:paraId="14E7CE8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522" w:type="pct"/>
            <w:shd w:val="clear" w:color="auto" w:fill="FFE699"/>
            <w:vAlign w:val="center"/>
            <w:hideMark/>
          </w:tcPr>
          <w:p w14:paraId="1BEB7DF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719" w:type="pct"/>
            <w:shd w:val="clear" w:color="auto" w:fill="FFE699"/>
            <w:vAlign w:val="center"/>
            <w:hideMark/>
          </w:tcPr>
          <w:p w14:paraId="344C53E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69" w:type="pct"/>
            <w:shd w:val="clear" w:color="auto" w:fill="FFE699"/>
            <w:vAlign w:val="center"/>
            <w:hideMark/>
          </w:tcPr>
          <w:p w14:paraId="6F3BC9B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705" w:type="pct"/>
            <w:shd w:val="clear" w:color="auto" w:fill="FFE699"/>
            <w:vAlign w:val="center"/>
            <w:hideMark/>
          </w:tcPr>
          <w:p w14:paraId="63B5600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388" w:type="pct"/>
            <w:shd w:val="clear" w:color="auto" w:fill="FFE699"/>
            <w:vAlign w:val="center"/>
            <w:hideMark/>
          </w:tcPr>
          <w:p w14:paraId="4032709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r>
      <w:tr w:rsidR="0085505C" w:rsidRPr="002A7673" w14:paraId="068D566D" w14:textId="77777777" w:rsidTr="0048334E">
        <w:trPr>
          <w:trHeight w:val="660"/>
        </w:trPr>
        <w:tc>
          <w:tcPr>
            <w:tcW w:w="959" w:type="pct"/>
            <w:vAlign w:val="center"/>
            <w:hideMark/>
          </w:tcPr>
          <w:p w14:paraId="1A69716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I CIRCUITO JUDICIAL ZONA ATLANTICA</w:t>
            </w:r>
          </w:p>
        </w:tc>
        <w:tc>
          <w:tcPr>
            <w:tcW w:w="411" w:type="pct"/>
            <w:vAlign w:val="center"/>
            <w:hideMark/>
          </w:tcPr>
          <w:p w14:paraId="5A30783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10801911"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24562</w:t>
            </w:r>
          </w:p>
        </w:tc>
        <w:tc>
          <w:tcPr>
            <w:tcW w:w="482" w:type="pct"/>
            <w:vAlign w:val="center"/>
            <w:hideMark/>
          </w:tcPr>
          <w:p w14:paraId="1D4E612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Vacante</w:t>
            </w:r>
          </w:p>
        </w:tc>
        <w:tc>
          <w:tcPr>
            <w:tcW w:w="522" w:type="pct"/>
            <w:vAlign w:val="center"/>
            <w:hideMark/>
          </w:tcPr>
          <w:p w14:paraId="62F266B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719" w:type="pct"/>
            <w:vAlign w:val="center"/>
            <w:hideMark/>
          </w:tcPr>
          <w:p w14:paraId="085C62B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69" w:type="pct"/>
            <w:vAlign w:val="center"/>
            <w:hideMark/>
          </w:tcPr>
          <w:p w14:paraId="5B44ACB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702120057</w:t>
            </w:r>
          </w:p>
        </w:tc>
        <w:tc>
          <w:tcPr>
            <w:tcW w:w="705" w:type="pct"/>
            <w:vAlign w:val="center"/>
            <w:hideMark/>
          </w:tcPr>
          <w:p w14:paraId="74A31AA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xml:space="preserve">DAYNA MONTERROSA BRYAN </w:t>
            </w:r>
          </w:p>
        </w:tc>
        <w:tc>
          <w:tcPr>
            <w:tcW w:w="388" w:type="pct"/>
            <w:vAlign w:val="center"/>
            <w:hideMark/>
          </w:tcPr>
          <w:p w14:paraId="30429CF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r w:rsidR="0085505C" w:rsidRPr="002A7673" w14:paraId="7953F853" w14:textId="77777777" w:rsidTr="0048334E">
        <w:trPr>
          <w:trHeight w:val="660"/>
        </w:trPr>
        <w:tc>
          <w:tcPr>
            <w:tcW w:w="959" w:type="pct"/>
            <w:vAlign w:val="center"/>
            <w:hideMark/>
          </w:tcPr>
          <w:p w14:paraId="7739562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I CIRCUITO JUDICIAL ZONA ATLANTICA</w:t>
            </w:r>
          </w:p>
        </w:tc>
        <w:tc>
          <w:tcPr>
            <w:tcW w:w="411" w:type="pct"/>
            <w:vAlign w:val="center"/>
            <w:hideMark/>
          </w:tcPr>
          <w:p w14:paraId="6DAA3B9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36BC85E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33903</w:t>
            </w:r>
          </w:p>
        </w:tc>
        <w:tc>
          <w:tcPr>
            <w:tcW w:w="482" w:type="pct"/>
            <w:vAlign w:val="center"/>
            <w:hideMark/>
          </w:tcPr>
          <w:p w14:paraId="79694FA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Propiedad</w:t>
            </w:r>
          </w:p>
        </w:tc>
        <w:tc>
          <w:tcPr>
            <w:tcW w:w="522" w:type="pct"/>
            <w:vAlign w:val="center"/>
            <w:hideMark/>
          </w:tcPr>
          <w:p w14:paraId="58225D2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205960853</w:t>
            </w:r>
          </w:p>
        </w:tc>
        <w:tc>
          <w:tcPr>
            <w:tcW w:w="719" w:type="pct"/>
            <w:vAlign w:val="center"/>
            <w:hideMark/>
          </w:tcPr>
          <w:p w14:paraId="395BF80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NATALIA FERNANDEZ CUBILLO</w:t>
            </w:r>
          </w:p>
        </w:tc>
        <w:tc>
          <w:tcPr>
            <w:tcW w:w="469" w:type="pct"/>
            <w:vAlign w:val="center"/>
            <w:hideMark/>
          </w:tcPr>
          <w:p w14:paraId="18472F7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702120057</w:t>
            </w:r>
          </w:p>
        </w:tc>
        <w:tc>
          <w:tcPr>
            <w:tcW w:w="705" w:type="pct"/>
            <w:vAlign w:val="center"/>
            <w:hideMark/>
          </w:tcPr>
          <w:p w14:paraId="7DF4929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xml:space="preserve">DAYNA MONTERROSA BRYAN </w:t>
            </w:r>
          </w:p>
        </w:tc>
        <w:tc>
          <w:tcPr>
            <w:tcW w:w="388" w:type="pct"/>
            <w:vAlign w:val="center"/>
            <w:hideMark/>
          </w:tcPr>
          <w:p w14:paraId="2AA7903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r w:rsidR="0085505C" w:rsidRPr="002A7673" w14:paraId="2474D677" w14:textId="77777777" w:rsidTr="0048334E">
        <w:trPr>
          <w:trHeight w:val="330"/>
        </w:trPr>
        <w:tc>
          <w:tcPr>
            <w:tcW w:w="959" w:type="pct"/>
            <w:shd w:val="clear" w:color="auto" w:fill="FFE699"/>
            <w:vAlign w:val="center"/>
            <w:hideMark/>
          </w:tcPr>
          <w:p w14:paraId="256A756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11" w:type="pct"/>
            <w:shd w:val="clear" w:color="auto" w:fill="FFE699"/>
            <w:vAlign w:val="center"/>
            <w:hideMark/>
          </w:tcPr>
          <w:p w14:paraId="00269D9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344" w:type="pct"/>
            <w:shd w:val="clear" w:color="auto" w:fill="FFE699"/>
            <w:vAlign w:val="center"/>
            <w:hideMark/>
          </w:tcPr>
          <w:p w14:paraId="6478E4B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82" w:type="pct"/>
            <w:shd w:val="clear" w:color="auto" w:fill="FFE699"/>
            <w:vAlign w:val="center"/>
            <w:hideMark/>
          </w:tcPr>
          <w:p w14:paraId="0CEB8DD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522" w:type="pct"/>
            <w:shd w:val="clear" w:color="auto" w:fill="FFE699"/>
            <w:vAlign w:val="center"/>
            <w:hideMark/>
          </w:tcPr>
          <w:p w14:paraId="43AE146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719" w:type="pct"/>
            <w:shd w:val="clear" w:color="auto" w:fill="FFE699"/>
            <w:vAlign w:val="center"/>
            <w:hideMark/>
          </w:tcPr>
          <w:p w14:paraId="08527BD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69" w:type="pct"/>
            <w:shd w:val="clear" w:color="auto" w:fill="FFE699"/>
            <w:vAlign w:val="center"/>
            <w:hideMark/>
          </w:tcPr>
          <w:p w14:paraId="5F6552E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705" w:type="pct"/>
            <w:shd w:val="clear" w:color="auto" w:fill="FFE699"/>
            <w:vAlign w:val="center"/>
            <w:hideMark/>
          </w:tcPr>
          <w:p w14:paraId="4D29339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388" w:type="pct"/>
            <w:shd w:val="clear" w:color="auto" w:fill="FFE699"/>
            <w:vAlign w:val="center"/>
            <w:hideMark/>
          </w:tcPr>
          <w:p w14:paraId="40AC137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r>
      <w:tr w:rsidR="0085505C" w:rsidRPr="002A7673" w14:paraId="0E3FDF64" w14:textId="77777777" w:rsidTr="0048334E">
        <w:trPr>
          <w:trHeight w:val="660"/>
        </w:trPr>
        <w:tc>
          <w:tcPr>
            <w:tcW w:w="959" w:type="pct"/>
            <w:vAlign w:val="center"/>
            <w:hideMark/>
          </w:tcPr>
          <w:p w14:paraId="3154593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ADMINISTRACION DE LA DEFENSA PUBLICA</w:t>
            </w:r>
          </w:p>
        </w:tc>
        <w:tc>
          <w:tcPr>
            <w:tcW w:w="411" w:type="pct"/>
            <w:vAlign w:val="center"/>
            <w:hideMark/>
          </w:tcPr>
          <w:p w14:paraId="0BEF5F7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792EDCF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33961</w:t>
            </w:r>
          </w:p>
        </w:tc>
        <w:tc>
          <w:tcPr>
            <w:tcW w:w="482" w:type="pct"/>
            <w:vAlign w:val="center"/>
            <w:hideMark/>
          </w:tcPr>
          <w:p w14:paraId="15E0673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Propiedad</w:t>
            </w:r>
          </w:p>
        </w:tc>
        <w:tc>
          <w:tcPr>
            <w:tcW w:w="522" w:type="pct"/>
            <w:vAlign w:val="center"/>
            <w:hideMark/>
          </w:tcPr>
          <w:p w14:paraId="5CE4A7A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112330494</w:t>
            </w:r>
          </w:p>
        </w:tc>
        <w:tc>
          <w:tcPr>
            <w:tcW w:w="719" w:type="pct"/>
            <w:vAlign w:val="center"/>
            <w:hideMark/>
          </w:tcPr>
          <w:p w14:paraId="4B01C45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ROBERTO ALEXANDRE CAMPOS DELGADO</w:t>
            </w:r>
          </w:p>
        </w:tc>
        <w:tc>
          <w:tcPr>
            <w:tcW w:w="469" w:type="pct"/>
            <w:vAlign w:val="center"/>
            <w:hideMark/>
          </w:tcPr>
          <w:p w14:paraId="1DD5CFF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116550833</w:t>
            </w:r>
          </w:p>
        </w:tc>
        <w:tc>
          <w:tcPr>
            <w:tcW w:w="705" w:type="pct"/>
            <w:vAlign w:val="center"/>
            <w:hideMark/>
          </w:tcPr>
          <w:p w14:paraId="2E97FD7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TAMARA CORDERO SALGADO</w:t>
            </w:r>
          </w:p>
        </w:tc>
        <w:tc>
          <w:tcPr>
            <w:tcW w:w="388" w:type="pct"/>
            <w:vAlign w:val="center"/>
            <w:hideMark/>
          </w:tcPr>
          <w:p w14:paraId="17E383B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r w:rsidR="0085505C" w:rsidRPr="002A7673" w14:paraId="5B419DBB" w14:textId="77777777" w:rsidTr="0048334E">
        <w:trPr>
          <w:trHeight w:val="660"/>
        </w:trPr>
        <w:tc>
          <w:tcPr>
            <w:tcW w:w="959" w:type="pct"/>
            <w:vAlign w:val="center"/>
            <w:hideMark/>
          </w:tcPr>
          <w:p w14:paraId="4369BAB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ADMINISTRACION DE LA DEFENSA PUBLICA</w:t>
            </w:r>
          </w:p>
        </w:tc>
        <w:tc>
          <w:tcPr>
            <w:tcW w:w="411" w:type="pct"/>
            <w:vAlign w:val="center"/>
            <w:hideMark/>
          </w:tcPr>
          <w:p w14:paraId="4A2E0CC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63ADDF06"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54040</w:t>
            </w:r>
          </w:p>
        </w:tc>
        <w:tc>
          <w:tcPr>
            <w:tcW w:w="482" w:type="pct"/>
            <w:vAlign w:val="center"/>
            <w:hideMark/>
          </w:tcPr>
          <w:p w14:paraId="2051DF1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Vacante</w:t>
            </w:r>
          </w:p>
        </w:tc>
        <w:tc>
          <w:tcPr>
            <w:tcW w:w="522" w:type="pct"/>
            <w:vAlign w:val="center"/>
            <w:hideMark/>
          </w:tcPr>
          <w:p w14:paraId="7FE957F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719" w:type="pct"/>
            <w:vAlign w:val="center"/>
            <w:hideMark/>
          </w:tcPr>
          <w:p w14:paraId="35E179C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69" w:type="pct"/>
            <w:vAlign w:val="center"/>
            <w:hideMark/>
          </w:tcPr>
          <w:p w14:paraId="260A6EB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116550833</w:t>
            </w:r>
          </w:p>
        </w:tc>
        <w:tc>
          <w:tcPr>
            <w:tcW w:w="705" w:type="pct"/>
            <w:vAlign w:val="center"/>
            <w:hideMark/>
          </w:tcPr>
          <w:p w14:paraId="7947042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TAMARA CORDERO SALGADO</w:t>
            </w:r>
          </w:p>
        </w:tc>
        <w:tc>
          <w:tcPr>
            <w:tcW w:w="388" w:type="pct"/>
            <w:vAlign w:val="center"/>
            <w:hideMark/>
          </w:tcPr>
          <w:p w14:paraId="34772E8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r w:rsidR="0085505C" w:rsidRPr="002A7673" w14:paraId="007713D1" w14:textId="77777777" w:rsidTr="0048334E">
        <w:trPr>
          <w:trHeight w:val="660"/>
        </w:trPr>
        <w:tc>
          <w:tcPr>
            <w:tcW w:w="959" w:type="pct"/>
            <w:vAlign w:val="center"/>
            <w:hideMark/>
          </w:tcPr>
          <w:p w14:paraId="7F4CE5D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ADMINISTRACION DE LA DEFENSA PUBLICA</w:t>
            </w:r>
          </w:p>
        </w:tc>
        <w:tc>
          <w:tcPr>
            <w:tcW w:w="411" w:type="pct"/>
            <w:vAlign w:val="center"/>
            <w:hideMark/>
          </w:tcPr>
          <w:p w14:paraId="441AAAA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4E115CA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43127</w:t>
            </w:r>
          </w:p>
        </w:tc>
        <w:tc>
          <w:tcPr>
            <w:tcW w:w="482" w:type="pct"/>
            <w:vAlign w:val="center"/>
            <w:hideMark/>
          </w:tcPr>
          <w:p w14:paraId="0B1D1F6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Propiedad</w:t>
            </w:r>
          </w:p>
        </w:tc>
        <w:tc>
          <w:tcPr>
            <w:tcW w:w="522" w:type="pct"/>
            <w:vAlign w:val="center"/>
            <w:hideMark/>
          </w:tcPr>
          <w:p w14:paraId="774B9CD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401860289</w:t>
            </w:r>
          </w:p>
        </w:tc>
        <w:tc>
          <w:tcPr>
            <w:tcW w:w="719" w:type="pct"/>
            <w:vAlign w:val="center"/>
            <w:hideMark/>
          </w:tcPr>
          <w:p w14:paraId="2ACCFB2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RODRIGO ARIAS ROJAS</w:t>
            </w:r>
          </w:p>
        </w:tc>
        <w:tc>
          <w:tcPr>
            <w:tcW w:w="469" w:type="pct"/>
            <w:vAlign w:val="center"/>
            <w:hideMark/>
          </w:tcPr>
          <w:p w14:paraId="14CC34E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110720690</w:t>
            </w:r>
          </w:p>
        </w:tc>
        <w:tc>
          <w:tcPr>
            <w:tcW w:w="705" w:type="pct"/>
            <w:vAlign w:val="center"/>
            <w:hideMark/>
          </w:tcPr>
          <w:p w14:paraId="79174A8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VIVIANA JIMENEZ SEGURA</w:t>
            </w:r>
          </w:p>
        </w:tc>
        <w:tc>
          <w:tcPr>
            <w:tcW w:w="388" w:type="pct"/>
            <w:vAlign w:val="center"/>
            <w:hideMark/>
          </w:tcPr>
          <w:p w14:paraId="0D93F6F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r w:rsidR="0085505C" w:rsidRPr="002A7673" w14:paraId="5ECD2AAE" w14:textId="77777777" w:rsidTr="0048334E">
        <w:trPr>
          <w:trHeight w:val="660"/>
        </w:trPr>
        <w:tc>
          <w:tcPr>
            <w:tcW w:w="959" w:type="pct"/>
            <w:vAlign w:val="center"/>
            <w:hideMark/>
          </w:tcPr>
          <w:p w14:paraId="733FEC7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ADMINISTRACION DE LA DEFENSA PUBLICA</w:t>
            </w:r>
          </w:p>
        </w:tc>
        <w:tc>
          <w:tcPr>
            <w:tcW w:w="411" w:type="pct"/>
            <w:vAlign w:val="center"/>
            <w:hideMark/>
          </w:tcPr>
          <w:p w14:paraId="765FDCF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56ACAA40"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33966</w:t>
            </w:r>
          </w:p>
        </w:tc>
        <w:tc>
          <w:tcPr>
            <w:tcW w:w="482" w:type="pct"/>
            <w:vAlign w:val="center"/>
            <w:hideMark/>
          </w:tcPr>
          <w:p w14:paraId="390C2DD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Vacante</w:t>
            </w:r>
          </w:p>
        </w:tc>
        <w:tc>
          <w:tcPr>
            <w:tcW w:w="522" w:type="pct"/>
            <w:vAlign w:val="center"/>
            <w:hideMark/>
          </w:tcPr>
          <w:p w14:paraId="2347941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719" w:type="pct"/>
            <w:vAlign w:val="center"/>
            <w:hideMark/>
          </w:tcPr>
          <w:p w14:paraId="0C08B09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69" w:type="pct"/>
            <w:vAlign w:val="center"/>
            <w:hideMark/>
          </w:tcPr>
          <w:p w14:paraId="446B44D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110720690</w:t>
            </w:r>
          </w:p>
        </w:tc>
        <w:tc>
          <w:tcPr>
            <w:tcW w:w="705" w:type="pct"/>
            <w:vAlign w:val="center"/>
            <w:hideMark/>
          </w:tcPr>
          <w:p w14:paraId="623D61A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VIVIANA JIMENEZ SEGURA</w:t>
            </w:r>
          </w:p>
        </w:tc>
        <w:tc>
          <w:tcPr>
            <w:tcW w:w="388" w:type="pct"/>
            <w:vAlign w:val="center"/>
            <w:hideMark/>
          </w:tcPr>
          <w:p w14:paraId="67D7D9D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r w:rsidR="0085505C" w:rsidRPr="002A7673" w14:paraId="0F0C74BA" w14:textId="77777777" w:rsidTr="0048334E">
        <w:trPr>
          <w:trHeight w:val="660"/>
        </w:trPr>
        <w:tc>
          <w:tcPr>
            <w:tcW w:w="959" w:type="pct"/>
            <w:vAlign w:val="center"/>
            <w:hideMark/>
          </w:tcPr>
          <w:p w14:paraId="7FEB2EA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ADMINISTRACION DE LA DEFENSA PUBLICA</w:t>
            </w:r>
          </w:p>
        </w:tc>
        <w:tc>
          <w:tcPr>
            <w:tcW w:w="411" w:type="pct"/>
            <w:vAlign w:val="center"/>
            <w:hideMark/>
          </w:tcPr>
          <w:p w14:paraId="7C6A780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1B8C05B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92418</w:t>
            </w:r>
          </w:p>
        </w:tc>
        <w:tc>
          <w:tcPr>
            <w:tcW w:w="482" w:type="pct"/>
            <w:vAlign w:val="center"/>
            <w:hideMark/>
          </w:tcPr>
          <w:p w14:paraId="65C39DC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Propiedad</w:t>
            </w:r>
          </w:p>
        </w:tc>
        <w:tc>
          <w:tcPr>
            <w:tcW w:w="522" w:type="pct"/>
            <w:vAlign w:val="center"/>
            <w:hideMark/>
          </w:tcPr>
          <w:p w14:paraId="1C89083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109600681</w:t>
            </w:r>
          </w:p>
        </w:tc>
        <w:tc>
          <w:tcPr>
            <w:tcW w:w="719" w:type="pct"/>
            <w:vAlign w:val="center"/>
            <w:hideMark/>
          </w:tcPr>
          <w:p w14:paraId="500D7B9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YENNY TATIANA CASTELLANOS DIAZ</w:t>
            </w:r>
          </w:p>
        </w:tc>
        <w:tc>
          <w:tcPr>
            <w:tcW w:w="469" w:type="pct"/>
            <w:vAlign w:val="center"/>
            <w:hideMark/>
          </w:tcPr>
          <w:p w14:paraId="304B975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112510223</w:t>
            </w:r>
          </w:p>
        </w:tc>
        <w:tc>
          <w:tcPr>
            <w:tcW w:w="705" w:type="pct"/>
            <w:vAlign w:val="center"/>
            <w:hideMark/>
          </w:tcPr>
          <w:p w14:paraId="5EF8C62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REBECA DE LOS ANGELE ARGUELLO SOTO</w:t>
            </w:r>
          </w:p>
        </w:tc>
        <w:tc>
          <w:tcPr>
            <w:tcW w:w="388" w:type="pct"/>
            <w:vAlign w:val="center"/>
            <w:hideMark/>
          </w:tcPr>
          <w:p w14:paraId="08D5D9A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r w:rsidR="0085505C" w:rsidRPr="002A7673" w14:paraId="7272B828" w14:textId="77777777" w:rsidTr="0048334E">
        <w:trPr>
          <w:trHeight w:val="660"/>
        </w:trPr>
        <w:tc>
          <w:tcPr>
            <w:tcW w:w="959" w:type="pct"/>
            <w:vAlign w:val="center"/>
            <w:hideMark/>
          </w:tcPr>
          <w:p w14:paraId="6BE6C3D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lastRenderedPageBreak/>
              <w:t>ADMINISTRACION DE LA DEFENSA PUBLICA</w:t>
            </w:r>
          </w:p>
        </w:tc>
        <w:tc>
          <w:tcPr>
            <w:tcW w:w="411" w:type="pct"/>
            <w:vAlign w:val="center"/>
            <w:hideMark/>
          </w:tcPr>
          <w:p w14:paraId="0EF4A2E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TÉCNICO JURÍDICO</w:t>
            </w:r>
          </w:p>
        </w:tc>
        <w:tc>
          <w:tcPr>
            <w:tcW w:w="344" w:type="pct"/>
            <w:vAlign w:val="center"/>
            <w:hideMark/>
          </w:tcPr>
          <w:p w14:paraId="5A1ADCAC"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18"/>
                <w:szCs w:val="18"/>
                <w:lang w:eastAsia="es-CR"/>
              </w:rPr>
            </w:pPr>
            <w:r w:rsidRPr="002A7673">
              <w:rPr>
                <w:rFonts w:ascii="Times New Roman" w:hAnsi="Times New Roman" w:cs="Times New Roman"/>
                <w:b/>
                <w:bCs/>
                <w:color w:val="000000"/>
                <w:sz w:val="18"/>
                <w:szCs w:val="18"/>
                <w:lang w:eastAsia="es-CR"/>
              </w:rPr>
              <w:t>43126</w:t>
            </w:r>
          </w:p>
        </w:tc>
        <w:tc>
          <w:tcPr>
            <w:tcW w:w="482" w:type="pct"/>
            <w:vAlign w:val="center"/>
            <w:hideMark/>
          </w:tcPr>
          <w:p w14:paraId="5390A16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Vacante</w:t>
            </w:r>
          </w:p>
        </w:tc>
        <w:tc>
          <w:tcPr>
            <w:tcW w:w="522" w:type="pct"/>
            <w:vAlign w:val="center"/>
            <w:hideMark/>
          </w:tcPr>
          <w:p w14:paraId="6E8BD97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719" w:type="pct"/>
            <w:vAlign w:val="center"/>
            <w:hideMark/>
          </w:tcPr>
          <w:p w14:paraId="06233C5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 </w:t>
            </w:r>
          </w:p>
        </w:tc>
        <w:tc>
          <w:tcPr>
            <w:tcW w:w="469" w:type="pct"/>
            <w:vAlign w:val="center"/>
            <w:hideMark/>
          </w:tcPr>
          <w:p w14:paraId="10CDDA5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112510223</w:t>
            </w:r>
          </w:p>
        </w:tc>
        <w:tc>
          <w:tcPr>
            <w:tcW w:w="705" w:type="pct"/>
            <w:vAlign w:val="center"/>
            <w:hideMark/>
          </w:tcPr>
          <w:p w14:paraId="443E69E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REBECA DE LOS ANGELE ARGUELLO SOTO</w:t>
            </w:r>
          </w:p>
        </w:tc>
        <w:tc>
          <w:tcPr>
            <w:tcW w:w="388" w:type="pct"/>
            <w:vAlign w:val="center"/>
            <w:hideMark/>
          </w:tcPr>
          <w:p w14:paraId="2971165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18"/>
                <w:szCs w:val="18"/>
                <w:lang w:eastAsia="es-CR"/>
              </w:rPr>
            </w:pPr>
            <w:r w:rsidRPr="002A7673">
              <w:rPr>
                <w:rFonts w:ascii="Times New Roman" w:hAnsi="Times New Roman" w:cs="Times New Roman"/>
                <w:color w:val="000000"/>
                <w:sz w:val="18"/>
                <w:szCs w:val="18"/>
                <w:lang w:eastAsia="es-CR"/>
              </w:rPr>
              <w:t>4</w:t>
            </w:r>
          </w:p>
        </w:tc>
      </w:tr>
    </w:tbl>
    <w:p w14:paraId="360FCB58" w14:textId="77777777" w:rsidR="0085505C" w:rsidRPr="002A7673" w:rsidRDefault="0085505C" w:rsidP="0085505C">
      <w:pPr>
        <w:widowControl w:val="0"/>
        <w:spacing w:line="256" w:lineRule="auto"/>
        <w:jc w:val="both"/>
        <w:rPr>
          <w:rFonts w:ascii="Times New Roman" w:hAnsi="Times New Roman" w:cs="Times New Roman"/>
          <w:sz w:val="18"/>
          <w:szCs w:val="18"/>
        </w:rPr>
      </w:pPr>
      <w:r w:rsidRPr="002A7673">
        <w:rPr>
          <w:rFonts w:ascii="Times New Roman" w:hAnsi="Times New Roman" w:cs="Times New Roman"/>
          <w:b/>
          <w:bCs/>
          <w:i/>
          <w:iCs/>
          <w:sz w:val="18"/>
          <w:szCs w:val="18"/>
        </w:rPr>
        <w:t>Fuente:</w:t>
      </w:r>
      <w:r w:rsidRPr="002A7673">
        <w:rPr>
          <w:rFonts w:ascii="Times New Roman" w:hAnsi="Times New Roman" w:cs="Times New Roman"/>
          <w:sz w:val="18"/>
          <w:szCs w:val="18"/>
        </w:rPr>
        <w:t xml:space="preserve"> Subproceso de Modernización Institucional con base en reporte de plazas emitido por la Unidad de Nombramientos de la Defensa Pública. </w:t>
      </w:r>
    </w:p>
    <w:p w14:paraId="16F8CFB4"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estas tres oficinas se plantea:</w:t>
      </w:r>
    </w:p>
    <w:p w14:paraId="6244F2F9"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0A2A1859" w14:textId="77777777" w:rsidR="0085505C" w:rsidRPr="002A7673" w:rsidRDefault="0085505C" w:rsidP="00FF3FAC">
      <w:pPr>
        <w:widowControl w:val="0"/>
        <w:numPr>
          <w:ilvl w:val="0"/>
          <w:numId w:val="83"/>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Ajustar la jornada laboral de las siguientes cinco plazas de Técnica o Técnico Jurídico a tiempo completo: 47317, 33903, 33961, 43127 y 92418, de manera que no existiría ninguna afectación en las labores que ya se ejecutan por el personal involucrado.</w:t>
      </w:r>
    </w:p>
    <w:p w14:paraId="0BF4B24D"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4568EEA4" w14:textId="77777777" w:rsidR="0085505C" w:rsidRPr="002A7673" w:rsidRDefault="0085505C" w:rsidP="00FF3FAC">
      <w:pPr>
        <w:widowControl w:val="0"/>
        <w:numPr>
          <w:ilvl w:val="0"/>
          <w:numId w:val="83"/>
        </w:numPr>
        <w:autoSpaceDE w:val="0"/>
        <w:autoSpaceDN w:val="0"/>
        <w:adjustRightInd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Recalificar las siguientes cinco plazas que estarían quedando disponibles: 102153, 24562, 54040, 33966 y 43126, a plazas de Defensoras o Defensores Públicos adscritas a la Jefatura de la Defensa Pública, de manera que se pueda disponer de ellas para reforzar las necesidades actuales de dicho recurso, esto provocaría que la persona que actualmente ocupa esos números de plaza sea nombrada únicamente en la plaza que se ampliaría la cobertura a tiempo completo para no afectar el servicio público ni a la persona.</w:t>
      </w:r>
    </w:p>
    <w:p w14:paraId="6597EC08"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1046E2AC"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 la propuesta anterior resulta importante hacer las siguientes aclaraciones:</w:t>
      </w:r>
    </w:p>
    <w:p w14:paraId="0A72AC51"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6C494C01" w14:textId="77777777" w:rsidR="0085505C" w:rsidRPr="002A7673" w:rsidRDefault="0085505C" w:rsidP="00FF3FAC">
      <w:pPr>
        <w:widowControl w:val="0"/>
        <w:numPr>
          <w:ilvl w:val="0"/>
          <w:numId w:val="84"/>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i/>
          <w:iCs/>
          <w:sz w:val="26"/>
          <w:szCs w:val="26"/>
          <w:lang w:val="es-ES" w:eastAsia="es-ES"/>
        </w:rPr>
        <w:t>Defensa Pública de Primer Circuito Judicial de Zona Atlántica:</w:t>
      </w:r>
      <w:r w:rsidRPr="002A7673">
        <w:rPr>
          <w:rFonts w:ascii="Times New Roman" w:eastAsia="Times New Roman" w:hAnsi="Times New Roman" w:cs="Times New Roman"/>
          <w:sz w:val="26"/>
          <w:szCs w:val="26"/>
          <w:lang w:val="es-ES" w:eastAsia="es-ES"/>
        </w:rPr>
        <w:t xml:space="preserve"> Existe otra plaza en propiedad nombrada en medio tiempo que podría considerarse para tiempo completo, pero está nombrada actualmente una persona distinta, por lo cual, de considerarse dicha plaza sí existiría un prejuicio sobre el personal actual. </w:t>
      </w:r>
    </w:p>
    <w:p w14:paraId="52F5C57D"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ES"/>
        </w:rPr>
      </w:pPr>
    </w:p>
    <w:p w14:paraId="39A62174"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Plaza en propiedad:</w:t>
      </w:r>
    </w:p>
    <w:p w14:paraId="355E3F33"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ES"/>
        </w:rPr>
      </w:pPr>
    </w:p>
    <w:p w14:paraId="7BAB5C1E" w14:textId="77777777" w:rsidR="0085505C" w:rsidRPr="002A7673" w:rsidRDefault="0085505C" w:rsidP="00FF3FAC">
      <w:pPr>
        <w:widowControl w:val="0"/>
        <w:numPr>
          <w:ilvl w:val="0"/>
          <w:numId w:val="85"/>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Puesto 103827. Propietaria Mariela Rodriguez Araya</w:t>
      </w:r>
    </w:p>
    <w:p w14:paraId="77F9EDDF" w14:textId="77777777" w:rsidR="0085505C" w:rsidRPr="002A7673" w:rsidRDefault="0085505C" w:rsidP="00FF3FAC">
      <w:pPr>
        <w:widowControl w:val="0"/>
        <w:numPr>
          <w:ilvl w:val="0"/>
          <w:numId w:val="85"/>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Interino nombrado en este momento: </w:t>
      </w:r>
      <w:proofErr w:type="spellStart"/>
      <w:r w:rsidRPr="002A7673">
        <w:rPr>
          <w:rFonts w:ascii="Times New Roman" w:eastAsia="Times New Roman" w:hAnsi="Times New Roman" w:cs="Times New Roman"/>
          <w:sz w:val="26"/>
          <w:szCs w:val="26"/>
          <w:lang w:val="es-ES" w:eastAsia="es-ES"/>
        </w:rPr>
        <w:t>Rasheed</w:t>
      </w:r>
      <w:proofErr w:type="spellEnd"/>
      <w:r w:rsidRPr="002A7673">
        <w:rPr>
          <w:rFonts w:ascii="Times New Roman" w:eastAsia="Times New Roman" w:hAnsi="Times New Roman" w:cs="Times New Roman"/>
          <w:sz w:val="26"/>
          <w:szCs w:val="26"/>
          <w:lang w:val="es-ES" w:eastAsia="es-ES"/>
        </w:rPr>
        <w:t xml:space="preserve"> Shamir Patterson Robinson. </w:t>
      </w:r>
    </w:p>
    <w:p w14:paraId="4A277155"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6633A451" w14:textId="77777777" w:rsidR="0085505C" w:rsidRPr="002A7673" w:rsidRDefault="0085505C" w:rsidP="00FF3FAC">
      <w:pPr>
        <w:widowControl w:val="0"/>
        <w:numPr>
          <w:ilvl w:val="0"/>
          <w:numId w:val="86"/>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i/>
          <w:iCs/>
          <w:sz w:val="26"/>
          <w:szCs w:val="26"/>
          <w:lang w:val="es-ES" w:eastAsia="es-ES"/>
        </w:rPr>
        <w:t>Administración de la Defensa Pública:</w:t>
      </w:r>
      <w:r w:rsidRPr="002A7673">
        <w:rPr>
          <w:rFonts w:ascii="Times New Roman" w:eastAsia="Times New Roman" w:hAnsi="Times New Roman" w:cs="Times New Roman"/>
          <w:sz w:val="26"/>
          <w:szCs w:val="26"/>
          <w:lang w:val="es-ES" w:eastAsia="es-ES"/>
        </w:rPr>
        <w:t xml:space="preserve"> En este caso existen 14 plazas más en condición de propiedad, sin embargo, las que se detallaron en el cuadro 1 son en las que actualmente está nombrada la misma persona interina en la plaza vacante y propiedad, por lo cual en las señaladas es donde </w:t>
      </w:r>
      <w:r w:rsidRPr="002A7673">
        <w:rPr>
          <w:rFonts w:ascii="Times New Roman" w:eastAsia="Times New Roman" w:hAnsi="Times New Roman" w:cs="Times New Roman"/>
          <w:sz w:val="26"/>
          <w:szCs w:val="26"/>
          <w:lang w:val="es-ES" w:eastAsia="es-ES"/>
        </w:rPr>
        <w:lastRenderedPageBreak/>
        <w:t xml:space="preserve">no habría afectación sobre alguna servidora o servidor judicial. Las otras plazas en propiedad son: </w:t>
      </w:r>
      <w:r w:rsidRPr="002A7673">
        <w:rPr>
          <w:rFonts w:ascii="Times New Roman" w:eastAsia="Times New Roman" w:hAnsi="Times New Roman" w:cs="Times New Roman"/>
          <w:i/>
          <w:iCs/>
          <w:sz w:val="26"/>
          <w:szCs w:val="26"/>
          <w:lang w:val="es-ES" w:eastAsia="es-ES"/>
        </w:rPr>
        <w:t>24836, 33971, 43128, 55179, 55424, 92413, 102152, 107757, 107758, 367660, 367661, 368523</w:t>
      </w:r>
      <w:r w:rsidRPr="002A7673">
        <w:rPr>
          <w:rFonts w:ascii="Times New Roman" w:eastAsia="Times New Roman" w:hAnsi="Times New Roman" w:cs="Times New Roman"/>
          <w:sz w:val="26"/>
          <w:szCs w:val="26"/>
          <w:lang w:val="es-ES" w:eastAsia="es-ES"/>
        </w:rPr>
        <w:t>,</w:t>
      </w:r>
      <w:r w:rsidRPr="002A7673">
        <w:rPr>
          <w:rFonts w:ascii="Times New Roman" w:eastAsia="Times New Roman" w:hAnsi="Times New Roman" w:cs="Times New Roman"/>
          <w:i/>
          <w:iCs/>
          <w:sz w:val="26"/>
          <w:szCs w:val="26"/>
          <w:lang w:val="es-ES" w:eastAsia="es-ES"/>
        </w:rPr>
        <w:t>92415, 367662.</w:t>
      </w:r>
      <w:r w:rsidRPr="002A7673">
        <w:rPr>
          <w:rFonts w:ascii="Times New Roman" w:eastAsia="Times New Roman" w:hAnsi="Times New Roman" w:cs="Times New Roman"/>
          <w:sz w:val="26"/>
          <w:szCs w:val="26"/>
          <w:lang w:val="es-ES" w:eastAsia="es-ES"/>
        </w:rPr>
        <w:t xml:space="preserve"> </w:t>
      </w:r>
    </w:p>
    <w:p w14:paraId="66339A7B"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ES"/>
        </w:rPr>
      </w:pPr>
    </w:p>
    <w:p w14:paraId="64BA3F77" w14:textId="77777777" w:rsidR="0085505C" w:rsidRPr="002A7673" w:rsidRDefault="0085505C" w:rsidP="00FF3FAC">
      <w:pPr>
        <w:widowControl w:val="0"/>
        <w:numPr>
          <w:ilvl w:val="0"/>
          <w:numId w:val="82"/>
        </w:numPr>
        <w:autoSpaceDE w:val="0"/>
        <w:autoSpaceDN w:val="0"/>
        <w:adjustRightInd w:val="0"/>
        <w:spacing w:after="0" w:line="240" w:lineRule="auto"/>
        <w:ind w:left="851" w:right="851"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Plazas que podrían recalificarse, sin embargo, implica alguna afectación hacia la servidora o servidor que ocupa actualmente la plaza vacante</w:t>
      </w:r>
    </w:p>
    <w:p w14:paraId="5821AFD1"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ES"/>
        </w:rPr>
      </w:pPr>
    </w:p>
    <w:p w14:paraId="1F62BADF"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Existen cinco oficinas donde se encontró laborando plazas de Técnico Jurídico de medio tiempo en cada una, donde existen plazas en condición de propiedad y otras vacantes, sin embargo, las plazas las ocupan </w:t>
      </w:r>
      <w:r w:rsidRPr="002A7673">
        <w:rPr>
          <w:rFonts w:ascii="Times New Roman" w:eastAsia="Times New Roman" w:hAnsi="Times New Roman" w:cs="Times New Roman"/>
          <w:b/>
          <w:bCs/>
          <w:sz w:val="26"/>
          <w:szCs w:val="26"/>
          <w:lang w:val="es-ES" w:eastAsia="es-ES"/>
        </w:rPr>
        <w:t>diferentes personas</w:t>
      </w:r>
      <w:r w:rsidRPr="002A7673">
        <w:rPr>
          <w:rFonts w:ascii="Times New Roman" w:eastAsia="Times New Roman" w:hAnsi="Times New Roman" w:cs="Times New Roman"/>
          <w:sz w:val="26"/>
          <w:szCs w:val="26"/>
          <w:lang w:val="es-ES" w:eastAsia="es-ES"/>
        </w:rPr>
        <w:t>:</w:t>
      </w:r>
    </w:p>
    <w:p w14:paraId="29A7BD9A"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23218674"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 xml:space="preserve">Cuadro </w:t>
      </w:r>
      <w:r w:rsidRPr="002A7673">
        <w:rPr>
          <w:rFonts w:ascii="Times New Roman" w:hAnsi="Times New Roman" w:cs="Times New Roman"/>
          <w:b/>
          <w:bCs/>
          <w:sz w:val="26"/>
          <w:szCs w:val="26"/>
          <w:shd w:val="clear" w:color="auto" w:fill="FFFFFF"/>
        </w:rPr>
        <w:fldChar w:fldCharType="begin"/>
      </w:r>
      <w:r w:rsidRPr="002A7673">
        <w:rPr>
          <w:rFonts w:ascii="Times New Roman" w:hAnsi="Times New Roman" w:cs="Times New Roman"/>
          <w:b/>
          <w:bCs/>
          <w:sz w:val="26"/>
          <w:szCs w:val="26"/>
          <w:shd w:val="clear" w:color="auto" w:fill="FFFFFF"/>
        </w:rPr>
        <w:instrText xml:space="preserve"> SEQ Cuadro \* ARABIC </w:instrText>
      </w:r>
      <w:r w:rsidRPr="002A7673">
        <w:rPr>
          <w:rFonts w:ascii="Times New Roman" w:hAnsi="Times New Roman" w:cs="Times New Roman"/>
          <w:b/>
          <w:bCs/>
          <w:sz w:val="26"/>
          <w:szCs w:val="26"/>
          <w:shd w:val="clear" w:color="auto" w:fill="FFFFFF"/>
        </w:rPr>
        <w:fldChar w:fldCharType="separate"/>
      </w:r>
      <w:r w:rsidRPr="002A7673">
        <w:rPr>
          <w:rFonts w:ascii="Times New Roman" w:hAnsi="Times New Roman" w:cs="Times New Roman"/>
          <w:b/>
          <w:bCs/>
          <w:noProof/>
          <w:sz w:val="26"/>
          <w:szCs w:val="26"/>
          <w:shd w:val="clear" w:color="auto" w:fill="FFFFFF"/>
        </w:rPr>
        <w:t>2</w:t>
      </w:r>
      <w:r w:rsidRPr="002A7673">
        <w:rPr>
          <w:rFonts w:ascii="Times New Roman" w:hAnsi="Times New Roman" w:cs="Times New Roman"/>
          <w:b/>
          <w:bCs/>
          <w:sz w:val="26"/>
          <w:szCs w:val="26"/>
          <w:shd w:val="clear" w:color="auto" w:fill="FFFFFF"/>
        </w:rPr>
        <w:fldChar w:fldCharType="end"/>
      </w:r>
    </w:p>
    <w:p w14:paraId="582FCAE2"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Oficinas con plazas de Técnico Jurídico de medio tiempo ocupadas por distintos funcionarios</w:t>
      </w:r>
    </w:p>
    <w:p w14:paraId="3C872987" w14:textId="77777777" w:rsidR="0085505C" w:rsidRPr="002A7673" w:rsidRDefault="0085505C" w:rsidP="0085505C">
      <w:pPr>
        <w:widowControl w:val="0"/>
        <w:spacing w:after="0" w:line="240" w:lineRule="auto"/>
        <w:jc w:val="center"/>
        <w:rPr>
          <w:rFonts w:ascii="Times New Roman" w:hAnsi="Times New Roman" w:cs="Times New Roman"/>
          <w:b/>
          <w:bCs/>
          <w:shd w:val="clear" w:color="auto" w:fill="FFFFFF"/>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90"/>
        <w:gridCol w:w="981"/>
        <w:gridCol w:w="694"/>
        <w:gridCol w:w="960"/>
        <w:gridCol w:w="1063"/>
        <w:gridCol w:w="1299"/>
        <w:gridCol w:w="1063"/>
        <w:gridCol w:w="1432"/>
        <w:gridCol w:w="776"/>
      </w:tblGrid>
      <w:tr w:rsidR="0085505C" w:rsidRPr="002A7673" w14:paraId="3DE345F2" w14:textId="77777777" w:rsidTr="0048334E">
        <w:trPr>
          <w:trHeight w:val="585"/>
          <w:tblHeader/>
          <w:jc w:val="center"/>
        </w:trPr>
        <w:tc>
          <w:tcPr>
            <w:tcW w:w="941"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2850E953"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xml:space="preserve">Oficina Destacada según Defensa </w:t>
            </w:r>
          </w:p>
        </w:tc>
        <w:tc>
          <w:tcPr>
            <w:tcW w:w="43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4313E15B"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Clase</w:t>
            </w:r>
          </w:p>
        </w:tc>
        <w:tc>
          <w:tcPr>
            <w:tcW w:w="23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6CB92F7B"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Puesto</w:t>
            </w:r>
          </w:p>
        </w:tc>
        <w:tc>
          <w:tcPr>
            <w:tcW w:w="43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175F7035"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Estado Puesto</w:t>
            </w:r>
          </w:p>
        </w:tc>
        <w:tc>
          <w:tcPr>
            <w:tcW w:w="31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436051BC"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Cédula Propietario</w:t>
            </w:r>
          </w:p>
        </w:tc>
        <w:tc>
          <w:tcPr>
            <w:tcW w:w="1096"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612C60C7"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xml:space="preserve">Funcionario Propietario </w:t>
            </w:r>
          </w:p>
        </w:tc>
        <w:tc>
          <w:tcPr>
            <w:tcW w:w="51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7E899711"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Cédula Interino</w:t>
            </w:r>
          </w:p>
        </w:tc>
        <w:tc>
          <w:tcPr>
            <w:tcW w:w="753"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7F757323"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xml:space="preserve">Funcionario Interino </w:t>
            </w:r>
          </w:p>
        </w:tc>
        <w:tc>
          <w:tcPr>
            <w:tcW w:w="28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57CF119B"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Horario</w:t>
            </w:r>
          </w:p>
        </w:tc>
      </w:tr>
      <w:tr w:rsidR="0085505C" w:rsidRPr="002A7673" w14:paraId="1B1935C4"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52FF183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PRIMER CIRCUITO JUDICIAL ALAJUELA</w:t>
            </w:r>
          </w:p>
        </w:tc>
        <w:tc>
          <w:tcPr>
            <w:tcW w:w="430" w:type="pct"/>
            <w:tcBorders>
              <w:top w:val="single" w:sz="4" w:space="0" w:color="auto"/>
              <w:left w:val="single" w:sz="4" w:space="0" w:color="auto"/>
              <w:bottom w:val="single" w:sz="4" w:space="0" w:color="auto"/>
              <w:right w:val="single" w:sz="4" w:space="0" w:color="auto"/>
            </w:tcBorders>
            <w:vAlign w:val="center"/>
            <w:hideMark/>
          </w:tcPr>
          <w:p w14:paraId="1F503AB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63E93E5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43129</w:t>
            </w:r>
          </w:p>
        </w:tc>
        <w:tc>
          <w:tcPr>
            <w:tcW w:w="439" w:type="pct"/>
            <w:tcBorders>
              <w:top w:val="single" w:sz="4" w:space="0" w:color="auto"/>
              <w:left w:val="single" w:sz="4" w:space="0" w:color="auto"/>
              <w:bottom w:val="single" w:sz="4" w:space="0" w:color="auto"/>
              <w:right w:val="single" w:sz="4" w:space="0" w:color="auto"/>
            </w:tcBorders>
            <w:vAlign w:val="center"/>
            <w:hideMark/>
          </w:tcPr>
          <w:p w14:paraId="0608A05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Propiedad</w:t>
            </w:r>
          </w:p>
        </w:tc>
        <w:tc>
          <w:tcPr>
            <w:tcW w:w="319" w:type="pct"/>
            <w:tcBorders>
              <w:top w:val="single" w:sz="4" w:space="0" w:color="auto"/>
              <w:left w:val="single" w:sz="4" w:space="0" w:color="auto"/>
              <w:bottom w:val="single" w:sz="4" w:space="0" w:color="auto"/>
              <w:right w:val="single" w:sz="4" w:space="0" w:color="auto"/>
            </w:tcBorders>
            <w:vAlign w:val="center"/>
            <w:hideMark/>
          </w:tcPr>
          <w:p w14:paraId="13FBE73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113360376</w:t>
            </w:r>
          </w:p>
        </w:tc>
        <w:tc>
          <w:tcPr>
            <w:tcW w:w="1096" w:type="pct"/>
            <w:tcBorders>
              <w:top w:val="single" w:sz="4" w:space="0" w:color="auto"/>
              <w:left w:val="single" w:sz="4" w:space="0" w:color="auto"/>
              <w:bottom w:val="single" w:sz="4" w:space="0" w:color="auto"/>
              <w:right w:val="single" w:sz="4" w:space="0" w:color="auto"/>
            </w:tcBorders>
            <w:vAlign w:val="center"/>
            <w:hideMark/>
          </w:tcPr>
          <w:p w14:paraId="41E14ED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DENISE MARIA TELLO PATIÑO</w:t>
            </w:r>
          </w:p>
        </w:tc>
        <w:tc>
          <w:tcPr>
            <w:tcW w:w="512" w:type="pct"/>
            <w:tcBorders>
              <w:top w:val="single" w:sz="4" w:space="0" w:color="auto"/>
              <w:left w:val="single" w:sz="4" w:space="0" w:color="auto"/>
              <w:bottom w:val="single" w:sz="4" w:space="0" w:color="auto"/>
              <w:right w:val="single" w:sz="4" w:space="0" w:color="auto"/>
            </w:tcBorders>
            <w:vAlign w:val="center"/>
            <w:hideMark/>
          </w:tcPr>
          <w:p w14:paraId="7B9A7A9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115280924</w:t>
            </w:r>
          </w:p>
        </w:tc>
        <w:tc>
          <w:tcPr>
            <w:tcW w:w="753" w:type="pct"/>
            <w:tcBorders>
              <w:top w:val="single" w:sz="4" w:space="0" w:color="auto"/>
              <w:left w:val="single" w:sz="4" w:space="0" w:color="auto"/>
              <w:bottom w:val="single" w:sz="4" w:space="0" w:color="auto"/>
              <w:right w:val="single" w:sz="4" w:space="0" w:color="auto"/>
            </w:tcBorders>
            <w:vAlign w:val="center"/>
            <w:hideMark/>
          </w:tcPr>
          <w:p w14:paraId="705E406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YAXIRI ARTAVIA </w:t>
            </w:r>
            <w:proofErr w:type="spellStart"/>
            <w:r w:rsidRPr="002A7673">
              <w:rPr>
                <w:rFonts w:ascii="Times New Roman" w:hAnsi="Times New Roman" w:cs="Times New Roman"/>
                <w:color w:val="000000"/>
                <w:sz w:val="20"/>
                <w:szCs w:val="20"/>
                <w:lang w:eastAsia="es-CR"/>
              </w:rPr>
              <w:t>ARTAVIA</w:t>
            </w:r>
            <w:proofErr w:type="spellEnd"/>
          </w:p>
        </w:tc>
        <w:tc>
          <w:tcPr>
            <w:tcW w:w="280" w:type="pct"/>
            <w:tcBorders>
              <w:top w:val="single" w:sz="4" w:space="0" w:color="auto"/>
              <w:left w:val="single" w:sz="4" w:space="0" w:color="auto"/>
              <w:bottom w:val="single" w:sz="4" w:space="0" w:color="auto"/>
              <w:right w:val="single" w:sz="4" w:space="0" w:color="auto"/>
            </w:tcBorders>
            <w:vAlign w:val="center"/>
            <w:hideMark/>
          </w:tcPr>
          <w:p w14:paraId="6AD8D2B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46663665"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31304DF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PRIMER CIRCUITO JUDICIAL ALAJUELA</w:t>
            </w:r>
          </w:p>
        </w:tc>
        <w:tc>
          <w:tcPr>
            <w:tcW w:w="430" w:type="pct"/>
            <w:tcBorders>
              <w:top w:val="single" w:sz="4" w:space="0" w:color="auto"/>
              <w:left w:val="single" w:sz="4" w:space="0" w:color="auto"/>
              <w:bottom w:val="single" w:sz="4" w:space="0" w:color="auto"/>
              <w:right w:val="single" w:sz="4" w:space="0" w:color="auto"/>
            </w:tcBorders>
            <w:vAlign w:val="center"/>
            <w:hideMark/>
          </w:tcPr>
          <w:p w14:paraId="252C95B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3A7846C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55678</w:t>
            </w:r>
          </w:p>
        </w:tc>
        <w:tc>
          <w:tcPr>
            <w:tcW w:w="439" w:type="pct"/>
            <w:tcBorders>
              <w:top w:val="single" w:sz="4" w:space="0" w:color="auto"/>
              <w:left w:val="single" w:sz="4" w:space="0" w:color="auto"/>
              <w:bottom w:val="single" w:sz="4" w:space="0" w:color="auto"/>
              <w:right w:val="single" w:sz="4" w:space="0" w:color="auto"/>
            </w:tcBorders>
            <w:vAlign w:val="center"/>
            <w:hideMark/>
          </w:tcPr>
          <w:p w14:paraId="3340FE9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Propiedad</w:t>
            </w:r>
          </w:p>
        </w:tc>
        <w:tc>
          <w:tcPr>
            <w:tcW w:w="319" w:type="pct"/>
            <w:tcBorders>
              <w:top w:val="single" w:sz="4" w:space="0" w:color="auto"/>
              <w:left w:val="single" w:sz="4" w:space="0" w:color="auto"/>
              <w:bottom w:val="single" w:sz="4" w:space="0" w:color="auto"/>
              <w:right w:val="single" w:sz="4" w:space="0" w:color="auto"/>
            </w:tcBorders>
            <w:vAlign w:val="center"/>
            <w:hideMark/>
          </w:tcPr>
          <w:p w14:paraId="5F73B1B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401780848</w:t>
            </w:r>
          </w:p>
        </w:tc>
        <w:tc>
          <w:tcPr>
            <w:tcW w:w="1096" w:type="pct"/>
            <w:tcBorders>
              <w:top w:val="single" w:sz="4" w:space="0" w:color="auto"/>
              <w:left w:val="single" w:sz="4" w:space="0" w:color="auto"/>
              <w:bottom w:val="single" w:sz="4" w:space="0" w:color="auto"/>
              <w:right w:val="single" w:sz="4" w:space="0" w:color="auto"/>
            </w:tcBorders>
            <w:vAlign w:val="center"/>
            <w:hideMark/>
          </w:tcPr>
          <w:p w14:paraId="7475583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AXA JEANNINA CARBALLO BARQUERO</w:t>
            </w:r>
          </w:p>
        </w:tc>
        <w:tc>
          <w:tcPr>
            <w:tcW w:w="512" w:type="pct"/>
            <w:tcBorders>
              <w:top w:val="single" w:sz="4" w:space="0" w:color="auto"/>
              <w:left w:val="single" w:sz="4" w:space="0" w:color="auto"/>
              <w:bottom w:val="single" w:sz="4" w:space="0" w:color="auto"/>
              <w:right w:val="single" w:sz="4" w:space="0" w:color="auto"/>
            </w:tcBorders>
            <w:vAlign w:val="center"/>
            <w:hideMark/>
          </w:tcPr>
          <w:p w14:paraId="54C5888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114840192</w:t>
            </w:r>
          </w:p>
        </w:tc>
        <w:tc>
          <w:tcPr>
            <w:tcW w:w="753" w:type="pct"/>
            <w:tcBorders>
              <w:top w:val="single" w:sz="4" w:space="0" w:color="auto"/>
              <w:left w:val="single" w:sz="4" w:space="0" w:color="auto"/>
              <w:bottom w:val="single" w:sz="4" w:space="0" w:color="auto"/>
              <w:right w:val="single" w:sz="4" w:space="0" w:color="auto"/>
            </w:tcBorders>
            <w:vAlign w:val="center"/>
            <w:hideMark/>
          </w:tcPr>
          <w:p w14:paraId="3912669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LOGAN VINICIO UREÑA CAMACHO</w:t>
            </w:r>
          </w:p>
        </w:tc>
        <w:tc>
          <w:tcPr>
            <w:tcW w:w="280" w:type="pct"/>
            <w:tcBorders>
              <w:top w:val="single" w:sz="4" w:space="0" w:color="auto"/>
              <w:left w:val="single" w:sz="4" w:space="0" w:color="auto"/>
              <w:bottom w:val="single" w:sz="4" w:space="0" w:color="auto"/>
              <w:right w:val="single" w:sz="4" w:space="0" w:color="auto"/>
            </w:tcBorders>
            <w:vAlign w:val="center"/>
            <w:hideMark/>
          </w:tcPr>
          <w:p w14:paraId="11F6DC1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7B2DB81A"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5A41AAF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PRIMER CIRCUITO JUDICIAL ALAJUELA</w:t>
            </w:r>
          </w:p>
        </w:tc>
        <w:tc>
          <w:tcPr>
            <w:tcW w:w="430" w:type="pct"/>
            <w:tcBorders>
              <w:top w:val="single" w:sz="4" w:space="0" w:color="auto"/>
              <w:left w:val="single" w:sz="4" w:space="0" w:color="auto"/>
              <w:bottom w:val="single" w:sz="4" w:space="0" w:color="auto"/>
              <w:right w:val="single" w:sz="4" w:space="0" w:color="auto"/>
            </w:tcBorders>
            <w:vAlign w:val="center"/>
            <w:hideMark/>
          </w:tcPr>
          <w:p w14:paraId="2447A8C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6C21DFB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92890</w:t>
            </w:r>
          </w:p>
        </w:tc>
        <w:tc>
          <w:tcPr>
            <w:tcW w:w="439" w:type="pct"/>
            <w:tcBorders>
              <w:top w:val="single" w:sz="4" w:space="0" w:color="auto"/>
              <w:left w:val="single" w:sz="4" w:space="0" w:color="auto"/>
              <w:bottom w:val="single" w:sz="4" w:space="0" w:color="auto"/>
              <w:right w:val="single" w:sz="4" w:space="0" w:color="auto"/>
            </w:tcBorders>
            <w:vAlign w:val="center"/>
            <w:hideMark/>
          </w:tcPr>
          <w:p w14:paraId="6A901CA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Propiedad</w:t>
            </w:r>
          </w:p>
        </w:tc>
        <w:tc>
          <w:tcPr>
            <w:tcW w:w="319" w:type="pct"/>
            <w:tcBorders>
              <w:top w:val="single" w:sz="4" w:space="0" w:color="auto"/>
              <w:left w:val="single" w:sz="4" w:space="0" w:color="auto"/>
              <w:bottom w:val="single" w:sz="4" w:space="0" w:color="auto"/>
              <w:right w:val="single" w:sz="4" w:space="0" w:color="auto"/>
            </w:tcBorders>
            <w:vAlign w:val="center"/>
            <w:hideMark/>
          </w:tcPr>
          <w:p w14:paraId="35A86D9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401960245</w:t>
            </w:r>
          </w:p>
        </w:tc>
        <w:tc>
          <w:tcPr>
            <w:tcW w:w="1096" w:type="pct"/>
            <w:tcBorders>
              <w:top w:val="single" w:sz="4" w:space="0" w:color="auto"/>
              <w:left w:val="single" w:sz="4" w:space="0" w:color="auto"/>
              <w:bottom w:val="single" w:sz="4" w:space="0" w:color="auto"/>
              <w:right w:val="single" w:sz="4" w:space="0" w:color="auto"/>
            </w:tcBorders>
            <w:vAlign w:val="center"/>
            <w:hideMark/>
          </w:tcPr>
          <w:p w14:paraId="1982014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STEPHANIE LORENA SAENZ VILLALOBOS</w:t>
            </w:r>
          </w:p>
        </w:tc>
        <w:tc>
          <w:tcPr>
            <w:tcW w:w="512" w:type="pct"/>
            <w:tcBorders>
              <w:top w:val="single" w:sz="4" w:space="0" w:color="auto"/>
              <w:left w:val="single" w:sz="4" w:space="0" w:color="auto"/>
              <w:bottom w:val="single" w:sz="4" w:space="0" w:color="auto"/>
              <w:right w:val="single" w:sz="4" w:space="0" w:color="auto"/>
            </w:tcBorders>
            <w:vAlign w:val="center"/>
            <w:hideMark/>
          </w:tcPr>
          <w:p w14:paraId="2B786B3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117150457</w:t>
            </w:r>
          </w:p>
        </w:tc>
        <w:tc>
          <w:tcPr>
            <w:tcW w:w="753" w:type="pct"/>
            <w:tcBorders>
              <w:top w:val="single" w:sz="4" w:space="0" w:color="auto"/>
              <w:left w:val="single" w:sz="4" w:space="0" w:color="auto"/>
              <w:bottom w:val="single" w:sz="4" w:space="0" w:color="auto"/>
              <w:right w:val="single" w:sz="4" w:space="0" w:color="auto"/>
            </w:tcBorders>
            <w:vAlign w:val="center"/>
            <w:hideMark/>
          </w:tcPr>
          <w:p w14:paraId="45B710E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MARIANA SEGURA MEJIAS </w:t>
            </w:r>
          </w:p>
        </w:tc>
        <w:tc>
          <w:tcPr>
            <w:tcW w:w="280" w:type="pct"/>
            <w:tcBorders>
              <w:top w:val="single" w:sz="4" w:space="0" w:color="auto"/>
              <w:left w:val="single" w:sz="4" w:space="0" w:color="auto"/>
              <w:bottom w:val="single" w:sz="4" w:space="0" w:color="auto"/>
              <w:right w:val="single" w:sz="4" w:space="0" w:color="auto"/>
            </w:tcBorders>
            <w:vAlign w:val="center"/>
            <w:hideMark/>
          </w:tcPr>
          <w:p w14:paraId="1B11210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6E213900"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23FCA91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PRIMER CIRCUITO JUDICIAL ALAJUELA</w:t>
            </w:r>
          </w:p>
        </w:tc>
        <w:tc>
          <w:tcPr>
            <w:tcW w:w="430" w:type="pct"/>
            <w:tcBorders>
              <w:top w:val="single" w:sz="4" w:space="0" w:color="auto"/>
              <w:left w:val="single" w:sz="4" w:space="0" w:color="auto"/>
              <w:bottom w:val="single" w:sz="4" w:space="0" w:color="auto"/>
              <w:right w:val="single" w:sz="4" w:space="0" w:color="auto"/>
            </w:tcBorders>
            <w:vAlign w:val="center"/>
            <w:hideMark/>
          </w:tcPr>
          <w:p w14:paraId="2EF0BE7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64C88C09"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33871</w:t>
            </w:r>
          </w:p>
        </w:tc>
        <w:tc>
          <w:tcPr>
            <w:tcW w:w="439" w:type="pct"/>
            <w:tcBorders>
              <w:top w:val="single" w:sz="4" w:space="0" w:color="auto"/>
              <w:left w:val="single" w:sz="4" w:space="0" w:color="auto"/>
              <w:bottom w:val="single" w:sz="4" w:space="0" w:color="auto"/>
              <w:right w:val="single" w:sz="4" w:space="0" w:color="auto"/>
            </w:tcBorders>
            <w:vAlign w:val="center"/>
            <w:hideMark/>
          </w:tcPr>
          <w:p w14:paraId="7CB1322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Vacante</w:t>
            </w:r>
          </w:p>
        </w:tc>
        <w:tc>
          <w:tcPr>
            <w:tcW w:w="319" w:type="pct"/>
            <w:tcBorders>
              <w:top w:val="single" w:sz="4" w:space="0" w:color="auto"/>
              <w:left w:val="single" w:sz="4" w:space="0" w:color="auto"/>
              <w:bottom w:val="single" w:sz="4" w:space="0" w:color="auto"/>
              <w:right w:val="single" w:sz="4" w:space="0" w:color="auto"/>
            </w:tcBorders>
            <w:vAlign w:val="center"/>
            <w:hideMark/>
          </w:tcPr>
          <w:p w14:paraId="34DEBA5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vAlign w:val="center"/>
            <w:hideMark/>
          </w:tcPr>
          <w:p w14:paraId="5F9EAAD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w:t>
            </w:r>
          </w:p>
        </w:tc>
        <w:tc>
          <w:tcPr>
            <w:tcW w:w="512" w:type="pct"/>
            <w:tcBorders>
              <w:top w:val="single" w:sz="4" w:space="0" w:color="auto"/>
              <w:left w:val="single" w:sz="4" w:space="0" w:color="auto"/>
              <w:bottom w:val="single" w:sz="4" w:space="0" w:color="auto"/>
              <w:right w:val="single" w:sz="4" w:space="0" w:color="auto"/>
            </w:tcBorders>
            <w:vAlign w:val="center"/>
            <w:hideMark/>
          </w:tcPr>
          <w:p w14:paraId="650CC5C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115230131</w:t>
            </w:r>
          </w:p>
        </w:tc>
        <w:tc>
          <w:tcPr>
            <w:tcW w:w="753" w:type="pct"/>
            <w:tcBorders>
              <w:top w:val="single" w:sz="4" w:space="0" w:color="auto"/>
              <w:left w:val="single" w:sz="4" w:space="0" w:color="auto"/>
              <w:bottom w:val="single" w:sz="4" w:space="0" w:color="auto"/>
              <w:right w:val="single" w:sz="4" w:space="0" w:color="auto"/>
            </w:tcBorders>
            <w:vAlign w:val="center"/>
            <w:hideMark/>
          </w:tcPr>
          <w:p w14:paraId="360C750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MARIPAZ HERRERA PEREZ</w:t>
            </w:r>
          </w:p>
        </w:tc>
        <w:tc>
          <w:tcPr>
            <w:tcW w:w="280" w:type="pct"/>
            <w:tcBorders>
              <w:top w:val="single" w:sz="4" w:space="0" w:color="auto"/>
              <w:left w:val="single" w:sz="4" w:space="0" w:color="auto"/>
              <w:bottom w:val="single" w:sz="4" w:space="0" w:color="auto"/>
              <w:right w:val="single" w:sz="4" w:space="0" w:color="auto"/>
            </w:tcBorders>
            <w:vAlign w:val="center"/>
            <w:hideMark/>
          </w:tcPr>
          <w:p w14:paraId="16F2728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53902A54" w14:textId="77777777" w:rsidTr="0048334E">
        <w:trPr>
          <w:trHeight w:val="330"/>
          <w:jc w:val="center"/>
        </w:trPr>
        <w:tc>
          <w:tcPr>
            <w:tcW w:w="941"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0B94B48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43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62DE7EE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23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0CB63D6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43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465F679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31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5515383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2A1B3AB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1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71A8BEB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753"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71AA82A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28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3563DFD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r>
      <w:tr w:rsidR="0085505C" w:rsidRPr="002A7673" w14:paraId="44BA0509"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5CB4BAD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PRIMER CIRCUITO JUDICIAL GUANACASTE</w:t>
            </w:r>
          </w:p>
        </w:tc>
        <w:tc>
          <w:tcPr>
            <w:tcW w:w="430" w:type="pct"/>
            <w:tcBorders>
              <w:top w:val="single" w:sz="4" w:space="0" w:color="auto"/>
              <w:left w:val="single" w:sz="4" w:space="0" w:color="auto"/>
              <w:bottom w:val="single" w:sz="4" w:space="0" w:color="auto"/>
              <w:right w:val="single" w:sz="4" w:space="0" w:color="auto"/>
            </w:tcBorders>
            <w:vAlign w:val="center"/>
            <w:hideMark/>
          </w:tcPr>
          <w:p w14:paraId="1C6FF01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0D5B82F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33893</w:t>
            </w:r>
          </w:p>
        </w:tc>
        <w:tc>
          <w:tcPr>
            <w:tcW w:w="439" w:type="pct"/>
            <w:tcBorders>
              <w:top w:val="single" w:sz="4" w:space="0" w:color="auto"/>
              <w:left w:val="single" w:sz="4" w:space="0" w:color="auto"/>
              <w:bottom w:val="single" w:sz="4" w:space="0" w:color="auto"/>
              <w:right w:val="single" w:sz="4" w:space="0" w:color="auto"/>
            </w:tcBorders>
            <w:vAlign w:val="center"/>
            <w:hideMark/>
          </w:tcPr>
          <w:p w14:paraId="0ABC364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Propiedad</w:t>
            </w:r>
          </w:p>
        </w:tc>
        <w:tc>
          <w:tcPr>
            <w:tcW w:w="319" w:type="pct"/>
            <w:tcBorders>
              <w:top w:val="single" w:sz="4" w:space="0" w:color="auto"/>
              <w:left w:val="single" w:sz="4" w:space="0" w:color="auto"/>
              <w:bottom w:val="single" w:sz="4" w:space="0" w:color="auto"/>
              <w:right w:val="single" w:sz="4" w:space="0" w:color="auto"/>
            </w:tcBorders>
            <w:vAlign w:val="center"/>
            <w:hideMark/>
          </w:tcPr>
          <w:p w14:paraId="717B98A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0503640967</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D9D6FA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MICHELLE PEREZ RUIZ</w:t>
            </w:r>
          </w:p>
        </w:tc>
        <w:tc>
          <w:tcPr>
            <w:tcW w:w="512" w:type="pct"/>
            <w:tcBorders>
              <w:top w:val="single" w:sz="4" w:space="0" w:color="auto"/>
              <w:left w:val="single" w:sz="4" w:space="0" w:color="auto"/>
              <w:bottom w:val="single" w:sz="4" w:space="0" w:color="auto"/>
              <w:right w:val="single" w:sz="4" w:space="0" w:color="auto"/>
            </w:tcBorders>
            <w:vAlign w:val="center"/>
            <w:hideMark/>
          </w:tcPr>
          <w:p w14:paraId="0BD234AA"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0116430394</w:t>
            </w:r>
          </w:p>
        </w:tc>
        <w:tc>
          <w:tcPr>
            <w:tcW w:w="753" w:type="pct"/>
            <w:tcBorders>
              <w:top w:val="single" w:sz="4" w:space="0" w:color="auto"/>
              <w:left w:val="single" w:sz="4" w:space="0" w:color="auto"/>
              <w:bottom w:val="single" w:sz="4" w:space="0" w:color="auto"/>
              <w:right w:val="single" w:sz="4" w:space="0" w:color="auto"/>
            </w:tcBorders>
            <w:vAlign w:val="center"/>
            <w:hideMark/>
          </w:tcPr>
          <w:p w14:paraId="1A3B180E"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VICTOR SEGURA MONTENEGRO</w:t>
            </w:r>
          </w:p>
        </w:tc>
        <w:tc>
          <w:tcPr>
            <w:tcW w:w="280" w:type="pct"/>
            <w:tcBorders>
              <w:top w:val="single" w:sz="4" w:space="0" w:color="auto"/>
              <w:left w:val="single" w:sz="4" w:space="0" w:color="auto"/>
              <w:bottom w:val="single" w:sz="4" w:space="0" w:color="auto"/>
              <w:right w:val="single" w:sz="4" w:space="0" w:color="auto"/>
            </w:tcBorders>
            <w:vAlign w:val="center"/>
            <w:hideMark/>
          </w:tcPr>
          <w:p w14:paraId="681690B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1E9FA190"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2F5FF43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lastRenderedPageBreak/>
              <w:t>PRIMER CIRCUITO JUDICIAL GUANACASTE</w:t>
            </w:r>
          </w:p>
        </w:tc>
        <w:tc>
          <w:tcPr>
            <w:tcW w:w="430" w:type="pct"/>
            <w:tcBorders>
              <w:top w:val="single" w:sz="4" w:space="0" w:color="auto"/>
              <w:left w:val="single" w:sz="4" w:space="0" w:color="auto"/>
              <w:bottom w:val="single" w:sz="4" w:space="0" w:color="auto"/>
              <w:right w:val="single" w:sz="4" w:space="0" w:color="auto"/>
            </w:tcBorders>
            <w:vAlign w:val="center"/>
            <w:hideMark/>
          </w:tcPr>
          <w:p w14:paraId="0F29134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35D4C20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47408</w:t>
            </w:r>
          </w:p>
        </w:tc>
        <w:tc>
          <w:tcPr>
            <w:tcW w:w="439" w:type="pct"/>
            <w:tcBorders>
              <w:top w:val="single" w:sz="4" w:space="0" w:color="auto"/>
              <w:left w:val="single" w:sz="4" w:space="0" w:color="auto"/>
              <w:bottom w:val="single" w:sz="4" w:space="0" w:color="auto"/>
              <w:right w:val="single" w:sz="4" w:space="0" w:color="auto"/>
            </w:tcBorders>
            <w:vAlign w:val="center"/>
            <w:hideMark/>
          </w:tcPr>
          <w:p w14:paraId="3E24C52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Propiedad</w:t>
            </w:r>
          </w:p>
        </w:tc>
        <w:tc>
          <w:tcPr>
            <w:tcW w:w="319" w:type="pct"/>
            <w:tcBorders>
              <w:top w:val="single" w:sz="4" w:space="0" w:color="auto"/>
              <w:left w:val="single" w:sz="4" w:space="0" w:color="auto"/>
              <w:bottom w:val="single" w:sz="4" w:space="0" w:color="auto"/>
              <w:right w:val="single" w:sz="4" w:space="0" w:color="auto"/>
            </w:tcBorders>
            <w:vAlign w:val="center"/>
            <w:hideMark/>
          </w:tcPr>
          <w:p w14:paraId="23AC935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0503470978</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E9CEAC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JOSE LUIS GOMEZ RUIZ</w:t>
            </w:r>
          </w:p>
        </w:tc>
        <w:tc>
          <w:tcPr>
            <w:tcW w:w="512" w:type="pct"/>
            <w:tcBorders>
              <w:top w:val="single" w:sz="4" w:space="0" w:color="auto"/>
              <w:left w:val="single" w:sz="4" w:space="0" w:color="auto"/>
              <w:bottom w:val="single" w:sz="4" w:space="0" w:color="auto"/>
              <w:right w:val="single" w:sz="4" w:space="0" w:color="auto"/>
            </w:tcBorders>
            <w:vAlign w:val="center"/>
            <w:hideMark/>
          </w:tcPr>
          <w:p w14:paraId="54E70E3C"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0115770762</w:t>
            </w:r>
          </w:p>
        </w:tc>
        <w:tc>
          <w:tcPr>
            <w:tcW w:w="753" w:type="pct"/>
            <w:tcBorders>
              <w:top w:val="single" w:sz="4" w:space="0" w:color="auto"/>
              <w:left w:val="single" w:sz="4" w:space="0" w:color="auto"/>
              <w:bottom w:val="single" w:sz="4" w:space="0" w:color="auto"/>
              <w:right w:val="single" w:sz="4" w:space="0" w:color="auto"/>
            </w:tcBorders>
            <w:vAlign w:val="center"/>
            <w:hideMark/>
          </w:tcPr>
          <w:p w14:paraId="3F19F401"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xml:space="preserve">JOSE IGNACIO RODRIGUEZ </w:t>
            </w:r>
            <w:proofErr w:type="spellStart"/>
            <w:r w:rsidRPr="002A7673">
              <w:rPr>
                <w:rFonts w:ascii="Times New Roman" w:hAnsi="Times New Roman" w:cs="Times New Roman"/>
                <w:sz w:val="20"/>
                <w:szCs w:val="20"/>
                <w:lang w:eastAsia="es-CR"/>
              </w:rPr>
              <w:t>RODRIGUEZ</w:t>
            </w:r>
            <w:proofErr w:type="spellEnd"/>
            <w:r w:rsidRPr="002A7673">
              <w:rPr>
                <w:rFonts w:ascii="Times New Roman" w:hAnsi="Times New Roman" w:cs="Times New Roman"/>
                <w:sz w:val="20"/>
                <w:szCs w:val="20"/>
                <w:lang w:eastAsia="es-CR"/>
              </w:rPr>
              <w:t xml:space="preserve"> </w:t>
            </w:r>
          </w:p>
        </w:tc>
        <w:tc>
          <w:tcPr>
            <w:tcW w:w="280" w:type="pct"/>
            <w:tcBorders>
              <w:top w:val="single" w:sz="4" w:space="0" w:color="auto"/>
              <w:left w:val="single" w:sz="4" w:space="0" w:color="auto"/>
              <w:bottom w:val="single" w:sz="4" w:space="0" w:color="auto"/>
              <w:right w:val="single" w:sz="4" w:space="0" w:color="auto"/>
            </w:tcBorders>
            <w:vAlign w:val="center"/>
            <w:hideMark/>
          </w:tcPr>
          <w:p w14:paraId="61B2ACE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1D0D6DB6"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6D05D90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PRIMER CIRCUITO JUDICIAL GUANACASTE</w:t>
            </w:r>
          </w:p>
        </w:tc>
        <w:tc>
          <w:tcPr>
            <w:tcW w:w="430" w:type="pct"/>
            <w:tcBorders>
              <w:top w:val="single" w:sz="4" w:space="0" w:color="auto"/>
              <w:left w:val="single" w:sz="4" w:space="0" w:color="auto"/>
              <w:bottom w:val="single" w:sz="4" w:space="0" w:color="auto"/>
              <w:right w:val="single" w:sz="4" w:space="0" w:color="auto"/>
            </w:tcBorders>
            <w:vAlign w:val="center"/>
            <w:hideMark/>
          </w:tcPr>
          <w:p w14:paraId="1463682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449EDFF4"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352805</w:t>
            </w:r>
          </w:p>
        </w:tc>
        <w:tc>
          <w:tcPr>
            <w:tcW w:w="439" w:type="pct"/>
            <w:tcBorders>
              <w:top w:val="single" w:sz="4" w:space="0" w:color="auto"/>
              <w:left w:val="single" w:sz="4" w:space="0" w:color="auto"/>
              <w:bottom w:val="single" w:sz="4" w:space="0" w:color="auto"/>
              <w:right w:val="single" w:sz="4" w:space="0" w:color="auto"/>
            </w:tcBorders>
            <w:vAlign w:val="center"/>
            <w:hideMark/>
          </w:tcPr>
          <w:p w14:paraId="1E027A4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Vacante</w:t>
            </w:r>
          </w:p>
        </w:tc>
        <w:tc>
          <w:tcPr>
            <w:tcW w:w="319" w:type="pct"/>
            <w:tcBorders>
              <w:top w:val="single" w:sz="4" w:space="0" w:color="auto"/>
              <w:left w:val="single" w:sz="4" w:space="0" w:color="auto"/>
              <w:bottom w:val="single" w:sz="4" w:space="0" w:color="auto"/>
              <w:right w:val="single" w:sz="4" w:space="0" w:color="auto"/>
            </w:tcBorders>
            <w:vAlign w:val="center"/>
            <w:hideMark/>
          </w:tcPr>
          <w:p w14:paraId="601A633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vAlign w:val="center"/>
            <w:hideMark/>
          </w:tcPr>
          <w:p w14:paraId="6F5E0CC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12" w:type="pct"/>
            <w:tcBorders>
              <w:top w:val="single" w:sz="4" w:space="0" w:color="auto"/>
              <w:left w:val="single" w:sz="4" w:space="0" w:color="auto"/>
              <w:bottom w:val="single" w:sz="4" w:space="0" w:color="auto"/>
              <w:right w:val="single" w:sz="4" w:space="0" w:color="auto"/>
            </w:tcBorders>
            <w:vAlign w:val="center"/>
            <w:hideMark/>
          </w:tcPr>
          <w:p w14:paraId="061C09AE"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0503760877</w:t>
            </w:r>
          </w:p>
        </w:tc>
        <w:tc>
          <w:tcPr>
            <w:tcW w:w="753" w:type="pct"/>
            <w:tcBorders>
              <w:top w:val="single" w:sz="4" w:space="0" w:color="auto"/>
              <w:left w:val="single" w:sz="4" w:space="0" w:color="auto"/>
              <w:bottom w:val="single" w:sz="4" w:space="0" w:color="auto"/>
              <w:right w:val="single" w:sz="4" w:space="0" w:color="auto"/>
            </w:tcBorders>
            <w:vAlign w:val="center"/>
            <w:hideMark/>
          </w:tcPr>
          <w:p w14:paraId="7CAC0949"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LISSETH CENTENO SALGADO</w:t>
            </w:r>
          </w:p>
        </w:tc>
        <w:tc>
          <w:tcPr>
            <w:tcW w:w="280" w:type="pct"/>
            <w:tcBorders>
              <w:top w:val="single" w:sz="4" w:space="0" w:color="auto"/>
              <w:left w:val="single" w:sz="4" w:space="0" w:color="auto"/>
              <w:bottom w:val="single" w:sz="4" w:space="0" w:color="auto"/>
              <w:right w:val="single" w:sz="4" w:space="0" w:color="auto"/>
            </w:tcBorders>
            <w:vAlign w:val="center"/>
            <w:hideMark/>
          </w:tcPr>
          <w:p w14:paraId="6EED34B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17D56BD3" w14:textId="77777777" w:rsidTr="0048334E">
        <w:trPr>
          <w:trHeight w:val="330"/>
          <w:jc w:val="center"/>
        </w:trPr>
        <w:tc>
          <w:tcPr>
            <w:tcW w:w="941"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2736AF5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43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77F2713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23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2AEEB43C"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w:t>
            </w:r>
          </w:p>
        </w:tc>
        <w:tc>
          <w:tcPr>
            <w:tcW w:w="43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2285268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31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6923125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018411B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1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42A7649B"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w:t>
            </w:r>
          </w:p>
        </w:tc>
        <w:tc>
          <w:tcPr>
            <w:tcW w:w="753"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2ACB55B8"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w:t>
            </w:r>
          </w:p>
        </w:tc>
        <w:tc>
          <w:tcPr>
            <w:tcW w:w="28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55A436C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r>
      <w:tr w:rsidR="0085505C" w:rsidRPr="002A7673" w14:paraId="117E0D7B"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71962BB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TERCER CIRCUITO JUDICIAL SAN JOSE</w:t>
            </w:r>
          </w:p>
        </w:tc>
        <w:tc>
          <w:tcPr>
            <w:tcW w:w="430" w:type="pct"/>
            <w:tcBorders>
              <w:top w:val="single" w:sz="4" w:space="0" w:color="auto"/>
              <w:left w:val="single" w:sz="4" w:space="0" w:color="auto"/>
              <w:bottom w:val="single" w:sz="4" w:space="0" w:color="auto"/>
              <w:right w:val="single" w:sz="4" w:space="0" w:color="auto"/>
            </w:tcBorders>
            <w:vAlign w:val="center"/>
            <w:hideMark/>
          </w:tcPr>
          <w:p w14:paraId="291899F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2FD7B4CF"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xml:space="preserve">367659 </w:t>
            </w:r>
          </w:p>
        </w:tc>
        <w:tc>
          <w:tcPr>
            <w:tcW w:w="439" w:type="pct"/>
            <w:tcBorders>
              <w:top w:val="single" w:sz="4" w:space="0" w:color="auto"/>
              <w:left w:val="single" w:sz="4" w:space="0" w:color="auto"/>
              <w:bottom w:val="single" w:sz="4" w:space="0" w:color="auto"/>
              <w:right w:val="single" w:sz="4" w:space="0" w:color="auto"/>
            </w:tcBorders>
            <w:vAlign w:val="center"/>
            <w:hideMark/>
          </w:tcPr>
          <w:p w14:paraId="01402A6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Propietario</w:t>
            </w:r>
          </w:p>
        </w:tc>
        <w:tc>
          <w:tcPr>
            <w:tcW w:w="319" w:type="pct"/>
            <w:tcBorders>
              <w:top w:val="single" w:sz="4" w:space="0" w:color="auto"/>
              <w:left w:val="single" w:sz="4" w:space="0" w:color="auto"/>
              <w:bottom w:val="single" w:sz="4" w:space="0" w:color="auto"/>
              <w:right w:val="single" w:sz="4" w:space="0" w:color="auto"/>
            </w:tcBorders>
            <w:vAlign w:val="center"/>
            <w:hideMark/>
          </w:tcPr>
          <w:p w14:paraId="15A6F2D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0401990441</w:t>
            </w:r>
          </w:p>
        </w:tc>
        <w:tc>
          <w:tcPr>
            <w:tcW w:w="1096" w:type="pct"/>
            <w:tcBorders>
              <w:top w:val="single" w:sz="4" w:space="0" w:color="auto"/>
              <w:left w:val="single" w:sz="4" w:space="0" w:color="auto"/>
              <w:bottom w:val="single" w:sz="4" w:space="0" w:color="auto"/>
              <w:right w:val="single" w:sz="4" w:space="0" w:color="auto"/>
            </w:tcBorders>
            <w:vAlign w:val="center"/>
            <w:hideMark/>
          </w:tcPr>
          <w:p w14:paraId="40BF7BB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NATALIA MARIA SEGURA MONGE</w:t>
            </w:r>
          </w:p>
        </w:tc>
        <w:tc>
          <w:tcPr>
            <w:tcW w:w="512" w:type="pct"/>
            <w:tcBorders>
              <w:top w:val="single" w:sz="4" w:space="0" w:color="auto"/>
              <w:left w:val="single" w:sz="4" w:space="0" w:color="auto"/>
              <w:bottom w:val="single" w:sz="4" w:space="0" w:color="auto"/>
              <w:right w:val="single" w:sz="4" w:space="0" w:color="auto"/>
            </w:tcBorders>
            <w:vAlign w:val="center"/>
            <w:hideMark/>
          </w:tcPr>
          <w:p w14:paraId="0CF9539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0115240036</w:t>
            </w:r>
          </w:p>
        </w:tc>
        <w:tc>
          <w:tcPr>
            <w:tcW w:w="753" w:type="pct"/>
            <w:tcBorders>
              <w:top w:val="single" w:sz="4" w:space="0" w:color="auto"/>
              <w:left w:val="single" w:sz="4" w:space="0" w:color="auto"/>
              <w:bottom w:val="single" w:sz="4" w:space="0" w:color="auto"/>
              <w:right w:val="single" w:sz="4" w:space="0" w:color="auto"/>
            </w:tcBorders>
            <w:vAlign w:val="center"/>
            <w:hideMark/>
          </w:tcPr>
          <w:p w14:paraId="540883A6"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DANIEL SIGIFREDO CERDAS FERNANDEZ</w:t>
            </w:r>
          </w:p>
        </w:tc>
        <w:tc>
          <w:tcPr>
            <w:tcW w:w="280" w:type="pct"/>
            <w:tcBorders>
              <w:top w:val="single" w:sz="4" w:space="0" w:color="auto"/>
              <w:left w:val="single" w:sz="4" w:space="0" w:color="auto"/>
              <w:bottom w:val="single" w:sz="4" w:space="0" w:color="auto"/>
              <w:right w:val="single" w:sz="4" w:space="0" w:color="auto"/>
            </w:tcBorders>
            <w:vAlign w:val="center"/>
            <w:hideMark/>
          </w:tcPr>
          <w:p w14:paraId="65AF4F3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019F11D3"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2BD7D2C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TERCER CIRCUITO JUDICIAL SAN JOSE</w:t>
            </w:r>
          </w:p>
        </w:tc>
        <w:tc>
          <w:tcPr>
            <w:tcW w:w="430" w:type="pct"/>
            <w:tcBorders>
              <w:top w:val="single" w:sz="4" w:space="0" w:color="auto"/>
              <w:left w:val="single" w:sz="4" w:space="0" w:color="auto"/>
              <w:bottom w:val="single" w:sz="4" w:space="0" w:color="auto"/>
              <w:right w:val="single" w:sz="4" w:space="0" w:color="auto"/>
            </w:tcBorders>
            <w:vAlign w:val="center"/>
            <w:hideMark/>
          </w:tcPr>
          <w:p w14:paraId="11BD940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30E59150"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xml:space="preserve">92787 </w:t>
            </w:r>
          </w:p>
        </w:tc>
        <w:tc>
          <w:tcPr>
            <w:tcW w:w="439" w:type="pct"/>
            <w:tcBorders>
              <w:top w:val="single" w:sz="4" w:space="0" w:color="auto"/>
              <w:left w:val="single" w:sz="4" w:space="0" w:color="auto"/>
              <w:bottom w:val="single" w:sz="4" w:space="0" w:color="auto"/>
              <w:right w:val="single" w:sz="4" w:space="0" w:color="auto"/>
            </w:tcBorders>
            <w:vAlign w:val="center"/>
            <w:hideMark/>
          </w:tcPr>
          <w:p w14:paraId="720474B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Vacante</w:t>
            </w:r>
          </w:p>
        </w:tc>
        <w:tc>
          <w:tcPr>
            <w:tcW w:w="319" w:type="pct"/>
            <w:tcBorders>
              <w:top w:val="single" w:sz="4" w:space="0" w:color="auto"/>
              <w:left w:val="single" w:sz="4" w:space="0" w:color="auto"/>
              <w:bottom w:val="single" w:sz="4" w:space="0" w:color="auto"/>
              <w:right w:val="single" w:sz="4" w:space="0" w:color="auto"/>
            </w:tcBorders>
            <w:vAlign w:val="center"/>
            <w:hideMark/>
          </w:tcPr>
          <w:p w14:paraId="2FFD80D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B44B08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12" w:type="pct"/>
            <w:tcBorders>
              <w:top w:val="single" w:sz="4" w:space="0" w:color="auto"/>
              <w:left w:val="single" w:sz="4" w:space="0" w:color="auto"/>
              <w:bottom w:val="single" w:sz="4" w:space="0" w:color="auto"/>
              <w:right w:val="single" w:sz="4" w:space="0" w:color="auto"/>
            </w:tcBorders>
            <w:vAlign w:val="center"/>
            <w:hideMark/>
          </w:tcPr>
          <w:p w14:paraId="05348DD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0115480286</w:t>
            </w:r>
          </w:p>
        </w:tc>
        <w:tc>
          <w:tcPr>
            <w:tcW w:w="753" w:type="pct"/>
            <w:tcBorders>
              <w:top w:val="single" w:sz="4" w:space="0" w:color="auto"/>
              <w:left w:val="single" w:sz="4" w:space="0" w:color="auto"/>
              <w:bottom w:val="single" w:sz="4" w:space="0" w:color="auto"/>
              <w:right w:val="single" w:sz="4" w:space="0" w:color="auto"/>
            </w:tcBorders>
            <w:vAlign w:val="center"/>
            <w:hideMark/>
          </w:tcPr>
          <w:p w14:paraId="4C31914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DANIELA CASTILLO VALVERDE </w:t>
            </w:r>
          </w:p>
        </w:tc>
        <w:tc>
          <w:tcPr>
            <w:tcW w:w="280" w:type="pct"/>
            <w:tcBorders>
              <w:top w:val="single" w:sz="4" w:space="0" w:color="auto"/>
              <w:left w:val="single" w:sz="4" w:space="0" w:color="auto"/>
              <w:bottom w:val="single" w:sz="4" w:space="0" w:color="auto"/>
              <w:right w:val="single" w:sz="4" w:space="0" w:color="auto"/>
            </w:tcBorders>
            <w:vAlign w:val="center"/>
            <w:hideMark/>
          </w:tcPr>
          <w:p w14:paraId="249EF80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1C4315E8" w14:textId="77777777" w:rsidTr="0048334E">
        <w:trPr>
          <w:trHeight w:val="330"/>
          <w:jc w:val="center"/>
        </w:trPr>
        <w:tc>
          <w:tcPr>
            <w:tcW w:w="941"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4E7B6BD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43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6FE627E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23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6B95785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43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6036C76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31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308D530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38B6F06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1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5D30CC5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753"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341B552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28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179DD00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r>
      <w:tr w:rsidR="0085505C" w:rsidRPr="002A7673" w14:paraId="5F90D543" w14:textId="77777777" w:rsidTr="0048334E">
        <w:trPr>
          <w:trHeight w:val="54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54AC2BF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PUNTARENAS</w:t>
            </w:r>
          </w:p>
        </w:tc>
        <w:tc>
          <w:tcPr>
            <w:tcW w:w="430" w:type="pct"/>
            <w:tcBorders>
              <w:top w:val="single" w:sz="4" w:space="0" w:color="auto"/>
              <w:left w:val="single" w:sz="4" w:space="0" w:color="auto"/>
              <w:bottom w:val="single" w:sz="4" w:space="0" w:color="auto"/>
              <w:right w:val="single" w:sz="4" w:space="0" w:color="auto"/>
            </w:tcBorders>
            <w:vAlign w:val="center"/>
            <w:hideMark/>
          </w:tcPr>
          <w:p w14:paraId="6C1E7B0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68631B3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47423</w:t>
            </w:r>
          </w:p>
        </w:tc>
        <w:tc>
          <w:tcPr>
            <w:tcW w:w="439" w:type="pct"/>
            <w:tcBorders>
              <w:top w:val="single" w:sz="4" w:space="0" w:color="auto"/>
              <w:left w:val="single" w:sz="4" w:space="0" w:color="auto"/>
              <w:bottom w:val="single" w:sz="4" w:space="0" w:color="auto"/>
              <w:right w:val="single" w:sz="4" w:space="0" w:color="auto"/>
            </w:tcBorders>
            <w:vAlign w:val="center"/>
            <w:hideMark/>
          </w:tcPr>
          <w:p w14:paraId="3D177B5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Propietario</w:t>
            </w:r>
          </w:p>
        </w:tc>
        <w:tc>
          <w:tcPr>
            <w:tcW w:w="319" w:type="pct"/>
            <w:tcBorders>
              <w:top w:val="single" w:sz="4" w:space="0" w:color="auto"/>
              <w:left w:val="single" w:sz="4" w:space="0" w:color="auto"/>
              <w:bottom w:val="single" w:sz="4" w:space="0" w:color="auto"/>
              <w:right w:val="single" w:sz="4" w:space="0" w:color="auto"/>
            </w:tcBorders>
            <w:vAlign w:val="center"/>
            <w:hideMark/>
          </w:tcPr>
          <w:p w14:paraId="48E4D16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0402060959</w:t>
            </w:r>
          </w:p>
        </w:tc>
        <w:tc>
          <w:tcPr>
            <w:tcW w:w="1096" w:type="pct"/>
            <w:tcBorders>
              <w:top w:val="single" w:sz="4" w:space="0" w:color="auto"/>
              <w:left w:val="single" w:sz="4" w:space="0" w:color="auto"/>
              <w:bottom w:val="single" w:sz="4" w:space="0" w:color="auto"/>
              <w:right w:val="single" w:sz="4" w:space="0" w:color="auto"/>
            </w:tcBorders>
            <w:vAlign w:val="center"/>
            <w:hideMark/>
          </w:tcPr>
          <w:p w14:paraId="0D42AA8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ERICK GABRIEL SILVAS GOMEZ</w:t>
            </w:r>
          </w:p>
        </w:tc>
        <w:tc>
          <w:tcPr>
            <w:tcW w:w="512" w:type="pct"/>
            <w:tcBorders>
              <w:top w:val="single" w:sz="4" w:space="0" w:color="auto"/>
              <w:left w:val="single" w:sz="4" w:space="0" w:color="auto"/>
              <w:bottom w:val="single" w:sz="4" w:space="0" w:color="auto"/>
              <w:right w:val="single" w:sz="4" w:space="0" w:color="auto"/>
            </w:tcBorders>
            <w:vAlign w:val="center"/>
            <w:hideMark/>
          </w:tcPr>
          <w:p w14:paraId="51958AEF"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0603840110</w:t>
            </w:r>
          </w:p>
        </w:tc>
        <w:tc>
          <w:tcPr>
            <w:tcW w:w="753" w:type="pct"/>
            <w:tcBorders>
              <w:top w:val="single" w:sz="4" w:space="0" w:color="auto"/>
              <w:left w:val="single" w:sz="4" w:space="0" w:color="auto"/>
              <w:bottom w:val="single" w:sz="4" w:space="0" w:color="auto"/>
              <w:right w:val="single" w:sz="4" w:space="0" w:color="auto"/>
            </w:tcBorders>
            <w:vAlign w:val="center"/>
            <w:hideMark/>
          </w:tcPr>
          <w:p w14:paraId="70FFD700"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proofErr w:type="spellStart"/>
            <w:r w:rsidRPr="002A7673">
              <w:rPr>
                <w:rFonts w:ascii="Times New Roman" w:hAnsi="Times New Roman" w:cs="Times New Roman"/>
                <w:sz w:val="20"/>
                <w:szCs w:val="20"/>
                <w:lang w:eastAsia="es-CR"/>
              </w:rPr>
              <w:t>Dyala</w:t>
            </w:r>
            <w:proofErr w:type="spellEnd"/>
            <w:r w:rsidRPr="002A7673">
              <w:rPr>
                <w:rFonts w:ascii="Times New Roman" w:hAnsi="Times New Roman" w:cs="Times New Roman"/>
                <w:sz w:val="20"/>
                <w:szCs w:val="20"/>
                <w:lang w:eastAsia="es-CR"/>
              </w:rPr>
              <w:t xml:space="preserve"> Emilce Vega Lopez</w:t>
            </w:r>
          </w:p>
        </w:tc>
        <w:tc>
          <w:tcPr>
            <w:tcW w:w="280" w:type="pct"/>
            <w:tcBorders>
              <w:top w:val="single" w:sz="4" w:space="0" w:color="auto"/>
              <w:left w:val="single" w:sz="4" w:space="0" w:color="auto"/>
              <w:bottom w:val="single" w:sz="4" w:space="0" w:color="auto"/>
              <w:right w:val="single" w:sz="4" w:space="0" w:color="auto"/>
            </w:tcBorders>
            <w:vAlign w:val="center"/>
            <w:hideMark/>
          </w:tcPr>
          <w:p w14:paraId="21E8159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0B96CB13" w14:textId="77777777" w:rsidTr="0048334E">
        <w:trPr>
          <w:trHeight w:val="66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525246E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PUNTARENAS</w:t>
            </w:r>
          </w:p>
        </w:tc>
        <w:tc>
          <w:tcPr>
            <w:tcW w:w="430" w:type="pct"/>
            <w:tcBorders>
              <w:top w:val="single" w:sz="4" w:space="0" w:color="auto"/>
              <w:left w:val="single" w:sz="4" w:space="0" w:color="auto"/>
              <w:bottom w:val="single" w:sz="4" w:space="0" w:color="auto"/>
              <w:right w:val="single" w:sz="4" w:space="0" w:color="auto"/>
            </w:tcBorders>
            <w:vAlign w:val="center"/>
            <w:hideMark/>
          </w:tcPr>
          <w:p w14:paraId="3976E46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2125577A"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33946</w:t>
            </w:r>
          </w:p>
        </w:tc>
        <w:tc>
          <w:tcPr>
            <w:tcW w:w="439" w:type="pct"/>
            <w:tcBorders>
              <w:top w:val="single" w:sz="4" w:space="0" w:color="auto"/>
              <w:left w:val="single" w:sz="4" w:space="0" w:color="auto"/>
              <w:bottom w:val="single" w:sz="4" w:space="0" w:color="auto"/>
              <w:right w:val="single" w:sz="4" w:space="0" w:color="auto"/>
            </w:tcBorders>
            <w:vAlign w:val="center"/>
            <w:hideMark/>
          </w:tcPr>
          <w:p w14:paraId="3099BA2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Vacante</w:t>
            </w:r>
          </w:p>
        </w:tc>
        <w:tc>
          <w:tcPr>
            <w:tcW w:w="319" w:type="pct"/>
            <w:tcBorders>
              <w:top w:val="single" w:sz="4" w:space="0" w:color="auto"/>
              <w:left w:val="single" w:sz="4" w:space="0" w:color="auto"/>
              <w:bottom w:val="single" w:sz="4" w:space="0" w:color="auto"/>
              <w:right w:val="single" w:sz="4" w:space="0" w:color="auto"/>
            </w:tcBorders>
            <w:vAlign w:val="center"/>
            <w:hideMark/>
          </w:tcPr>
          <w:p w14:paraId="1487A4B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vAlign w:val="center"/>
            <w:hideMark/>
          </w:tcPr>
          <w:p w14:paraId="32C7CB7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12" w:type="pct"/>
            <w:tcBorders>
              <w:top w:val="single" w:sz="4" w:space="0" w:color="auto"/>
              <w:left w:val="single" w:sz="4" w:space="0" w:color="auto"/>
              <w:bottom w:val="single" w:sz="4" w:space="0" w:color="auto"/>
              <w:right w:val="single" w:sz="4" w:space="0" w:color="auto"/>
            </w:tcBorders>
            <w:vAlign w:val="center"/>
            <w:hideMark/>
          </w:tcPr>
          <w:p w14:paraId="35D46D4B"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0604150321</w:t>
            </w:r>
          </w:p>
        </w:tc>
        <w:tc>
          <w:tcPr>
            <w:tcW w:w="753" w:type="pct"/>
            <w:tcBorders>
              <w:top w:val="single" w:sz="4" w:space="0" w:color="auto"/>
              <w:left w:val="single" w:sz="4" w:space="0" w:color="auto"/>
              <w:bottom w:val="single" w:sz="4" w:space="0" w:color="auto"/>
              <w:right w:val="single" w:sz="4" w:space="0" w:color="auto"/>
            </w:tcBorders>
            <w:vAlign w:val="center"/>
            <w:hideMark/>
          </w:tcPr>
          <w:p w14:paraId="31719569"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xml:space="preserve">KEILYN MARIAN CONTRERAS ALVAREZ </w:t>
            </w:r>
          </w:p>
        </w:tc>
        <w:tc>
          <w:tcPr>
            <w:tcW w:w="280" w:type="pct"/>
            <w:tcBorders>
              <w:top w:val="single" w:sz="4" w:space="0" w:color="auto"/>
              <w:left w:val="single" w:sz="4" w:space="0" w:color="auto"/>
              <w:bottom w:val="single" w:sz="4" w:space="0" w:color="auto"/>
              <w:right w:val="single" w:sz="4" w:space="0" w:color="auto"/>
            </w:tcBorders>
            <w:vAlign w:val="center"/>
            <w:hideMark/>
          </w:tcPr>
          <w:p w14:paraId="6D7DBBB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6D6B88FA" w14:textId="77777777" w:rsidTr="0048334E">
        <w:trPr>
          <w:trHeight w:val="54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32F953E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PUNTARENAS</w:t>
            </w:r>
          </w:p>
        </w:tc>
        <w:tc>
          <w:tcPr>
            <w:tcW w:w="430" w:type="pct"/>
            <w:tcBorders>
              <w:top w:val="single" w:sz="4" w:space="0" w:color="auto"/>
              <w:left w:val="single" w:sz="4" w:space="0" w:color="auto"/>
              <w:bottom w:val="single" w:sz="4" w:space="0" w:color="auto"/>
              <w:right w:val="single" w:sz="4" w:space="0" w:color="auto"/>
            </w:tcBorders>
            <w:vAlign w:val="center"/>
            <w:hideMark/>
          </w:tcPr>
          <w:p w14:paraId="22154B2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25F18092"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103825</w:t>
            </w:r>
          </w:p>
        </w:tc>
        <w:tc>
          <w:tcPr>
            <w:tcW w:w="439" w:type="pct"/>
            <w:tcBorders>
              <w:top w:val="single" w:sz="4" w:space="0" w:color="auto"/>
              <w:left w:val="single" w:sz="4" w:space="0" w:color="auto"/>
              <w:bottom w:val="single" w:sz="4" w:space="0" w:color="auto"/>
              <w:right w:val="single" w:sz="4" w:space="0" w:color="auto"/>
            </w:tcBorders>
            <w:vAlign w:val="center"/>
            <w:hideMark/>
          </w:tcPr>
          <w:p w14:paraId="3CDE339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Vacante</w:t>
            </w:r>
          </w:p>
        </w:tc>
        <w:tc>
          <w:tcPr>
            <w:tcW w:w="319" w:type="pct"/>
            <w:tcBorders>
              <w:top w:val="single" w:sz="4" w:space="0" w:color="auto"/>
              <w:left w:val="single" w:sz="4" w:space="0" w:color="auto"/>
              <w:bottom w:val="single" w:sz="4" w:space="0" w:color="auto"/>
              <w:right w:val="single" w:sz="4" w:space="0" w:color="auto"/>
            </w:tcBorders>
            <w:vAlign w:val="center"/>
            <w:hideMark/>
          </w:tcPr>
          <w:p w14:paraId="336EC7F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vAlign w:val="center"/>
            <w:hideMark/>
          </w:tcPr>
          <w:p w14:paraId="3BF9C52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12" w:type="pct"/>
            <w:tcBorders>
              <w:top w:val="single" w:sz="4" w:space="0" w:color="auto"/>
              <w:left w:val="single" w:sz="4" w:space="0" w:color="auto"/>
              <w:bottom w:val="single" w:sz="4" w:space="0" w:color="auto"/>
              <w:right w:val="single" w:sz="4" w:space="0" w:color="auto"/>
            </w:tcBorders>
            <w:vAlign w:val="center"/>
            <w:hideMark/>
          </w:tcPr>
          <w:p w14:paraId="780CC653"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0113080326</w:t>
            </w:r>
          </w:p>
        </w:tc>
        <w:tc>
          <w:tcPr>
            <w:tcW w:w="753" w:type="pct"/>
            <w:tcBorders>
              <w:top w:val="single" w:sz="4" w:space="0" w:color="auto"/>
              <w:left w:val="single" w:sz="4" w:space="0" w:color="auto"/>
              <w:bottom w:val="single" w:sz="4" w:space="0" w:color="auto"/>
              <w:right w:val="single" w:sz="4" w:space="0" w:color="auto"/>
            </w:tcBorders>
            <w:vAlign w:val="center"/>
            <w:hideMark/>
          </w:tcPr>
          <w:p w14:paraId="1D214C99"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xml:space="preserve">GABRIELA ABARCA ARIAS </w:t>
            </w:r>
          </w:p>
        </w:tc>
        <w:tc>
          <w:tcPr>
            <w:tcW w:w="280" w:type="pct"/>
            <w:tcBorders>
              <w:top w:val="single" w:sz="4" w:space="0" w:color="auto"/>
              <w:left w:val="single" w:sz="4" w:space="0" w:color="auto"/>
              <w:bottom w:val="single" w:sz="4" w:space="0" w:color="auto"/>
              <w:right w:val="single" w:sz="4" w:space="0" w:color="auto"/>
            </w:tcBorders>
            <w:vAlign w:val="center"/>
            <w:hideMark/>
          </w:tcPr>
          <w:p w14:paraId="2184598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43FD6DE1" w14:textId="77777777" w:rsidTr="0048334E">
        <w:trPr>
          <w:trHeight w:val="330"/>
          <w:jc w:val="center"/>
        </w:trPr>
        <w:tc>
          <w:tcPr>
            <w:tcW w:w="941"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5172BF1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43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3A1A320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23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19FDC10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43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36E33A3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319"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463DB99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490656C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12"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133C30F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753"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072E51D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280" w:type="pct"/>
            <w:tcBorders>
              <w:top w:val="single" w:sz="4" w:space="0" w:color="auto"/>
              <w:left w:val="single" w:sz="4" w:space="0" w:color="auto"/>
              <w:bottom w:val="single" w:sz="4" w:space="0" w:color="auto"/>
              <w:right w:val="single" w:sz="4" w:space="0" w:color="auto"/>
            </w:tcBorders>
            <w:shd w:val="clear" w:color="auto" w:fill="FFE699"/>
            <w:vAlign w:val="center"/>
            <w:hideMark/>
          </w:tcPr>
          <w:p w14:paraId="17055E4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r>
      <w:tr w:rsidR="0085505C" w:rsidRPr="002A7673" w14:paraId="27480A58" w14:textId="77777777" w:rsidTr="0048334E">
        <w:trPr>
          <w:trHeight w:val="54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6C6D262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PAVAS</w:t>
            </w:r>
          </w:p>
        </w:tc>
        <w:tc>
          <w:tcPr>
            <w:tcW w:w="430" w:type="pct"/>
            <w:tcBorders>
              <w:top w:val="single" w:sz="4" w:space="0" w:color="auto"/>
              <w:left w:val="single" w:sz="4" w:space="0" w:color="auto"/>
              <w:bottom w:val="single" w:sz="4" w:space="0" w:color="auto"/>
              <w:right w:val="single" w:sz="4" w:space="0" w:color="auto"/>
            </w:tcBorders>
            <w:vAlign w:val="center"/>
            <w:hideMark/>
          </w:tcPr>
          <w:p w14:paraId="325DA91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4E2BD79A"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xml:space="preserve">15362 </w:t>
            </w:r>
          </w:p>
        </w:tc>
        <w:tc>
          <w:tcPr>
            <w:tcW w:w="439" w:type="pct"/>
            <w:tcBorders>
              <w:top w:val="single" w:sz="4" w:space="0" w:color="auto"/>
              <w:left w:val="single" w:sz="4" w:space="0" w:color="auto"/>
              <w:bottom w:val="single" w:sz="4" w:space="0" w:color="auto"/>
              <w:right w:val="single" w:sz="4" w:space="0" w:color="auto"/>
            </w:tcBorders>
            <w:vAlign w:val="center"/>
            <w:hideMark/>
          </w:tcPr>
          <w:p w14:paraId="02FB1467"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Propietario</w:t>
            </w:r>
          </w:p>
        </w:tc>
        <w:tc>
          <w:tcPr>
            <w:tcW w:w="319" w:type="pct"/>
            <w:tcBorders>
              <w:top w:val="single" w:sz="4" w:space="0" w:color="auto"/>
              <w:left w:val="single" w:sz="4" w:space="0" w:color="auto"/>
              <w:bottom w:val="single" w:sz="4" w:space="0" w:color="auto"/>
              <w:right w:val="single" w:sz="4" w:space="0" w:color="auto"/>
            </w:tcBorders>
            <w:vAlign w:val="center"/>
            <w:hideMark/>
          </w:tcPr>
          <w:p w14:paraId="754A64A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0110920855</w:t>
            </w:r>
          </w:p>
        </w:tc>
        <w:tc>
          <w:tcPr>
            <w:tcW w:w="1096" w:type="pct"/>
            <w:tcBorders>
              <w:top w:val="single" w:sz="4" w:space="0" w:color="auto"/>
              <w:left w:val="single" w:sz="4" w:space="0" w:color="auto"/>
              <w:bottom w:val="single" w:sz="4" w:space="0" w:color="auto"/>
              <w:right w:val="single" w:sz="4" w:space="0" w:color="auto"/>
            </w:tcBorders>
            <w:vAlign w:val="center"/>
            <w:hideMark/>
          </w:tcPr>
          <w:p w14:paraId="4203F4B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RAQUEL CUBILLO GARCIA </w:t>
            </w:r>
          </w:p>
        </w:tc>
        <w:tc>
          <w:tcPr>
            <w:tcW w:w="512" w:type="pct"/>
            <w:tcBorders>
              <w:top w:val="single" w:sz="4" w:space="0" w:color="auto"/>
              <w:left w:val="single" w:sz="4" w:space="0" w:color="auto"/>
              <w:bottom w:val="single" w:sz="4" w:space="0" w:color="auto"/>
              <w:right w:val="single" w:sz="4" w:space="0" w:color="auto"/>
            </w:tcBorders>
            <w:vAlign w:val="center"/>
            <w:hideMark/>
          </w:tcPr>
          <w:p w14:paraId="2CD11609"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Titular</w:t>
            </w:r>
          </w:p>
        </w:tc>
        <w:tc>
          <w:tcPr>
            <w:tcW w:w="753" w:type="pct"/>
            <w:tcBorders>
              <w:top w:val="single" w:sz="4" w:space="0" w:color="auto"/>
              <w:left w:val="single" w:sz="4" w:space="0" w:color="auto"/>
              <w:bottom w:val="single" w:sz="4" w:space="0" w:color="auto"/>
              <w:right w:val="single" w:sz="4" w:space="0" w:color="auto"/>
            </w:tcBorders>
            <w:vAlign w:val="center"/>
            <w:hideMark/>
          </w:tcPr>
          <w:p w14:paraId="6C471828"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w:t>
            </w:r>
          </w:p>
        </w:tc>
        <w:tc>
          <w:tcPr>
            <w:tcW w:w="280" w:type="pct"/>
            <w:tcBorders>
              <w:top w:val="single" w:sz="4" w:space="0" w:color="auto"/>
              <w:left w:val="single" w:sz="4" w:space="0" w:color="auto"/>
              <w:bottom w:val="single" w:sz="4" w:space="0" w:color="auto"/>
              <w:right w:val="single" w:sz="4" w:space="0" w:color="auto"/>
            </w:tcBorders>
            <w:vAlign w:val="center"/>
            <w:hideMark/>
          </w:tcPr>
          <w:p w14:paraId="7E769BE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r w:rsidR="0085505C" w:rsidRPr="002A7673" w14:paraId="0EB55E80" w14:textId="77777777" w:rsidTr="0048334E">
        <w:trPr>
          <w:trHeight w:val="540"/>
          <w:jc w:val="center"/>
        </w:trPr>
        <w:tc>
          <w:tcPr>
            <w:tcW w:w="941" w:type="pct"/>
            <w:tcBorders>
              <w:top w:val="single" w:sz="4" w:space="0" w:color="auto"/>
              <w:left w:val="single" w:sz="4" w:space="0" w:color="auto"/>
              <w:bottom w:val="single" w:sz="4" w:space="0" w:color="auto"/>
              <w:right w:val="single" w:sz="4" w:space="0" w:color="auto"/>
            </w:tcBorders>
            <w:vAlign w:val="center"/>
            <w:hideMark/>
          </w:tcPr>
          <w:p w14:paraId="11C19D9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PAVAS</w:t>
            </w:r>
          </w:p>
        </w:tc>
        <w:tc>
          <w:tcPr>
            <w:tcW w:w="430" w:type="pct"/>
            <w:tcBorders>
              <w:top w:val="single" w:sz="4" w:space="0" w:color="auto"/>
              <w:left w:val="single" w:sz="4" w:space="0" w:color="auto"/>
              <w:bottom w:val="single" w:sz="4" w:space="0" w:color="auto"/>
              <w:right w:val="single" w:sz="4" w:space="0" w:color="auto"/>
            </w:tcBorders>
            <w:vAlign w:val="center"/>
            <w:hideMark/>
          </w:tcPr>
          <w:p w14:paraId="4BC6CE7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JURIDICO</w:t>
            </w:r>
          </w:p>
        </w:tc>
        <w:tc>
          <w:tcPr>
            <w:tcW w:w="232" w:type="pct"/>
            <w:tcBorders>
              <w:top w:val="single" w:sz="4" w:space="0" w:color="auto"/>
              <w:left w:val="single" w:sz="4" w:space="0" w:color="auto"/>
              <w:bottom w:val="single" w:sz="4" w:space="0" w:color="auto"/>
              <w:right w:val="single" w:sz="4" w:space="0" w:color="auto"/>
            </w:tcBorders>
            <w:vAlign w:val="center"/>
            <w:hideMark/>
          </w:tcPr>
          <w:p w14:paraId="24EAAE2D"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366185</w:t>
            </w:r>
          </w:p>
        </w:tc>
        <w:tc>
          <w:tcPr>
            <w:tcW w:w="439" w:type="pct"/>
            <w:tcBorders>
              <w:top w:val="single" w:sz="4" w:space="0" w:color="auto"/>
              <w:left w:val="single" w:sz="4" w:space="0" w:color="auto"/>
              <w:bottom w:val="single" w:sz="4" w:space="0" w:color="auto"/>
              <w:right w:val="single" w:sz="4" w:space="0" w:color="auto"/>
            </w:tcBorders>
            <w:vAlign w:val="center"/>
            <w:hideMark/>
          </w:tcPr>
          <w:p w14:paraId="5A28C81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Vacante</w:t>
            </w:r>
          </w:p>
        </w:tc>
        <w:tc>
          <w:tcPr>
            <w:tcW w:w="319" w:type="pct"/>
            <w:tcBorders>
              <w:top w:val="single" w:sz="4" w:space="0" w:color="auto"/>
              <w:left w:val="single" w:sz="4" w:space="0" w:color="auto"/>
              <w:bottom w:val="single" w:sz="4" w:space="0" w:color="auto"/>
              <w:right w:val="single" w:sz="4" w:space="0" w:color="auto"/>
            </w:tcBorders>
            <w:vAlign w:val="center"/>
            <w:hideMark/>
          </w:tcPr>
          <w:p w14:paraId="6992039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1096" w:type="pct"/>
            <w:tcBorders>
              <w:top w:val="single" w:sz="4" w:space="0" w:color="auto"/>
              <w:left w:val="single" w:sz="4" w:space="0" w:color="auto"/>
              <w:bottom w:val="single" w:sz="4" w:space="0" w:color="auto"/>
              <w:right w:val="single" w:sz="4" w:space="0" w:color="auto"/>
            </w:tcBorders>
            <w:vAlign w:val="center"/>
            <w:hideMark/>
          </w:tcPr>
          <w:p w14:paraId="21A05F6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12" w:type="pct"/>
            <w:tcBorders>
              <w:top w:val="single" w:sz="4" w:space="0" w:color="auto"/>
              <w:left w:val="single" w:sz="4" w:space="0" w:color="auto"/>
              <w:bottom w:val="single" w:sz="4" w:space="0" w:color="auto"/>
              <w:right w:val="single" w:sz="4" w:space="0" w:color="auto"/>
            </w:tcBorders>
            <w:vAlign w:val="center"/>
            <w:hideMark/>
          </w:tcPr>
          <w:p w14:paraId="2079621E"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0113760058</w:t>
            </w:r>
          </w:p>
        </w:tc>
        <w:tc>
          <w:tcPr>
            <w:tcW w:w="753" w:type="pct"/>
            <w:tcBorders>
              <w:top w:val="single" w:sz="4" w:space="0" w:color="auto"/>
              <w:left w:val="single" w:sz="4" w:space="0" w:color="auto"/>
              <w:bottom w:val="single" w:sz="4" w:space="0" w:color="auto"/>
              <w:right w:val="single" w:sz="4" w:space="0" w:color="auto"/>
            </w:tcBorders>
            <w:vAlign w:val="center"/>
            <w:hideMark/>
          </w:tcPr>
          <w:p w14:paraId="6BB5CEFF" w14:textId="77777777" w:rsidR="0085505C" w:rsidRPr="002A7673" w:rsidRDefault="0085505C" w:rsidP="0048334E">
            <w:pPr>
              <w:widowControl w:val="0"/>
              <w:autoSpaceDN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ESTEBAN HIDALGO ARIAS</w:t>
            </w:r>
          </w:p>
        </w:tc>
        <w:tc>
          <w:tcPr>
            <w:tcW w:w="280" w:type="pct"/>
            <w:tcBorders>
              <w:top w:val="single" w:sz="4" w:space="0" w:color="auto"/>
              <w:left w:val="single" w:sz="4" w:space="0" w:color="auto"/>
              <w:bottom w:val="single" w:sz="4" w:space="0" w:color="auto"/>
              <w:right w:val="single" w:sz="4" w:space="0" w:color="auto"/>
            </w:tcBorders>
            <w:vAlign w:val="center"/>
            <w:hideMark/>
          </w:tcPr>
          <w:p w14:paraId="38D2EC0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bl>
    <w:p w14:paraId="5EF71071" w14:textId="77777777" w:rsidR="0085505C" w:rsidRPr="002A7673" w:rsidRDefault="0085505C" w:rsidP="0085505C">
      <w:pPr>
        <w:widowControl w:val="0"/>
        <w:spacing w:line="256" w:lineRule="auto"/>
        <w:rPr>
          <w:rFonts w:ascii="Times New Roman" w:hAnsi="Times New Roman" w:cs="Times New Roman"/>
          <w:sz w:val="18"/>
          <w:szCs w:val="18"/>
        </w:rPr>
      </w:pPr>
      <w:r w:rsidRPr="002A7673">
        <w:rPr>
          <w:rFonts w:ascii="Times New Roman" w:hAnsi="Times New Roman" w:cs="Times New Roman"/>
          <w:b/>
          <w:bCs/>
          <w:i/>
          <w:iCs/>
          <w:sz w:val="18"/>
          <w:szCs w:val="18"/>
        </w:rPr>
        <w:t>Fuente:</w:t>
      </w:r>
      <w:r w:rsidRPr="002A7673">
        <w:rPr>
          <w:rFonts w:ascii="Times New Roman" w:hAnsi="Times New Roman" w:cs="Times New Roman"/>
          <w:sz w:val="18"/>
          <w:szCs w:val="18"/>
        </w:rPr>
        <w:t xml:space="preserve"> Sub proceso de Modernización Institucional con base en reporte de plazas emitido por la Unidad de Nombramientos de la Defensa Pública. </w:t>
      </w:r>
    </w:p>
    <w:p w14:paraId="473EA4E1"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lastRenderedPageBreak/>
        <w:t>En estas oficinas se propone:</w:t>
      </w:r>
    </w:p>
    <w:p w14:paraId="49481FCF"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6EF91A65" w14:textId="77777777" w:rsidR="0085505C" w:rsidRPr="002A7673" w:rsidRDefault="0085505C" w:rsidP="00FF3FAC">
      <w:pPr>
        <w:widowControl w:val="0"/>
        <w:numPr>
          <w:ilvl w:val="0"/>
          <w:numId w:val="86"/>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i/>
          <w:iCs/>
          <w:sz w:val="26"/>
          <w:szCs w:val="26"/>
          <w:lang w:val="es-ES" w:eastAsia="es-ES"/>
        </w:rPr>
        <w:t>Defensa Pública del Primer Circuito Judicial de Alajuela:</w:t>
      </w:r>
      <w:r w:rsidRPr="002A7673">
        <w:rPr>
          <w:rFonts w:ascii="Times New Roman" w:eastAsia="Times New Roman" w:hAnsi="Times New Roman" w:cs="Times New Roman"/>
          <w:b/>
          <w:bCs/>
          <w:sz w:val="26"/>
          <w:szCs w:val="26"/>
          <w:lang w:val="es-ES" w:eastAsia="es-ES"/>
        </w:rPr>
        <w:t xml:space="preserve"> </w:t>
      </w:r>
      <w:r w:rsidRPr="002A7673">
        <w:rPr>
          <w:rFonts w:ascii="Times New Roman" w:eastAsia="Times New Roman" w:hAnsi="Times New Roman" w:cs="Times New Roman"/>
          <w:sz w:val="26"/>
          <w:szCs w:val="26"/>
          <w:lang w:val="es-ES" w:eastAsia="es-ES"/>
        </w:rPr>
        <w:t xml:space="preserve"> Solicitar criterio a la Jefatura de la Defensa Pública para que, de las tres plazas de medio tiempo que están dadas en propiedad (43129, 55678 y 92890), seleccione una de ellas para ajustar su jornada laboral a tiempo completo, de manera que no existiría ninguna afectación en las labores que ya se ejecutan en dicha oficina y se podría disponer de la plaza 33871 al día de hoy vacante para recalificarla a plaza de Defensora o Defensor Público adscrita a la Jefatura de la Defensa Pública, de manera que se pueda disponer de ella para reforzar las necesidades actuales de dicho recurso.</w:t>
      </w:r>
    </w:p>
    <w:p w14:paraId="6576787E"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0CF977E2" w14:textId="77777777" w:rsidR="0085505C" w:rsidRPr="002A7673" w:rsidRDefault="0085505C" w:rsidP="00FF3FAC">
      <w:pPr>
        <w:widowControl w:val="0"/>
        <w:numPr>
          <w:ilvl w:val="0"/>
          <w:numId w:val="86"/>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i/>
          <w:iCs/>
          <w:sz w:val="26"/>
          <w:szCs w:val="26"/>
          <w:lang w:val="es-ES" w:eastAsia="es-ES"/>
        </w:rPr>
        <w:t>Defensa Pública del Primer Circuito Judicial de Guanacaste:</w:t>
      </w:r>
      <w:r w:rsidRPr="002A7673">
        <w:rPr>
          <w:rFonts w:ascii="Times New Roman" w:eastAsia="Times New Roman" w:hAnsi="Times New Roman" w:cs="Times New Roman"/>
          <w:sz w:val="26"/>
          <w:szCs w:val="26"/>
          <w:lang w:val="es-ES" w:eastAsia="es-ES"/>
        </w:rPr>
        <w:t xml:space="preserve"> Solicitar criterio a la Jefatura de la Defensa Pública para que, de las dos plazas de medio tiempo que están dadas en propiedad (33893 y 47408), seleccione una de ellas para ajustar su jornada laboral a tiempo completo, de manera que no existiría ninguna afectación en las labores que ya se ejecutan en dicha oficina y se podría disponer de la plaza 352805 al día de hoy vacante para recalificarla a plaza de Defensora o Defensor Público adscrita a la Jefatura de la Defensa Pública, de manera que se pueda disponer de ella para reforzar las necesidades actuales de dicho recurso.</w:t>
      </w:r>
    </w:p>
    <w:p w14:paraId="5978C11D"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08954F3A" w14:textId="77777777" w:rsidR="0085505C" w:rsidRPr="002A7673" w:rsidRDefault="0085505C" w:rsidP="00FF3FAC">
      <w:pPr>
        <w:widowControl w:val="0"/>
        <w:numPr>
          <w:ilvl w:val="0"/>
          <w:numId w:val="86"/>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i/>
          <w:iCs/>
          <w:sz w:val="26"/>
          <w:szCs w:val="26"/>
          <w:lang w:val="es-ES" w:eastAsia="es-ES"/>
        </w:rPr>
        <w:t>Defensa Pública del Tercer Circuito Judicial de San José:</w:t>
      </w:r>
      <w:r w:rsidRPr="002A7673">
        <w:rPr>
          <w:rFonts w:ascii="Times New Roman" w:eastAsia="Times New Roman" w:hAnsi="Times New Roman" w:cs="Times New Roman"/>
          <w:sz w:val="26"/>
          <w:szCs w:val="26"/>
          <w:lang w:val="es-ES" w:eastAsia="es-ES"/>
        </w:rPr>
        <w:t xml:space="preserve"> Solicitar criterio a la Jefatura de la Defensa Pública para que, la plaza de medio tiempo que está dada en propiedad (367659) sea ajustada su jornada laboral a tiempo completo, de manera que no existiría ninguna afectación en las labores que ya se ejecutan en dicha oficina y se podría disponer de la plaza 92787 al día de hoy vacante para recalificarla a plaza de Defensora o Defensor Público adscrita a la Jefatura de la Defensa Pública, de manera que se pueda disponer de ella para reforzar las necesidades actuales de dicho recurso.</w:t>
      </w:r>
    </w:p>
    <w:p w14:paraId="630D27CE"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0ABCEB79" w14:textId="77777777" w:rsidR="0085505C" w:rsidRPr="002A7673" w:rsidRDefault="0085505C" w:rsidP="00FF3FAC">
      <w:pPr>
        <w:widowControl w:val="0"/>
        <w:numPr>
          <w:ilvl w:val="0"/>
          <w:numId w:val="86"/>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i/>
          <w:iCs/>
          <w:sz w:val="26"/>
          <w:szCs w:val="26"/>
          <w:lang w:val="es-ES" w:eastAsia="es-ES"/>
        </w:rPr>
        <w:t>Defensa Pública de Puntarenas:</w:t>
      </w:r>
      <w:r w:rsidRPr="002A7673">
        <w:rPr>
          <w:rFonts w:ascii="Times New Roman" w:eastAsia="Times New Roman" w:hAnsi="Times New Roman" w:cs="Times New Roman"/>
          <w:sz w:val="26"/>
          <w:szCs w:val="26"/>
          <w:lang w:val="es-ES" w:eastAsia="es-ES"/>
        </w:rPr>
        <w:t xml:space="preserve"> Solicitar criterio a la Jefatura de la Defensa Pública para que, la plaza de medio tiempo que está dada en propiedad (47423) sea ajustada su jornada laboral a tiempo completo, de manera que no existiría ninguna afectación en las labores que ya se ejecutan en dicha oficina e indicar cuál de las dos plazas de Técnico Jurídico de medio tiempo en condición vacante (33946 o 103825) se podría disponer para recalificarla a plaza de Defensora o Defensor Público adscrita a la Jefatura de la Defensa Pública, de manera que se pueda disponer de ella para reforzar las </w:t>
      </w:r>
      <w:r w:rsidRPr="002A7673">
        <w:rPr>
          <w:rFonts w:ascii="Times New Roman" w:eastAsia="Times New Roman" w:hAnsi="Times New Roman" w:cs="Times New Roman"/>
          <w:sz w:val="26"/>
          <w:szCs w:val="26"/>
          <w:lang w:val="es-ES" w:eastAsia="es-ES"/>
        </w:rPr>
        <w:lastRenderedPageBreak/>
        <w:t>necesidades actuales de dicho recurso.</w:t>
      </w:r>
    </w:p>
    <w:p w14:paraId="0CA22813" w14:textId="77777777" w:rsidR="0085505C" w:rsidRPr="002A7673" w:rsidRDefault="0085505C" w:rsidP="0085505C">
      <w:pPr>
        <w:widowControl w:val="0"/>
        <w:autoSpaceDE w:val="0"/>
        <w:autoSpaceDN w:val="0"/>
        <w:adjustRightInd w:val="0"/>
        <w:spacing w:after="0" w:line="240" w:lineRule="auto"/>
        <w:ind w:left="1560" w:right="851"/>
        <w:jc w:val="both"/>
        <w:rPr>
          <w:rFonts w:ascii="Times New Roman" w:eastAsia="Times New Roman" w:hAnsi="Times New Roman" w:cs="Times New Roman"/>
          <w:sz w:val="26"/>
          <w:szCs w:val="26"/>
          <w:lang w:val="es-ES" w:eastAsia="es-ES"/>
        </w:rPr>
      </w:pPr>
    </w:p>
    <w:p w14:paraId="43E80D56" w14:textId="77777777" w:rsidR="0085505C" w:rsidRPr="002A7673" w:rsidRDefault="0085505C" w:rsidP="00FF3FAC">
      <w:pPr>
        <w:widowControl w:val="0"/>
        <w:numPr>
          <w:ilvl w:val="0"/>
          <w:numId w:val="86"/>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i/>
          <w:iCs/>
          <w:sz w:val="26"/>
          <w:szCs w:val="26"/>
          <w:lang w:val="es-ES" w:eastAsia="es-ES"/>
        </w:rPr>
        <w:t>Defensa Pública de Pavas:</w:t>
      </w:r>
      <w:r w:rsidRPr="002A7673">
        <w:rPr>
          <w:rFonts w:ascii="Times New Roman" w:eastAsia="Times New Roman" w:hAnsi="Times New Roman" w:cs="Times New Roman"/>
          <w:sz w:val="26"/>
          <w:szCs w:val="26"/>
          <w:lang w:val="es-ES" w:eastAsia="es-ES"/>
        </w:rPr>
        <w:t xml:space="preserve"> Solicitar criterio a la Jefatura de la Defensa Pública para que, la plaza de medio tiempo que está dada en propiedad (15362) sea ajustada su jornada laboral a tiempo completo, de manera que no existiría ninguna afectación en las labores que ya se ejecutan en dicha oficina y así disponer de la plaza 366185 al día de hoy vacante para recalificarla a plaza de Defensora o Defensor Público adscrita a la Jefatura de la Defensa Pública, de manera que se pueda disponer de ella para reforzar las necesidades actuales de dicho recurso.</w:t>
      </w:r>
    </w:p>
    <w:p w14:paraId="38546B11"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199C4850"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rPr>
      </w:pPr>
      <w:r w:rsidRPr="002A7673">
        <w:rPr>
          <w:rFonts w:ascii="Times New Roman" w:hAnsi="Times New Roman" w:cs="Times New Roman"/>
          <w:sz w:val="26"/>
          <w:szCs w:val="26"/>
        </w:rPr>
        <w:t xml:space="preserve">El análisis anterior fue puesto en conocimiento de la Dirección de la Defensa Pública mediante oficio 420-PLA-MI-2020 del 14 de abril de 2021, en el cual se solicitó criterio respecto al análisis de las plazas realizado a las oficinas de Alajuela, Liberia, Desamparados, Puntarenas y Pavas, donde se encontró laborando plazas de Técnico Jurídico de medio tiempo en cada una, donde existen plazas en condición de propiedad y otras vacantes, sin embargo, las plazas las ocupan diferentes personas. Al respecto, la Dirección de la Defensa Pública, mediante oficio </w:t>
      </w:r>
      <w:r w:rsidRPr="002A7673">
        <w:rPr>
          <w:rFonts w:ascii="Times New Roman" w:hAnsi="Times New Roman" w:cs="Times New Roman"/>
          <w:sz w:val="26"/>
          <w:szCs w:val="26"/>
          <w:shd w:val="clear" w:color="auto" w:fill="FFFFFF"/>
        </w:rPr>
        <w:t xml:space="preserve">JEFDP-620-2021 el 20 de abril de 2021, suscrito por el </w:t>
      </w:r>
      <w:r w:rsidRPr="002A7673">
        <w:rPr>
          <w:rFonts w:ascii="Times New Roman" w:hAnsi="Times New Roman" w:cs="Times New Roman"/>
          <w:sz w:val="26"/>
          <w:szCs w:val="26"/>
        </w:rPr>
        <w:t xml:space="preserve">máster Juan Carlos Pérez Murillo, Director de la Defensa Pública, manifestó que: </w:t>
      </w:r>
      <w:r w:rsidRPr="002A7673">
        <w:rPr>
          <w:rFonts w:ascii="Times New Roman" w:hAnsi="Times New Roman" w:cs="Times New Roman"/>
          <w:i/>
          <w:iCs/>
          <w:sz w:val="26"/>
          <w:szCs w:val="26"/>
        </w:rPr>
        <w:t xml:space="preserve">“disponer cualquier cambio en sentido contrario a la situación actual, afectaría el principio de estabilidad impropia que ampara a las personas servidoras interinas, sobre el cual la Sala Constitucional se ha pronunciado en reiteradas oportunidades. </w:t>
      </w:r>
    </w:p>
    <w:p w14:paraId="1B8EF670"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i/>
          <w:iCs/>
          <w:sz w:val="26"/>
          <w:szCs w:val="26"/>
        </w:rPr>
      </w:pPr>
    </w:p>
    <w:p w14:paraId="5690E434"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i/>
          <w:iCs/>
          <w:sz w:val="26"/>
          <w:szCs w:val="26"/>
        </w:rPr>
        <w:t xml:space="preserve">En caso de aprobarse esta medida, podrían generarse acciones de tipo legal (amparos, procesos laborales o incluso contenciosos administrativos) de las personas servidoras que actualmente ocupan estos puestos en contra de la Defensa Pública y el mismo Consejo Superior, toda vez que implicaría que 5 personas servidoras pierdan su nombramiento interino en la institución, algunos con muchos años de servicio, situación que considera esta Dirección debe analizarse.”. </w:t>
      </w:r>
    </w:p>
    <w:p w14:paraId="0F8F7D9A"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0ED24734"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Tomando en consideración el criterio externado por la Dirección de la Defensa Pública, se descartan las propuestas de solución planteadas en el punto b, del presente informe.</w:t>
      </w:r>
    </w:p>
    <w:p w14:paraId="34024998"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56CE0C6E" w14:textId="77777777" w:rsidR="0085505C" w:rsidRPr="002A7673" w:rsidRDefault="0085505C" w:rsidP="00FF3FAC">
      <w:pPr>
        <w:widowControl w:val="0"/>
        <w:numPr>
          <w:ilvl w:val="0"/>
          <w:numId w:val="82"/>
        </w:numPr>
        <w:autoSpaceDE w:val="0"/>
        <w:autoSpaceDN w:val="0"/>
        <w:adjustRightInd w:val="0"/>
        <w:spacing w:after="0" w:line="240" w:lineRule="auto"/>
        <w:ind w:left="851" w:right="851"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 xml:space="preserve">Plaza en propiedad que quedará vacante, la cual se encuentre adscrita a una oficina, pero se trasladará a otra oficina donde existe una plaza en propiedad de medio tiempo </w:t>
      </w:r>
    </w:p>
    <w:p w14:paraId="39BFCB5A" w14:textId="77777777" w:rsidR="0085505C" w:rsidRPr="002A7673" w:rsidRDefault="0085505C" w:rsidP="0085505C">
      <w:pPr>
        <w:widowControl w:val="0"/>
        <w:spacing w:after="0" w:line="240" w:lineRule="auto"/>
        <w:ind w:left="851" w:right="851" w:firstLine="709"/>
        <w:jc w:val="both"/>
        <w:rPr>
          <w:rFonts w:ascii="Times New Roman" w:eastAsia="Times New Roman" w:hAnsi="Times New Roman" w:cs="Times New Roman"/>
          <w:sz w:val="26"/>
          <w:szCs w:val="26"/>
          <w:lang w:val="es-ES" w:eastAsia="es-ES"/>
        </w:rPr>
      </w:pPr>
    </w:p>
    <w:p w14:paraId="0DE90B0C"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este caso, el máster Juan Carlos Pérez Murillo, Jefe de la Defensa Pública, comunicó al Subproceso de Modernización Institucional que la plaza de persona Técnica Jurídica 102154 al día de hoy vacante, que estaba dada en condición de propiedad destacada en la Defensa Pública del Tercer Circuito Judicial de San José, presentó su renuncia al Poder Judicial, por lo cual, la Jefatura de la Defensa Pública tomó la decisión de trasladar dicha plaza a la Defensa Pública de Santa Cruz debido a la necesidad de recurso identificada en dicha oficina, criterio que comparte la Dirección de Planificación producto del abordaje realizado en dicha oficina como parte del Proyecto de Mejora Integral del Proceso Penal, sin embargo, se identifica que en la oficina de Santa Cruz se dispone de una plaza de Técnico Jurídico de jornada de medio tiempo en condición de propiedad, la cual se pasaría con la propuesta a ser de tiempo completo y de esta forma se libera una plaza para que pueda ser recalificada, esto se encuentra en sintonía con el diagnóstico y propuestas de mejora presentadas de manera preliminar a esa oficina en abril de 2021.</w:t>
      </w:r>
    </w:p>
    <w:p w14:paraId="40598C8C"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4671B1BF"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 xml:space="preserve">Cuadro </w:t>
      </w:r>
      <w:r w:rsidRPr="002A7673">
        <w:rPr>
          <w:rFonts w:ascii="Times New Roman" w:hAnsi="Times New Roman" w:cs="Times New Roman"/>
          <w:b/>
          <w:bCs/>
          <w:sz w:val="26"/>
          <w:szCs w:val="26"/>
          <w:shd w:val="clear" w:color="auto" w:fill="FFFFFF"/>
        </w:rPr>
        <w:fldChar w:fldCharType="begin"/>
      </w:r>
      <w:r w:rsidRPr="002A7673">
        <w:rPr>
          <w:rFonts w:ascii="Times New Roman" w:hAnsi="Times New Roman" w:cs="Times New Roman"/>
          <w:b/>
          <w:bCs/>
          <w:sz w:val="26"/>
          <w:szCs w:val="26"/>
          <w:shd w:val="clear" w:color="auto" w:fill="FFFFFF"/>
        </w:rPr>
        <w:instrText xml:space="preserve"> SEQ Cuadro \* ARABIC </w:instrText>
      </w:r>
      <w:r w:rsidRPr="002A7673">
        <w:rPr>
          <w:rFonts w:ascii="Times New Roman" w:hAnsi="Times New Roman" w:cs="Times New Roman"/>
          <w:b/>
          <w:bCs/>
          <w:sz w:val="26"/>
          <w:szCs w:val="26"/>
          <w:shd w:val="clear" w:color="auto" w:fill="FFFFFF"/>
        </w:rPr>
        <w:fldChar w:fldCharType="separate"/>
      </w:r>
      <w:r w:rsidRPr="002A7673">
        <w:rPr>
          <w:rFonts w:ascii="Times New Roman" w:hAnsi="Times New Roman" w:cs="Times New Roman"/>
          <w:b/>
          <w:bCs/>
          <w:noProof/>
          <w:sz w:val="26"/>
          <w:szCs w:val="26"/>
          <w:shd w:val="clear" w:color="auto" w:fill="FFFFFF"/>
        </w:rPr>
        <w:t>3</w:t>
      </w:r>
      <w:r w:rsidRPr="002A7673">
        <w:rPr>
          <w:rFonts w:ascii="Times New Roman" w:hAnsi="Times New Roman" w:cs="Times New Roman"/>
          <w:b/>
          <w:bCs/>
          <w:sz w:val="26"/>
          <w:szCs w:val="26"/>
          <w:shd w:val="clear" w:color="auto" w:fill="FFFFFF"/>
        </w:rPr>
        <w:fldChar w:fldCharType="end"/>
      </w:r>
    </w:p>
    <w:p w14:paraId="12BCD2E4" w14:textId="77777777" w:rsidR="0085505C" w:rsidRPr="002A7673" w:rsidRDefault="0085505C" w:rsidP="0085505C">
      <w:pPr>
        <w:widowControl w:val="0"/>
        <w:spacing w:after="0" w:line="240" w:lineRule="auto"/>
        <w:ind w:left="851" w:right="851"/>
        <w:jc w:val="center"/>
        <w:rPr>
          <w:rFonts w:ascii="Times New Roman" w:hAnsi="Times New Roman" w:cs="Times New Roman"/>
          <w:b/>
          <w:bCs/>
          <w:shd w:val="clear" w:color="auto" w:fill="FFFFFF"/>
        </w:rPr>
      </w:pPr>
      <w:r w:rsidRPr="002A7673">
        <w:rPr>
          <w:rFonts w:ascii="Times New Roman" w:hAnsi="Times New Roman" w:cs="Times New Roman"/>
          <w:b/>
          <w:bCs/>
          <w:sz w:val="26"/>
          <w:szCs w:val="26"/>
          <w:shd w:val="clear" w:color="auto" w:fill="FFFFFF"/>
        </w:rPr>
        <w:t>Oficinas con plaza de persona Técnica Jurídica que se traslada a otra oficina</w:t>
      </w:r>
    </w:p>
    <w:p w14:paraId="70F33AE2" w14:textId="77777777" w:rsidR="0085505C" w:rsidRPr="002A7673" w:rsidRDefault="0085505C" w:rsidP="0085505C">
      <w:pPr>
        <w:widowControl w:val="0"/>
        <w:spacing w:after="0" w:line="240" w:lineRule="auto"/>
        <w:jc w:val="center"/>
        <w:rPr>
          <w:rFonts w:ascii="Times New Roman" w:hAnsi="Times New Roman" w:cs="Times New Roman"/>
          <w:b/>
          <w:bCs/>
          <w:shd w:val="clear" w:color="auto" w:fill="FFFFFF"/>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8"/>
        <w:gridCol w:w="1052"/>
        <w:gridCol w:w="740"/>
        <w:gridCol w:w="1018"/>
        <w:gridCol w:w="1118"/>
        <w:gridCol w:w="1488"/>
        <w:gridCol w:w="1040"/>
        <w:gridCol w:w="1185"/>
        <w:gridCol w:w="829"/>
      </w:tblGrid>
      <w:tr w:rsidR="0085505C" w:rsidRPr="002A7673" w14:paraId="6146894A" w14:textId="77777777" w:rsidTr="0048334E">
        <w:trPr>
          <w:trHeight w:val="585"/>
          <w:jc w:val="center"/>
        </w:trPr>
        <w:tc>
          <w:tcPr>
            <w:tcW w:w="816" w:type="pct"/>
            <w:shd w:val="clear" w:color="auto" w:fill="FFE699"/>
            <w:vAlign w:val="center"/>
            <w:hideMark/>
          </w:tcPr>
          <w:p w14:paraId="3E26E9EF"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xml:space="preserve">Oficina Destacada según Defensa </w:t>
            </w:r>
          </w:p>
        </w:tc>
        <w:tc>
          <w:tcPr>
            <w:tcW w:w="477" w:type="pct"/>
            <w:shd w:val="clear" w:color="auto" w:fill="FFE699"/>
            <w:vAlign w:val="center"/>
            <w:hideMark/>
          </w:tcPr>
          <w:p w14:paraId="75E95D26"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Clase</w:t>
            </w:r>
          </w:p>
        </w:tc>
        <w:tc>
          <w:tcPr>
            <w:tcW w:w="335" w:type="pct"/>
            <w:shd w:val="clear" w:color="auto" w:fill="FFE699"/>
            <w:vAlign w:val="center"/>
            <w:hideMark/>
          </w:tcPr>
          <w:p w14:paraId="14A76727"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Puesto</w:t>
            </w:r>
          </w:p>
        </w:tc>
        <w:tc>
          <w:tcPr>
            <w:tcW w:w="495" w:type="pct"/>
            <w:shd w:val="clear" w:color="auto" w:fill="FFE699"/>
            <w:vAlign w:val="center"/>
            <w:hideMark/>
          </w:tcPr>
          <w:p w14:paraId="752D0FD1"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Estado Puesto</w:t>
            </w:r>
          </w:p>
        </w:tc>
        <w:tc>
          <w:tcPr>
            <w:tcW w:w="510" w:type="pct"/>
            <w:shd w:val="clear" w:color="auto" w:fill="FFE699"/>
            <w:vAlign w:val="center"/>
            <w:hideMark/>
          </w:tcPr>
          <w:p w14:paraId="5CC4BE29"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Cédula Propietario</w:t>
            </w:r>
          </w:p>
        </w:tc>
        <w:tc>
          <w:tcPr>
            <w:tcW w:w="971" w:type="pct"/>
            <w:shd w:val="clear" w:color="auto" w:fill="FFE699"/>
            <w:vAlign w:val="center"/>
            <w:hideMark/>
          </w:tcPr>
          <w:p w14:paraId="02C000D7"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xml:space="preserve">Funcionario Propietario </w:t>
            </w:r>
          </w:p>
        </w:tc>
        <w:tc>
          <w:tcPr>
            <w:tcW w:w="458" w:type="pct"/>
            <w:shd w:val="clear" w:color="auto" w:fill="FFE699"/>
            <w:vAlign w:val="center"/>
            <w:hideMark/>
          </w:tcPr>
          <w:p w14:paraId="1AECF8B2"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Cédula Interino</w:t>
            </w:r>
          </w:p>
        </w:tc>
        <w:tc>
          <w:tcPr>
            <w:tcW w:w="558" w:type="pct"/>
            <w:shd w:val="clear" w:color="auto" w:fill="FFE699"/>
            <w:vAlign w:val="center"/>
            <w:hideMark/>
          </w:tcPr>
          <w:p w14:paraId="100D8E2D"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xml:space="preserve">Funcionario Interino </w:t>
            </w:r>
          </w:p>
        </w:tc>
        <w:tc>
          <w:tcPr>
            <w:tcW w:w="378" w:type="pct"/>
            <w:shd w:val="clear" w:color="auto" w:fill="FFE699"/>
            <w:vAlign w:val="center"/>
            <w:hideMark/>
          </w:tcPr>
          <w:p w14:paraId="7313FFBA"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Horario</w:t>
            </w:r>
          </w:p>
        </w:tc>
      </w:tr>
      <w:tr w:rsidR="0085505C" w:rsidRPr="002A7673" w14:paraId="010C8FE8" w14:textId="77777777" w:rsidTr="0048334E">
        <w:trPr>
          <w:trHeight w:val="540"/>
          <w:jc w:val="center"/>
        </w:trPr>
        <w:tc>
          <w:tcPr>
            <w:tcW w:w="816" w:type="pct"/>
            <w:vAlign w:val="center"/>
            <w:hideMark/>
          </w:tcPr>
          <w:p w14:paraId="6A0DCC7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III CIRCUITO JUDICIAL SAN JOSE</w:t>
            </w:r>
          </w:p>
        </w:tc>
        <w:tc>
          <w:tcPr>
            <w:tcW w:w="477" w:type="pct"/>
            <w:vAlign w:val="center"/>
            <w:hideMark/>
          </w:tcPr>
          <w:p w14:paraId="2E6B2491"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JURÍDICO</w:t>
            </w:r>
          </w:p>
        </w:tc>
        <w:tc>
          <w:tcPr>
            <w:tcW w:w="335" w:type="pct"/>
            <w:vAlign w:val="center"/>
            <w:hideMark/>
          </w:tcPr>
          <w:p w14:paraId="5F668EE3"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102154</w:t>
            </w:r>
          </w:p>
        </w:tc>
        <w:tc>
          <w:tcPr>
            <w:tcW w:w="495" w:type="pct"/>
            <w:vAlign w:val="center"/>
            <w:hideMark/>
          </w:tcPr>
          <w:p w14:paraId="7C848DDA"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Vacante</w:t>
            </w:r>
          </w:p>
        </w:tc>
        <w:tc>
          <w:tcPr>
            <w:tcW w:w="510" w:type="pct"/>
            <w:vAlign w:val="center"/>
            <w:hideMark/>
          </w:tcPr>
          <w:p w14:paraId="0442D9E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971" w:type="pct"/>
            <w:vAlign w:val="center"/>
            <w:hideMark/>
          </w:tcPr>
          <w:p w14:paraId="13AE80E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458" w:type="pct"/>
            <w:vAlign w:val="center"/>
            <w:hideMark/>
          </w:tcPr>
          <w:p w14:paraId="2894262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558" w:type="pct"/>
            <w:vAlign w:val="center"/>
            <w:hideMark/>
          </w:tcPr>
          <w:p w14:paraId="5687EF1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c>
          <w:tcPr>
            <w:tcW w:w="378" w:type="pct"/>
            <w:vAlign w:val="center"/>
            <w:hideMark/>
          </w:tcPr>
          <w:p w14:paraId="37EC588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w:t>
            </w:r>
          </w:p>
        </w:tc>
      </w:tr>
      <w:tr w:rsidR="0085505C" w:rsidRPr="002A7673" w14:paraId="54368499" w14:textId="77777777" w:rsidTr="0048334E">
        <w:trPr>
          <w:trHeight w:val="289"/>
          <w:jc w:val="center"/>
        </w:trPr>
        <w:tc>
          <w:tcPr>
            <w:tcW w:w="816" w:type="pct"/>
            <w:vAlign w:val="center"/>
            <w:hideMark/>
          </w:tcPr>
          <w:p w14:paraId="59F9637D"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 xml:space="preserve"> SANTA CRUZ</w:t>
            </w:r>
          </w:p>
        </w:tc>
        <w:tc>
          <w:tcPr>
            <w:tcW w:w="477" w:type="pct"/>
            <w:vAlign w:val="center"/>
            <w:hideMark/>
          </w:tcPr>
          <w:p w14:paraId="4F6A92B2"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TÉCNICO JURÍDICO</w:t>
            </w:r>
          </w:p>
        </w:tc>
        <w:tc>
          <w:tcPr>
            <w:tcW w:w="335" w:type="pct"/>
            <w:vAlign w:val="center"/>
            <w:hideMark/>
          </w:tcPr>
          <w:p w14:paraId="468A8544"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103256</w:t>
            </w:r>
          </w:p>
        </w:tc>
        <w:tc>
          <w:tcPr>
            <w:tcW w:w="495" w:type="pct"/>
            <w:vAlign w:val="center"/>
            <w:hideMark/>
          </w:tcPr>
          <w:p w14:paraId="4B2749E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Propietaria</w:t>
            </w:r>
          </w:p>
        </w:tc>
        <w:tc>
          <w:tcPr>
            <w:tcW w:w="510" w:type="pct"/>
            <w:vAlign w:val="center"/>
            <w:hideMark/>
          </w:tcPr>
          <w:p w14:paraId="3D4C338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109570335</w:t>
            </w:r>
          </w:p>
        </w:tc>
        <w:tc>
          <w:tcPr>
            <w:tcW w:w="971" w:type="pct"/>
            <w:vAlign w:val="center"/>
            <w:hideMark/>
          </w:tcPr>
          <w:p w14:paraId="2F62D7B5"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SUSAN DE LOS ANGELES HERRADORA CARBALLO</w:t>
            </w:r>
          </w:p>
        </w:tc>
        <w:tc>
          <w:tcPr>
            <w:tcW w:w="458" w:type="pct"/>
            <w:vAlign w:val="center"/>
            <w:hideMark/>
          </w:tcPr>
          <w:p w14:paraId="7DF9FDA9"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115410606</w:t>
            </w:r>
          </w:p>
        </w:tc>
        <w:tc>
          <w:tcPr>
            <w:tcW w:w="558" w:type="pct"/>
            <w:vAlign w:val="center"/>
            <w:hideMark/>
          </w:tcPr>
          <w:p w14:paraId="7A854476"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MARIA JOSE PIZARRO NAVARRO</w:t>
            </w:r>
          </w:p>
        </w:tc>
        <w:tc>
          <w:tcPr>
            <w:tcW w:w="378" w:type="pct"/>
            <w:vAlign w:val="center"/>
            <w:hideMark/>
          </w:tcPr>
          <w:p w14:paraId="65A05DA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4</w:t>
            </w:r>
          </w:p>
        </w:tc>
      </w:tr>
    </w:tbl>
    <w:p w14:paraId="4A89B7C0" w14:textId="77777777" w:rsidR="0085505C" w:rsidRPr="002A7673" w:rsidRDefault="0085505C" w:rsidP="0085505C">
      <w:pPr>
        <w:widowControl w:val="0"/>
        <w:spacing w:line="256" w:lineRule="auto"/>
        <w:rPr>
          <w:rFonts w:ascii="Times New Roman" w:hAnsi="Times New Roman" w:cs="Times New Roman"/>
          <w:sz w:val="18"/>
          <w:szCs w:val="18"/>
        </w:rPr>
      </w:pPr>
      <w:r w:rsidRPr="002A7673">
        <w:rPr>
          <w:rFonts w:ascii="Times New Roman" w:hAnsi="Times New Roman" w:cs="Times New Roman"/>
          <w:b/>
          <w:bCs/>
          <w:i/>
          <w:iCs/>
          <w:sz w:val="18"/>
          <w:szCs w:val="18"/>
        </w:rPr>
        <w:t>Fuente:</w:t>
      </w:r>
      <w:r w:rsidRPr="002A7673">
        <w:rPr>
          <w:rFonts w:ascii="Times New Roman" w:hAnsi="Times New Roman" w:cs="Times New Roman"/>
          <w:sz w:val="18"/>
          <w:szCs w:val="18"/>
        </w:rPr>
        <w:t xml:space="preserve"> Sub proceso de Modernización Institucional con base en reporte de plazas emitido por la Unidad de Nombramientos de la Defensa Pública. </w:t>
      </w:r>
    </w:p>
    <w:p w14:paraId="205B163F"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En este caso se plantea:</w:t>
      </w:r>
    </w:p>
    <w:p w14:paraId="61712C07"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4DB2EAC6" w14:textId="77777777" w:rsidR="0085505C" w:rsidRPr="002A7673" w:rsidRDefault="0085505C" w:rsidP="00FF3FAC">
      <w:pPr>
        <w:widowControl w:val="0"/>
        <w:numPr>
          <w:ilvl w:val="0"/>
          <w:numId w:val="83"/>
        </w:numPr>
        <w:autoSpaceDE w:val="0"/>
        <w:autoSpaceDN w:val="0"/>
        <w:adjustRightInd w:val="0"/>
        <w:spacing w:after="0" w:line="240" w:lineRule="auto"/>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Solicitar criterio a la Jefatura de la Defensa Pública para que, la plaza de medio tiempo que está dada en propiedad (103256 </w:t>
      </w:r>
      <w:proofErr w:type="gramStart"/>
      <w:r w:rsidRPr="002A7673">
        <w:rPr>
          <w:rFonts w:ascii="Times New Roman" w:eastAsia="Times New Roman" w:hAnsi="Times New Roman" w:cs="Times New Roman"/>
          <w:sz w:val="26"/>
          <w:szCs w:val="26"/>
          <w:lang w:val="es-ES" w:eastAsia="es-ES"/>
        </w:rPr>
        <w:t>al día de hoy</w:t>
      </w:r>
      <w:proofErr w:type="gramEnd"/>
      <w:r w:rsidRPr="002A7673">
        <w:rPr>
          <w:rFonts w:ascii="Times New Roman" w:eastAsia="Times New Roman" w:hAnsi="Times New Roman" w:cs="Times New Roman"/>
          <w:sz w:val="26"/>
          <w:szCs w:val="26"/>
          <w:lang w:val="es-ES" w:eastAsia="es-ES"/>
        </w:rPr>
        <w:t xml:space="preserve"> vacante) sea ajustada su jornada laboral a tiempo completo, de manera que se puedan solventar las necesidades de recurso Técnico Jurídico identificadas </w:t>
      </w:r>
      <w:r w:rsidRPr="002A7673">
        <w:rPr>
          <w:rFonts w:ascii="Times New Roman" w:eastAsia="Times New Roman" w:hAnsi="Times New Roman" w:cs="Times New Roman"/>
          <w:sz w:val="26"/>
          <w:szCs w:val="26"/>
          <w:lang w:val="es-ES" w:eastAsia="es-ES"/>
        </w:rPr>
        <w:lastRenderedPageBreak/>
        <w:t>en dicha oficina. De esta manera se podría disponer de la plaza 102154 que está quedando vacante para recalificarla a plaza de Defensora o Defensor Público adscrita a la Jefatura de la Defensa Pública y así reforzar las necesidades actuales de dicho recurso dentro de la Defensa Pública.</w:t>
      </w:r>
    </w:p>
    <w:p w14:paraId="63E58CC9"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7856F992"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Al respecto, la Dirección de la Defensa Pública, mediante oficio </w:t>
      </w:r>
      <w:r w:rsidRPr="002A7673">
        <w:rPr>
          <w:rFonts w:ascii="Times New Roman" w:hAnsi="Times New Roman" w:cs="Times New Roman"/>
          <w:sz w:val="26"/>
          <w:szCs w:val="26"/>
          <w:shd w:val="clear" w:color="auto" w:fill="FFFFFF"/>
        </w:rPr>
        <w:t xml:space="preserve">JEFDP-620-2021 el 20 de abril de 2021, suscrito por el </w:t>
      </w:r>
      <w:r w:rsidRPr="002A7673">
        <w:rPr>
          <w:rFonts w:ascii="Times New Roman" w:hAnsi="Times New Roman" w:cs="Times New Roman"/>
          <w:sz w:val="26"/>
          <w:szCs w:val="26"/>
        </w:rPr>
        <w:t xml:space="preserve">máster Juan Carlos Pérez Murillo, Director de la Defensa Pública, manifestó que </w:t>
      </w:r>
      <w:r w:rsidRPr="002A7673">
        <w:rPr>
          <w:rFonts w:ascii="Times New Roman" w:hAnsi="Times New Roman" w:cs="Times New Roman"/>
          <w:i/>
          <w:iCs/>
          <w:sz w:val="26"/>
          <w:szCs w:val="26"/>
        </w:rPr>
        <w:t>“está de acuerdo con la propuesta de que la plaza vacante 102154 sea recalificada a un puesto de persona defensora pública y la plaza 103256 destacada en la Defensa Pública de Santa Cruz, sea ajustada a tiempo completo, por cuanto dicha medida no genera afectación al buen servicio público ni a ninguna persona servidora”.</w:t>
      </w:r>
    </w:p>
    <w:p w14:paraId="3BB14E3A"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1C12C809"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Finalmente, con los escenarios y propuestas donde se analizó que se podría obtener recurso, se procedió a realizar una estimación de costos de lo que actualmente representan 12 plazas de Técnica o Técnico Jurídico versus el costo que representaría las recalificaciones propuestas.</w:t>
      </w:r>
    </w:p>
    <w:p w14:paraId="1790C741"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2838D51E"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 xml:space="preserve">Cuadro </w:t>
      </w:r>
      <w:r w:rsidRPr="002A7673">
        <w:rPr>
          <w:rFonts w:ascii="Times New Roman" w:hAnsi="Times New Roman" w:cs="Times New Roman"/>
          <w:b/>
          <w:bCs/>
          <w:sz w:val="26"/>
          <w:szCs w:val="26"/>
          <w:shd w:val="clear" w:color="auto" w:fill="FFFFFF"/>
        </w:rPr>
        <w:fldChar w:fldCharType="begin"/>
      </w:r>
      <w:r w:rsidRPr="002A7673">
        <w:rPr>
          <w:rFonts w:ascii="Times New Roman" w:hAnsi="Times New Roman" w:cs="Times New Roman"/>
          <w:b/>
          <w:bCs/>
          <w:sz w:val="26"/>
          <w:szCs w:val="26"/>
          <w:shd w:val="clear" w:color="auto" w:fill="FFFFFF"/>
        </w:rPr>
        <w:instrText xml:space="preserve"> SEQ Cuadro \* ARABIC </w:instrText>
      </w:r>
      <w:r w:rsidRPr="002A7673">
        <w:rPr>
          <w:rFonts w:ascii="Times New Roman" w:hAnsi="Times New Roman" w:cs="Times New Roman"/>
          <w:b/>
          <w:bCs/>
          <w:sz w:val="26"/>
          <w:szCs w:val="26"/>
          <w:shd w:val="clear" w:color="auto" w:fill="FFFFFF"/>
        </w:rPr>
        <w:fldChar w:fldCharType="separate"/>
      </w:r>
      <w:r w:rsidRPr="002A7673">
        <w:rPr>
          <w:rFonts w:ascii="Times New Roman" w:hAnsi="Times New Roman" w:cs="Times New Roman"/>
          <w:b/>
          <w:bCs/>
          <w:noProof/>
          <w:sz w:val="26"/>
          <w:szCs w:val="26"/>
          <w:shd w:val="clear" w:color="auto" w:fill="FFFFFF"/>
        </w:rPr>
        <w:t>4</w:t>
      </w:r>
      <w:r w:rsidRPr="002A7673">
        <w:rPr>
          <w:rFonts w:ascii="Times New Roman" w:hAnsi="Times New Roman" w:cs="Times New Roman"/>
          <w:b/>
          <w:bCs/>
          <w:sz w:val="26"/>
          <w:szCs w:val="26"/>
          <w:shd w:val="clear" w:color="auto" w:fill="FFFFFF"/>
        </w:rPr>
        <w:fldChar w:fldCharType="end"/>
      </w:r>
    </w:p>
    <w:p w14:paraId="2754A4D6"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Costo actual de 12 plazas de Técnica o Técnico Jurídico a medio tiempo</w:t>
      </w:r>
    </w:p>
    <w:p w14:paraId="75445D69" w14:textId="77777777" w:rsidR="0085505C" w:rsidRPr="002A7673" w:rsidRDefault="0085505C" w:rsidP="0085505C">
      <w:pPr>
        <w:widowControl w:val="0"/>
        <w:spacing w:after="0" w:line="240" w:lineRule="auto"/>
        <w:jc w:val="center"/>
        <w:rPr>
          <w:rFonts w:ascii="Times New Roman" w:hAnsi="Times New Roman" w:cs="Times New Roman"/>
          <w:b/>
          <w:bCs/>
          <w:shd w:val="clear" w:color="auto" w:fill="FFFFFF"/>
        </w:rPr>
      </w:pPr>
    </w:p>
    <w:tbl>
      <w:tblPr>
        <w:tblW w:w="9249" w:type="dxa"/>
        <w:jc w:val="center"/>
        <w:tblCellMar>
          <w:left w:w="70" w:type="dxa"/>
          <w:right w:w="70" w:type="dxa"/>
        </w:tblCellMar>
        <w:tblLook w:val="04A0" w:firstRow="1" w:lastRow="0" w:firstColumn="1" w:lastColumn="0" w:noHBand="0" w:noVBand="1"/>
      </w:tblPr>
      <w:tblGrid>
        <w:gridCol w:w="2702"/>
        <w:gridCol w:w="1419"/>
        <w:gridCol w:w="2564"/>
        <w:gridCol w:w="2564"/>
      </w:tblGrid>
      <w:tr w:rsidR="0085505C" w:rsidRPr="002A7673" w14:paraId="582EF103" w14:textId="77777777" w:rsidTr="0048334E">
        <w:trPr>
          <w:trHeight w:val="208"/>
          <w:jc w:val="center"/>
        </w:trPr>
        <w:tc>
          <w:tcPr>
            <w:tcW w:w="2702"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5AC083C6"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Tipo de puesto</w:t>
            </w:r>
          </w:p>
        </w:tc>
        <w:tc>
          <w:tcPr>
            <w:tcW w:w="1419" w:type="dxa"/>
            <w:tcBorders>
              <w:top w:val="single" w:sz="4" w:space="0" w:color="auto"/>
              <w:left w:val="nil"/>
              <w:bottom w:val="single" w:sz="4" w:space="0" w:color="auto"/>
              <w:right w:val="single" w:sz="4" w:space="0" w:color="auto"/>
            </w:tcBorders>
            <w:shd w:val="clear" w:color="auto" w:fill="C6E0B4"/>
            <w:noWrap/>
            <w:vAlign w:val="bottom"/>
            <w:hideMark/>
          </w:tcPr>
          <w:p w14:paraId="268C1BDF"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Cantidad</w:t>
            </w:r>
          </w:p>
        </w:tc>
        <w:tc>
          <w:tcPr>
            <w:tcW w:w="2564" w:type="dxa"/>
            <w:tcBorders>
              <w:top w:val="single" w:sz="4" w:space="0" w:color="auto"/>
              <w:left w:val="nil"/>
              <w:bottom w:val="single" w:sz="4" w:space="0" w:color="auto"/>
              <w:right w:val="single" w:sz="4" w:space="0" w:color="auto"/>
            </w:tcBorders>
            <w:shd w:val="clear" w:color="auto" w:fill="C6E0B4"/>
            <w:noWrap/>
            <w:vAlign w:val="bottom"/>
            <w:hideMark/>
          </w:tcPr>
          <w:p w14:paraId="681604CA"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Costo Anual</w:t>
            </w:r>
          </w:p>
        </w:tc>
        <w:tc>
          <w:tcPr>
            <w:tcW w:w="2564" w:type="dxa"/>
            <w:tcBorders>
              <w:top w:val="single" w:sz="4" w:space="0" w:color="auto"/>
              <w:left w:val="nil"/>
              <w:bottom w:val="single" w:sz="4" w:space="0" w:color="auto"/>
              <w:right w:val="single" w:sz="4" w:space="0" w:color="auto"/>
            </w:tcBorders>
            <w:shd w:val="clear" w:color="auto" w:fill="C6E0B4"/>
            <w:noWrap/>
            <w:vAlign w:val="bottom"/>
            <w:hideMark/>
          </w:tcPr>
          <w:p w14:paraId="2FC29DDD"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Costo Total Anual</w:t>
            </w:r>
          </w:p>
        </w:tc>
      </w:tr>
      <w:tr w:rsidR="0085505C" w:rsidRPr="002A7673" w14:paraId="1B914EBF" w14:textId="77777777" w:rsidTr="0048334E">
        <w:trPr>
          <w:trHeight w:val="70"/>
          <w:jc w:val="center"/>
        </w:trPr>
        <w:tc>
          <w:tcPr>
            <w:tcW w:w="2702" w:type="dxa"/>
            <w:tcBorders>
              <w:top w:val="nil"/>
              <w:left w:val="single" w:sz="4" w:space="0" w:color="auto"/>
              <w:bottom w:val="single" w:sz="4" w:space="0" w:color="auto"/>
              <w:right w:val="single" w:sz="4" w:space="0" w:color="auto"/>
            </w:tcBorders>
            <w:noWrap/>
            <w:vAlign w:val="bottom"/>
            <w:hideMark/>
          </w:tcPr>
          <w:p w14:paraId="1BE0F61B"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Técnico Jurídico</w:t>
            </w:r>
          </w:p>
        </w:tc>
        <w:tc>
          <w:tcPr>
            <w:tcW w:w="1419" w:type="dxa"/>
            <w:tcBorders>
              <w:top w:val="nil"/>
              <w:left w:val="nil"/>
              <w:bottom w:val="single" w:sz="4" w:space="0" w:color="auto"/>
              <w:right w:val="single" w:sz="4" w:space="0" w:color="auto"/>
            </w:tcBorders>
            <w:noWrap/>
            <w:vAlign w:val="bottom"/>
            <w:hideMark/>
          </w:tcPr>
          <w:p w14:paraId="204E2082"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xml:space="preserve">6 </w:t>
            </w:r>
            <w:r w:rsidRPr="002A7673">
              <w:rPr>
                <w:rFonts w:ascii="Times New Roman" w:hAnsi="Times New Roman" w:cs="Times New Roman"/>
                <w:sz w:val="20"/>
                <w:szCs w:val="20"/>
                <w:vertAlign w:val="superscript"/>
                <w:lang w:eastAsia="es-CR"/>
              </w:rPr>
              <w:footnoteReference w:id="9"/>
            </w:r>
          </w:p>
        </w:tc>
        <w:tc>
          <w:tcPr>
            <w:tcW w:w="2564" w:type="dxa"/>
            <w:tcBorders>
              <w:top w:val="nil"/>
              <w:left w:val="nil"/>
              <w:bottom w:val="single" w:sz="4" w:space="0" w:color="auto"/>
              <w:right w:val="single" w:sz="4" w:space="0" w:color="auto"/>
            </w:tcBorders>
            <w:noWrap/>
            <w:vAlign w:val="bottom"/>
            <w:hideMark/>
          </w:tcPr>
          <w:p w14:paraId="7041E5A1"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sz w:val="20"/>
                <w:szCs w:val="20"/>
                <w:lang w:eastAsia="es-CR"/>
              </w:rPr>
            </w:pPr>
            <w:r w:rsidRPr="002A7673">
              <w:rPr>
                <w:rFonts w:ascii="Times New Roman" w:hAnsi="Times New Roman" w:cs="Times New Roman"/>
                <w:sz w:val="20"/>
                <w:szCs w:val="20"/>
                <w:lang w:eastAsia="es-CR"/>
              </w:rPr>
              <w:t xml:space="preserve"> ₡              16.405.000,00 </w:t>
            </w:r>
          </w:p>
        </w:tc>
        <w:tc>
          <w:tcPr>
            <w:tcW w:w="2564" w:type="dxa"/>
            <w:tcBorders>
              <w:top w:val="nil"/>
              <w:left w:val="nil"/>
              <w:bottom w:val="single" w:sz="4" w:space="0" w:color="auto"/>
              <w:right w:val="single" w:sz="4" w:space="0" w:color="auto"/>
            </w:tcBorders>
            <w:noWrap/>
            <w:vAlign w:val="bottom"/>
            <w:hideMark/>
          </w:tcPr>
          <w:p w14:paraId="2B13397E"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bCs/>
                <w:sz w:val="20"/>
                <w:szCs w:val="20"/>
                <w:lang w:eastAsia="es-CR"/>
              </w:rPr>
            </w:pPr>
            <w:r w:rsidRPr="002A7673">
              <w:rPr>
                <w:rFonts w:ascii="Times New Roman" w:hAnsi="Times New Roman" w:cs="Times New Roman"/>
                <w:b/>
                <w:bCs/>
                <w:sz w:val="20"/>
                <w:szCs w:val="20"/>
                <w:lang w:eastAsia="es-CR"/>
              </w:rPr>
              <w:t xml:space="preserve"> ₡        </w:t>
            </w:r>
            <w:r w:rsidRPr="002A7673">
              <w:rPr>
                <w:rFonts w:ascii="Times New Roman" w:hAnsi="Times New Roman" w:cs="Times New Roman"/>
                <w:sz w:val="20"/>
                <w:szCs w:val="20"/>
                <w:lang w:eastAsia="es-CR"/>
              </w:rPr>
              <w:t>98.430.000,00</w:t>
            </w:r>
            <w:r w:rsidRPr="002A7673">
              <w:rPr>
                <w:rFonts w:ascii="Times New Roman" w:hAnsi="Times New Roman" w:cs="Times New Roman"/>
                <w:b/>
                <w:bCs/>
                <w:sz w:val="20"/>
                <w:szCs w:val="20"/>
                <w:lang w:eastAsia="es-CR"/>
              </w:rPr>
              <w:t xml:space="preserve"> </w:t>
            </w:r>
          </w:p>
        </w:tc>
      </w:tr>
    </w:tbl>
    <w:p w14:paraId="3086C32A" w14:textId="77777777" w:rsidR="0085505C" w:rsidRPr="002A7673" w:rsidRDefault="0085505C" w:rsidP="0085505C">
      <w:pPr>
        <w:widowControl w:val="0"/>
        <w:spacing w:after="0" w:line="240" w:lineRule="auto"/>
        <w:jc w:val="both"/>
        <w:rPr>
          <w:rFonts w:ascii="Times New Roman" w:hAnsi="Times New Roman" w:cs="Times New Roman"/>
          <w:sz w:val="18"/>
          <w:szCs w:val="18"/>
          <w:shd w:val="clear" w:color="auto" w:fill="FFFFFF"/>
        </w:rPr>
      </w:pPr>
      <w:r w:rsidRPr="002A7673">
        <w:rPr>
          <w:rFonts w:ascii="Times New Roman" w:hAnsi="Times New Roman" w:cs="Times New Roman"/>
          <w:b/>
          <w:bCs/>
          <w:i/>
          <w:iCs/>
          <w:sz w:val="18"/>
          <w:szCs w:val="18"/>
        </w:rPr>
        <w:t>Fuente:</w:t>
      </w:r>
      <w:r w:rsidRPr="002A7673">
        <w:rPr>
          <w:rFonts w:ascii="Times New Roman" w:hAnsi="Times New Roman" w:cs="Times New Roman"/>
          <w:sz w:val="18"/>
          <w:szCs w:val="18"/>
        </w:rPr>
        <w:t xml:space="preserve"> Subproceso de Modernización Institucional </w:t>
      </w:r>
      <w:r w:rsidRPr="002A7673">
        <w:rPr>
          <w:rFonts w:ascii="Times New Roman" w:hAnsi="Times New Roman" w:cs="Times New Roman"/>
          <w:sz w:val="18"/>
          <w:szCs w:val="18"/>
          <w:shd w:val="clear" w:color="auto" w:fill="FFFFFF"/>
        </w:rPr>
        <w:t>con información suministrada por el Subproceso de Formulación de Presupuesto y Portafolio de Proyectos. Costos estimados periodo 2022.</w:t>
      </w:r>
    </w:p>
    <w:p w14:paraId="3CF9EA90" w14:textId="77777777" w:rsidR="0085505C" w:rsidRPr="002A7673" w:rsidRDefault="0085505C" w:rsidP="0085505C">
      <w:pPr>
        <w:widowControl w:val="0"/>
        <w:spacing w:after="0" w:line="240" w:lineRule="auto"/>
        <w:jc w:val="both"/>
        <w:rPr>
          <w:rFonts w:ascii="Times New Roman" w:hAnsi="Times New Roman" w:cs="Times New Roman"/>
        </w:rPr>
      </w:pPr>
    </w:p>
    <w:p w14:paraId="5AA87B04"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Del cuadro anterior se puede ver que las 12 plazas de Técnica o Técnico Jurídico a medio tiempo que se están analizando modificar, tienen un costo anual actual de ₡98.430.000,00.</w:t>
      </w:r>
    </w:p>
    <w:p w14:paraId="0C842717"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44DC60A4"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Por su parte, en el siguiente cuadro se estiman los costos asociados a las modificaciones propuestas.</w:t>
      </w:r>
    </w:p>
    <w:p w14:paraId="557451C3"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6A718C0A"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 xml:space="preserve">Cuadro </w:t>
      </w:r>
      <w:r w:rsidRPr="002A7673">
        <w:rPr>
          <w:rFonts w:ascii="Times New Roman" w:hAnsi="Times New Roman" w:cs="Times New Roman"/>
          <w:b/>
          <w:bCs/>
          <w:sz w:val="26"/>
          <w:szCs w:val="26"/>
          <w:shd w:val="clear" w:color="auto" w:fill="FFFFFF"/>
        </w:rPr>
        <w:fldChar w:fldCharType="begin"/>
      </w:r>
      <w:r w:rsidRPr="002A7673">
        <w:rPr>
          <w:rFonts w:ascii="Times New Roman" w:hAnsi="Times New Roman" w:cs="Times New Roman"/>
          <w:b/>
          <w:bCs/>
          <w:sz w:val="26"/>
          <w:szCs w:val="26"/>
          <w:shd w:val="clear" w:color="auto" w:fill="FFFFFF"/>
        </w:rPr>
        <w:instrText xml:space="preserve"> SEQ Cuadro \* ARABIC </w:instrText>
      </w:r>
      <w:r w:rsidRPr="002A7673">
        <w:rPr>
          <w:rFonts w:ascii="Times New Roman" w:hAnsi="Times New Roman" w:cs="Times New Roman"/>
          <w:b/>
          <w:bCs/>
          <w:sz w:val="26"/>
          <w:szCs w:val="26"/>
          <w:shd w:val="clear" w:color="auto" w:fill="FFFFFF"/>
        </w:rPr>
        <w:fldChar w:fldCharType="separate"/>
      </w:r>
      <w:r w:rsidRPr="002A7673">
        <w:rPr>
          <w:rFonts w:ascii="Times New Roman" w:hAnsi="Times New Roman" w:cs="Times New Roman"/>
          <w:b/>
          <w:bCs/>
          <w:noProof/>
          <w:sz w:val="26"/>
          <w:szCs w:val="26"/>
          <w:shd w:val="clear" w:color="auto" w:fill="FFFFFF"/>
        </w:rPr>
        <w:t>5</w:t>
      </w:r>
      <w:r w:rsidRPr="002A7673">
        <w:rPr>
          <w:rFonts w:ascii="Times New Roman" w:hAnsi="Times New Roman" w:cs="Times New Roman"/>
          <w:b/>
          <w:bCs/>
          <w:sz w:val="26"/>
          <w:szCs w:val="26"/>
          <w:shd w:val="clear" w:color="auto" w:fill="FFFFFF"/>
        </w:rPr>
        <w:fldChar w:fldCharType="end"/>
      </w:r>
    </w:p>
    <w:p w14:paraId="2116528C"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Costos estimados con las modificaciones propuestas de las 12 plazas</w:t>
      </w:r>
    </w:p>
    <w:p w14:paraId="70698273" w14:textId="77777777" w:rsidR="0085505C" w:rsidRPr="002A7673" w:rsidRDefault="0085505C" w:rsidP="0085505C">
      <w:pPr>
        <w:widowControl w:val="0"/>
        <w:spacing w:after="0" w:line="240" w:lineRule="auto"/>
        <w:ind w:left="851" w:right="851" w:firstLine="709"/>
        <w:jc w:val="center"/>
        <w:rPr>
          <w:rFonts w:ascii="Times New Roman" w:hAnsi="Times New Roman" w:cs="Times New Roman"/>
          <w:b/>
          <w:bCs/>
          <w:sz w:val="26"/>
          <w:szCs w:val="26"/>
          <w:shd w:val="clear" w:color="auto" w:fill="FFFFFF"/>
        </w:rPr>
      </w:pPr>
    </w:p>
    <w:tbl>
      <w:tblPr>
        <w:tblW w:w="9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20"/>
        <w:gridCol w:w="2320"/>
        <w:gridCol w:w="2320"/>
        <w:gridCol w:w="2320"/>
      </w:tblGrid>
      <w:tr w:rsidR="0085505C" w:rsidRPr="002A7673" w14:paraId="350D1D32" w14:textId="77777777" w:rsidTr="0048334E">
        <w:trPr>
          <w:trHeight w:val="315"/>
          <w:jc w:val="center"/>
        </w:trPr>
        <w:tc>
          <w:tcPr>
            <w:tcW w:w="2320" w:type="dxa"/>
            <w:shd w:val="clear" w:color="auto" w:fill="C6E0B4"/>
            <w:noWrap/>
            <w:vAlign w:val="center"/>
            <w:hideMark/>
          </w:tcPr>
          <w:p w14:paraId="1ABE5B75"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Tipo de puesto</w:t>
            </w:r>
          </w:p>
        </w:tc>
        <w:tc>
          <w:tcPr>
            <w:tcW w:w="2320" w:type="dxa"/>
            <w:shd w:val="clear" w:color="auto" w:fill="C6E0B4"/>
            <w:noWrap/>
            <w:vAlign w:val="center"/>
            <w:hideMark/>
          </w:tcPr>
          <w:p w14:paraId="13C75DB7"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Cantidad</w:t>
            </w:r>
          </w:p>
        </w:tc>
        <w:tc>
          <w:tcPr>
            <w:tcW w:w="2320" w:type="dxa"/>
            <w:shd w:val="clear" w:color="auto" w:fill="C6E0B4"/>
            <w:noWrap/>
            <w:vAlign w:val="center"/>
            <w:hideMark/>
          </w:tcPr>
          <w:p w14:paraId="6262F086"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Costo Anual</w:t>
            </w:r>
          </w:p>
        </w:tc>
        <w:tc>
          <w:tcPr>
            <w:tcW w:w="2320" w:type="dxa"/>
            <w:shd w:val="clear" w:color="auto" w:fill="C6E0B4"/>
            <w:noWrap/>
            <w:vAlign w:val="center"/>
            <w:hideMark/>
          </w:tcPr>
          <w:p w14:paraId="08B2239E"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Costo Total Anual</w:t>
            </w:r>
          </w:p>
        </w:tc>
      </w:tr>
      <w:tr w:rsidR="0085505C" w:rsidRPr="002A7673" w14:paraId="46A2FD9C" w14:textId="77777777" w:rsidTr="0048334E">
        <w:trPr>
          <w:trHeight w:val="345"/>
          <w:jc w:val="center"/>
        </w:trPr>
        <w:tc>
          <w:tcPr>
            <w:tcW w:w="2320" w:type="dxa"/>
            <w:noWrap/>
            <w:vAlign w:val="center"/>
            <w:hideMark/>
          </w:tcPr>
          <w:p w14:paraId="5325D4DD" w14:textId="77777777" w:rsidR="0085505C" w:rsidRPr="002A7673" w:rsidRDefault="0085505C" w:rsidP="0048334E">
            <w:pPr>
              <w:widowControl w:val="0"/>
              <w:autoSpaceDN w:val="0"/>
              <w:spacing w:after="0" w:line="256" w:lineRule="auto"/>
              <w:jc w:val="center"/>
              <w:rPr>
                <w:rFonts w:ascii="Times New Roman" w:hAnsi="Times New Roman" w:cs="Times New Roman"/>
                <w:color w:val="0563C1"/>
                <w:sz w:val="20"/>
                <w:szCs w:val="20"/>
                <w:u w:val="single"/>
                <w:lang w:eastAsia="es-CR"/>
              </w:rPr>
            </w:pPr>
            <w:r w:rsidRPr="002A7673">
              <w:rPr>
                <w:rFonts w:ascii="Times New Roman" w:hAnsi="Times New Roman" w:cs="Times New Roman"/>
                <w:color w:val="000000"/>
                <w:sz w:val="20"/>
                <w:szCs w:val="20"/>
                <w:lang w:eastAsia="es-CR"/>
              </w:rPr>
              <w:lastRenderedPageBreak/>
              <w:t>Técnico Jurídico</w:t>
            </w:r>
            <w:r w:rsidRPr="002A7673">
              <w:rPr>
                <w:rFonts w:ascii="Times New Roman" w:hAnsi="Times New Roman" w:cs="Times New Roman"/>
                <w:color w:val="000000"/>
                <w:sz w:val="20"/>
                <w:szCs w:val="20"/>
                <w:shd w:val="clear" w:color="auto" w:fill="FFFFFF"/>
                <w:vertAlign w:val="superscript"/>
                <w:lang w:eastAsia="es-CR"/>
              </w:rPr>
              <w:footnoteReference w:id="10"/>
            </w:r>
          </w:p>
        </w:tc>
        <w:tc>
          <w:tcPr>
            <w:tcW w:w="2320" w:type="dxa"/>
            <w:noWrap/>
            <w:vAlign w:val="center"/>
            <w:hideMark/>
          </w:tcPr>
          <w:p w14:paraId="6D6409FC"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w:t>
            </w:r>
          </w:p>
        </w:tc>
        <w:tc>
          <w:tcPr>
            <w:tcW w:w="2320" w:type="dxa"/>
            <w:noWrap/>
            <w:vAlign w:val="center"/>
            <w:hideMark/>
          </w:tcPr>
          <w:p w14:paraId="31DFF15F"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₡16.405.000,00</w:t>
            </w:r>
          </w:p>
        </w:tc>
        <w:tc>
          <w:tcPr>
            <w:tcW w:w="2320" w:type="dxa"/>
            <w:noWrap/>
            <w:vAlign w:val="center"/>
            <w:hideMark/>
          </w:tcPr>
          <w:p w14:paraId="773BA7D8"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₡98.430.000,00</w:t>
            </w:r>
          </w:p>
        </w:tc>
      </w:tr>
      <w:tr w:rsidR="0085505C" w:rsidRPr="002A7673" w14:paraId="1DCCA7D3" w14:textId="77777777" w:rsidTr="0048334E">
        <w:trPr>
          <w:trHeight w:val="345"/>
          <w:jc w:val="center"/>
        </w:trPr>
        <w:tc>
          <w:tcPr>
            <w:tcW w:w="2320" w:type="dxa"/>
            <w:noWrap/>
            <w:vAlign w:val="center"/>
            <w:hideMark/>
          </w:tcPr>
          <w:p w14:paraId="75E81220"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Persona Defensora</w:t>
            </w:r>
          </w:p>
        </w:tc>
        <w:tc>
          <w:tcPr>
            <w:tcW w:w="2320" w:type="dxa"/>
            <w:noWrap/>
            <w:vAlign w:val="center"/>
            <w:hideMark/>
          </w:tcPr>
          <w:p w14:paraId="630C4843"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6</w:t>
            </w:r>
          </w:p>
        </w:tc>
        <w:tc>
          <w:tcPr>
            <w:tcW w:w="2320" w:type="dxa"/>
            <w:noWrap/>
            <w:vAlign w:val="center"/>
            <w:hideMark/>
          </w:tcPr>
          <w:p w14:paraId="693D2F3E"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₡50.999.000,00</w:t>
            </w:r>
          </w:p>
        </w:tc>
        <w:tc>
          <w:tcPr>
            <w:tcW w:w="2320" w:type="dxa"/>
            <w:noWrap/>
            <w:vAlign w:val="center"/>
            <w:hideMark/>
          </w:tcPr>
          <w:p w14:paraId="6B4A55DB" w14:textId="77777777" w:rsidR="0085505C" w:rsidRPr="002A7673" w:rsidRDefault="0085505C" w:rsidP="0048334E">
            <w:pPr>
              <w:widowControl w:val="0"/>
              <w:autoSpaceDN w:val="0"/>
              <w:spacing w:after="0" w:line="256" w:lineRule="auto"/>
              <w:jc w:val="center"/>
              <w:rPr>
                <w:rFonts w:ascii="Times New Roman" w:hAnsi="Times New Roman" w:cs="Times New Roman"/>
                <w:color w:val="000000"/>
                <w:sz w:val="20"/>
                <w:szCs w:val="20"/>
                <w:lang w:eastAsia="es-CR"/>
              </w:rPr>
            </w:pPr>
            <w:r w:rsidRPr="002A7673">
              <w:rPr>
                <w:rFonts w:ascii="Times New Roman" w:hAnsi="Times New Roman" w:cs="Times New Roman"/>
                <w:color w:val="000000"/>
                <w:sz w:val="20"/>
                <w:szCs w:val="20"/>
                <w:lang w:eastAsia="es-CR"/>
              </w:rPr>
              <w:t>₡305.994.000,00</w:t>
            </w:r>
          </w:p>
        </w:tc>
      </w:tr>
      <w:tr w:rsidR="0085505C" w:rsidRPr="002A7673" w14:paraId="06FD5690" w14:textId="77777777" w:rsidTr="0048334E">
        <w:trPr>
          <w:trHeight w:val="315"/>
          <w:jc w:val="center"/>
        </w:trPr>
        <w:tc>
          <w:tcPr>
            <w:tcW w:w="2320" w:type="dxa"/>
            <w:noWrap/>
            <w:vAlign w:val="center"/>
            <w:hideMark/>
          </w:tcPr>
          <w:p w14:paraId="4F4F0778"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TOTAL</w:t>
            </w:r>
          </w:p>
        </w:tc>
        <w:tc>
          <w:tcPr>
            <w:tcW w:w="2320" w:type="dxa"/>
            <w:noWrap/>
            <w:vAlign w:val="center"/>
            <w:hideMark/>
          </w:tcPr>
          <w:p w14:paraId="25DE5AD1"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12</w:t>
            </w:r>
          </w:p>
        </w:tc>
        <w:tc>
          <w:tcPr>
            <w:tcW w:w="2320" w:type="dxa"/>
            <w:noWrap/>
            <w:vAlign w:val="center"/>
            <w:hideMark/>
          </w:tcPr>
          <w:p w14:paraId="5E4EBDB2"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 </w:t>
            </w:r>
          </w:p>
        </w:tc>
        <w:tc>
          <w:tcPr>
            <w:tcW w:w="2320" w:type="dxa"/>
            <w:noWrap/>
            <w:vAlign w:val="center"/>
            <w:hideMark/>
          </w:tcPr>
          <w:p w14:paraId="0DD0313B" w14:textId="77777777" w:rsidR="0085505C" w:rsidRPr="002A7673" w:rsidRDefault="0085505C" w:rsidP="0048334E">
            <w:pPr>
              <w:widowControl w:val="0"/>
              <w:autoSpaceDN w:val="0"/>
              <w:spacing w:after="0" w:line="256" w:lineRule="auto"/>
              <w:jc w:val="center"/>
              <w:rPr>
                <w:rFonts w:ascii="Times New Roman" w:hAnsi="Times New Roman" w:cs="Times New Roman"/>
                <w:b/>
                <w:bCs/>
                <w:color w:val="000000"/>
                <w:sz w:val="20"/>
                <w:szCs w:val="20"/>
                <w:lang w:eastAsia="es-CR"/>
              </w:rPr>
            </w:pPr>
            <w:r w:rsidRPr="002A7673">
              <w:rPr>
                <w:rFonts w:ascii="Times New Roman" w:hAnsi="Times New Roman" w:cs="Times New Roman"/>
                <w:b/>
                <w:bCs/>
                <w:color w:val="000000"/>
                <w:sz w:val="20"/>
                <w:szCs w:val="20"/>
                <w:lang w:eastAsia="es-CR"/>
              </w:rPr>
              <w:t>₡404.424.000,00</w:t>
            </w:r>
          </w:p>
        </w:tc>
      </w:tr>
    </w:tbl>
    <w:p w14:paraId="3FEE99A5" w14:textId="77777777" w:rsidR="0085505C" w:rsidRPr="002A7673" w:rsidRDefault="0085505C" w:rsidP="0085505C">
      <w:pPr>
        <w:widowControl w:val="0"/>
        <w:spacing w:after="0" w:line="240" w:lineRule="auto"/>
        <w:jc w:val="both"/>
        <w:rPr>
          <w:rFonts w:ascii="Times New Roman" w:hAnsi="Times New Roman" w:cs="Times New Roman"/>
          <w:sz w:val="18"/>
          <w:szCs w:val="18"/>
          <w:shd w:val="clear" w:color="auto" w:fill="FFFFFF"/>
        </w:rPr>
      </w:pPr>
      <w:r w:rsidRPr="002A7673">
        <w:rPr>
          <w:rFonts w:ascii="Times New Roman" w:hAnsi="Times New Roman" w:cs="Times New Roman"/>
          <w:b/>
          <w:bCs/>
          <w:i/>
          <w:iCs/>
          <w:sz w:val="18"/>
          <w:szCs w:val="18"/>
        </w:rPr>
        <w:t>Fuente:</w:t>
      </w:r>
      <w:r w:rsidRPr="002A7673">
        <w:rPr>
          <w:rFonts w:ascii="Times New Roman" w:hAnsi="Times New Roman" w:cs="Times New Roman"/>
          <w:sz w:val="18"/>
          <w:szCs w:val="18"/>
        </w:rPr>
        <w:t xml:space="preserve"> Subproceso de Modernización Institucional </w:t>
      </w:r>
      <w:r w:rsidRPr="002A7673">
        <w:rPr>
          <w:rFonts w:ascii="Times New Roman" w:hAnsi="Times New Roman" w:cs="Times New Roman"/>
          <w:sz w:val="18"/>
          <w:szCs w:val="18"/>
          <w:shd w:val="clear" w:color="auto" w:fill="FFFFFF"/>
        </w:rPr>
        <w:t>con información suministrada por el Subproceso de Formulación de Presupuesto y Portafolio de Proyectos. Costos estimados periodo 2022.</w:t>
      </w:r>
    </w:p>
    <w:p w14:paraId="3F8925C9" w14:textId="77777777" w:rsidR="0085505C" w:rsidRPr="002A7673" w:rsidRDefault="0085505C" w:rsidP="0085505C">
      <w:pPr>
        <w:widowControl w:val="0"/>
        <w:spacing w:after="0" w:line="240" w:lineRule="auto"/>
        <w:jc w:val="both"/>
        <w:rPr>
          <w:rFonts w:ascii="Times New Roman" w:hAnsi="Times New Roman" w:cs="Times New Roman"/>
        </w:rPr>
      </w:pPr>
    </w:p>
    <w:p w14:paraId="0B7B5781"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Los cambios propuestos implicarían un costo total anual de ₡404.424.000,00. Lo anterior quiere decir que existe una diferencia de ₡305.994.000,00 con respecto al costo actual de las 12 plazas. </w:t>
      </w:r>
    </w:p>
    <w:p w14:paraId="15D8AE48"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34A2BF66"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Lo expuesto, no modifica las estructuras tanto organizacionales ni funcionales, así como la carga de trabajo actual de las oficinas de la Defensa Pública. </w:t>
      </w:r>
    </w:p>
    <w:p w14:paraId="62956B38"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193F21E8"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26047D9A" w14:textId="77777777" w:rsidR="0085505C" w:rsidRPr="002A7673" w:rsidRDefault="0085505C" w:rsidP="00FF3FAC">
      <w:pPr>
        <w:widowControl w:val="0"/>
        <w:numPr>
          <w:ilvl w:val="0"/>
          <w:numId w:val="79"/>
        </w:numPr>
        <w:autoSpaceDE w:val="0"/>
        <w:autoSpaceDN w:val="0"/>
        <w:adjustRightInd w:val="0"/>
        <w:spacing w:after="0" w:line="240" w:lineRule="auto"/>
        <w:ind w:left="851" w:right="851" w:firstLine="709"/>
        <w:jc w:val="both"/>
        <w:rPr>
          <w:rFonts w:ascii="Times New Roman" w:hAnsi="Times New Roman" w:cs="Times New Roman"/>
          <w:b/>
          <w:sz w:val="26"/>
          <w:szCs w:val="26"/>
          <w:u w:val="single"/>
        </w:rPr>
      </w:pPr>
      <w:r w:rsidRPr="002A7673">
        <w:rPr>
          <w:rFonts w:ascii="Times New Roman" w:hAnsi="Times New Roman" w:cs="Times New Roman"/>
          <w:b/>
          <w:sz w:val="26"/>
          <w:szCs w:val="26"/>
          <w:u w:val="single"/>
        </w:rPr>
        <w:t>Atención de observaciones al informe preliminar 420-PLA-MI-2021</w:t>
      </w:r>
    </w:p>
    <w:p w14:paraId="155338E4"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b/>
          <w:sz w:val="26"/>
          <w:szCs w:val="26"/>
          <w:u w:val="single"/>
        </w:rPr>
      </w:pPr>
    </w:p>
    <w:p w14:paraId="34BA424B" w14:textId="77777777" w:rsidR="0085505C" w:rsidRPr="002A7673" w:rsidRDefault="0085505C" w:rsidP="00FF3FAC">
      <w:pPr>
        <w:widowControl w:val="0"/>
        <w:numPr>
          <w:ilvl w:val="0"/>
          <w:numId w:val="87"/>
        </w:num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2A7673">
        <w:rPr>
          <w:rFonts w:ascii="Times New Roman" w:hAnsi="Times New Roman" w:cs="Times New Roman"/>
          <w:b/>
          <w:bCs/>
          <w:i/>
          <w:iCs/>
          <w:sz w:val="26"/>
          <w:szCs w:val="26"/>
        </w:rPr>
        <w:t>Observaciones remitidas mediante oficio JEFDP-620-2021 el 20 de abril de 2021, suscrito por el máster Juan Carlos Pérez Murillo, Director de la Defensa Pública</w:t>
      </w:r>
    </w:p>
    <w:p w14:paraId="688E0B50"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b/>
          <w:bCs/>
          <w:i/>
          <w:iCs/>
          <w:color w:val="000099"/>
          <w:sz w:val="26"/>
          <w:szCs w:val="2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5204"/>
        <w:gridCol w:w="3917"/>
      </w:tblGrid>
      <w:tr w:rsidR="0085505C" w:rsidRPr="002A7673" w14:paraId="648F543F" w14:textId="77777777" w:rsidTr="0048334E">
        <w:trPr>
          <w:tblHeader/>
          <w:jc w:val="center"/>
        </w:trPr>
        <w:tc>
          <w:tcPr>
            <w:tcW w:w="278" w:type="pct"/>
            <w:tcBorders>
              <w:top w:val="single" w:sz="4" w:space="0" w:color="auto"/>
              <w:left w:val="single" w:sz="4" w:space="0" w:color="auto"/>
              <w:bottom w:val="single" w:sz="4" w:space="0" w:color="auto"/>
              <w:right w:val="single" w:sz="4" w:space="0" w:color="auto"/>
            </w:tcBorders>
            <w:shd w:val="clear" w:color="auto" w:fill="215868"/>
            <w:vAlign w:val="center"/>
            <w:hideMark/>
          </w:tcPr>
          <w:p w14:paraId="2C54F4A0"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color w:val="FFFFFF"/>
                <w:sz w:val="20"/>
                <w:szCs w:val="20"/>
              </w:rPr>
            </w:pPr>
            <w:r w:rsidRPr="002A7673">
              <w:rPr>
                <w:rFonts w:ascii="Times New Roman" w:hAnsi="Times New Roman" w:cs="Times New Roman"/>
                <w:b/>
                <w:color w:val="FFFFFF"/>
                <w:sz w:val="20"/>
                <w:szCs w:val="20"/>
              </w:rPr>
              <w:t>N°</w:t>
            </w:r>
          </w:p>
        </w:tc>
        <w:tc>
          <w:tcPr>
            <w:tcW w:w="2693" w:type="pct"/>
            <w:tcBorders>
              <w:top w:val="single" w:sz="4" w:space="0" w:color="auto"/>
              <w:left w:val="single" w:sz="4" w:space="0" w:color="auto"/>
              <w:bottom w:val="single" w:sz="4" w:space="0" w:color="auto"/>
              <w:right w:val="single" w:sz="4" w:space="0" w:color="auto"/>
            </w:tcBorders>
            <w:shd w:val="clear" w:color="auto" w:fill="215868"/>
            <w:vAlign w:val="center"/>
            <w:hideMark/>
          </w:tcPr>
          <w:p w14:paraId="52395B91" w14:textId="77777777" w:rsidR="0085505C" w:rsidRPr="002A7673" w:rsidRDefault="0085505C" w:rsidP="0048334E">
            <w:pPr>
              <w:widowControl w:val="0"/>
              <w:tabs>
                <w:tab w:val="left" w:pos="9639"/>
              </w:tabs>
              <w:autoSpaceDE w:val="0"/>
              <w:autoSpaceDN w:val="0"/>
              <w:adjustRightInd w:val="0"/>
              <w:spacing w:after="0" w:line="256" w:lineRule="auto"/>
              <w:ind w:left="9" w:right="42" w:hanging="9"/>
              <w:jc w:val="center"/>
              <w:rPr>
                <w:rFonts w:ascii="Times New Roman" w:hAnsi="Times New Roman" w:cs="Times New Roman"/>
                <w:b/>
                <w:bCs/>
                <w:i/>
                <w:color w:val="FFFFFF"/>
                <w:sz w:val="20"/>
                <w:szCs w:val="20"/>
              </w:rPr>
            </w:pPr>
            <w:r w:rsidRPr="002A7673">
              <w:rPr>
                <w:rFonts w:ascii="Times New Roman" w:hAnsi="Times New Roman" w:cs="Times New Roman"/>
                <w:b/>
                <w:bCs/>
                <w:i/>
                <w:color w:val="FFFFFF"/>
                <w:sz w:val="20"/>
                <w:szCs w:val="20"/>
              </w:rPr>
              <w:t>Observaciones remitidas por la Dirección de la Defensa Pública</w:t>
            </w:r>
          </w:p>
        </w:tc>
        <w:tc>
          <w:tcPr>
            <w:tcW w:w="2028" w:type="pct"/>
            <w:tcBorders>
              <w:top w:val="single" w:sz="4" w:space="0" w:color="auto"/>
              <w:left w:val="single" w:sz="4" w:space="0" w:color="auto"/>
              <w:bottom w:val="single" w:sz="4" w:space="0" w:color="auto"/>
              <w:right w:val="single" w:sz="4" w:space="0" w:color="auto"/>
            </w:tcBorders>
            <w:shd w:val="clear" w:color="auto" w:fill="215868"/>
            <w:hideMark/>
          </w:tcPr>
          <w:p w14:paraId="7D7AA16A" w14:textId="77777777" w:rsidR="0085505C" w:rsidRPr="002A7673" w:rsidRDefault="0085505C" w:rsidP="0048334E">
            <w:pPr>
              <w:widowControl w:val="0"/>
              <w:tabs>
                <w:tab w:val="left" w:pos="4992"/>
                <w:tab w:val="left" w:pos="9639"/>
              </w:tabs>
              <w:autoSpaceDE w:val="0"/>
              <w:autoSpaceDN w:val="0"/>
              <w:adjustRightInd w:val="0"/>
              <w:spacing w:after="0" w:line="256" w:lineRule="auto"/>
              <w:ind w:left="29" w:right="84"/>
              <w:jc w:val="center"/>
              <w:rPr>
                <w:rFonts w:ascii="Times New Roman" w:hAnsi="Times New Roman" w:cs="Times New Roman"/>
                <w:b/>
                <w:i/>
                <w:color w:val="FFFFFF"/>
                <w:sz w:val="20"/>
                <w:szCs w:val="20"/>
              </w:rPr>
            </w:pPr>
            <w:r w:rsidRPr="002A7673">
              <w:rPr>
                <w:rFonts w:ascii="Times New Roman" w:hAnsi="Times New Roman" w:cs="Times New Roman"/>
                <w:b/>
                <w:i/>
                <w:color w:val="FFFFFF"/>
                <w:sz w:val="20"/>
                <w:szCs w:val="20"/>
              </w:rPr>
              <w:t>Criterio de la Dirección de Planificación</w:t>
            </w:r>
          </w:p>
        </w:tc>
      </w:tr>
      <w:tr w:rsidR="0085505C" w:rsidRPr="002A7673" w14:paraId="16A2B767" w14:textId="77777777" w:rsidTr="0048334E">
        <w:trPr>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699FCEB9"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sz w:val="20"/>
                <w:szCs w:val="20"/>
              </w:rPr>
            </w:pPr>
            <w:r w:rsidRPr="002A7673">
              <w:rPr>
                <w:rFonts w:ascii="Times New Roman" w:hAnsi="Times New Roman" w:cs="Times New Roman"/>
                <w:b/>
                <w:sz w:val="20"/>
                <w:szCs w:val="20"/>
              </w:rPr>
              <w:t>1</w:t>
            </w:r>
          </w:p>
        </w:tc>
        <w:tc>
          <w:tcPr>
            <w:tcW w:w="2693" w:type="pct"/>
            <w:tcBorders>
              <w:top w:val="single" w:sz="4" w:space="0" w:color="auto"/>
              <w:left w:val="single" w:sz="4" w:space="0" w:color="auto"/>
              <w:bottom w:val="single" w:sz="4" w:space="0" w:color="auto"/>
              <w:right w:val="single" w:sz="4" w:space="0" w:color="auto"/>
            </w:tcBorders>
            <w:vAlign w:val="center"/>
          </w:tcPr>
          <w:p w14:paraId="32CA873E"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b/>
                <w:i/>
                <w:sz w:val="20"/>
                <w:szCs w:val="20"/>
              </w:rPr>
              <w:t>Apartado B</w:t>
            </w:r>
            <w:r w:rsidRPr="002A7673">
              <w:rPr>
                <w:rFonts w:ascii="Times New Roman" w:hAnsi="Times New Roman" w:cs="Times New Roman"/>
                <w:b/>
                <w:sz w:val="20"/>
                <w:szCs w:val="20"/>
              </w:rPr>
              <w:t xml:space="preserve">, a) Plazas que se podrán recalificar sin ninguna afectación al personal involucrado. </w:t>
            </w:r>
          </w:p>
          <w:p w14:paraId="1EB32EEA" w14:textId="77777777" w:rsidR="0085505C" w:rsidRPr="002A7673" w:rsidRDefault="0085505C" w:rsidP="0048334E">
            <w:pPr>
              <w:widowControl w:val="0"/>
              <w:spacing w:after="0" w:line="276" w:lineRule="auto"/>
              <w:jc w:val="both"/>
              <w:rPr>
                <w:rFonts w:ascii="Times New Roman" w:hAnsi="Times New Roman" w:cs="Times New Roman"/>
                <w:b/>
                <w:sz w:val="20"/>
                <w:szCs w:val="20"/>
              </w:rPr>
            </w:pPr>
          </w:p>
          <w:p w14:paraId="5B1B953B"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En cuanto a este escenario, que comprende el análisis de las plazas de medio tiempo de persona técnica jurídica, cuando una sola persona servidora se encuentra nombrada en dos medios tiempos, en los cuales uno de ellos se encuentra en condición de vacante, se informa que esta Dirección no tiene inconveniente con la recalificación de las plaza vacantes 102153, 24562, 54040, 33966 y 43126, al puesto de personas defensoras públicas y el ajuste de la jornada a tiempo completo de las plazas 47317, 33903, 33961, 43127, 92418.</w:t>
            </w:r>
          </w:p>
          <w:p w14:paraId="4C38EA8D" w14:textId="77777777" w:rsidR="0085505C" w:rsidRPr="002A7673" w:rsidRDefault="0085505C" w:rsidP="0048334E">
            <w:pPr>
              <w:widowControl w:val="0"/>
              <w:spacing w:after="0" w:line="276" w:lineRule="auto"/>
              <w:jc w:val="both"/>
              <w:rPr>
                <w:rFonts w:ascii="Times New Roman" w:hAnsi="Times New Roman" w:cs="Times New Roman"/>
                <w:sz w:val="20"/>
                <w:szCs w:val="20"/>
              </w:rPr>
            </w:pPr>
          </w:p>
          <w:p w14:paraId="3E8AEF33"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 xml:space="preserve">Esta propuesta, además de no implicar la afectación a la condición laboral de ninguna persona servidora, permitiría contar con cinco plazas de persona defensora pública para ser </w:t>
            </w:r>
            <w:r w:rsidRPr="002A7673">
              <w:rPr>
                <w:rFonts w:ascii="Times New Roman" w:hAnsi="Times New Roman" w:cs="Times New Roman"/>
                <w:b/>
                <w:sz w:val="20"/>
                <w:szCs w:val="20"/>
              </w:rPr>
              <w:t xml:space="preserve">destinadas de acuerdo con las necesidades institucionales. </w:t>
            </w:r>
          </w:p>
          <w:p w14:paraId="73075868" w14:textId="77777777" w:rsidR="0085505C" w:rsidRPr="002A7673" w:rsidRDefault="0085505C" w:rsidP="0048334E">
            <w:pPr>
              <w:widowControl w:val="0"/>
              <w:autoSpaceDE w:val="0"/>
              <w:autoSpaceDN w:val="0"/>
              <w:adjustRightInd w:val="0"/>
              <w:spacing w:after="0" w:line="256" w:lineRule="auto"/>
              <w:ind w:right="183"/>
              <w:rPr>
                <w:rFonts w:ascii="Times New Roman" w:hAnsi="Times New Roman" w:cs="Times New Roman"/>
                <w:i/>
                <w:sz w:val="20"/>
                <w:szCs w:val="20"/>
                <w:lang w:eastAsia="es-CR"/>
              </w:rPr>
            </w:pPr>
          </w:p>
        </w:tc>
        <w:tc>
          <w:tcPr>
            <w:tcW w:w="2028" w:type="pct"/>
            <w:tcBorders>
              <w:top w:val="single" w:sz="4" w:space="0" w:color="auto"/>
              <w:left w:val="single" w:sz="4" w:space="0" w:color="auto"/>
              <w:bottom w:val="single" w:sz="4" w:space="0" w:color="auto"/>
              <w:right w:val="single" w:sz="4" w:space="0" w:color="auto"/>
            </w:tcBorders>
            <w:vAlign w:val="center"/>
            <w:hideMark/>
          </w:tcPr>
          <w:p w14:paraId="7BD788A9"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lastRenderedPageBreak/>
              <w:t>Se toma nota de lo indicado por la Dirección de la Defensa Pública, en donde manifiesta estar de acuerdo con la propuesta de recalificación de las plazas vacantes 102153, 24562, 54040, 33966 y 43126, al puesto de personas defensoras públicas y el ajuste de la jornada a tiempo completo de las plazas 47317, 33903, 33961, 43127, 92418. No modifica el contenido del informe.</w:t>
            </w:r>
          </w:p>
        </w:tc>
      </w:tr>
      <w:tr w:rsidR="0085505C" w:rsidRPr="002A7673" w14:paraId="3B95060A" w14:textId="77777777" w:rsidTr="0048334E">
        <w:trPr>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7B62B591"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sz w:val="20"/>
                <w:szCs w:val="20"/>
              </w:rPr>
            </w:pPr>
            <w:r w:rsidRPr="002A7673">
              <w:rPr>
                <w:rFonts w:ascii="Times New Roman" w:hAnsi="Times New Roman" w:cs="Times New Roman"/>
                <w:b/>
                <w:sz w:val="20"/>
                <w:szCs w:val="20"/>
              </w:rPr>
              <w:t>2</w:t>
            </w:r>
          </w:p>
        </w:tc>
        <w:tc>
          <w:tcPr>
            <w:tcW w:w="2693" w:type="pct"/>
            <w:tcBorders>
              <w:top w:val="single" w:sz="4" w:space="0" w:color="auto"/>
              <w:left w:val="single" w:sz="4" w:space="0" w:color="auto"/>
              <w:bottom w:val="single" w:sz="4" w:space="0" w:color="auto"/>
              <w:right w:val="single" w:sz="4" w:space="0" w:color="auto"/>
            </w:tcBorders>
            <w:vAlign w:val="center"/>
          </w:tcPr>
          <w:p w14:paraId="14DC8300"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 xml:space="preserve">Ahora bien, en lo relativo a las aclaraciones realizadas, con respecto a los casos que se presentan en la Defensa Pública de Limón y la Administración de la Defensa Pública, en virtud de las condiciones de los puestos, por encontrarse una persona servidora en condición interina en cada una de esas plazas, se coincide con lo expuesto en el citado informe en el sentido de que en estos casos si existiría un perjuicio para la persona servidora nombrada en la citada condición, lo que imposibilita en esos casos aplicar algún cambio que permita la recalificación de una plaza. </w:t>
            </w:r>
          </w:p>
          <w:p w14:paraId="6A9A4C46" w14:textId="77777777" w:rsidR="0085505C" w:rsidRPr="002A7673" w:rsidRDefault="0085505C" w:rsidP="0048334E">
            <w:pPr>
              <w:widowControl w:val="0"/>
              <w:autoSpaceDE w:val="0"/>
              <w:autoSpaceDN w:val="0"/>
              <w:adjustRightInd w:val="0"/>
              <w:spacing w:after="0" w:line="276" w:lineRule="auto"/>
              <w:jc w:val="both"/>
              <w:rPr>
                <w:rFonts w:ascii="Times New Roman" w:hAnsi="Times New Roman" w:cs="Times New Roman"/>
                <w:b/>
                <w:i/>
                <w:sz w:val="20"/>
                <w:szCs w:val="20"/>
              </w:rPr>
            </w:pPr>
          </w:p>
        </w:tc>
        <w:tc>
          <w:tcPr>
            <w:tcW w:w="2028" w:type="pct"/>
            <w:tcBorders>
              <w:top w:val="single" w:sz="4" w:space="0" w:color="auto"/>
              <w:left w:val="single" w:sz="4" w:space="0" w:color="auto"/>
              <w:bottom w:val="single" w:sz="4" w:space="0" w:color="auto"/>
              <w:right w:val="single" w:sz="4" w:space="0" w:color="auto"/>
            </w:tcBorders>
            <w:vAlign w:val="center"/>
            <w:hideMark/>
          </w:tcPr>
          <w:p w14:paraId="3C6CF8E4"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t>Se toma nota, la observación es compartida con lo externado por la Dirección de Planificación. No modifica el contenido del informe y no existe afectación para las personas que actualmente se desempeñan en esos puestos.</w:t>
            </w:r>
          </w:p>
        </w:tc>
      </w:tr>
      <w:tr w:rsidR="0085505C" w:rsidRPr="002A7673" w14:paraId="4D28F524" w14:textId="77777777" w:rsidTr="0048334E">
        <w:trPr>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5F1584D9"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sz w:val="20"/>
                <w:szCs w:val="20"/>
              </w:rPr>
            </w:pPr>
            <w:r w:rsidRPr="002A7673">
              <w:rPr>
                <w:rFonts w:ascii="Times New Roman" w:hAnsi="Times New Roman" w:cs="Times New Roman"/>
                <w:b/>
                <w:sz w:val="20"/>
                <w:szCs w:val="20"/>
              </w:rPr>
              <w:t>3</w:t>
            </w:r>
          </w:p>
        </w:tc>
        <w:tc>
          <w:tcPr>
            <w:tcW w:w="2693" w:type="pct"/>
            <w:tcBorders>
              <w:top w:val="single" w:sz="4" w:space="0" w:color="auto"/>
              <w:left w:val="single" w:sz="4" w:space="0" w:color="auto"/>
              <w:bottom w:val="single" w:sz="4" w:space="0" w:color="auto"/>
              <w:right w:val="single" w:sz="4" w:space="0" w:color="auto"/>
            </w:tcBorders>
            <w:vAlign w:val="center"/>
          </w:tcPr>
          <w:p w14:paraId="57966327"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b/>
                <w:i/>
                <w:sz w:val="20"/>
                <w:szCs w:val="20"/>
              </w:rPr>
              <w:t>Punto</w:t>
            </w:r>
            <w:r w:rsidRPr="002A7673">
              <w:rPr>
                <w:rFonts w:ascii="Times New Roman" w:hAnsi="Times New Roman" w:cs="Times New Roman"/>
                <w:b/>
                <w:sz w:val="20"/>
                <w:szCs w:val="20"/>
              </w:rPr>
              <w:t xml:space="preserve"> b) Plazas que podrían recalificarse, sin embargo, implica alguna afectación hacia la servidora o servidor que ocupa actualmente la plaza vacante</w:t>
            </w:r>
          </w:p>
          <w:p w14:paraId="3F66C5B4" w14:textId="77777777" w:rsidR="0085505C" w:rsidRPr="002A7673" w:rsidRDefault="0085505C" w:rsidP="0048334E">
            <w:pPr>
              <w:widowControl w:val="0"/>
              <w:spacing w:after="0" w:line="276" w:lineRule="auto"/>
              <w:jc w:val="both"/>
              <w:rPr>
                <w:rFonts w:ascii="Times New Roman" w:hAnsi="Times New Roman" w:cs="Times New Roman"/>
                <w:b/>
                <w:sz w:val="20"/>
                <w:szCs w:val="20"/>
              </w:rPr>
            </w:pPr>
          </w:p>
          <w:p w14:paraId="64BB71DD"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 xml:space="preserve">En lo concerniente a la propuesta que involucra la posibilidad de recalificar 5 plazas de persona técnica jurídica a persona defensora pública, en los cuales se solicita criterio a la Defensa Pública, por cuanto cada medio tiempo de las oficinas de la Defensa Pública de Alajuela, Liberia, Desamparados, Puntarenas y Pavas, se encuentra ocupado por personas servidoras diferentes, debe aclararse que la misma, resulta de imposible aplicación, tal y como se indica en el mismo informe de la Dirección de Planificación en el punto a. </w:t>
            </w:r>
          </w:p>
          <w:p w14:paraId="060C2592" w14:textId="77777777" w:rsidR="0085505C" w:rsidRPr="002A7673" w:rsidRDefault="0085505C" w:rsidP="0048334E">
            <w:pPr>
              <w:widowControl w:val="0"/>
              <w:spacing w:after="0" w:line="276" w:lineRule="auto"/>
              <w:jc w:val="both"/>
              <w:rPr>
                <w:rFonts w:ascii="Times New Roman" w:hAnsi="Times New Roman" w:cs="Times New Roman"/>
                <w:sz w:val="20"/>
                <w:szCs w:val="20"/>
              </w:rPr>
            </w:pPr>
          </w:p>
          <w:p w14:paraId="1B0A164D"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 xml:space="preserve">Lo anterior, toda vez que disponer cualquier cambio en sentido contrario a la situación actual, afectaría el principio de estabilidad impropia que ampara a las personas servidoras interinas, sobre el cual la Sala Constitucional se ha pronunciado en reiteradas oportunidades. </w:t>
            </w:r>
          </w:p>
          <w:p w14:paraId="6D064DA7" w14:textId="77777777" w:rsidR="0085505C" w:rsidRPr="002A7673" w:rsidRDefault="0085505C" w:rsidP="0048334E">
            <w:pPr>
              <w:widowControl w:val="0"/>
              <w:spacing w:after="0" w:line="276" w:lineRule="auto"/>
              <w:jc w:val="both"/>
              <w:rPr>
                <w:rFonts w:ascii="Times New Roman" w:hAnsi="Times New Roman" w:cs="Times New Roman"/>
                <w:sz w:val="20"/>
                <w:szCs w:val="20"/>
              </w:rPr>
            </w:pPr>
          </w:p>
          <w:p w14:paraId="25DDFD06"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 xml:space="preserve">En caso de aprobarse esta medida, podrían generarse acciones de tipo legal (amparos, procesos laborales o incluso contenciosos administrativos) de las personas servidoras que actualmente ocupan estos puestos en contra de la Defensa Pública y el mismo Consejo Superior, toda vez que implicaría que 5 personas servidoras pierdan su nombramiento interino en la institución, algunos con muchos años de servicio, situación que considera esta Dirección debe analizarse. </w:t>
            </w:r>
          </w:p>
          <w:p w14:paraId="5040A4AC" w14:textId="77777777" w:rsidR="0085505C" w:rsidRPr="002A7673" w:rsidRDefault="0085505C" w:rsidP="0048334E">
            <w:pPr>
              <w:widowControl w:val="0"/>
              <w:autoSpaceDE w:val="0"/>
              <w:autoSpaceDN w:val="0"/>
              <w:adjustRightInd w:val="0"/>
              <w:spacing w:after="0" w:line="276" w:lineRule="auto"/>
              <w:jc w:val="both"/>
              <w:rPr>
                <w:rFonts w:ascii="Times New Roman" w:hAnsi="Times New Roman" w:cs="Times New Roman"/>
                <w:sz w:val="20"/>
                <w:szCs w:val="20"/>
              </w:rPr>
            </w:pPr>
          </w:p>
        </w:tc>
        <w:tc>
          <w:tcPr>
            <w:tcW w:w="2028" w:type="pct"/>
            <w:tcBorders>
              <w:top w:val="single" w:sz="4" w:space="0" w:color="auto"/>
              <w:left w:val="single" w:sz="4" w:space="0" w:color="auto"/>
              <w:bottom w:val="single" w:sz="4" w:space="0" w:color="auto"/>
              <w:right w:val="single" w:sz="4" w:space="0" w:color="auto"/>
            </w:tcBorders>
            <w:hideMark/>
          </w:tcPr>
          <w:p w14:paraId="5AFA3DFD"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t>De acuerdo con lo externado por la Dirección de la Defensa Pública, se modifican las recomendaciones efectuadas en lo relacionado a las plazas que podrían recalificarse pero que implicaría alguna afectación hacia la servidora o servidor que ocupa actualmente la plaza vacante, por lo cual se mantendrían las personas que actualmente ocupan esos puestos.</w:t>
            </w:r>
          </w:p>
        </w:tc>
      </w:tr>
      <w:tr w:rsidR="0085505C" w:rsidRPr="002A7673" w14:paraId="5AAE0413" w14:textId="77777777" w:rsidTr="0048334E">
        <w:trPr>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375144F0"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sz w:val="20"/>
                <w:szCs w:val="20"/>
              </w:rPr>
            </w:pPr>
            <w:r w:rsidRPr="002A7673">
              <w:rPr>
                <w:rFonts w:ascii="Times New Roman" w:hAnsi="Times New Roman" w:cs="Times New Roman"/>
                <w:b/>
                <w:sz w:val="20"/>
                <w:szCs w:val="20"/>
              </w:rPr>
              <w:t>4</w:t>
            </w:r>
          </w:p>
        </w:tc>
        <w:tc>
          <w:tcPr>
            <w:tcW w:w="2693" w:type="pct"/>
            <w:tcBorders>
              <w:top w:val="single" w:sz="4" w:space="0" w:color="auto"/>
              <w:left w:val="single" w:sz="4" w:space="0" w:color="auto"/>
              <w:bottom w:val="single" w:sz="4" w:space="0" w:color="auto"/>
              <w:right w:val="single" w:sz="4" w:space="0" w:color="auto"/>
            </w:tcBorders>
            <w:vAlign w:val="center"/>
          </w:tcPr>
          <w:p w14:paraId="43CE8361"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b/>
                <w:i/>
                <w:sz w:val="20"/>
                <w:szCs w:val="20"/>
              </w:rPr>
              <w:t xml:space="preserve">Punto </w:t>
            </w:r>
            <w:r w:rsidRPr="002A7673">
              <w:rPr>
                <w:rFonts w:ascii="Times New Roman" w:hAnsi="Times New Roman" w:cs="Times New Roman"/>
                <w:b/>
                <w:sz w:val="20"/>
                <w:szCs w:val="20"/>
              </w:rPr>
              <w:t xml:space="preserve">c) Plaza en propiedad que quedará vacante, la cual se encuentre adscrita a una oficina, pero se trasladará a </w:t>
            </w:r>
            <w:r w:rsidRPr="002A7673">
              <w:rPr>
                <w:rFonts w:ascii="Times New Roman" w:hAnsi="Times New Roman" w:cs="Times New Roman"/>
                <w:b/>
                <w:sz w:val="20"/>
                <w:szCs w:val="20"/>
              </w:rPr>
              <w:lastRenderedPageBreak/>
              <w:t xml:space="preserve">otra oficina donde existe una plaza en propiedad de medio tiempo. </w:t>
            </w:r>
          </w:p>
          <w:p w14:paraId="6492F20F" w14:textId="77777777" w:rsidR="0085505C" w:rsidRPr="002A7673" w:rsidRDefault="0085505C" w:rsidP="0048334E">
            <w:pPr>
              <w:widowControl w:val="0"/>
              <w:spacing w:after="0" w:line="276" w:lineRule="auto"/>
              <w:jc w:val="both"/>
              <w:rPr>
                <w:rFonts w:ascii="Times New Roman" w:hAnsi="Times New Roman" w:cs="Times New Roman"/>
                <w:b/>
                <w:sz w:val="20"/>
                <w:szCs w:val="20"/>
              </w:rPr>
            </w:pPr>
          </w:p>
          <w:p w14:paraId="745D10C6"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En cuanto a este apartado, no se tienen observaciones.</w:t>
            </w:r>
          </w:p>
          <w:p w14:paraId="31596847" w14:textId="77777777" w:rsidR="0085505C" w:rsidRPr="002A7673" w:rsidRDefault="0085505C" w:rsidP="0048334E">
            <w:pPr>
              <w:widowControl w:val="0"/>
              <w:spacing w:after="0" w:line="276" w:lineRule="auto"/>
              <w:jc w:val="both"/>
              <w:rPr>
                <w:rFonts w:ascii="Times New Roman" w:hAnsi="Times New Roman" w:cs="Times New Roman"/>
                <w:sz w:val="20"/>
                <w:szCs w:val="20"/>
              </w:rPr>
            </w:pPr>
          </w:p>
          <w:p w14:paraId="4E023872"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 xml:space="preserve">Esta Dirección, está de acuerdo con la propuesta de que la plaza vacante 102154 sea recalificada a un puesto de persona defensora pública y la plaza 103256 destacada en la Defensa Pública de Santa Cruz, sea ajustada a tiempo completo, por cuanto dicha medida no genera afectación al buen servicio público ni a ninguna persona servidora, con lo cual aumentaríamos a un </w:t>
            </w:r>
            <w:r w:rsidRPr="002A7673">
              <w:rPr>
                <w:rFonts w:ascii="Times New Roman" w:hAnsi="Times New Roman" w:cs="Times New Roman"/>
                <w:b/>
                <w:sz w:val="20"/>
                <w:szCs w:val="20"/>
              </w:rPr>
              <w:t>total de 6 plazas</w:t>
            </w:r>
            <w:r w:rsidRPr="002A7673">
              <w:rPr>
                <w:rFonts w:ascii="Times New Roman" w:hAnsi="Times New Roman" w:cs="Times New Roman"/>
                <w:sz w:val="20"/>
                <w:szCs w:val="20"/>
              </w:rPr>
              <w:t xml:space="preserve"> de persona defensora pública que se aluden en el escenario a. </w:t>
            </w:r>
          </w:p>
          <w:p w14:paraId="463C4049" w14:textId="77777777" w:rsidR="0085505C" w:rsidRPr="002A7673" w:rsidRDefault="0085505C" w:rsidP="0048334E">
            <w:pPr>
              <w:widowControl w:val="0"/>
              <w:autoSpaceDE w:val="0"/>
              <w:autoSpaceDN w:val="0"/>
              <w:adjustRightInd w:val="0"/>
              <w:spacing w:after="0" w:line="276" w:lineRule="auto"/>
              <w:jc w:val="both"/>
              <w:rPr>
                <w:rFonts w:ascii="Times New Roman" w:hAnsi="Times New Roman" w:cs="Times New Roman"/>
                <w:b/>
                <w:i/>
                <w:sz w:val="20"/>
                <w:szCs w:val="20"/>
              </w:rPr>
            </w:pPr>
          </w:p>
        </w:tc>
        <w:tc>
          <w:tcPr>
            <w:tcW w:w="2028" w:type="pct"/>
            <w:tcBorders>
              <w:top w:val="single" w:sz="4" w:space="0" w:color="auto"/>
              <w:left w:val="single" w:sz="4" w:space="0" w:color="auto"/>
              <w:bottom w:val="single" w:sz="4" w:space="0" w:color="auto"/>
              <w:right w:val="single" w:sz="4" w:space="0" w:color="auto"/>
            </w:tcBorders>
            <w:hideMark/>
          </w:tcPr>
          <w:p w14:paraId="107B0651"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lastRenderedPageBreak/>
              <w:t xml:space="preserve">Se toma nota de lo externado y la posibilidad de recalificación de </w:t>
            </w:r>
            <w:r w:rsidRPr="002A7673">
              <w:rPr>
                <w:rFonts w:ascii="Times New Roman" w:eastAsia="Times New Roman" w:hAnsi="Times New Roman" w:cs="Times New Roman"/>
                <w:sz w:val="24"/>
                <w:szCs w:val="24"/>
                <w:lang w:val="es-ES" w:eastAsia="es-ES"/>
              </w:rPr>
              <w:lastRenderedPageBreak/>
              <w:t>la plaza vacante 102154 a un puesto de persona defensora pública y la plaza 103256 destacada en la Defensa Pública de Santa Cruz, sea ajustada a tiempo completo, por cuanto dicha medida no genera afectación al buen servicio público ni a ninguna persona servidora.</w:t>
            </w:r>
          </w:p>
        </w:tc>
      </w:tr>
      <w:tr w:rsidR="0085505C" w:rsidRPr="002A7673" w14:paraId="58F813ED" w14:textId="77777777" w:rsidTr="0048334E">
        <w:trPr>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60DF4503"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sz w:val="20"/>
                <w:szCs w:val="20"/>
              </w:rPr>
            </w:pPr>
            <w:r w:rsidRPr="002A7673">
              <w:rPr>
                <w:rFonts w:ascii="Times New Roman" w:hAnsi="Times New Roman" w:cs="Times New Roman"/>
                <w:b/>
                <w:sz w:val="20"/>
                <w:szCs w:val="20"/>
              </w:rPr>
              <w:lastRenderedPageBreak/>
              <w:t>5</w:t>
            </w:r>
          </w:p>
        </w:tc>
        <w:tc>
          <w:tcPr>
            <w:tcW w:w="2693" w:type="pct"/>
            <w:tcBorders>
              <w:top w:val="single" w:sz="4" w:space="0" w:color="auto"/>
              <w:left w:val="single" w:sz="4" w:space="0" w:color="auto"/>
              <w:bottom w:val="single" w:sz="4" w:space="0" w:color="auto"/>
              <w:right w:val="single" w:sz="4" w:space="0" w:color="auto"/>
            </w:tcBorders>
            <w:vAlign w:val="center"/>
          </w:tcPr>
          <w:p w14:paraId="70676472"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 xml:space="preserve">Ahora bien, en lo que concierne a las </w:t>
            </w:r>
            <w:r w:rsidRPr="002A7673">
              <w:rPr>
                <w:rFonts w:ascii="Times New Roman" w:hAnsi="Times New Roman" w:cs="Times New Roman"/>
                <w:b/>
                <w:sz w:val="20"/>
                <w:szCs w:val="20"/>
                <w:u w:val="single"/>
              </w:rPr>
              <w:t>recomendaciones finales</w:t>
            </w:r>
            <w:r w:rsidRPr="002A7673">
              <w:rPr>
                <w:rFonts w:ascii="Times New Roman" w:hAnsi="Times New Roman" w:cs="Times New Roman"/>
                <w:sz w:val="20"/>
                <w:szCs w:val="20"/>
              </w:rPr>
              <w:t xml:space="preserve"> contenidas en el citado informe, se detallan las siguientes observaciones:</w:t>
            </w:r>
          </w:p>
          <w:p w14:paraId="498559E2" w14:textId="77777777" w:rsidR="0085505C" w:rsidRPr="002A7673" w:rsidRDefault="0085505C" w:rsidP="0048334E">
            <w:pPr>
              <w:widowControl w:val="0"/>
              <w:spacing w:after="0" w:line="276" w:lineRule="auto"/>
              <w:jc w:val="both"/>
              <w:rPr>
                <w:rFonts w:ascii="Times New Roman" w:hAnsi="Times New Roman" w:cs="Times New Roman"/>
                <w:sz w:val="20"/>
                <w:szCs w:val="20"/>
              </w:rPr>
            </w:pPr>
          </w:p>
          <w:p w14:paraId="1BD5FF4E" w14:textId="77777777" w:rsidR="0085505C" w:rsidRPr="002A7673" w:rsidRDefault="0085505C" w:rsidP="00FF3FAC">
            <w:pPr>
              <w:widowControl w:val="0"/>
              <w:numPr>
                <w:ilvl w:val="0"/>
                <w:numId w:val="89"/>
              </w:numPr>
              <w:tabs>
                <w:tab w:val="num" w:pos="0"/>
              </w:tabs>
              <w:autoSpaceDN w:val="0"/>
              <w:spacing w:after="0" w:line="276" w:lineRule="auto"/>
              <w:ind w:left="720" w:hanging="360"/>
              <w:jc w:val="both"/>
              <w:rPr>
                <w:rFonts w:ascii="Times New Roman" w:hAnsi="Times New Roman" w:cs="Times New Roman"/>
                <w:sz w:val="20"/>
                <w:szCs w:val="20"/>
              </w:rPr>
            </w:pPr>
            <w:r w:rsidRPr="002A7673">
              <w:rPr>
                <w:rFonts w:ascii="Times New Roman" w:hAnsi="Times New Roman" w:cs="Times New Roman"/>
                <w:sz w:val="20"/>
                <w:szCs w:val="20"/>
              </w:rPr>
              <w:t xml:space="preserve">Al indicarse dentro de las recomendaciones dirigidas al Consejo Superior, que las citadas plazas serán destinadas a la atención de las personas usuarias indígenas de las zonas de Buenos Aires, Turrialba, </w:t>
            </w:r>
            <w:proofErr w:type="spellStart"/>
            <w:r w:rsidRPr="002A7673">
              <w:rPr>
                <w:rFonts w:ascii="Times New Roman" w:hAnsi="Times New Roman" w:cs="Times New Roman"/>
                <w:sz w:val="20"/>
                <w:szCs w:val="20"/>
              </w:rPr>
              <w:t>Bribrí</w:t>
            </w:r>
            <w:proofErr w:type="spellEnd"/>
            <w:r w:rsidRPr="002A7673">
              <w:rPr>
                <w:rFonts w:ascii="Times New Roman" w:hAnsi="Times New Roman" w:cs="Times New Roman"/>
                <w:sz w:val="20"/>
                <w:szCs w:val="20"/>
              </w:rPr>
              <w:t>, en razón de la aprobación de la Ley 9593 de Acceso a la Justicia de los Pueblos Indígenas, además de las necesidades en pensiones alimentarias y familia, surgidas a partir de la aprobación del informe 34-PLA-EV-2017, resulta necesario indicar, que es criterio de esta Dirección que tal y como se indicó en el presente informe, los recursos para la atención a dicha población (33 en pensiones alimentarias y 2 en pueblos indígenas), habían sido aprobadas por la Corte Plena, en sesión 031-2020, con ocasión de los informes de la Dirección de Planificación 507-PLA-RH-MI-2020 y 34-PLA-EV-2017.</w:t>
            </w:r>
          </w:p>
          <w:p w14:paraId="7BB022C2"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p>
          <w:p w14:paraId="2F325AFF"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r w:rsidRPr="002A7673">
              <w:rPr>
                <w:rFonts w:ascii="Times New Roman" w:hAnsi="Times New Roman" w:cs="Times New Roman"/>
                <w:sz w:val="20"/>
                <w:szCs w:val="20"/>
              </w:rPr>
              <w:t xml:space="preserve">Aunado a lo anterior, debe contemplarse que en lo que corresponde a las estructuras mínimas requeridas en materia penal para los Tribunales de Juicio, dicha necesidad surge a partir del Proyecto de Rediseño de Procesos en materia penal, los cuales han venido funcionando gracias a los permisos con goce de salario y sustitución autorizados por el Consejo Superior, los cuales, en criterio de esta Dirección, </w:t>
            </w:r>
            <w:r w:rsidRPr="002A7673">
              <w:rPr>
                <w:rFonts w:ascii="Times New Roman" w:hAnsi="Times New Roman" w:cs="Times New Roman"/>
                <w:sz w:val="20"/>
                <w:szCs w:val="20"/>
              </w:rPr>
              <w:lastRenderedPageBreak/>
              <w:t xml:space="preserve">podrían seguir laborando de dicha manera. </w:t>
            </w:r>
          </w:p>
          <w:p w14:paraId="39D9BF7B"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p>
          <w:p w14:paraId="7193992A"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r w:rsidRPr="002A7673">
              <w:rPr>
                <w:rFonts w:ascii="Times New Roman" w:hAnsi="Times New Roman" w:cs="Times New Roman"/>
                <w:sz w:val="20"/>
                <w:szCs w:val="20"/>
              </w:rPr>
              <w:t xml:space="preserve">Por ello, se considera que los recursos obtenidos a partir del presente </w:t>
            </w:r>
            <w:proofErr w:type="gramStart"/>
            <w:r w:rsidRPr="002A7673">
              <w:rPr>
                <w:rFonts w:ascii="Times New Roman" w:hAnsi="Times New Roman" w:cs="Times New Roman"/>
                <w:sz w:val="20"/>
                <w:szCs w:val="20"/>
              </w:rPr>
              <w:t>informe,</w:t>
            </w:r>
            <w:proofErr w:type="gramEnd"/>
            <w:r w:rsidRPr="002A7673">
              <w:rPr>
                <w:rFonts w:ascii="Times New Roman" w:hAnsi="Times New Roman" w:cs="Times New Roman"/>
                <w:sz w:val="20"/>
                <w:szCs w:val="20"/>
              </w:rPr>
              <w:t xml:space="preserve"> no deberían únicamente ser destinados a las citadas materias, toda vez que los mismos ya fueron aprobados por las instancias correspondientes y sujetos a disponibilidad presupuestaria, sino más bien aprobarse de manera tal que la Dirección de la Defensa Pública pueda destinarlos y ubicarlos de acuerdo con las necesidades de la institución.</w:t>
            </w:r>
          </w:p>
          <w:p w14:paraId="4667C509"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p>
          <w:p w14:paraId="15FECFF3" w14:textId="77777777" w:rsidR="0085505C" w:rsidRPr="002A7673" w:rsidRDefault="0085505C" w:rsidP="00FF3FAC">
            <w:pPr>
              <w:widowControl w:val="0"/>
              <w:numPr>
                <w:ilvl w:val="0"/>
                <w:numId w:val="89"/>
              </w:numPr>
              <w:tabs>
                <w:tab w:val="num" w:pos="0"/>
              </w:tabs>
              <w:autoSpaceDN w:val="0"/>
              <w:spacing w:after="0" w:line="276" w:lineRule="auto"/>
              <w:ind w:left="720" w:hanging="360"/>
              <w:jc w:val="both"/>
              <w:rPr>
                <w:rFonts w:ascii="Times New Roman" w:hAnsi="Times New Roman" w:cs="Times New Roman"/>
                <w:sz w:val="20"/>
                <w:szCs w:val="20"/>
              </w:rPr>
            </w:pPr>
            <w:r w:rsidRPr="002A7673">
              <w:rPr>
                <w:rFonts w:ascii="Times New Roman" w:hAnsi="Times New Roman" w:cs="Times New Roman"/>
                <w:sz w:val="20"/>
                <w:szCs w:val="20"/>
              </w:rPr>
              <w:t xml:space="preserve">Son diversas las medidas adoptadas por la Defensa Pública, para procurar llegar a las distintas zonas, como por ejemplo la virtualización del servicio, no obstante, debe considerarse que dicha solución no es suficiente para cumplir con el derecho de acceso a la justicia de esta población en situación de vulnerabilidad. </w:t>
            </w:r>
          </w:p>
          <w:p w14:paraId="6B7C6368"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p>
          <w:p w14:paraId="1DFE8D96"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r w:rsidRPr="002A7673">
              <w:rPr>
                <w:rFonts w:ascii="Times New Roman" w:hAnsi="Times New Roman" w:cs="Times New Roman"/>
                <w:sz w:val="20"/>
                <w:szCs w:val="20"/>
              </w:rPr>
              <w:t xml:space="preserve">Además, la Defensa Pública, es conocedora y respetuosa de las restricciones a nivel presupuestario que enfrenta la Institución y el país, sin embargo, debe contemplarse que las citadas plazas ya aprobadas por la Corte </w:t>
            </w:r>
            <w:proofErr w:type="gramStart"/>
            <w:r w:rsidRPr="002A7673">
              <w:rPr>
                <w:rFonts w:ascii="Times New Roman" w:hAnsi="Times New Roman" w:cs="Times New Roman"/>
                <w:sz w:val="20"/>
                <w:szCs w:val="20"/>
              </w:rPr>
              <w:t>Plena,</w:t>
            </w:r>
            <w:proofErr w:type="gramEnd"/>
            <w:r w:rsidRPr="002A7673">
              <w:rPr>
                <w:rFonts w:ascii="Times New Roman" w:hAnsi="Times New Roman" w:cs="Times New Roman"/>
                <w:sz w:val="20"/>
                <w:szCs w:val="20"/>
              </w:rPr>
              <w:t xml:space="preserve"> responden a una deuda histórica institucional y si bien se ha procurado la maximización de los recursos institucionales, los recursos se requieren para poder llegar a comunidades y personas usuarias a las que no ha sido posible brindar el servicio. </w:t>
            </w:r>
          </w:p>
          <w:p w14:paraId="498A7042"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p>
          <w:p w14:paraId="5F0179BA" w14:textId="77777777" w:rsidR="0085505C" w:rsidRPr="002A7673" w:rsidRDefault="0085505C" w:rsidP="00FF3FAC">
            <w:pPr>
              <w:widowControl w:val="0"/>
              <w:numPr>
                <w:ilvl w:val="0"/>
                <w:numId w:val="89"/>
              </w:numPr>
              <w:tabs>
                <w:tab w:val="num" w:pos="0"/>
              </w:tabs>
              <w:autoSpaceDN w:val="0"/>
              <w:spacing w:after="0" w:line="276" w:lineRule="auto"/>
              <w:ind w:left="720" w:hanging="360"/>
              <w:jc w:val="both"/>
              <w:rPr>
                <w:rFonts w:ascii="Times New Roman" w:hAnsi="Times New Roman" w:cs="Times New Roman"/>
                <w:sz w:val="20"/>
                <w:szCs w:val="20"/>
              </w:rPr>
            </w:pPr>
            <w:r w:rsidRPr="002A7673">
              <w:rPr>
                <w:rFonts w:ascii="Times New Roman" w:hAnsi="Times New Roman" w:cs="Times New Roman"/>
                <w:sz w:val="20"/>
                <w:szCs w:val="20"/>
              </w:rPr>
              <w:t xml:space="preserve">Si bien es cierto, con las propuestas brindadas se espera la recalificación de 11 plazas de persona técnica jurídica a defensora pública, dicha medida se considera paliativa, por cuanto no viene a solucionar de raíz la necesidad de recurso actual, el cual tal y como se indicó, cuenta con la respectiva recomendación de la Dirección de Planificación mediante sus estudios técnicos, como de la misma Corte Plena. </w:t>
            </w:r>
          </w:p>
          <w:p w14:paraId="56A7C809"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p>
          <w:p w14:paraId="7DB1D795"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r w:rsidRPr="002A7673">
              <w:rPr>
                <w:rFonts w:ascii="Times New Roman" w:hAnsi="Times New Roman" w:cs="Times New Roman"/>
                <w:sz w:val="20"/>
                <w:szCs w:val="20"/>
              </w:rPr>
              <w:t xml:space="preserve">Aunado a lo anterior, debe analizarse que no todas las </w:t>
            </w:r>
            <w:r w:rsidRPr="002A7673">
              <w:rPr>
                <w:rFonts w:ascii="Times New Roman" w:hAnsi="Times New Roman" w:cs="Times New Roman"/>
                <w:sz w:val="20"/>
                <w:szCs w:val="20"/>
              </w:rPr>
              <w:lastRenderedPageBreak/>
              <w:t xml:space="preserve">propuestas brindadas son aplicables, considerando la situación de las personas servidoras en condición de interinas que ocupan los puestos analizados, siendo únicamente viable la transformación de 6 de las plazas. </w:t>
            </w:r>
          </w:p>
          <w:p w14:paraId="2AA878EC" w14:textId="77777777" w:rsidR="0085505C" w:rsidRPr="002A7673" w:rsidRDefault="0085505C" w:rsidP="0048334E">
            <w:pPr>
              <w:widowControl w:val="0"/>
              <w:spacing w:after="0" w:line="276" w:lineRule="auto"/>
              <w:ind w:left="720"/>
              <w:jc w:val="both"/>
              <w:rPr>
                <w:rFonts w:ascii="Times New Roman" w:hAnsi="Times New Roman" w:cs="Times New Roman"/>
                <w:sz w:val="20"/>
                <w:szCs w:val="20"/>
              </w:rPr>
            </w:pPr>
          </w:p>
          <w:p w14:paraId="1C33D113" w14:textId="77777777" w:rsidR="0085505C" w:rsidRPr="002A7673" w:rsidRDefault="0085505C" w:rsidP="0048334E">
            <w:pPr>
              <w:widowControl w:val="0"/>
              <w:autoSpaceDE w:val="0"/>
              <w:autoSpaceDN w:val="0"/>
              <w:adjustRightInd w:val="0"/>
              <w:spacing w:after="0" w:line="276" w:lineRule="auto"/>
              <w:jc w:val="both"/>
              <w:rPr>
                <w:rFonts w:ascii="Times New Roman" w:hAnsi="Times New Roman" w:cs="Times New Roman"/>
                <w:b/>
                <w:i/>
                <w:sz w:val="20"/>
                <w:szCs w:val="20"/>
              </w:rPr>
            </w:pPr>
          </w:p>
        </w:tc>
        <w:tc>
          <w:tcPr>
            <w:tcW w:w="2028" w:type="pct"/>
            <w:tcBorders>
              <w:top w:val="single" w:sz="4" w:space="0" w:color="auto"/>
              <w:left w:val="single" w:sz="4" w:space="0" w:color="auto"/>
              <w:bottom w:val="single" w:sz="4" w:space="0" w:color="auto"/>
              <w:right w:val="single" w:sz="4" w:space="0" w:color="auto"/>
            </w:tcBorders>
          </w:tcPr>
          <w:p w14:paraId="0AE8897E"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lastRenderedPageBreak/>
              <w:t xml:space="preserve">Con respecto a lo indicado, es oportuno recordar que la propuesta planteada en el presente informe no considera la creación de plazas nuevas, sino que, la Dirección de Planificación en conocimiento de las limitaciones presupuestarias que afronta el país, la restricción de la Regla Fiscal y el Modelo de Tramitación de la Defensa Pública aprobado por Consejo Superior en la sesión 5-19 celebrada el 23 de enero de 2019, artículo XXIII, procedió a realizar un análisis de los recursos existentes en la Defensa Pública sujetos a modificaciones, sin afectar las cargas de trabajo a los despachos actuales de la Defensa Pública ni a las condiciones labores de cada servidora o servidor judicial, con el objetivo de buscar alternativas para el reforzamiento de las </w:t>
            </w:r>
            <w:r w:rsidRPr="002A7673">
              <w:rPr>
                <w:rFonts w:ascii="Times New Roman" w:eastAsia="Times New Roman" w:hAnsi="Times New Roman" w:cs="Times New Roman"/>
                <w:sz w:val="24"/>
                <w:szCs w:val="24"/>
                <w:lang w:val="es-ES" w:eastAsia="es-ES"/>
              </w:rPr>
              <w:lastRenderedPageBreak/>
              <w:t>necesidades ya identificadas para la Defensa Pública.</w:t>
            </w:r>
          </w:p>
          <w:p w14:paraId="15EF541C"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t>Es importante mencionar que, las recomendaciones de reforzamiento de personas defensoras públicas que realiza la Dirección de Planificación, responden a estudios técnicos que han permitido identificar y justificar la necesidad del recurso, los cuales a su vez cuentan con la aprobación del Consejo Superior, por lo cual, aunque se comprende el pensar de que pueden existir otras necesidades que aún no han sido cubiertas a pesar de los esfuerzos realizados por la Dirección de la Defensa Pública, las recomendaciones a las que puede referirse esta Dirección responden a estudios técnicos realizados por esta oficina, tal y como se mencionan en las recomendaciones planteadas en el presente informe.</w:t>
            </w:r>
          </w:p>
          <w:p w14:paraId="197A6587"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t xml:space="preserve">En el proyecto de mejora integral del proceso penal se ha visualizado la necesidad de darle estabilidad a estructuras mínimas de trabajo en Tribunales Penales Regionales, los cuales a la fecha son cubiertos como parte de un proyecto, sin embargo, si se logran estabilizar las estructuras jurisdiccionales existirá una demanda permanente a la Defensa Pública por lo tanto </w:t>
            </w:r>
            <w:r w:rsidRPr="002A7673">
              <w:rPr>
                <w:rFonts w:ascii="Times New Roman" w:eastAsia="Times New Roman" w:hAnsi="Times New Roman" w:cs="Times New Roman"/>
                <w:sz w:val="24"/>
                <w:szCs w:val="24"/>
                <w:lang w:val="es-ES" w:eastAsia="es-ES"/>
              </w:rPr>
              <w:lastRenderedPageBreak/>
              <w:t>debe considerarse esa necesidad de manera urgente.</w:t>
            </w:r>
          </w:p>
          <w:p w14:paraId="0795BE18"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t>Las necesidades detectadas para resolver en materia indígena la prestación del servicio público es fundamental y representa estudios técnicos ya a probados.</w:t>
            </w:r>
          </w:p>
          <w:p w14:paraId="16AA4E3A"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t>Visibilizar la necesidad histórica de la Defensa Pública es fundamental, sin embargo, la imposibilidad que ha tenido la institución de crear plazas nuevas ha limitado la posibilidad de brindar el recurso, aunque si se ha solicitado al Ministerio de Hacienda el mismo.</w:t>
            </w:r>
          </w:p>
          <w:p w14:paraId="1E87C0B1" w14:textId="77777777" w:rsidR="0085505C" w:rsidRPr="002A7673" w:rsidRDefault="0085505C" w:rsidP="0048334E">
            <w:pPr>
              <w:widowControl w:val="0"/>
              <w:autoSpaceDN w:val="0"/>
              <w:spacing w:before="120" w:after="0" w:line="256" w:lineRule="auto"/>
              <w:ind w:right="226"/>
              <w:jc w:val="both"/>
              <w:rPr>
                <w:rFonts w:ascii="Times New Roman" w:hAnsi="Times New Roman" w:cs="Times New Roman"/>
                <w:sz w:val="20"/>
                <w:szCs w:val="20"/>
              </w:rPr>
            </w:pPr>
          </w:p>
        </w:tc>
      </w:tr>
      <w:tr w:rsidR="0085505C" w:rsidRPr="002A7673" w14:paraId="56078C95" w14:textId="77777777" w:rsidTr="0048334E">
        <w:trPr>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40214BD5"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sz w:val="20"/>
                <w:szCs w:val="20"/>
              </w:rPr>
            </w:pPr>
            <w:r w:rsidRPr="002A7673">
              <w:rPr>
                <w:rFonts w:ascii="Times New Roman" w:hAnsi="Times New Roman" w:cs="Times New Roman"/>
                <w:b/>
                <w:sz w:val="20"/>
                <w:szCs w:val="20"/>
              </w:rPr>
              <w:lastRenderedPageBreak/>
              <w:t>6</w:t>
            </w:r>
          </w:p>
        </w:tc>
        <w:tc>
          <w:tcPr>
            <w:tcW w:w="2693" w:type="pct"/>
            <w:tcBorders>
              <w:top w:val="single" w:sz="4" w:space="0" w:color="auto"/>
              <w:left w:val="single" w:sz="4" w:space="0" w:color="auto"/>
              <w:bottom w:val="single" w:sz="4" w:space="0" w:color="auto"/>
              <w:right w:val="single" w:sz="4" w:space="0" w:color="auto"/>
            </w:tcBorders>
            <w:vAlign w:val="center"/>
          </w:tcPr>
          <w:p w14:paraId="5866F0F6"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 xml:space="preserve">En virtud de lo expuesto, y en atención al criterio requerido, se solicita: valorar y aprobar únicamente la propuesta contenida en los </w:t>
            </w:r>
            <w:r w:rsidRPr="002A7673">
              <w:rPr>
                <w:rFonts w:ascii="Times New Roman" w:hAnsi="Times New Roman" w:cs="Times New Roman"/>
                <w:b/>
                <w:sz w:val="20"/>
                <w:szCs w:val="20"/>
              </w:rPr>
              <w:t>puntos a (excluyendo tal y como lo indica el informe los casos de la oficina de Limón y la Administración de la Defensa Pública) y c</w:t>
            </w:r>
            <w:r w:rsidRPr="002A7673">
              <w:rPr>
                <w:rFonts w:ascii="Times New Roman" w:hAnsi="Times New Roman" w:cs="Times New Roman"/>
                <w:sz w:val="20"/>
                <w:szCs w:val="20"/>
              </w:rPr>
              <w:t xml:space="preserve">, aunado a lo anterior, </w:t>
            </w:r>
            <w:r w:rsidRPr="002A7673">
              <w:rPr>
                <w:rFonts w:ascii="Times New Roman" w:hAnsi="Times New Roman" w:cs="Times New Roman"/>
                <w:sz w:val="20"/>
                <w:szCs w:val="20"/>
                <w:u w:val="single"/>
              </w:rPr>
              <w:t>que se modifiquen las recomendaciones en el sentido de que las plazas que se logren recalificar, puedan ser distribuidas por la Dirección de la Defensa Pública de acuerdo con las necesidades institucionales, en las materias y oficinas que se requieran, de acuerdo con los resultados obtenidos en los estudios realizados por la misma Dirección de Planificación</w:t>
            </w:r>
            <w:r w:rsidRPr="002A7673">
              <w:rPr>
                <w:rFonts w:ascii="Times New Roman" w:hAnsi="Times New Roman" w:cs="Times New Roman"/>
                <w:sz w:val="20"/>
                <w:szCs w:val="20"/>
              </w:rPr>
              <w:t>.</w:t>
            </w:r>
          </w:p>
          <w:p w14:paraId="0036EB42" w14:textId="77777777" w:rsidR="0085505C" w:rsidRPr="002A7673" w:rsidRDefault="0085505C" w:rsidP="0048334E">
            <w:pPr>
              <w:widowControl w:val="0"/>
              <w:autoSpaceDE w:val="0"/>
              <w:autoSpaceDN w:val="0"/>
              <w:adjustRightInd w:val="0"/>
              <w:spacing w:after="0" w:line="276" w:lineRule="auto"/>
              <w:jc w:val="both"/>
              <w:rPr>
                <w:rFonts w:ascii="Times New Roman" w:hAnsi="Times New Roman" w:cs="Times New Roman"/>
                <w:sz w:val="20"/>
                <w:szCs w:val="20"/>
              </w:rPr>
            </w:pPr>
          </w:p>
        </w:tc>
        <w:tc>
          <w:tcPr>
            <w:tcW w:w="2028" w:type="pct"/>
            <w:tcBorders>
              <w:top w:val="single" w:sz="4" w:space="0" w:color="auto"/>
              <w:left w:val="single" w:sz="4" w:space="0" w:color="auto"/>
              <w:bottom w:val="single" w:sz="4" w:space="0" w:color="auto"/>
              <w:right w:val="single" w:sz="4" w:space="0" w:color="auto"/>
            </w:tcBorders>
            <w:hideMark/>
          </w:tcPr>
          <w:p w14:paraId="55EBE6F1" w14:textId="77777777" w:rsidR="0085505C" w:rsidRPr="002A7673" w:rsidRDefault="0085505C" w:rsidP="00FF3FAC">
            <w:pPr>
              <w:widowControl w:val="0"/>
              <w:numPr>
                <w:ilvl w:val="0"/>
                <w:numId w:val="88"/>
              </w:numPr>
              <w:autoSpaceDN w:val="0"/>
              <w:spacing w:before="120" w:after="0" w:line="256" w:lineRule="auto"/>
              <w:ind w:left="315" w:right="226" w:hanging="284"/>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t xml:space="preserve">Se toma nota de lo indicado. Las recomendaciones del informe se dirigen a valorar la posibilidad de ampliación de jornada laboral de seis plazas de técnica o técnico jurídico y a su vez la recalificación de seis plazas de persona técnica jurídica a persona defensora pública, según lo establecido en los puntos a y b, la finalidad es que la distribución de los recursos se haga en concordancia con los estudios técnicos previamente aprobados. </w:t>
            </w:r>
          </w:p>
        </w:tc>
      </w:tr>
    </w:tbl>
    <w:p w14:paraId="7AA920F8" w14:textId="77777777" w:rsidR="0085505C" w:rsidRPr="002A7673" w:rsidRDefault="0085505C" w:rsidP="0085505C">
      <w:pPr>
        <w:widowControl w:val="0"/>
        <w:spacing w:after="0" w:line="240" w:lineRule="auto"/>
        <w:jc w:val="both"/>
        <w:rPr>
          <w:rFonts w:ascii="Times New Roman" w:hAnsi="Times New Roman" w:cs="Times New Roman"/>
        </w:rPr>
      </w:pPr>
    </w:p>
    <w:p w14:paraId="4562B910" w14:textId="77777777" w:rsidR="0085505C" w:rsidRPr="002A7673" w:rsidRDefault="0085505C" w:rsidP="00FF3FAC">
      <w:pPr>
        <w:widowControl w:val="0"/>
        <w:numPr>
          <w:ilvl w:val="0"/>
          <w:numId w:val="87"/>
        </w:num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2A7673">
        <w:rPr>
          <w:rFonts w:ascii="Times New Roman" w:hAnsi="Times New Roman" w:cs="Times New Roman"/>
          <w:b/>
          <w:bCs/>
          <w:i/>
          <w:iCs/>
          <w:sz w:val="26"/>
          <w:szCs w:val="26"/>
        </w:rPr>
        <w:t>Observaciones remitidas mediante oficio JEFDP-635-2021 el 23 de abril de 2021, suscrito por el máster Juan Carlos Pérez Murillo, Director de la Defensa Pública.</w:t>
      </w:r>
    </w:p>
    <w:p w14:paraId="77627519" w14:textId="77777777" w:rsidR="0085505C" w:rsidRPr="002A7673" w:rsidRDefault="0085505C" w:rsidP="0085505C">
      <w:pPr>
        <w:widowControl w:val="0"/>
        <w:spacing w:after="0" w:line="240" w:lineRule="auto"/>
        <w:jc w:val="both"/>
        <w:rPr>
          <w:rFonts w:ascii="Times New Roman" w:hAnsi="Times New Roman"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5204"/>
        <w:gridCol w:w="3917"/>
      </w:tblGrid>
      <w:tr w:rsidR="0085505C" w:rsidRPr="002A7673" w14:paraId="6CC9C840" w14:textId="77777777" w:rsidTr="0048334E">
        <w:trPr>
          <w:tblHeader/>
          <w:jc w:val="center"/>
        </w:trPr>
        <w:tc>
          <w:tcPr>
            <w:tcW w:w="278" w:type="pct"/>
            <w:tcBorders>
              <w:top w:val="single" w:sz="4" w:space="0" w:color="auto"/>
              <w:left w:val="single" w:sz="4" w:space="0" w:color="auto"/>
              <w:bottom w:val="single" w:sz="4" w:space="0" w:color="auto"/>
              <w:right w:val="single" w:sz="4" w:space="0" w:color="auto"/>
            </w:tcBorders>
            <w:shd w:val="clear" w:color="auto" w:fill="215868"/>
            <w:vAlign w:val="center"/>
            <w:hideMark/>
          </w:tcPr>
          <w:p w14:paraId="17333B91"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color w:val="FFFFFF"/>
                <w:sz w:val="20"/>
                <w:szCs w:val="20"/>
              </w:rPr>
            </w:pPr>
            <w:r w:rsidRPr="002A7673">
              <w:rPr>
                <w:rFonts w:ascii="Times New Roman" w:hAnsi="Times New Roman" w:cs="Times New Roman"/>
                <w:b/>
                <w:color w:val="FFFFFF"/>
                <w:sz w:val="20"/>
                <w:szCs w:val="20"/>
              </w:rPr>
              <w:t>N°</w:t>
            </w:r>
          </w:p>
        </w:tc>
        <w:tc>
          <w:tcPr>
            <w:tcW w:w="2694" w:type="pct"/>
            <w:tcBorders>
              <w:top w:val="single" w:sz="4" w:space="0" w:color="auto"/>
              <w:left w:val="single" w:sz="4" w:space="0" w:color="auto"/>
              <w:bottom w:val="single" w:sz="4" w:space="0" w:color="auto"/>
              <w:right w:val="single" w:sz="4" w:space="0" w:color="auto"/>
            </w:tcBorders>
            <w:shd w:val="clear" w:color="auto" w:fill="215868"/>
            <w:vAlign w:val="center"/>
            <w:hideMark/>
          </w:tcPr>
          <w:p w14:paraId="2380EA57" w14:textId="77777777" w:rsidR="0085505C" w:rsidRPr="002A7673" w:rsidRDefault="0085505C" w:rsidP="0048334E">
            <w:pPr>
              <w:widowControl w:val="0"/>
              <w:tabs>
                <w:tab w:val="left" w:pos="9639"/>
              </w:tabs>
              <w:autoSpaceDE w:val="0"/>
              <w:autoSpaceDN w:val="0"/>
              <w:adjustRightInd w:val="0"/>
              <w:spacing w:after="0" w:line="256" w:lineRule="auto"/>
              <w:ind w:left="9" w:right="42" w:hanging="9"/>
              <w:jc w:val="center"/>
              <w:rPr>
                <w:rFonts w:ascii="Times New Roman" w:hAnsi="Times New Roman" w:cs="Times New Roman"/>
                <w:b/>
                <w:bCs/>
                <w:i/>
                <w:color w:val="FFFFFF"/>
                <w:sz w:val="20"/>
                <w:szCs w:val="20"/>
              </w:rPr>
            </w:pPr>
            <w:r w:rsidRPr="002A7673">
              <w:rPr>
                <w:rFonts w:ascii="Times New Roman" w:hAnsi="Times New Roman" w:cs="Times New Roman"/>
                <w:b/>
                <w:bCs/>
                <w:i/>
                <w:color w:val="FFFFFF"/>
                <w:sz w:val="20"/>
                <w:szCs w:val="20"/>
              </w:rPr>
              <w:t>Observaciones remitidas por la Dirección de la Defensa Pública</w:t>
            </w:r>
          </w:p>
        </w:tc>
        <w:tc>
          <w:tcPr>
            <w:tcW w:w="2028" w:type="pct"/>
            <w:tcBorders>
              <w:top w:val="single" w:sz="4" w:space="0" w:color="auto"/>
              <w:left w:val="single" w:sz="4" w:space="0" w:color="auto"/>
              <w:bottom w:val="single" w:sz="4" w:space="0" w:color="auto"/>
              <w:right w:val="single" w:sz="4" w:space="0" w:color="auto"/>
            </w:tcBorders>
            <w:shd w:val="clear" w:color="auto" w:fill="215868"/>
            <w:hideMark/>
          </w:tcPr>
          <w:p w14:paraId="23AADC15" w14:textId="77777777" w:rsidR="0085505C" w:rsidRPr="002A7673" w:rsidRDefault="0085505C" w:rsidP="0048334E">
            <w:pPr>
              <w:widowControl w:val="0"/>
              <w:tabs>
                <w:tab w:val="left" w:pos="4992"/>
                <w:tab w:val="left" w:pos="9639"/>
              </w:tabs>
              <w:autoSpaceDE w:val="0"/>
              <w:autoSpaceDN w:val="0"/>
              <w:adjustRightInd w:val="0"/>
              <w:spacing w:after="0" w:line="256" w:lineRule="auto"/>
              <w:ind w:left="29" w:right="84"/>
              <w:jc w:val="center"/>
              <w:rPr>
                <w:rFonts w:ascii="Times New Roman" w:hAnsi="Times New Roman" w:cs="Times New Roman"/>
                <w:b/>
                <w:i/>
                <w:color w:val="FFFFFF"/>
                <w:sz w:val="20"/>
                <w:szCs w:val="20"/>
              </w:rPr>
            </w:pPr>
            <w:r w:rsidRPr="002A7673">
              <w:rPr>
                <w:rFonts w:ascii="Times New Roman" w:hAnsi="Times New Roman" w:cs="Times New Roman"/>
                <w:b/>
                <w:i/>
                <w:color w:val="FFFFFF"/>
                <w:sz w:val="20"/>
                <w:szCs w:val="20"/>
              </w:rPr>
              <w:t>Criterio de la Dirección de Planificación</w:t>
            </w:r>
          </w:p>
        </w:tc>
      </w:tr>
      <w:tr w:rsidR="0085505C" w:rsidRPr="002A7673" w14:paraId="75083D11" w14:textId="77777777" w:rsidTr="0048334E">
        <w:trPr>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1414290D"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sz w:val="20"/>
                <w:szCs w:val="20"/>
              </w:rPr>
            </w:pPr>
            <w:r w:rsidRPr="002A7673">
              <w:rPr>
                <w:rFonts w:ascii="Times New Roman" w:hAnsi="Times New Roman" w:cs="Times New Roman"/>
                <w:b/>
                <w:sz w:val="20"/>
                <w:szCs w:val="20"/>
              </w:rPr>
              <w:t>1</w:t>
            </w:r>
          </w:p>
        </w:tc>
        <w:tc>
          <w:tcPr>
            <w:tcW w:w="2694" w:type="pct"/>
            <w:tcBorders>
              <w:top w:val="single" w:sz="4" w:space="0" w:color="auto"/>
              <w:left w:val="single" w:sz="4" w:space="0" w:color="auto"/>
              <w:bottom w:val="single" w:sz="4" w:space="0" w:color="auto"/>
              <w:right w:val="single" w:sz="4" w:space="0" w:color="auto"/>
            </w:tcBorders>
            <w:vAlign w:val="center"/>
            <w:hideMark/>
          </w:tcPr>
          <w:p w14:paraId="64779D7B" w14:textId="77777777" w:rsidR="0085505C" w:rsidRPr="002A7673" w:rsidRDefault="0085505C" w:rsidP="0048334E">
            <w:pPr>
              <w:widowControl w:val="0"/>
              <w:autoSpaceDE w:val="0"/>
              <w:autoSpaceDN w:val="0"/>
              <w:adjustRightInd w:val="0"/>
              <w:spacing w:after="0" w:line="276" w:lineRule="auto"/>
              <w:jc w:val="both"/>
              <w:rPr>
                <w:rFonts w:ascii="Times New Roman" w:hAnsi="Times New Roman" w:cs="Times New Roman"/>
                <w:i/>
                <w:sz w:val="20"/>
                <w:szCs w:val="20"/>
                <w:lang w:eastAsia="es-CR"/>
              </w:rPr>
            </w:pPr>
            <w:r w:rsidRPr="002A7673">
              <w:rPr>
                <w:rFonts w:ascii="Times New Roman" w:hAnsi="Times New Roman" w:cs="Times New Roman"/>
                <w:i/>
                <w:sz w:val="20"/>
                <w:szCs w:val="20"/>
                <w:lang w:eastAsia="es-CR"/>
              </w:rPr>
              <w:t xml:space="preserve">“Se reitera, que en cuanto a los puntos A (5 plazas) y C (1 </w:t>
            </w:r>
            <w:r w:rsidRPr="002A7673">
              <w:rPr>
                <w:rFonts w:ascii="Times New Roman" w:hAnsi="Times New Roman" w:cs="Times New Roman"/>
                <w:i/>
                <w:sz w:val="20"/>
                <w:szCs w:val="20"/>
                <w:lang w:eastAsia="es-CR"/>
              </w:rPr>
              <w:lastRenderedPageBreak/>
              <w:t>plaza) para un total de 6 plazas de persona defensora pública, lo señalado en el oficio remitido por la Defensa Pública en fecha 20 de abril de 2021, en el sentido de que no existe inconveniente con la propuesta planteada por la Dirección de Planificación en el informe señalado.”.</w:t>
            </w:r>
          </w:p>
        </w:tc>
        <w:tc>
          <w:tcPr>
            <w:tcW w:w="2028" w:type="pct"/>
            <w:tcBorders>
              <w:top w:val="single" w:sz="4" w:space="0" w:color="auto"/>
              <w:left w:val="single" w:sz="4" w:space="0" w:color="auto"/>
              <w:bottom w:val="single" w:sz="4" w:space="0" w:color="auto"/>
              <w:right w:val="single" w:sz="4" w:space="0" w:color="auto"/>
            </w:tcBorders>
          </w:tcPr>
          <w:p w14:paraId="5BE155A4" w14:textId="77777777" w:rsidR="0085505C" w:rsidRPr="002A7673" w:rsidRDefault="0085505C" w:rsidP="00FF3FAC">
            <w:pPr>
              <w:widowControl w:val="0"/>
              <w:numPr>
                <w:ilvl w:val="0"/>
                <w:numId w:val="88"/>
              </w:numPr>
              <w:autoSpaceDN w:val="0"/>
              <w:spacing w:before="120" w:after="0" w:line="256" w:lineRule="auto"/>
              <w:ind w:left="316" w:right="84" w:hanging="281"/>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lastRenderedPageBreak/>
              <w:t xml:space="preserve">Se toma nota de lo indicado por la </w:t>
            </w:r>
            <w:r w:rsidRPr="002A7673">
              <w:rPr>
                <w:rFonts w:ascii="Times New Roman" w:eastAsia="Times New Roman" w:hAnsi="Times New Roman" w:cs="Times New Roman"/>
                <w:sz w:val="24"/>
                <w:szCs w:val="24"/>
                <w:lang w:val="es-ES" w:eastAsia="es-ES"/>
              </w:rPr>
              <w:lastRenderedPageBreak/>
              <w:t>Dirección de la Defensa Pública, en donde manifiesta estar de acuerdo con las propuestas planteadas en los puntos A y C del presente informe, los cuales no tienen ninguna afectación para la persona que las ocupa.</w:t>
            </w:r>
          </w:p>
          <w:p w14:paraId="6E9F6C3C" w14:textId="77777777" w:rsidR="0085505C" w:rsidRPr="002A7673" w:rsidRDefault="0085505C" w:rsidP="0048334E">
            <w:pPr>
              <w:widowControl w:val="0"/>
              <w:spacing w:before="120" w:after="0" w:line="256" w:lineRule="auto"/>
              <w:ind w:left="316" w:right="84"/>
              <w:jc w:val="both"/>
              <w:rPr>
                <w:rFonts w:ascii="Times New Roman" w:eastAsia="Times New Roman" w:hAnsi="Times New Roman" w:cs="Times New Roman"/>
                <w:sz w:val="24"/>
                <w:szCs w:val="24"/>
                <w:lang w:val="es-ES" w:eastAsia="es-ES"/>
              </w:rPr>
            </w:pPr>
          </w:p>
        </w:tc>
      </w:tr>
      <w:tr w:rsidR="0085505C" w:rsidRPr="002A7673" w14:paraId="483EAE5F" w14:textId="77777777" w:rsidTr="0048334E">
        <w:trPr>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581BBE5E"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sz w:val="20"/>
                <w:szCs w:val="20"/>
              </w:rPr>
            </w:pPr>
            <w:r w:rsidRPr="002A7673">
              <w:rPr>
                <w:rFonts w:ascii="Times New Roman" w:hAnsi="Times New Roman" w:cs="Times New Roman"/>
                <w:b/>
                <w:sz w:val="20"/>
                <w:szCs w:val="20"/>
              </w:rPr>
              <w:lastRenderedPageBreak/>
              <w:t>2</w:t>
            </w:r>
          </w:p>
        </w:tc>
        <w:tc>
          <w:tcPr>
            <w:tcW w:w="2694" w:type="pct"/>
            <w:tcBorders>
              <w:top w:val="single" w:sz="4" w:space="0" w:color="auto"/>
              <w:left w:val="single" w:sz="4" w:space="0" w:color="auto"/>
              <w:bottom w:val="single" w:sz="4" w:space="0" w:color="auto"/>
              <w:right w:val="single" w:sz="4" w:space="0" w:color="auto"/>
            </w:tcBorders>
            <w:vAlign w:val="center"/>
            <w:hideMark/>
          </w:tcPr>
          <w:p w14:paraId="3B630C77" w14:textId="77777777" w:rsidR="0085505C" w:rsidRPr="002A7673" w:rsidRDefault="0085505C" w:rsidP="0048334E">
            <w:pPr>
              <w:widowControl w:val="0"/>
              <w:autoSpaceDE w:val="0"/>
              <w:autoSpaceDN w:val="0"/>
              <w:adjustRightInd w:val="0"/>
              <w:spacing w:after="0" w:line="276" w:lineRule="auto"/>
              <w:jc w:val="both"/>
              <w:rPr>
                <w:rFonts w:ascii="Times New Roman" w:hAnsi="Times New Roman" w:cs="Times New Roman"/>
                <w:b/>
                <w:i/>
                <w:sz w:val="20"/>
                <w:szCs w:val="20"/>
              </w:rPr>
            </w:pPr>
            <w:r w:rsidRPr="002A7673">
              <w:rPr>
                <w:rFonts w:ascii="Times New Roman" w:hAnsi="Times New Roman" w:cs="Times New Roman"/>
                <w:sz w:val="20"/>
                <w:szCs w:val="20"/>
              </w:rPr>
              <w:t>…con relación al punto B (Plazas que podrían recalificarse, sin embargo, implica la afectación hacia la servidora o servidor que ocupa actualmente la plaza vacante), es importante señalar que la Defensa Pública, posee la necesidad de recurso profesional, tal y como se ha indicado en diferentes escenarios al Departamento de Planificación (sesión 031-2020 de Corte Plena e informes 507-PLA-RH-MI-2020 y 34-PLA-EV-2017), sin embargo era importante para esta Dirección hacer ver que dicha modificación implica una afectación para la persona servidora que ocupa la plaza vacante.</w:t>
            </w:r>
          </w:p>
        </w:tc>
        <w:tc>
          <w:tcPr>
            <w:tcW w:w="2028" w:type="pct"/>
            <w:tcBorders>
              <w:top w:val="single" w:sz="4" w:space="0" w:color="auto"/>
              <w:left w:val="single" w:sz="4" w:space="0" w:color="auto"/>
              <w:bottom w:val="single" w:sz="4" w:space="0" w:color="auto"/>
              <w:right w:val="single" w:sz="4" w:space="0" w:color="auto"/>
            </w:tcBorders>
          </w:tcPr>
          <w:p w14:paraId="61E215C8"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 xml:space="preserve">Se toma nota de la observación en donde como se indicó previamente, tomando en cuenta el criterio de la Dirección de la Defensa Pública, se modifican las recomendaciones efectuadas en el punto B del informe, en lo relacionado a las plazas que podrían recalificarse pero que implicaría alguna afectación hacia la servidora o servidor que ocupa actualmente la plaza vacante, por lo tanto, se excluyen de la recomendación atendiendo también lo indicado en el oficio </w:t>
            </w:r>
            <w:r w:rsidRPr="002A7673">
              <w:rPr>
                <w:rFonts w:ascii="Times New Roman" w:hAnsi="Times New Roman" w:cs="Times New Roman"/>
                <w:b/>
                <w:bCs/>
                <w:i/>
                <w:iCs/>
                <w:sz w:val="20"/>
                <w:szCs w:val="20"/>
              </w:rPr>
              <w:t>JEFDP-620-</w:t>
            </w:r>
            <w:proofErr w:type="gramStart"/>
            <w:r w:rsidRPr="002A7673">
              <w:rPr>
                <w:rFonts w:ascii="Times New Roman" w:hAnsi="Times New Roman" w:cs="Times New Roman"/>
                <w:b/>
                <w:bCs/>
                <w:i/>
                <w:iCs/>
                <w:sz w:val="20"/>
                <w:szCs w:val="20"/>
              </w:rPr>
              <w:t xml:space="preserve">2021 </w:t>
            </w:r>
            <w:r w:rsidRPr="002A7673">
              <w:rPr>
                <w:rFonts w:ascii="Times New Roman" w:hAnsi="Times New Roman" w:cs="Times New Roman"/>
                <w:sz w:val="20"/>
                <w:szCs w:val="20"/>
              </w:rPr>
              <w:t>.</w:t>
            </w:r>
            <w:proofErr w:type="gramEnd"/>
            <w:r w:rsidRPr="002A7673">
              <w:rPr>
                <w:rFonts w:ascii="Times New Roman" w:hAnsi="Times New Roman" w:cs="Times New Roman"/>
                <w:sz w:val="20"/>
                <w:szCs w:val="20"/>
              </w:rPr>
              <w:t xml:space="preserve"> “En virtud de lo expuesto, y en atención al criterio requerido, se solicita: valorar y aprobar únicamente la propuesta contenida en los </w:t>
            </w:r>
            <w:r w:rsidRPr="002A7673">
              <w:rPr>
                <w:rFonts w:ascii="Times New Roman" w:hAnsi="Times New Roman" w:cs="Times New Roman"/>
                <w:b/>
                <w:sz w:val="20"/>
                <w:szCs w:val="20"/>
              </w:rPr>
              <w:t>puntos a (excluyendo tal y como lo indica el informe los casos de la oficina de Limón y la Administración de la Defensa Pública) y c</w:t>
            </w:r>
            <w:r w:rsidRPr="002A7673">
              <w:rPr>
                <w:rFonts w:ascii="Times New Roman" w:hAnsi="Times New Roman" w:cs="Times New Roman"/>
                <w:sz w:val="20"/>
                <w:szCs w:val="20"/>
              </w:rPr>
              <w:t xml:space="preserve">, aunado a lo anterior, </w:t>
            </w:r>
            <w:r w:rsidRPr="002A7673">
              <w:rPr>
                <w:rFonts w:ascii="Times New Roman" w:hAnsi="Times New Roman" w:cs="Times New Roman"/>
                <w:sz w:val="20"/>
                <w:szCs w:val="20"/>
                <w:u w:val="single"/>
              </w:rPr>
              <w:t>que se modifiquen las recomendaciones en el sentido de que las plazas que se logren recalificar, puedan ser distribuidas por la Dirección de la Defensa Pública de acuerdo con las necesidades institucionales, en las materias y oficinas que se requieran, de acuerdo con los resultados obtenidos en los estudios realizados por la misma Dirección de Planificación”</w:t>
            </w:r>
            <w:r w:rsidRPr="002A7673">
              <w:rPr>
                <w:rFonts w:ascii="Times New Roman" w:hAnsi="Times New Roman" w:cs="Times New Roman"/>
                <w:sz w:val="20"/>
                <w:szCs w:val="20"/>
              </w:rPr>
              <w:t>.</w:t>
            </w:r>
          </w:p>
          <w:p w14:paraId="396A90B8" w14:textId="77777777" w:rsidR="0085505C" w:rsidRPr="002A7673" w:rsidRDefault="0085505C" w:rsidP="0048334E">
            <w:pPr>
              <w:widowControl w:val="0"/>
              <w:spacing w:before="120" w:after="0" w:line="256" w:lineRule="auto"/>
              <w:ind w:left="316" w:right="84"/>
              <w:jc w:val="both"/>
              <w:rPr>
                <w:rFonts w:ascii="Times New Roman" w:eastAsia="Times New Roman" w:hAnsi="Times New Roman" w:cs="Times New Roman"/>
                <w:sz w:val="24"/>
                <w:szCs w:val="24"/>
                <w:lang w:val="es-ES" w:eastAsia="es-ES"/>
              </w:rPr>
            </w:pPr>
          </w:p>
        </w:tc>
      </w:tr>
      <w:tr w:rsidR="0085505C" w:rsidRPr="002A7673" w14:paraId="59B147D5" w14:textId="77777777" w:rsidTr="0048334E">
        <w:trPr>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27B44FF3" w14:textId="77777777" w:rsidR="0085505C" w:rsidRPr="002A7673" w:rsidRDefault="0085505C" w:rsidP="0048334E">
            <w:pPr>
              <w:widowControl w:val="0"/>
              <w:tabs>
                <w:tab w:val="left" w:pos="9639"/>
              </w:tabs>
              <w:autoSpaceDE w:val="0"/>
              <w:autoSpaceDN w:val="0"/>
              <w:adjustRightInd w:val="0"/>
              <w:spacing w:after="0" w:line="256" w:lineRule="auto"/>
              <w:ind w:left="-175" w:right="-119"/>
              <w:jc w:val="center"/>
              <w:rPr>
                <w:rFonts w:ascii="Times New Roman" w:hAnsi="Times New Roman" w:cs="Times New Roman"/>
                <w:b/>
                <w:sz w:val="20"/>
                <w:szCs w:val="20"/>
              </w:rPr>
            </w:pPr>
            <w:r w:rsidRPr="002A7673">
              <w:rPr>
                <w:rFonts w:ascii="Times New Roman" w:hAnsi="Times New Roman" w:cs="Times New Roman"/>
                <w:b/>
                <w:sz w:val="20"/>
                <w:szCs w:val="20"/>
              </w:rPr>
              <w:t>3</w:t>
            </w:r>
          </w:p>
        </w:tc>
        <w:tc>
          <w:tcPr>
            <w:tcW w:w="2694" w:type="pct"/>
            <w:tcBorders>
              <w:top w:val="single" w:sz="4" w:space="0" w:color="auto"/>
              <w:left w:val="single" w:sz="4" w:space="0" w:color="auto"/>
              <w:bottom w:val="single" w:sz="4" w:space="0" w:color="auto"/>
              <w:right w:val="single" w:sz="4" w:space="0" w:color="auto"/>
            </w:tcBorders>
            <w:vAlign w:val="center"/>
          </w:tcPr>
          <w:p w14:paraId="4B6BE429" w14:textId="77777777" w:rsidR="0085505C" w:rsidRPr="002A7673" w:rsidRDefault="0085505C" w:rsidP="0048334E">
            <w:pPr>
              <w:widowControl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t>Lo que sí es claro, es que, en virtud de los diversos estudios técnicos realizados, la Defensa Pública quiere de manera urgente de plazas de persona defensora pública, para equilibrar las cargas de trabajo y brindar el servicio en zonas en donde no ha sido posible llegar por parte de la institución.</w:t>
            </w:r>
          </w:p>
          <w:p w14:paraId="051CCC4B" w14:textId="77777777" w:rsidR="0085505C" w:rsidRPr="002A7673" w:rsidRDefault="0085505C" w:rsidP="0048334E">
            <w:pPr>
              <w:widowControl w:val="0"/>
              <w:spacing w:after="0" w:line="276" w:lineRule="auto"/>
              <w:jc w:val="both"/>
              <w:rPr>
                <w:rFonts w:ascii="Times New Roman" w:hAnsi="Times New Roman" w:cs="Times New Roman"/>
                <w:sz w:val="20"/>
                <w:szCs w:val="20"/>
              </w:rPr>
            </w:pPr>
          </w:p>
          <w:p w14:paraId="3CD61317" w14:textId="77777777" w:rsidR="0085505C" w:rsidRPr="002A7673" w:rsidRDefault="0085505C" w:rsidP="0048334E">
            <w:pPr>
              <w:widowControl w:val="0"/>
              <w:autoSpaceDE w:val="0"/>
              <w:autoSpaceDN w:val="0"/>
              <w:adjustRightInd w:val="0"/>
              <w:spacing w:after="0" w:line="276" w:lineRule="auto"/>
              <w:jc w:val="both"/>
              <w:rPr>
                <w:rFonts w:ascii="Times New Roman" w:hAnsi="Times New Roman" w:cs="Times New Roman"/>
                <w:sz w:val="20"/>
                <w:szCs w:val="20"/>
              </w:rPr>
            </w:pPr>
            <w:r w:rsidRPr="002A7673">
              <w:rPr>
                <w:rFonts w:ascii="Times New Roman" w:hAnsi="Times New Roman" w:cs="Times New Roman"/>
                <w:sz w:val="20"/>
                <w:szCs w:val="20"/>
              </w:rPr>
              <w:lastRenderedPageBreak/>
              <w:t>Por ello, se reafirma el interés de la Defensa Pública en que se concedan todas las plazas que han sido previamente autorizadas por la Corte Suprema de Justicia, en el tanto ello sea posible y se conceda el respectivo presupuesto.</w:t>
            </w:r>
          </w:p>
        </w:tc>
        <w:tc>
          <w:tcPr>
            <w:tcW w:w="2028" w:type="pct"/>
            <w:tcBorders>
              <w:top w:val="single" w:sz="4" w:space="0" w:color="auto"/>
              <w:left w:val="single" w:sz="4" w:space="0" w:color="auto"/>
              <w:bottom w:val="single" w:sz="4" w:space="0" w:color="auto"/>
              <w:right w:val="single" w:sz="4" w:space="0" w:color="auto"/>
            </w:tcBorders>
            <w:hideMark/>
          </w:tcPr>
          <w:p w14:paraId="7BA73BE2" w14:textId="77777777" w:rsidR="0085505C" w:rsidRPr="002A7673" w:rsidRDefault="0085505C" w:rsidP="00FF3FAC">
            <w:pPr>
              <w:widowControl w:val="0"/>
              <w:numPr>
                <w:ilvl w:val="0"/>
                <w:numId w:val="88"/>
              </w:numPr>
              <w:autoSpaceDN w:val="0"/>
              <w:spacing w:before="120" w:after="0" w:line="256" w:lineRule="auto"/>
              <w:ind w:left="316" w:right="84" w:hanging="281"/>
              <w:contextualSpacing/>
              <w:jc w:val="both"/>
              <w:rPr>
                <w:rFonts w:ascii="Times New Roman" w:eastAsia="Times New Roman" w:hAnsi="Times New Roman" w:cs="Times New Roman"/>
                <w:sz w:val="24"/>
                <w:szCs w:val="24"/>
                <w:lang w:val="es-ES" w:eastAsia="es-ES"/>
              </w:rPr>
            </w:pPr>
            <w:r w:rsidRPr="002A7673">
              <w:rPr>
                <w:rFonts w:ascii="Times New Roman" w:eastAsia="Times New Roman" w:hAnsi="Times New Roman" w:cs="Times New Roman"/>
                <w:sz w:val="24"/>
                <w:szCs w:val="24"/>
                <w:lang w:val="es-ES" w:eastAsia="es-ES"/>
              </w:rPr>
              <w:lastRenderedPageBreak/>
              <w:t xml:space="preserve">Se comparte criterio, se indica que precisamente el estudio realizado por la Dirección de Planificación en torno a las plazas de técnicas y técnicos jurídicos de la Defensa </w:t>
            </w:r>
            <w:r w:rsidRPr="002A7673">
              <w:rPr>
                <w:rFonts w:ascii="Times New Roman" w:eastAsia="Times New Roman" w:hAnsi="Times New Roman" w:cs="Times New Roman"/>
                <w:sz w:val="24"/>
                <w:szCs w:val="24"/>
                <w:lang w:val="es-ES" w:eastAsia="es-ES"/>
              </w:rPr>
              <w:lastRenderedPageBreak/>
              <w:t>Pública responde a la necesidad de optimizar los recursos disponibles y buscar alternativas para dotar a la Defensa Pública de las personas defensoras públicas requeridas para brindar los servicios requeridos, sin embargo la implementación de las propuestas es un tema presupuestario que regido por las normas de crecimiento financiero y políticas presupuestarias del país, lo cual escapa a la Dirección de Planificación, al Consejo Superior y a la misma Corte Plena</w:t>
            </w:r>
          </w:p>
        </w:tc>
      </w:tr>
    </w:tbl>
    <w:p w14:paraId="011DA49A"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b/>
          <w:color w:val="000099"/>
          <w:sz w:val="26"/>
          <w:szCs w:val="26"/>
          <w:u w:val="single"/>
        </w:rPr>
      </w:pPr>
    </w:p>
    <w:p w14:paraId="694062D6" w14:textId="77777777" w:rsidR="0085505C" w:rsidRPr="002A7673" w:rsidRDefault="0085505C" w:rsidP="00FF3FAC">
      <w:pPr>
        <w:widowControl w:val="0"/>
        <w:numPr>
          <w:ilvl w:val="0"/>
          <w:numId w:val="79"/>
        </w:numPr>
        <w:autoSpaceDE w:val="0"/>
        <w:autoSpaceDN w:val="0"/>
        <w:adjustRightInd w:val="0"/>
        <w:spacing w:after="0" w:line="240" w:lineRule="auto"/>
        <w:ind w:left="851" w:right="851" w:firstLine="709"/>
        <w:jc w:val="both"/>
        <w:rPr>
          <w:rFonts w:ascii="Times New Roman" w:hAnsi="Times New Roman" w:cs="Times New Roman"/>
          <w:b/>
          <w:sz w:val="26"/>
          <w:szCs w:val="26"/>
          <w:u w:val="single"/>
        </w:rPr>
      </w:pPr>
      <w:r w:rsidRPr="002A7673">
        <w:rPr>
          <w:rFonts w:ascii="Times New Roman" w:hAnsi="Times New Roman" w:cs="Times New Roman"/>
          <w:b/>
          <w:sz w:val="26"/>
          <w:szCs w:val="26"/>
          <w:u w:val="single"/>
        </w:rPr>
        <w:t>Recomendaciones finales</w:t>
      </w:r>
    </w:p>
    <w:p w14:paraId="661CA31A"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b/>
          <w:sz w:val="26"/>
          <w:szCs w:val="26"/>
          <w:u w:val="single"/>
        </w:rPr>
      </w:pPr>
    </w:p>
    <w:p w14:paraId="73AA0F4F" w14:textId="77777777" w:rsidR="0085505C" w:rsidRPr="002A7673" w:rsidRDefault="0085505C" w:rsidP="00FF3FAC">
      <w:pPr>
        <w:widowControl w:val="0"/>
        <w:numPr>
          <w:ilvl w:val="0"/>
          <w:numId w:val="87"/>
        </w:num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2A7673">
        <w:rPr>
          <w:rFonts w:ascii="Times New Roman" w:hAnsi="Times New Roman" w:cs="Times New Roman"/>
          <w:b/>
          <w:bCs/>
          <w:i/>
          <w:iCs/>
          <w:sz w:val="26"/>
          <w:szCs w:val="26"/>
        </w:rPr>
        <w:t>Al Consejo Superior</w:t>
      </w:r>
    </w:p>
    <w:p w14:paraId="5E1A34FF"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2E6FF8AC"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Aprobar la propuesta de transformación de 6 plazas, por medio de recalificación en la Defensa Pública de Técnicos Jurídicos a Personas Defensoras Públicas, ello para la atención de necesidades  ya sustentadas en informes técnicos como el de Atención de Personas indígenas en las zonas de Turrialba, Buenos Aires y Bribri como parte de la promulgación de la Ley 9593 de Acceso a la Justicia de los Pueblos Indígenas,  así como los recursos para brindar las estructuras mínimas requeridas en materia penal para los Tribunales de Juicio regionales que hacen falta según el Proyecto de Mejora Integral del Proceso Penal (Sarapiquí, Siquirres, Turrialba, Cañas, Santa Cruz) y lo aprobado por el Consejo Superior en la </w:t>
      </w:r>
      <w:r w:rsidRPr="002A7673">
        <w:rPr>
          <w:rFonts w:ascii="Times New Roman" w:hAnsi="Times New Roman" w:cs="Times New Roman"/>
          <w:sz w:val="26"/>
          <w:szCs w:val="26"/>
          <w:lang w:eastAsia="es-CR"/>
        </w:rPr>
        <w:t xml:space="preserve">sesión 25-2021, celebrada el 25 de marzo de 2021, artículo LXXI; </w:t>
      </w:r>
      <w:r w:rsidRPr="002A7673">
        <w:rPr>
          <w:rFonts w:ascii="Times New Roman" w:hAnsi="Times New Roman" w:cs="Times New Roman"/>
          <w:sz w:val="26"/>
          <w:szCs w:val="26"/>
        </w:rPr>
        <w:t xml:space="preserve"> y las necesidades en pensiones alimentarias y familia, identificadas en el informe 34-PLA-EV-2017 de la Dirección de Planificación, así como las necesidades de recurso de persona defensora pública que cuenten con el respaldo técnico de la Dirección de Planificación y la aprobación del Consejo Superior, por lo tanto su priorización al ser solo 6 recursos para todas esas necesidades debe articularse con la Dirección de Planificación.</w:t>
      </w:r>
    </w:p>
    <w:p w14:paraId="18A3B6C1"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5BA6BC8A"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lastRenderedPageBreak/>
        <w:t>Cabe destacar que la propuesta planteada en el presente informe no considera la creación de plazas nuevas, se parte del conocimiento de las limitaciones presupuestarias que afronta el país, la restricción de la Regla Fiscal y el Modelo de Tramitación de la Defensa Pública aprobado por Consejo Superior en la sesión 5-19 celebrada el 23 de enero de 2019, artículo XXIII, en donde se analizan los recursos existentes en la Defensa Pública sujetos a modificaciones, sin afectar las cargas de trabajo a los despachos actuales de la Defensa Pública ni a las condiciones labores de cada servidora o servidor judicial.</w:t>
      </w:r>
      <w:r w:rsidRPr="002A7673">
        <w:rPr>
          <w:rFonts w:ascii="Times New Roman" w:hAnsi="Times New Roman" w:cs="Times New Roman"/>
          <w:b/>
          <w:bCs/>
          <w:sz w:val="26"/>
          <w:szCs w:val="26"/>
          <w:lang w:eastAsia="es-CR"/>
        </w:rPr>
        <w:t xml:space="preserve"> </w:t>
      </w:r>
      <w:r w:rsidRPr="002A7673">
        <w:rPr>
          <w:rFonts w:ascii="Times New Roman" w:hAnsi="Times New Roman" w:cs="Times New Roman"/>
          <w:sz w:val="26"/>
          <w:szCs w:val="26"/>
        </w:rPr>
        <w:t>La propuesta de reforzamiento plantea la posibilidad de transformar las plazas de técnico jurídico 102153, 24562, 54040, 33966, 43126 y 102154 de medio tiempo a tiempo completo en persona defensora pública. Lo anterior ajustando la jornada laboral de las siguientes seis plazas de Técnica o Técnico Jurídico a tiempo completo: 47317, 33903, 33961, 43127, 92418 y 103256, de manera que no existiría ninguna afectación en las labores que ya se ejecutan por el personal involucrado ni al servicio público de esas zonas.</w:t>
      </w:r>
    </w:p>
    <w:p w14:paraId="269BDD57"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448718F7" w14:textId="77777777" w:rsidR="0085505C" w:rsidRPr="002A7673" w:rsidRDefault="0085505C" w:rsidP="00FF3FAC">
      <w:pPr>
        <w:widowControl w:val="0"/>
        <w:numPr>
          <w:ilvl w:val="0"/>
          <w:numId w:val="87"/>
        </w:num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2A7673">
        <w:rPr>
          <w:rFonts w:ascii="Times New Roman" w:hAnsi="Times New Roman" w:cs="Times New Roman"/>
          <w:b/>
          <w:bCs/>
          <w:i/>
          <w:iCs/>
          <w:sz w:val="26"/>
          <w:szCs w:val="26"/>
        </w:rPr>
        <w:t xml:space="preserve">A la Dirección de Gestión Humana </w:t>
      </w:r>
    </w:p>
    <w:p w14:paraId="0DD584B7"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535110CF"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En caso de que se apruebe la presente propuesta, realizar las gestiones requeridas para ajustar las jornadas laborales a tiempo completo de las plazas de </w:t>
      </w:r>
      <w:proofErr w:type="gramStart"/>
      <w:r w:rsidRPr="002A7673">
        <w:rPr>
          <w:rFonts w:ascii="Times New Roman" w:hAnsi="Times New Roman" w:cs="Times New Roman"/>
          <w:sz w:val="26"/>
          <w:szCs w:val="26"/>
        </w:rPr>
        <w:t>Técnicas y Técnicos</w:t>
      </w:r>
      <w:proofErr w:type="gramEnd"/>
      <w:r w:rsidRPr="002A7673">
        <w:rPr>
          <w:rFonts w:ascii="Times New Roman" w:hAnsi="Times New Roman" w:cs="Times New Roman"/>
          <w:sz w:val="26"/>
          <w:szCs w:val="26"/>
        </w:rPr>
        <w:t xml:space="preserve"> Jurídicos señaladas y realizar el estudio del perfil competencial requerido a las plazas indicadas, para dotar a la Defensa Pública de las plazas de Defensoras y Defensores Públicos requeridos para su gestión. Igualmente, deberá en caso de aprobarse la recomendación uno, incluir en la formulación del presupuesto 2022, los recursos y cambios requeridos en la relación de puestos para atender la solicitud planteada.</w:t>
      </w:r>
    </w:p>
    <w:p w14:paraId="67FEB51B"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p>
    <w:p w14:paraId="3176B9D5" w14:textId="77777777" w:rsidR="0085505C" w:rsidRPr="002A7673" w:rsidRDefault="0085505C" w:rsidP="00FF3FAC">
      <w:pPr>
        <w:widowControl w:val="0"/>
        <w:numPr>
          <w:ilvl w:val="0"/>
          <w:numId w:val="87"/>
        </w:numPr>
        <w:autoSpaceDE w:val="0"/>
        <w:autoSpaceDN w:val="0"/>
        <w:adjustRightInd w:val="0"/>
        <w:spacing w:after="0" w:line="240" w:lineRule="auto"/>
        <w:ind w:left="851" w:right="851" w:firstLine="709"/>
        <w:jc w:val="both"/>
        <w:rPr>
          <w:rFonts w:ascii="Times New Roman" w:hAnsi="Times New Roman" w:cs="Times New Roman"/>
          <w:b/>
          <w:bCs/>
          <w:i/>
          <w:iCs/>
          <w:sz w:val="26"/>
          <w:szCs w:val="26"/>
        </w:rPr>
      </w:pPr>
      <w:r w:rsidRPr="002A7673">
        <w:rPr>
          <w:rFonts w:ascii="Times New Roman" w:hAnsi="Times New Roman" w:cs="Times New Roman"/>
          <w:b/>
          <w:bCs/>
          <w:i/>
          <w:iCs/>
          <w:sz w:val="26"/>
          <w:szCs w:val="26"/>
        </w:rPr>
        <w:t xml:space="preserve">A la Jefatura de la Defensa Pública </w:t>
      </w:r>
    </w:p>
    <w:p w14:paraId="32C3DEDF"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shd w:val="clear" w:color="auto" w:fill="FFFFFF"/>
        </w:rPr>
      </w:pPr>
    </w:p>
    <w:p w14:paraId="1F49D739"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shd w:val="clear" w:color="auto" w:fill="FFFFFF"/>
        </w:rPr>
      </w:pPr>
      <w:r w:rsidRPr="002A7673">
        <w:rPr>
          <w:rFonts w:ascii="Times New Roman" w:hAnsi="Times New Roman" w:cs="Times New Roman"/>
          <w:sz w:val="26"/>
          <w:szCs w:val="26"/>
          <w:shd w:val="clear" w:color="auto" w:fill="FFFFFF"/>
        </w:rPr>
        <w:t>Realizar los nombramientos y modificaciones necesarias en la Relación de Puestos de la Defensa Pública, con el fin que de forma prioritaria se dote del personal que reforzará las oficinas de la Defensa Pública requeridas, el destino de los recursos dadas las múltiples necesidades identificadas por la Dirección de Planificación debe ser articulado con dicha dependencia</w:t>
      </w:r>
    </w:p>
    <w:p w14:paraId="6ED260BF"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shd w:val="clear" w:color="auto" w:fill="FFFFFF"/>
        </w:rPr>
      </w:pPr>
    </w:p>
    <w:p w14:paraId="17D684B0" w14:textId="77777777" w:rsidR="0085505C" w:rsidRPr="002A7673" w:rsidRDefault="0085505C" w:rsidP="00FF3FAC">
      <w:pPr>
        <w:widowControl w:val="0"/>
        <w:numPr>
          <w:ilvl w:val="0"/>
          <w:numId w:val="87"/>
        </w:numPr>
        <w:autoSpaceDE w:val="0"/>
        <w:autoSpaceDN w:val="0"/>
        <w:adjustRightInd w:val="0"/>
        <w:spacing w:after="0" w:line="240" w:lineRule="auto"/>
        <w:ind w:left="851" w:right="851" w:firstLine="709"/>
        <w:jc w:val="both"/>
        <w:rPr>
          <w:rFonts w:ascii="Times New Roman" w:eastAsia="Times New Roman" w:hAnsi="Times New Roman" w:cs="Times New Roman"/>
          <w:b/>
          <w:bCs/>
          <w:i/>
          <w:iCs/>
          <w:sz w:val="26"/>
          <w:szCs w:val="26"/>
          <w:lang w:val="es-ES" w:eastAsia="es-ES"/>
        </w:rPr>
      </w:pPr>
      <w:r w:rsidRPr="002A7673">
        <w:rPr>
          <w:rFonts w:ascii="Times New Roman" w:eastAsia="Times New Roman" w:hAnsi="Times New Roman" w:cs="Times New Roman"/>
          <w:b/>
          <w:bCs/>
          <w:i/>
          <w:iCs/>
          <w:sz w:val="26"/>
          <w:szCs w:val="26"/>
          <w:lang w:val="es-ES" w:eastAsia="es-ES"/>
        </w:rPr>
        <w:t xml:space="preserve">A la Dirección de Planificación </w:t>
      </w:r>
    </w:p>
    <w:p w14:paraId="1BAD0CD0"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b/>
          <w:bCs/>
          <w:i/>
          <w:iCs/>
          <w:sz w:val="26"/>
          <w:szCs w:val="26"/>
        </w:rPr>
      </w:pPr>
    </w:p>
    <w:p w14:paraId="58D135DE"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rPr>
      </w:pPr>
      <w:r w:rsidRPr="002A7673">
        <w:rPr>
          <w:rFonts w:ascii="Times New Roman" w:hAnsi="Times New Roman" w:cs="Times New Roman"/>
          <w:sz w:val="26"/>
          <w:szCs w:val="26"/>
        </w:rPr>
        <w:t xml:space="preserve">Incluir en la formulación 2022 los ajustes que remita la Dirección de </w:t>
      </w:r>
      <w:r w:rsidRPr="002A7673">
        <w:rPr>
          <w:rFonts w:ascii="Times New Roman" w:hAnsi="Times New Roman" w:cs="Times New Roman"/>
          <w:sz w:val="26"/>
          <w:szCs w:val="26"/>
        </w:rPr>
        <w:lastRenderedPageBreak/>
        <w:t xml:space="preserve">Gestión Humana producto de los cambios que resulten aprobados. </w:t>
      </w:r>
    </w:p>
    <w:p w14:paraId="6D0C693A" w14:textId="77777777" w:rsidR="0085505C" w:rsidRPr="002A7673" w:rsidRDefault="0085505C" w:rsidP="0085505C">
      <w:pPr>
        <w:widowControl w:val="0"/>
        <w:spacing w:after="0" w:line="240" w:lineRule="auto"/>
        <w:ind w:left="851" w:right="851" w:firstLine="709"/>
        <w:jc w:val="both"/>
        <w:rPr>
          <w:rFonts w:ascii="Times New Roman" w:hAnsi="Times New Roman" w:cs="Times New Roman"/>
          <w:sz w:val="26"/>
          <w:szCs w:val="26"/>
          <w:shd w:val="clear" w:color="auto" w:fill="FFFFFF"/>
        </w:rPr>
      </w:pPr>
    </w:p>
    <w:p w14:paraId="102DBF46" w14:textId="77777777" w:rsidR="0085505C" w:rsidRPr="002A7673" w:rsidRDefault="0085505C" w:rsidP="0085505C">
      <w:pPr>
        <w:widowControl w:val="0"/>
        <w:spacing w:after="0" w:line="240" w:lineRule="auto"/>
        <w:ind w:left="851" w:right="851"/>
        <w:jc w:val="center"/>
        <w:rPr>
          <w:rFonts w:ascii="Times New Roman" w:hAnsi="Times New Roman" w:cs="Times New Roman"/>
          <w:b/>
          <w:bCs/>
          <w:sz w:val="26"/>
          <w:szCs w:val="26"/>
          <w:shd w:val="clear" w:color="auto" w:fill="FFFFFF"/>
        </w:rPr>
      </w:pPr>
      <w:r w:rsidRPr="002A7673">
        <w:rPr>
          <w:rFonts w:ascii="Times New Roman" w:hAnsi="Times New Roman" w:cs="Times New Roman"/>
          <w:b/>
          <w:bCs/>
          <w:sz w:val="26"/>
          <w:szCs w:val="26"/>
          <w:shd w:val="clear" w:color="auto" w:fill="FFFFFF"/>
        </w:rPr>
        <w:t>Anexos</w:t>
      </w:r>
    </w:p>
    <w:p w14:paraId="460F94CE" w14:textId="77777777" w:rsidR="0085505C" w:rsidRPr="002A7673" w:rsidRDefault="0085505C" w:rsidP="0085505C">
      <w:pPr>
        <w:widowControl w:val="0"/>
        <w:spacing w:after="0" w:line="240" w:lineRule="auto"/>
        <w:jc w:val="center"/>
        <w:rPr>
          <w:rFonts w:ascii="Times New Roman" w:hAnsi="Times New Roman" w:cs="Times New Roman"/>
          <w:b/>
          <w:bCs/>
          <w:shd w:val="clear" w:color="auto" w:fill="FFFFFF"/>
        </w:rPr>
      </w:pPr>
    </w:p>
    <w:tbl>
      <w:tblPr>
        <w:tblW w:w="5000" w:type="pct"/>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78"/>
        <w:gridCol w:w="5137"/>
        <w:gridCol w:w="2737"/>
      </w:tblGrid>
      <w:tr w:rsidR="0085505C" w:rsidRPr="002A7673" w14:paraId="18187F89" w14:textId="77777777" w:rsidTr="0048334E">
        <w:tc>
          <w:tcPr>
            <w:tcW w:w="921" w:type="pct"/>
            <w:tcBorders>
              <w:top w:val="outset" w:sz="6" w:space="0" w:color="365F91"/>
              <w:left w:val="outset" w:sz="6" w:space="0" w:color="365F91"/>
              <w:bottom w:val="single" w:sz="6" w:space="0" w:color="365F91"/>
              <w:right w:val="single" w:sz="6" w:space="0" w:color="365F91"/>
            </w:tcBorders>
            <w:shd w:val="clear" w:color="auto" w:fill="365F91"/>
            <w:vAlign w:val="center"/>
            <w:hideMark/>
          </w:tcPr>
          <w:p w14:paraId="5ECC7B66" w14:textId="77777777" w:rsidR="0085505C" w:rsidRPr="002A7673" w:rsidRDefault="0085505C" w:rsidP="0048334E">
            <w:pPr>
              <w:widowControl w:val="0"/>
              <w:autoSpaceDE w:val="0"/>
              <w:autoSpaceDN w:val="0"/>
              <w:adjustRightInd w:val="0"/>
              <w:spacing w:after="0" w:line="256" w:lineRule="auto"/>
              <w:ind w:left="142"/>
              <w:jc w:val="center"/>
              <w:rPr>
                <w:rFonts w:ascii="Times New Roman" w:eastAsia="Calibri" w:hAnsi="Times New Roman" w:cs="Times New Roman"/>
                <w:b/>
                <w:sz w:val="20"/>
                <w:szCs w:val="20"/>
              </w:rPr>
            </w:pPr>
            <w:r w:rsidRPr="002A7673">
              <w:rPr>
                <w:rFonts w:ascii="Times New Roman" w:eastAsia="Calibri" w:hAnsi="Times New Roman" w:cs="Times New Roman"/>
                <w:b/>
                <w:sz w:val="20"/>
                <w:szCs w:val="20"/>
              </w:rPr>
              <w:t>Consecutivo</w:t>
            </w:r>
          </w:p>
        </w:tc>
        <w:tc>
          <w:tcPr>
            <w:tcW w:w="2661" w:type="pct"/>
            <w:tcBorders>
              <w:top w:val="outset" w:sz="6" w:space="0" w:color="365F91"/>
              <w:left w:val="single" w:sz="6" w:space="0" w:color="365F91"/>
              <w:bottom w:val="single" w:sz="6" w:space="0" w:color="365F91"/>
              <w:right w:val="single" w:sz="6" w:space="0" w:color="365F91"/>
            </w:tcBorders>
            <w:shd w:val="clear" w:color="auto" w:fill="365F91"/>
            <w:vAlign w:val="center"/>
            <w:hideMark/>
          </w:tcPr>
          <w:p w14:paraId="65A6ECB7" w14:textId="77777777" w:rsidR="0085505C" w:rsidRPr="002A7673" w:rsidRDefault="0085505C" w:rsidP="0048334E">
            <w:pPr>
              <w:widowControl w:val="0"/>
              <w:autoSpaceDE w:val="0"/>
              <w:autoSpaceDN w:val="0"/>
              <w:adjustRightInd w:val="0"/>
              <w:spacing w:after="0" w:line="256" w:lineRule="auto"/>
              <w:ind w:left="142"/>
              <w:jc w:val="center"/>
              <w:rPr>
                <w:rFonts w:ascii="Times New Roman" w:eastAsia="Calibri" w:hAnsi="Times New Roman" w:cs="Times New Roman"/>
                <w:b/>
                <w:sz w:val="20"/>
                <w:szCs w:val="20"/>
              </w:rPr>
            </w:pPr>
            <w:r w:rsidRPr="002A7673">
              <w:rPr>
                <w:rFonts w:ascii="Times New Roman" w:eastAsia="Calibri" w:hAnsi="Times New Roman" w:cs="Times New Roman"/>
                <w:b/>
                <w:sz w:val="20"/>
                <w:szCs w:val="20"/>
              </w:rPr>
              <w:t>Nombre</w:t>
            </w:r>
          </w:p>
        </w:tc>
        <w:tc>
          <w:tcPr>
            <w:tcW w:w="1418" w:type="pct"/>
            <w:tcBorders>
              <w:top w:val="outset" w:sz="6" w:space="0" w:color="365F91"/>
              <w:left w:val="single" w:sz="6" w:space="0" w:color="365F91"/>
              <w:bottom w:val="single" w:sz="6" w:space="0" w:color="365F91"/>
              <w:right w:val="inset" w:sz="6" w:space="0" w:color="365F91"/>
            </w:tcBorders>
            <w:shd w:val="clear" w:color="auto" w:fill="365F91"/>
            <w:vAlign w:val="center"/>
            <w:hideMark/>
          </w:tcPr>
          <w:p w14:paraId="4FD42190" w14:textId="77777777" w:rsidR="0085505C" w:rsidRPr="002A7673" w:rsidRDefault="0085505C" w:rsidP="0048334E">
            <w:pPr>
              <w:widowControl w:val="0"/>
              <w:autoSpaceDE w:val="0"/>
              <w:autoSpaceDN w:val="0"/>
              <w:adjustRightInd w:val="0"/>
              <w:spacing w:after="0" w:line="256" w:lineRule="auto"/>
              <w:ind w:left="142"/>
              <w:jc w:val="center"/>
              <w:rPr>
                <w:rFonts w:ascii="Times New Roman" w:eastAsia="Calibri" w:hAnsi="Times New Roman" w:cs="Times New Roman"/>
                <w:b/>
                <w:sz w:val="20"/>
                <w:szCs w:val="20"/>
              </w:rPr>
            </w:pPr>
            <w:r w:rsidRPr="002A7673">
              <w:rPr>
                <w:rFonts w:ascii="Times New Roman" w:eastAsia="Calibri" w:hAnsi="Times New Roman" w:cs="Times New Roman"/>
                <w:b/>
                <w:sz w:val="20"/>
                <w:szCs w:val="20"/>
              </w:rPr>
              <w:t>Documento</w:t>
            </w:r>
          </w:p>
        </w:tc>
      </w:tr>
      <w:tr w:rsidR="0085505C" w:rsidRPr="002A7673" w14:paraId="4AA82EC6" w14:textId="77777777" w:rsidTr="0048334E">
        <w:tc>
          <w:tcPr>
            <w:tcW w:w="921" w:type="pct"/>
            <w:tcBorders>
              <w:top w:val="single" w:sz="6" w:space="0" w:color="365F91"/>
              <w:left w:val="outset" w:sz="6" w:space="0" w:color="365F91"/>
              <w:bottom w:val="inset" w:sz="6" w:space="0" w:color="365F91"/>
              <w:right w:val="single" w:sz="6" w:space="0" w:color="365F91"/>
            </w:tcBorders>
            <w:vAlign w:val="center"/>
            <w:hideMark/>
          </w:tcPr>
          <w:p w14:paraId="7EE165A9" w14:textId="77777777" w:rsidR="0085505C" w:rsidRPr="002A7673" w:rsidRDefault="0085505C" w:rsidP="0048334E">
            <w:pPr>
              <w:widowControl w:val="0"/>
              <w:autoSpaceDE w:val="0"/>
              <w:autoSpaceDN w:val="0"/>
              <w:adjustRightInd w:val="0"/>
              <w:spacing w:after="0" w:line="256" w:lineRule="auto"/>
              <w:ind w:left="142"/>
              <w:jc w:val="center"/>
              <w:rPr>
                <w:rFonts w:ascii="Times New Roman" w:eastAsia="Calibri" w:hAnsi="Times New Roman" w:cs="Times New Roman"/>
                <w:b/>
                <w:i/>
                <w:sz w:val="20"/>
                <w:szCs w:val="20"/>
              </w:rPr>
            </w:pPr>
            <w:r w:rsidRPr="002A7673">
              <w:rPr>
                <w:rFonts w:ascii="Times New Roman" w:eastAsia="Calibri" w:hAnsi="Times New Roman" w:cs="Times New Roman"/>
                <w:b/>
                <w:i/>
                <w:sz w:val="20"/>
                <w:szCs w:val="20"/>
              </w:rPr>
              <w:t>Anexo 1</w:t>
            </w:r>
          </w:p>
        </w:tc>
        <w:tc>
          <w:tcPr>
            <w:tcW w:w="2661" w:type="pct"/>
            <w:tcBorders>
              <w:top w:val="single" w:sz="6" w:space="0" w:color="365F91"/>
              <w:left w:val="single" w:sz="6" w:space="0" w:color="365F91"/>
              <w:bottom w:val="inset" w:sz="6" w:space="0" w:color="365F91"/>
              <w:right w:val="single" w:sz="6" w:space="0" w:color="365F91"/>
            </w:tcBorders>
            <w:vAlign w:val="center"/>
            <w:hideMark/>
          </w:tcPr>
          <w:p w14:paraId="2805FBC2" w14:textId="77777777" w:rsidR="0085505C" w:rsidRPr="002A7673" w:rsidRDefault="0085505C" w:rsidP="0048334E">
            <w:pPr>
              <w:widowControl w:val="0"/>
              <w:autoSpaceDE w:val="0"/>
              <w:autoSpaceDN w:val="0"/>
              <w:adjustRightInd w:val="0"/>
              <w:spacing w:after="0" w:line="256" w:lineRule="auto"/>
              <w:ind w:left="142"/>
              <w:jc w:val="center"/>
              <w:rPr>
                <w:rFonts w:ascii="Times New Roman" w:eastAsia="Calibri" w:hAnsi="Times New Roman" w:cs="Times New Roman"/>
                <w:sz w:val="20"/>
                <w:szCs w:val="20"/>
              </w:rPr>
            </w:pPr>
            <w:r w:rsidRPr="002A7673">
              <w:rPr>
                <w:rFonts w:ascii="Times New Roman" w:eastAsia="Calibri" w:hAnsi="Times New Roman" w:cs="Times New Roman"/>
                <w:sz w:val="20"/>
                <w:szCs w:val="20"/>
              </w:rPr>
              <w:t xml:space="preserve">Análisis de plazas de </w:t>
            </w:r>
            <w:proofErr w:type="gramStart"/>
            <w:r w:rsidRPr="002A7673">
              <w:rPr>
                <w:rFonts w:ascii="Times New Roman" w:eastAsia="Calibri" w:hAnsi="Times New Roman" w:cs="Times New Roman"/>
                <w:sz w:val="20"/>
                <w:szCs w:val="20"/>
              </w:rPr>
              <w:t>técnicas y técnicos</w:t>
            </w:r>
            <w:proofErr w:type="gramEnd"/>
            <w:r w:rsidRPr="002A7673">
              <w:rPr>
                <w:rFonts w:ascii="Times New Roman" w:eastAsia="Calibri" w:hAnsi="Times New Roman" w:cs="Times New Roman"/>
                <w:sz w:val="20"/>
                <w:szCs w:val="20"/>
              </w:rPr>
              <w:t xml:space="preserve"> jurídicos de la Defensa Pública</w:t>
            </w:r>
          </w:p>
        </w:tc>
        <w:tc>
          <w:tcPr>
            <w:tcW w:w="1418" w:type="pct"/>
            <w:tcBorders>
              <w:top w:val="single" w:sz="6" w:space="0" w:color="365F91"/>
              <w:left w:val="single" w:sz="6" w:space="0" w:color="365F91"/>
              <w:bottom w:val="inset" w:sz="6" w:space="0" w:color="365F91"/>
              <w:right w:val="inset" w:sz="6" w:space="0" w:color="365F91"/>
            </w:tcBorders>
            <w:vAlign w:val="center"/>
            <w:hideMark/>
          </w:tcPr>
          <w:p w14:paraId="08980298" w14:textId="77777777" w:rsidR="0085505C" w:rsidRPr="002A7673" w:rsidRDefault="0085505C" w:rsidP="0048334E">
            <w:pPr>
              <w:widowControl w:val="0"/>
              <w:autoSpaceDE w:val="0"/>
              <w:autoSpaceDN w:val="0"/>
              <w:adjustRightInd w:val="0"/>
              <w:spacing w:after="0" w:line="256" w:lineRule="auto"/>
              <w:ind w:left="142"/>
              <w:jc w:val="center"/>
              <w:rPr>
                <w:rFonts w:ascii="Times New Roman" w:eastAsia="Calibri" w:hAnsi="Times New Roman" w:cs="Times New Roman"/>
                <w:sz w:val="20"/>
                <w:szCs w:val="20"/>
              </w:rPr>
            </w:pPr>
            <w:r w:rsidRPr="002A7673">
              <w:rPr>
                <w:rFonts w:ascii="Times New Roman" w:hAnsi="Times New Roman" w:cs="Times New Roman"/>
                <w:noProof/>
                <w:sz w:val="20"/>
                <w:szCs w:val="20"/>
                <w:shd w:val="clear" w:color="auto" w:fill="FFFFFF"/>
              </w:rPr>
              <w:drawing>
                <wp:inline distT="0" distB="0" distL="0" distR="0" wp14:anchorId="300B339A" wp14:editId="38C766D9">
                  <wp:extent cx="1095375" cy="542925"/>
                  <wp:effectExtent l="0" t="0" r="0" b="0"/>
                  <wp:docPr id="1263269072" name="Imagen 126326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095375" cy="542925"/>
                          </a:xfrm>
                          <a:prstGeom prst="rect">
                            <a:avLst/>
                          </a:prstGeom>
                          <a:noFill/>
                          <a:ln>
                            <a:noFill/>
                          </a:ln>
                        </pic:spPr>
                      </pic:pic>
                    </a:graphicData>
                  </a:graphic>
                </wp:inline>
              </w:drawing>
            </w:r>
            <w:r w:rsidRPr="002A7673">
              <w:rPr>
                <w:rFonts w:ascii="Times New Roman" w:hAnsi="Times New Roman" w:cs="Times New Roman"/>
                <w:sz w:val="20"/>
                <w:szCs w:val="20"/>
                <w:shd w:val="clear" w:color="auto" w:fill="FFFFFF"/>
              </w:rPr>
              <w:t xml:space="preserve">  </w:t>
            </w:r>
          </w:p>
        </w:tc>
      </w:tr>
    </w:tbl>
    <w:p w14:paraId="31174C8E" w14:textId="77777777" w:rsidR="0085505C" w:rsidRPr="002A7673" w:rsidRDefault="0085505C" w:rsidP="0085505C">
      <w:pPr>
        <w:widowControl w:val="0"/>
        <w:spacing w:after="0" w:line="240" w:lineRule="auto"/>
        <w:jc w:val="both"/>
        <w:rPr>
          <w:rFonts w:ascii="Times New Roman" w:hAnsi="Times New Roman" w:cs="Times New Roman"/>
        </w:rPr>
      </w:pPr>
    </w:p>
    <w:p w14:paraId="65E0A944" w14:textId="77777777" w:rsidR="0085505C" w:rsidRPr="002A7673" w:rsidRDefault="0085505C" w:rsidP="0085505C">
      <w:pPr>
        <w:widowControl w:val="0"/>
        <w:spacing w:after="0" w:line="240" w:lineRule="auto"/>
        <w:ind w:left="851" w:right="851"/>
        <w:jc w:val="center"/>
        <w:rPr>
          <w:rFonts w:ascii="Times New Roman" w:hAnsi="Times New Roman" w:cs="Times New Roman"/>
          <w:bCs/>
          <w:iCs/>
          <w:sz w:val="26"/>
          <w:szCs w:val="26"/>
        </w:rPr>
      </w:pPr>
      <w:r w:rsidRPr="002A7673">
        <w:rPr>
          <w:rFonts w:ascii="Times New Roman" w:hAnsi="Times New Roman" w:cs="Times New Roman"/>
          <w:b/>
          <w:bCs/>
          <w:iCs/>
          <w:sz w:val="26"/>
          <w:szCs w:val="26"/>
        </w:rPr>
        <w:t>Anexos</w:t>
      </w:r>
    </w:p>
    <w:p w14:paraId="76CA930E" w14:textId="77777777" w:rsidR="0085505C" w:rsidRPr="002A7673" w:rsidRDefault="0085505C" w:rsidP="0085505C">
      <w:pPr>
        <w:widowControl w:val="0"/>
        <w:spacing w:after="0" w:line="240" w:lineRule="auto"/>
        <w:jc w:val="center"/>
        <w:rPr>
          <w:rFonts w:ascii="Times New Roman" w:hAnsi="Times New Roman"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5452"/>
        <w:gridCol w:w="2676"/>
      </w:tblGrid>
      <w:tr w:rsidR="0085505C" w:rsidRPr="002A7673" w14:paraId="13291116" w14:textId="77777777" w:rsidTr="0048334E">
        <w:trPr>
          <w:jc w:val="center"/>
        </w:trPr>
        <w:tc>
          <w:tcPr>
            <w:tcW w:w="871" w:type="pct"/>
            <w:shd w:val="clear" w:color="auto" w:fill="365F91"/>
            <w:vAlign w:val="center"/>
            <w:hideMark/>
          </w:tcPr>
          <w:p w14:paraId="54787BDE"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sz w:val="20"/>
                <w:szCs w:val="20"/>
              </w:rPr>
            </w:pPr>
            <w:r w:rsidRPr="002A7673">
              <w:rPr>
                <w:rFonts w:ascii="Times New Roman" w:hAnsi="Times New Roman" w:cs="Times New Roman"/>
                <w:b/>
                <w:sz w:val="20"/>
                <w:szCs w:val="20"/>
              </w:rPr>
              <w:t>Anexos</w:t>
            </w:r>
          </w:p>
        </w:tc>
        <w:tc>
          <w:tcPr>
            <w:tcW w:w="2901" w:type="pct"/>
            <w:shd w:val="clear" w:color="auto" w:fill="365F91"/>
            <w:vAlign w:val="center"/>
            <w:hideMark/>
          </w:tcPr>
          <w:p w14:paraId="2D34D030"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sz w:val="20"/>
                <w:szCs w:val="20"/>
              </w:rPr>
            </w:pPr>
            <w:r w:rsidRPr="002A7673">
              <w:rPr>
                <w:rFonts w:ascii="Times New Roman" w:hAnsi="Times New Roman" w:cs="Times New Roman"/>
                <w:b/>
                <w:sz w:val="20"/>
                <w:szCs w:val="20"/>
              </w:rPr>
              <w:t>Nombre</w:t>
            </w:r>
          </w:p>
        </w:tc>
        <w:tc>
          <w:tcPr>
            <w:tcW w:w="1228" w:type="pct"/>
            <w:shd w:val="clear" w:color="auto" w:fill="365F91"/>
            <w:vAlign w:val="center"/>
            <w:hideMark/>
          </w:tcPr>
          <w:p w14:paraId="5E23816D"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sz w:val="20"/>
                <w:szCs w:val="20"/>
              </w:rPr>
            </w:pPr>
            <w:r w:rsidRPr="002A7673">
              <w:rPr>
                <w:rFonts w:ascii="Times New Roman" w:hAnsi="Times New Roman" w:cs="Times New Roman"/>
                <w:b/>
                <w:sz w:val="20"/>
                <w:szCs w:val="20"/>
              </w:rPr>
              <w:t>Documento</w:t>
            </w:r>
          </w:p>
        </w:tc>
      </w:tr>
      <w:tr w:rsidR="0085505C" w:rsidRPr="002A7673" w14:paraId="29CCAF04" w14:textId="77777777" w:rsidTr="0048334E">
        <w:trPr>
          <w:jc w:val="center"/>
        </w:trPr>
        <w:tc>
          <w:tcPr>
            <w:tcW w:w="871" w:type="pct"/>
            <w:vAlign w:val="center"/>
            <w:hideMark/>
          </w:tcPr>
          <w:p w14:paraId="29812E58"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i/>
                <w:sz w:val="20"/>
                <w:szCs w:val="20"/>
              </w:rPr>
            </w:pPr>
            <w:r w:rsidRPr="002A7673">
              <w:rPr>
                <w:rFonts w:ascii="Times New Roman" w:hAnsi="Times New Roman" w:cs="Times New Roman"/>
                <w:b/>
                <w:i/>
                <w:sz w:val="20"/>
                <w:szCs w:val="20"/>
              </w:rPr>
              <w:t>Anexo 1</w:t>
            </w:r>
          </w:p>
        </w:tc>
        <w:tc>
          <w:tcPr>
            <w:tcW w:w="2901" w:type="pct"/>
            <w:vAlign w:val="center"/>
            <w:hideMark/>
          </w:tcPr>
          <w:p w14:paraId="5BDBA608"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sz w:val="20"/>
                <w:szCs w:val="20"/>
              </w:rPr>
            </w:pPr>
            <w:r w:rsidRPr="002A7673">
              <w:rPr>
                <w:rFonts w:ascii="Times New Roman" w:hAnsi="Times New Roman" w:cs="Times New Roman"/>
                <w:sz w:val="20"/>
                <w:szCs w:val="20"/>
              </w:rPr>
              <w:t>Oficio JEFDP-620-2021 del 20 de abril de 2021, suscrito por el máster Juan Carlos Pérez Murillo, Director de la Defensa Pública</w:t>
            </w:r>
          </w:p>
        </w:tc>
        <w:tc>
          <w:tcPr>
            <w:tcW w:w="1228" w:type="pct"/>
            <w:vAlign w:val="center"/>
            <w:hideMark/>
          </w:tcPr>
          <w:p w14:paraId="147D665D"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sz w:val="20"/>
                <w:szCs w:val="20"/>
              </w:rPr>
            </w:pPr>
            <w:r w:rsidRPr="002A7673">
              <w:rPr>
                <w:rFonts w:ascii="Times New Roman" w:hAnsi="Times New Roman" w:cs="Times New Roman"/>
                <w:noProof/>
                <w:sz w:val="20"/>
                <w:szCs w:val="20"/>
              </w:rPr>
              <w:drawing>
                <wp:inline distT="0" distB="0" distL="0" distR="0" wp14:anchorId="54C16CBF" wp14:editId="1B75B408">
                  <wp:extent cx="1552575" cy="733425"/>
                  <wp:effectExtent l="0" t="0" r="9525" b="0"/>
                  <wp:docPr id="1263269073" name="Imagen 126326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552575" cy="733425"/>
                          </a:xfrm>
                          <a:prstGeom prst="rect">
                            <a:avLst/>
                          </a:prstGeom>
                          <a:noFill/>
                          <a:ln>
                            <a:noFill/>
                          </a:ln>
                        </pic:spPr>
                      </pic:pic>
                    </a:graphicData>
                  </a:graphic>
                </wp:inline>
              </w:drawing>
            </w:r>
          </w:p>
        </w:tc>
      </w:tr>
      <w:tr w:rsidR="0085505C" w:rsidRPr="002A7673" w14:paraId="66C9BE53" w14:textId="77777777" w:rsidTr="0048334E">
        <w:trPr>
          <w:jc w:val="center"/>
        </w:trPr>
        <w:tc>
          <w:tcPr>
            <w:tcW w:w="871" w:type="pct"/>
            <w:vAlign w:val="center"/>
            <w:hideMark/>
          </w:tcPr>
          <w:p w14:paraId="2C62ECE5"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b/>
                <w:i/>
                <w:sz w:val="20"/>
                <w:szCs w:val="20"/>
              </w:rPr>
            </w:pPr>
            <w:r w:rsidRPr="002A7673">
              <w:rPr>
                <w:rFonts w:ascii="Times New Roman" w:hAnsi="Times New Roman" w:cs="Times New Roman"/>
                <w:b/>
                <w:i/>
                <w:sz w:val="20"/>
                <w:szCs w:val="20"/>
              </w:rPr>
              <w:t>Anexo 2</w:t>
            </w:r>
          </w:p>
        </w:tc>
        <w:tc>
          <w:tcPr>
            <w:tcW w:w="2901" w:type="pct"/>
            <w:vAlign w:val="center"/>
            <w:hideMark/>
          </w:tcPr>
          <w:p w14:paraId="6A26C8C2"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sz w:val="20"/>
                <w:szCs w:val="20"/>
              </w:rPr>
            </w:pPr>
            <w:r w:rsidRPr="002A7673">
              <w:rPr>
                <w:rFonts w:ascii="Times New Roman" w:hAnsi="Times New Roman" w:cs="Times New Roman"/>
                <w:sz w:val="20"/>
                <w:szCs w:val="20"/>
              </w:rPr>
              <w:t>Oficio JEFDP-635-2021 del 23 de abril de 2021, suscrito por el máster Juan Carlos Pérez Murillo, Director de la Defensa Pública</w:t>
            </w:r>
          </w:p>
        </w:tc>
        <w:tc>
          <w:tcPr>
            <w:tcW w:w="1228" w:type="pct"/>
            <w:vAlign w:val="center"/>
            <w:hideMark/>
          </w:tcPr>
          <w:p w14:paraId="6CF0A3D3" w14:textId="77777777" w:rsidR="0085505C" w:rsidRPr="002A7673" w:rsidRDefault="0085505C" w:rsidP="0048334E">
            <w:pPr>
              <w:widowControl w:val="0"/>
              <w:autoSpaceDE w:val="0"/>
              <w:autoSpaceDN w:val="0"/>
              <w:adjustRightInd w:val="0"/>
              <w:spacing w:after="0" w:line="256" w:lineRule="auto"/>
              <w:jc w:val="center"/>
              <w:rPr>
                <w:rFonts w:ascii="Times New Roman" w:hAnsi="Times New Roman" w:cs="Times New Roman"/>
                <w:sz w:val="20"/>
                <w:szCs w:val="20"/>
              </w:rPr>
            </w:pPr>
            <w:r w:rsidRPr="002A7673">
              <w:rPr>
                <w:rFonts w:ascii="Times New Roman" w:hAnsi="Times New Roman" w:cs="Times New Roman"/>
                <w:noProof/>
                <w:sz w:val="20"/>
                <w:szCs w:val="20"/>
              </w:rPr>
              <w:drawing>
                <wp:inline distT="0" distB="0" distL="0" distR="0" wp14:anchorId="0D8845D1" wp14:editId="3FEB0B2A">
                  <wp:extent cx="1457325" cy="733425"/>
                  <wp:effectExtent l="0" t="0" r="9525" b="0"/>
                  <wp:docPr id="1263269074" name="Imagen 1263269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457325" cy="733425"/>
                          </a:xfrm>
                          <a:prstGeom prst="rect">
                            <a:avLst/>
                          </a:prstGeom>
                          <a:noFill/>
                          <a:ln>
                            <a:noFill/>
                          </a:ln>
                        </pic:spPr>
                      </pic:pic>
                    </a:graphicData>
                  </a:graphic>
                </wp:inline>
              </w:drawing>
            </w:r>
          </w:p>
        </w:tc>
      </w:tr>
    </w:tbl>
    <w:p w14:paraId="64976CE9" w14:textId="77777777" w:rsidR="0085505C" w:rsidRPr="002A7673" w:rsidRDefault="0085505C" w:rsidP="0085505C">
      <w:pPr>
        <w:widowControl w:val="0"/>
        <w:spacing w:after="0" w:line="240" w:lineRule="auto"/>
        <w:jc w:val="both"/>
        <w:rPr>
          <w:rFonts w:ascii="Times New Roman" w:hAnsi="Times New Roman" w:cs="Times New Roman"/>
        </w:rPr>
      </w:pPr>
    </w:p>
    <w:p w14:paraId="203A2307" w14:textId="77777777" w:rsidR="0085505C" w:rsidRPr="002A7673" w:rsidRDefault="0085505C" w:rsidP="0085505C">
      <w:pPr>
        <w:widowControl w:val="0"/>
        <w:spacing w:after="120" w:line="240" w:lineRule="auto"/>
        <w:ind w:left="851" w:firstLine="709"/>
        <w:rPr>
          <w:rFonts w:ascii="Times New Roman" w:eastAsia="Times New Roman" w:hAnsi="Times New Roman" w:cs="Times New Roman"/>
          <w:bCs/>
          <w:sz w:val="26"/>
          <w:szCs w:val="26"/>
          <w:lang w:eastAsia="es-ES"/>
        </w:rPr>
      </w:pPr>
      <w:r w:rsidRPr="002A7673">
        <w:rPr>
          <w:rFonts w:ascii="Times New Roman" w:eastAsia="Times New Roman" w:hAnsi="Times New Roman" w:cs="Times New Roman"/>
          <w:bCs/>
          <w:sz w:val="26"/>
          <w:szCs w:val="26"/>
          <w:lang w:eastAsia="es-ES"/>
        </w:rPr>
        <w:t>…”</w:t>
      </w:r>
    </w:p>
    <w:p w14:paraId="715E8B19" w14:textId="77777777" w:rsidR="0085505C" w:rsidRPr="002A7673" w:rsidRDefault="0085505C" w:rsidP="0085505C">
      <w:pPr>
        <w:widowControl w:val="0"/>
        <w:spacing w:after="120" w:line="240" w:lineRule="auto"/>
        <w:rPr>
          <w:rFonts w:ascii="Times New Roman" w:eastAsia="Times New Roman" w:hAnsi="Times New Roman" w:cs="Times New Roman"/>
          <w:sz w:val="28"/>
          <w:szCs w:val="28"/>
          <w:lang w:eastAsia="es-ES"/>
        </w:rPr>
      </w:pPr>
    </w:p>
    <w:p w14:paraId="530B29D4" w14:textId="77777777" w:rsidR="0085505C" w:rsidRPr="002A7673" w:rsidRDefault="0085505C" w:rsidP="0085505C">
      <w:pPr>
        <w:widowControl w:val="0"/>
        <w:spacing w:after="120" w:line="480" w:lineRule="auto"/>
        <w:jc w:val="center"/>
        <w:rPr>
          <w:rFonts w:ascii="Times New Roman" w:eastAsia="Times New Roman" w:hAnsi="Times New Roman" w:cs="Times New Roman"/>
          <w:sz w:val="28"/>
          <w:szCs w:val="28"/>
          <w:lang w:eastAsia="es-ES"/>
        </w:rPr>
      </w:pPr>
      <w:r w:rsidRPr="002A7673">
        <w:rPr>
          <w:rFonts w:ascii="Times New Roman" w:eastAsia="Times New Roman" w:hAnsi="Times New Roman" w:cs="Times New Roman"/>
          <w:sz w:val="28"/>
          <w:szCs w:val="28"/>
          <w:lang w:eastAsia="es-ES"/>
        </w:rPr>
        <w:t>- 0 -</w:t>
      </w:r>
    </w:p>
    <w:p w14:paraId="6E508BA5" w14:textId="77777777" w:rsidR="0085505C" w:rsidRPr="002A7673" w:rsidRDefault="0085505C" w:rsidP="0085505C">
      <w:pPr>
        <w:widowControl w:val="0"/>
        <w:spacing w:after="120" w:line="480" w:lineRule="auto"/>
        <w:ind w:firstLine="708"/>
        <w:jc w:val="both"/>
        <w:rPr>
          <w:rFonts w:ascii="Times New Roman" w:eastAsia="Times New Roman" w:hAnsi="Times New Roman" w:cs="Times New Roman"/>
          <w:bCs/>
          <w:sz w:val="28"/>
          <w:szCs w:val="28"/>
          <w:lang w:eastAsia="es-ES"/>
        </w:rPr>
      </w:pPr>
      <w:r w:rsidRPr="002A7673">
        <w:rPr>
          <w:rFonts w:ascii="Times New Roman" w:eastAsia="Times New Roman" w:hAnsi="Times New Roman" w:cs="Times New Roman"/>
          <w:bCs/>
          <w:sz w:val="28"/>
          <w:szCs w:val="28"/>
          <w:lang w:eastAsia="es-ES"/>
        </w:rPr>
        <w:t xml:space="preserve">Por otra parte, mediante oficio JEFDP-673-2021 de este 30 de abril, el Master Juan Carlos Pérez Murillo, Director de la Defensa Pública,  señala que en atención a lo indicado en los oficios JEFDP-620-2021 y JEFDP-635-2021, relacionados con el informe 420-PLA-MI-2021, se aclara que en atención a las recomendaciones establecidas en el citado informe, la Defensa Pública requiere la recalificación de las 11 plazas allí establecidas, así como todas aquellas que han sido previamente aprobadas por Corte Plena, en sesión 031-2020 y los criterios técnicos establecidos en los informes </w:t>
      </w:r>
      <w:r w:rsidRPr="002A7673">
        <w:rPr>
          <w:rFonts w:ascii="Times New Roman" w:eastAsia="Times New Roman" w:hAnsi="Times New Roman" w:cs="Times New Roman"/>
          <w:bCs/>
          <w:sz w:val="28"/>
          <w:szCs w:val="28"/>
          <w:lang w:eastAsia="es-ES"/>
        </w:rPr>
        <w:lastRenderedPageBreak/>
        <w:t>507-PLA-RH-MI-2020 y 34-PLA-EV-2017.</w:t>
      </w:r>
    </w:p>
    <w:p w14:paraId="230A2CC8" w14:textId="77777777" w:rsidR="0085505C" w:rsidRPr="002A7673" w:rsidRDefault="0085505C" w:rsidP="0085505C">
      <w:pPr>
        <w:widowControl w:val="0"/>
        <w:spacing w:after="120" w:line="480" w:lineRule="auto"/>
        <w:rPr>
          <w:rFonts w:ascii="Times New Roman" w:eastAsia="Times New Roman" w:hAnsi="Times New Roman" w:cs="Times New Roman"/>
          <w:b/>
          <w:sz w:val="28"/>
          <w:szCs w:val="28"/>
          <w:lang w:eastAsia="es-ES"/>
        </w:rPr>
      </w:pPr>
      <w:r w:rsidRPr="002A7673">
        <w:rPr>
          <w:rFonts w:ascii="Times New Roman" w:eastAsia="Times New Roman" w:hAnsi="Times New Roman" w:cs="Times New Roman"/>
          <w:bCs/>
          <w:sz w:val="28"/>
          <w:szCs w:val="28"/>
          <w:lang w:eastAsia="es-ES"/>
        </w:rPr>
        <w:t>Se adjuntan los informes correspondientes</w:t>
      </w:r>
      <w:r w:rsidRPr="002A7673">
        <w:rPr>
          <w:rFonts w:ascii="Times New Roman" w:eastAsia="Times New Roman" w:hAnsi="Times New Roman" w:cs="Times New Roman"/>
          <w:b/>
          <w:sz w:val="28"/>
          <w:szCs w:val="28"/>
          <w:lang w:eastAsia="es-ES"/>
        </w:rPr>
        <w:t>.</w:t>
      </w:r>
    </w:p>
    <w:p w14:paraId="5864C79A" w14:textId="77777777" w:rsidR="0085505C" w:rsidRPr="002A7673" w:rsidRDefault="0085505C" w:rsidP="0085505C">
      <w:pPr>
        <w:widowControl w:val="0"/>
        <w:spacing w:after="120" w:line="480" w:lineRule="auto"/>
        <w:ind w:firstLine="709"/>
        <w:rPr>
          <w:rFonts w:ascii="Times New Roman" w:eastAsia="Times New Roman" w:hAnsi="Times New Roman" w:cs="Times New Roman"/>
          <w:b/>
          <w:sz w:val="28"/>
          <w:szCs w:val="28"/>
          <w:lang w:eastAsia="es-ES"/>
        </w:rPr>
      </w:pPr>
      <w:r w:rsidRPr="002A7673">
        <w:rPr>
          <w:rFonts w:ascii="Times New Roman" w:eastAsia="Times New Roman" w:hAnsi="Times New Roman" w:cs="Times New Roman"/>
          <w:b/>
          <w:sz w:val="28"/>
          <w:szCs w:val="28"/>
          <w:lang w:eastAsia="es-ES"/>
        </w:rPr>
        <w:object w:dxaOrig="1508" w:dyaOrig="984" w14:anchorId="7FDB0314">
          <v:shape id="_x0000_i1163" type="#_x0000_t75" style="width:1in;height:50.25pt" o:ole="">
            <v:imagedata r:id="rId379" o:title=""/>
          </v:shape>
          <o:OLEObject Type="Embed" ProgID="AcroExch.Document.DC" ShapeID="_x0000_i1163" DrawAspect="Icon" ObjectID="_1684067106" r:id="rId380"/>
        </w:object>
      </w:r>
      <w:r w:rsidRPr="002A7673">
        <w:rPr>
          <w:rFonts w:ascii="Times New Roman" w:eastAsia="Times New Roman" w:hAnsi="Times New Roman" w:cs="Times New Roman"/>
          <w:b/>
          <w:sz w:val="28"/>
          <w:szCs w:val="28"/>
          <w:lang w:eastAsia="es-ES"/>
        </w:rPr>
        <w:object w:dxaOrig="1508" w:dyaOrig="984" w14:anchorId="1012071C">
          <v:shape id="_x0000_i1164" type="#_x0000_t75" style="width:1in;height:50.25pt" o:ole="">
            <v:imagedata r:id="rId381" o:title=""/>
          </v:shape>
          <o:OLEObject Type="Embed" ProgID="AcroExch.Document.DC" ShapeID="_x0000_i1164" DrawAspect="Icon" ObjectID="_1684067107" r:id="rId382"/>
        </w:object>
      </w:r>
      <w:bookmarkStart w:id="265" w:name="_MON_1681317999"/>
      <w:bookmarkEnd w:id="265"/>
      <w:r w:rsidRPr="002A7673">
        <w:rPr>
          <w:rFonts w:ascii="Times New Roman" w:eastAsia="Times New Roman" w:hAnsi="Times New Roman" w:cs="Times New Roman"/>
          <w:b/>
          <w:sz w:val="28"/>
          <w:szCs w:val="28"/>
          <w:lang w:eastAsia="es-ES"/>
        </w:rPr>
        <w:object w:dxaOrig="1508" w:dyaOrig="984" w14:anchorId="1EA785EE">
          <v:shape id="_x0000_i1165" type="#_x0000_t75" style="width:1in;height:50.25pt" o:ole="">
            <v:imagedata r:id="rId383" o:title=""/>
          </v:shape>
          <o:OLEObject Type="Embed" ProgID="Word.Document.12" ShapeID="_x0000_i1165" DrawAspect="Icon" ObjectID="_1684067108" r:id="rId384">
            <o:FieldCodes>\s</o:FieldCodes>
          </o:OLEObject>
        </w:object>
      </w:r>
      <w:bookmarkStart w:id="266" w:name="_MON_1681318041"/>
      <w:bookmarkEnd w:id="266"/>
      <w:r w:rsidRPr="002A7673">
        <w:rPr>
          <w:rFonts w:ascii="Times New Roman" w:eastAsia="Times New Roman" w:hAnsi="Times New Roman" w:cs="Times New Roman"/>
          <w:b/>
          <w:sz w:val="28"/>
          <w:szCs w:val="28"/>
          <w:lang w:eastAsia="es-ES"/>
        </w:rPr>
        <w:object w:dxaOrig="1508" w:dyaOrig="984" w14:anchorId="1BC9BD40">
          <v:shape id="_x0000_i1166" type="#_x0000_t75" style="width:1in;height:50.25pt" o:ole="">
            <v:imagedata r:id="rId385" o:title=""/>
          </v:shape>
          <o:OLEObject Type="Embed" ProgID="Word.Document.12" ShapeID="_x0000_i1166" DrawAspect="Icon" ObjectID="_1684067109" r:id="rId386">
            <o:FieldCodes>\s</o:FieldCodes>
          </o:OLEObject>
        </w:object>
      </w:r>
      <w:r w:rsidRPr="002A7673">
        <w:rPr>
          <w:rFonts w:ascii="Times New Roman" w:eastAsia="Times New Roman" w:hAnsi="Times New Roman" w:cs="Times New Roman"/>
          <w:b/>
          <w:sz w:val="28"/>
          <w:szCs w:val="28"/>
          <w:lang w:eastAsia="es-ES"/>
        </w:rPr>
        <w:object w:dxaOrig="1508" w:dyaOrig="984" w14:anchorId="256E0629">
          <v:shape id="_x0000_i1167" type="#_x0000_t75" style="width:1in;height:50.25pt" o:ole="">
            <v:imagedata r:id="rId387" o:title=""/>
          </v:shape>
          <o:OLEObject Type="Embed" ProgID="AcroExch.Document.DC" ShapeID="_x0000_i1167" DrawAspect="Icon" ObjectID="_1684067110" r:id="rId388"/>
        </w:object>
      </w:r>
    </w:p>
    <w:p w14:paraId="2D4A3BB5" w14:textId="043D482D" w:rsidR="0085505C" w:rsidRPr="002A7673" w:rsidRDefault="0085505C" w:rsidP="0085505C">
      <w:pPr>
        <w:widowControl w:val="0"/>
        <w:spacing w:after="120" w:line="480" w:lineRule="auto"/>
        <w:ind w:firstLine="709"/>
        <w:jc w:val="both"/>
        <w:rPr>
          <w:rFonts w:ascii="Times New Roman" w:eastAsia="Times New Roman" w:hAnsi="Times New Roman" w:cs="Times New Roman"/>
          <w:b/>
          <w:bCs/>
          <w:sz w:val="28"/>
          <w:szCs w:val="28"/>
          <w:lang w:eastAsia="es-ES"/>
        </w:rPr>
      </w:pPr>
      <w:r w:rsidRPr="002A7673">
        <w:rPr>
          <w:rFonts w:ascii="Times New Roman" w:eastAsia="Times New Roman" w:hAnsi="Times New Roman" w:cs="Times New Roman"/>
          <w:b/>
          <w:sz w:val="28"/>
          <w:szCs w:val="28"/>
          <w:lang w:eastAsia="es-ES"/>
        </w:rPr>
        <w:t>Se acordó</w:t>
      </w:r>
      <w:r w:rsidRPr="002A7673">
        <w:rPr>
          <w:rFonts w:ascii="Times New Roman" w:eastAsia="Times New Roman" w:hAnsi="Times New Roman" w:cs="Times New Roman"/>
          <w:sz w:val="28"/>
          <w:szCs w:val="28"/>
          <w:lang w:eastAsia="es-ES"/>
        </w:rPr>
        <w:t xml:space="preserve">: </w:t>
      </w:r>
      <w:r w:rsidRPr="002A7673">
        <w:rPr>
          <w:rFonts w:ascii="Times New Roman" w:eastAsia="Times New Roman" w:hAnsi="Times New Roman" w:cs="Times New Roman"/>
          <w:b/>
          <w:bCs/>
          <w:sz w:val="28"/>
          <w:szCs w:val="28"/>
          <w:lang w:eastAsia="es-ES"/>
        </w:rPr>
        <w:t>1)</w:t>
      </w:r>
      <w:r w:rsidRPr="002A7673">
        <w:rPr>
          <w:rFonts w:ascii="Times New Roman" w:eastAsia="Times New Roman" w:hAnsi="Times New Roman" w:cs="Times New Roman"/>
          <w:sz w:val="28"/>
          <w:szCs w:val="28"/>
          <w:lang w:eastAsia="es-ES"/>
        </w:rPr>
        <w:t xml:space="preserve"> Aprobar el informe 499-PLA-MI-2021 y sus recomendaciones, con la aclaración de que se acoge la recomendación de reclasificación de 11 plazas de </w:t>
      </w:r>
      <w:proofErr w:type="gramStart"/>
      <w:r w:rsidRPr="002A7673">
        <w:rPr>
          <w:rFonts w:ascii="Times New Roman" w:eastAsia="Times New Roman" w:hAnsi="Times New Roman" w:cs="Times New Roman"/>
          <w:sz w:val="28"/>
          <w:szCs w:val="28"/>
          <w:lang w:eastAsia="es-ES"/>
        </w:rPr>
        <w:t>Técnicas y Técnicos</w:t>
      </w:r>
      <w:proofErr w:type="gramEnd"/>
      <w:r w:rsidRPr="002A7673">
        <w:rPr>
          <w:rFonts w:ascii="Times New Roman" w:eastAsia="Times New Roman" w:hAnsi="Times New Roman" w:cs="Times New Roman"/>
          <w:sz w:val="28"/>
          <w:szCs w:val="28"/>
          <w:lang w:eastAsia="es-ES"/>
        </w:rPr>
        <w:t xml:space="preserve"> Jurídicos de la </w:t>
      </w:r>
      <w:bookmarkStart w:id="267" w:name="_Hlk70877114"/>
      <w:r w:rsidRPr="002A7673">
        <w:rPr>
          <w:rFonts w:ascii="Times New Roman" w:eastAsia="Times New Roman" w:hAnsi="Times New Roman" w:cs="Times New Roman"/>
          <w:sz w:val="28"/>
          <w:szCs w:val="28"/>
          <w:lang w:eastAsia="es-ES"/>
        </w:rPr>
        <w:t>Defensa Pública</w:t>
      </w:r>
      <w:bookmarkEnd w:id="267"/>
      <w:r w:rsidRPr="002A7673">
        <w:rPr>
          <w:rFonts w:ascii="Times New Roman" w:eastAsia="Times New Roman" w:hAnsi="Times New Roman" w:cs="Times New Roman"/>
          <w:sz w:val="28"/>
          <w:szCs w:val="28"/>
          <w:lang w:eastAsia="es-ES"/>
        </w:rPr>
        <w:t xml:space="preserve">. </w:t>
      </w:r>
      <w:r w:rsidRPr="002A7673">
        <w:rPr>
          <w:rFonts w:ascii="Times New Roman" w:eastAsia="Times New Roman" w:hAnsi="Times New Roman" w:cs="Times New Roman"/>
          <w:b/>
          <w:bCs/>
          <w:sz w:val="28"/>
          <w:szCs w:val="28"/>
          <w:lang w:eastAsia="es-ES"/>
        </w:rPr>
        <w:t>Se declara acuerdo firme.</w:t>
      </w:r>
    </w:p>
    <w:p w14:paraId="2D08A9F1" w14:textId="1BC372BC" w:rsidR="00FE3D86" w:rsidRPr="002A7673" w:rsidRDefault="00FE3D86" w:rsidP="00FE3D86">
      <w:pPr>
        <w:keepNext/>
        <w:shd w:val="clear" w:color="auto" w:fill="FFFFFF"/>
        <w:autoSpaceDE w:val="0"/>
        <w:autoSpaceDN w:val="0"/>
        <w:spacing w:line="360" w:lineRule="auto"/>
        <w:jc w:val="center"/>
        <w:outlineLvl w:val="0"/>
        <w:rPr>
          <w:rFonts w:ascii="Times New Roman" w:hAnsi="Times New Roman" w:cs="Times New Roman"/>
          <w:i/>
          <w:color w:val="00B050"/>
          <w:u w:val="single"/>
        </w:rPr>
      </w:pPr>
      <w:r w:rsidRPr="002A7673">
        <w:rPr>
          <w:rFonts w:ascii="Times New Roman" w:eastAsia="Times New Roman" w:hAnsi="Times New Roman" w:cs="Times New Roman"/>
          <w:b/>
          <w:bCs/>
          <w:color w:val="000000"/>
          <w:kern w:val="36"/>
          <w:sz w:val="28"/>
          <w:szCs w:val="28"/>
          <w:u w:val="single"/>
          <w:lang w:eastAsia="es-ES"/>
        </w:rPr>
        <w:t>ARTÍCULO XXI</w:t>
      </w:r>
    </w:p>
    <w:p w14:paraId="33A51774" w14:textId="77777777" w:rsidR="00FE3D86" w:rsidRPr="002A7673" w:rsidRDefault="00FE3D86" w:rsidP="00FE3D86">
      <w:pPr>
        <w:pStyle w:val="Textoindependiente"/>
        <w:spacing w:line="480" w:lineRule="auto"/>
        <w:rPr>
          <w:b/>
          <w:bCs/>
          <w:color w:val="00B050"/>
          <w:sz w:val="28"/>
          <w:szCs w:val="28"/>
        </w:rPr>
      </w:pPr>
      <w:r w:rsidRPr="002A7673">
        <w:rPr>
          <w:b/>
          <w:bCs/>
          <w:sz w:val="28"/>
          <w:szCs w:val="28"/>
        </w:rPr>
        <w:t xml:space="preserve">Documento Nº 4528-2021 </w:t>
      </w:r>
    </w:p>
    <w:p w14:paraId="0AA1672E" w14:textId="4E7F01B9" w:rsidR="007C57B7" w:rsidRPr="00CE52AB" w:rsidRDefault="00FE3D86" w:rsidP="00FB7AFE">
      <w:pPr>
        <w:pStyle w:val="Default"/>
        <w:spacing w:line="480" w:lineRule="auto"/>
        <w:jc w:val="both"/>
        <w:rPr>
          <w:rFonts w:ascii="Times New Roman" w:hAnsi="Times New Roman" w:cs="Times New Roman"/>
          <w:b/>
          <w:sz w:val="28"/>
          <w:szCs w:val="28"/>
          <w:lang w:val="es-ES" w:eastAsia="es-ES"/>
        </w:rPr>
      </w:pPr>
      <w:r w:rsidRPr="002A7673">
        <w:rPr>
          <w:rFonts w:ascii="Times New Roman" w:hAnsi="Times New Roman" w:cs="Times New Roman"/>
          <w:kern w:val="36"/>
          <w:sz w:val="28"/>
          <w:szCs w:val="28"/>
          <w:lang w:eastAsia="es-ES"/>
        </w:rPr>
        <w:t xml:space="preserve">Integrantes del Consejo Superior </w:t>
      </w:r>
      <w:r w:rsidRPr="00CE52AB">
        <w:rPr>
          <w:rFonts w:ascii="Times New Roman" w:hAnsi="Times New Roman" w:cs="Times New Roman"/>
          <w:kern w:val="36"/>
          <w:sz w:val="28"/>
          <w:szCs w:val="28"/>
          <w:lang w:eastAsia="es-ES"/>
        </w:rPr>
        <w:t>ante</w:t>
      </w:r>
      <w:r w:rsidR="00CE52AB" w:rsidRPr="00CE52AB">
        <w:rPr>
          <w:rFonts w:ascii="Times New Roman" w:hAnsi="Times New Roman" w:cs="Times New Roman"/>
          <w:kern w:val="36"/>
          <w:sz w:val="28"/>
          <w:szCs w:val="28"/>
          <w:lang w:eastAsia="es-ES"/>
        </w:rPr>
        <w:t xml:space="preserve"> l</w:t>
      </w:r>
      <w:r w:rsidRPr="00CE52AB">
        <w:rPr>
          <w:rFonts w:ascii="Times New Roman" w:hAnsi="Times New Roman" w:cs="Times New Roman"/>
          <w:sz w:val="28"/>
          <w:szCs w:val="28"/>
        </w:rPr>
        <w:t>a</w:t>
      </w:r>
      <w:r w:rsidRPr="002A7673">
        <w:rPr>
          <w:rFonts w:ascii="Times New Roman" w:hAnsi="Times New Roman" w:cs="Times New Roman"/>
          <w:sz w:val="28"/>
          <w:szCs w:val="28"/>
        </w:rPr>
        <w:t xml:space="preserve"> alta proliferación de casos producto del COVID-19, acuerdan incluir en la presente Acta de Presupuesto las gestiones de la Comisión de Emergencia, la cual se encuentra en el siguiente artículo XXII y las de la </w:t>
      </w:r>
      <w:r w:rsidRPr="002A7673">
        <w:rPr>
          <w:rFonts w:ascii="Times New Roman" w:hAnsi="Times New Roman" w:cs="Times New Roman"/>
          <w:bCs/>
          <w:sz w:val="28"/>
          <w:szCs w:val="28"/>
          <w:lang w:val="es-ES" w:eastAsia="es-ES"/>
        </w:rPr>
        <w:t xml:space="preserve">Comisión de la Jurisdicción Penal, las cuales se encuentran en los artículos XXIV Y XXV. </w:t>
      </w:r>
      <w:r w:rsidRPr="002A7673">
        <w:rPr>
          <w:rFonts w:ascii="Times New Roman" w:hAnsi="Times New Roman" w:cs="Times New Roman"/>
          <w:b/>
          <w:sz w:val="28"/>
          <w:szCs w:val="28"/>
          <w:lang w:val="es-ES" w:eastAsia="es-ES"/>
        </w:rPr>
        <w:t>Se declara acuerdo firme.</w:t>
      </w:r>
    </w:p>
    <w:p w14:paraId="5333A845" w14:textId="71AFFD14" w:rsidR="00EF57CF" w:rsidRPr="005800D8" w:rsidRDefault="00EF57CF" w:rsidP="00EF57CF">
      <w:pPr>
        <w:keepNext/>
        <w:shd w:val="clear" w:color="auto" w:fill="FFFFFF"/>
        <w:autoSpaceDE w:val="0"/>
        <w:autoSpaceDN w:val="0"/>
        <w:spacing w:after="0" w:line="360" w:lineRule="auto"/>
        <w:jc w:val="center"/>
        <w:outlineLvl w:val="0"/>
        <w:rPr>
          <w:rFonts w:ascii="Times New Roman" w:eastAsia="Calibri" w:hAnsi="Times New Roman" w:cs="Times New Roman"/>
          <w:i/>
          <w:color w:val="00B050"/>
          <w:u w:val="single"/>
        </w:rPr>
      </w:pPr>
      <w:r w:rsidRPr="00886CEB">
        <w:rPr>
          <w:rFonts w:ascii="Times New Roman" w:eastAsia="Times New Roman" w:hAnsi="Times New Roman" w:cs="Times New Roman"/>
          <w:b/>
          <w:bCs/>
          <w:color w:val="000000"/>
          <w:kern w:val="36"/>
          <w:sz w:val="28"/>
          <w:szCs w:val="28"/>
          <w:u w:val="single"/>
          <w:lang w:eastAsia="es-ES"/>
        </w:rPr>
        <w:t>ARTÍCULO XXII</w:t>
      </w:r>
      <w:r>
        <w:rPr>
          <w:rFonts w:ascii="Times New Roman" w:eastAsia="Times New Roman" w:hAnsi="Times New Roman" w:cs="Times New Roman"/>
          <w:b/>
          <w:bCs/>
          <w:color w:val="000000"/>
          <w:kern w:val="36"/>
          <w:sz w:val="28"/>
          <w:szCs w:val="28"/>
          <w:u w:val="single"/>
          <w:lang w:eastAsia="es-ES"/>
        </w:rPr>
        <w:t xml:space="preserve"> </w:t>
      </w:r>
    </w:p>
    <w:p w14:paraId="7FCB3442" w14:textId="77777777" w:rsidR="00EF57CF" w:rsidRPr="00886CEB" w:rsidRDefault="00EF57CF" w:rsidP="00EF57CF">
      <w:pPr>
        <w:spacing w:after="0" w:line="480" w:lineRule="auto"/>
        <w:rPr>
          <w:rFonts w:ascii="Times New Roman" w:eastAsia="Times New Roman" w:hAnsi="Times New Roman" w:cs="Times New Roman"/>
          <w:b/>
          <w:bCs/>
          <w:color w:val="00B050"/>
          <w:sz w:val="28"/>
          <w:szCs w:val="28"/>
          <w:lang w:eastAsia="es-ES"/>
        </w:rPr>
      </w:pPr>
      <w:r w:rsidRPr="00886CEB">
        <w:rPr>
          <w:rFonts w:ascii="Times New Roman" w:eastAsia="Times New Roman" w:hAnsi="Times New Roman" w:cs="Times New Roman"/>
          <w:b/>
          <w:bCs/>
          <w:sz w:val="28"/>
          <w:szCs w:val="28"/>
          <w:lang w:eastAsia="es-ES"/>
        </w:rPr>
        <w:t xml:space="preserve">Documento Nº 29-2021 / </w:t>
      </w:r>
      <w:r w:rsidRPr="00886CEB">
        <w:rPr>
          <w:rFonts w:ascii="Times New Roman" w:eastAsia="Times New Roman" w:hAnsi="Times New Roman" w:cs="Times New Roman"/>
          <w:b/>
          <w:bCs/>
          <w:color w:val="00B050"/>
          <w:sz w:val="28"/>
          <w:szCs w:val="28"/>
          <w:lang w:eastAsia="es-ES"/>
        </w:rPr>
        <w:t>4332-2021</w:t>
      </w:r>
    </w:p>
    <w:p w14:paraId="31A0B5F9" w14:textId="77777777" w:rsidR="00EF57CF" w:rsidRPr="00886CEB" w:rsidRDefault="00EF57CF" w:rsidP="00EF57CF">
      <w:pPr>
        <w:spacing w:after="0" w:line="480" w:lineRule="auto"/>
        <w:ind w:left="14" w:firstLine="695"/>
        <w:jc w:val="both"/>
        <w:rPr>
          <w:rFonts w:ascii="Times New Roman" w:eastAsia="Calibri" w:hAnsi="Times New Roman" w:cs="Times New Roman"/>
          <w:sz w:val="28"/>
          <w:szCs w:val="28"/>
        </w:rPr>
      </w:pPr>
      <w:r w:rsidRPr="00886CEB">
        <w:rPr>
          <w:rFonts w:ascii="Times New Roman" w:eastAsia="Calibri" w:hAnsi="Times New Roman" w:cs="Times New Roman"/>
          <w:bCs/>
          <w:sz w:val="28"/>
          <w:szCs w:val="28"/>
        </w:rPr>
        <w:lastRenderedPageBreak/>
        <w:t xml:space="preserve">El magistrado Luis Guillermo Rivas, en su condición de Coordinador de la Comisión de Emergencias, mediante oficio N° </w:t>
      </w:r>
      <w:r w:rsidRPr="00886CEB">
        <w:rPr>
          <w:rFonts w:ascii="Times New Roman" w:eastAsia="Calibri" w:hAnsi="Times New Roman" w:cs="Times New Roman"/>
          <w:sz w:val="28"/>
          <w:szCs w:val="28"/>
        </w:rPr>
        <w:t>DP-190-2021 del 29 de abril de 2021, comunicó:</w:t>
      </w:r>
    </w:p>
    <w:p w14:paraId="7D71DDCE"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 xml:space="preserve">“En atención a la emergencia sanitaria que enfrenta el país producto del COVID-19 y ante la alta proliferación de casos de las últimas semanas, la Comisión de Emergencia en la sesión de trabajo efectuada el 28 de abril del presente año acordó: </w:t>
      </w:r>
    </w:p>
    <w:p w14:paraId="14572B90"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sz w:val="26"/>
          <w:szCs w:val="26"/>
          <w:lang w:eastAsia="es-ES"/>
        </w:rPr>
      </w:pPr>
    </w:p>
    <w:p w14:paraId="6F2EF360" w14:textId="77777777" w:rsidR="00EF57CF" w:rsidRPr="00886CEB" w:rsidRDefault="00EF57CF" w:rsidP="00F962B6">
      <w:pPr>
        <w:numPr>
          <w:ilvl w:val="0"/>
          <w:numId w:val="97"/>
        </w:numPr>
        <w:spacing w:after="0" w:line="240" w:lineRule="auto"/>
        <w:ind w:left="851" w:right="851" w:firstLine="709"/>
        <w:jc w:val="both"/>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 xml:space="preserve">Solicitar al Consejo Superior dictar una circular que contenga los puntos principales de las circulares aprobadas y vigentes en relación con la materia. Este documento permitirá tener claridad de las medidas a optar por las distintas oficinas de la institución, según el circuito y la jurisdicción correspondiente. </w:t>
      </w:r>
    </w:p>
    <w:p w14:paraId="773B8F53"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sz w:val="26"/>
          <w:szCs w:val="26"/>
          <w:lang w:eastAsia="es-ES"/>
        </w:rPr>
      </w:pPr>
    </w:p>
    <w:p w14:paraId="42F66142" w14:textId="77777777" w:rsidR="00EF57CF" w:rsidRPr="00886CEB" w:rsidRDefault="00EF57CF" w:rsidP="00F962B6">
      <w:pPr>
        <w:numPr>
          <w:ilvl w:val="0"/>
          <w:numId w:val="97"/>
        </w:numPr>
        <w:spacing w:after="0" w:line="240" w:lineRule="auto"/>
        <w:ind w:left="851" w:right="851" w:firstLine="709"/>
        <w:jc w:val="both"/>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 xml:space="preserve">Realizar una campaña de difusión, por medio del Departamento de Prensa y Comunicación, sobre la circular aprobada. </w:t>
      </w:r>
    </w:p>
    <w:p w14:paraId="00FDEF6E"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sz w:val="26"/>
          <w:szCs w:val="26"/>
          <w:lang w:eastAsia="es-ES"/>
        </w:rPr>
      </w:pPr>
    </w:p>
    <w:p w14:paraId="28D70942" w14:textId="77777777" w:rsidR="00EF57CF" w:rsidRPr="00886CEB" w:rsidRDefault="00EF57CF" w:rsidP="00F962B6">
      <w:pPr>
        <w:numPr>
          <w:ilvl w:val="0"/>
          <w:numId w:val="97"/>
        </w:numPr>
        <w:spacing w:after="0" w:line="240" w:lineRule="auto"/>
        <w:ind w:left="851" w:right="851" w:firstLine="709"/>
        <w:jc w:val="both"/>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 xml:space="preserve">De conformidad con lo dispuesto en los artículos 2, inciso e) y 18 del </w:t>
      </w:r>
      <w:r w:rsidRPr="00886CEB">
        <w:rPr>
          <w:rFonts w:ascii="Times New Roman" w:eastAsia="Times New Roman" w:hAnsi="Times New Roman" w:cs="Times New Roman"/>
          <w:b/>
          <w:bCs/>
          <w:sz w:val="26"/>
          <w:szCs w:val="26"/>
          <w:lang w:eastAsia="es-ES"/>
        </w:rPr>
        <w:t>REGLAMENTO PARA REGULAR LA MODALIDAD DE PRESTACIÓN DE SERVICIOS EN TELETRABAJO EN EL PODER JUDICIAL</w:t>
      </w:r>
      <w:r w:rsidRPr="00886CEB">
        <w:rPr>
          <w:rFonts w:ascii="Times New Roman" w:eastAsia="Times New Roman" w:hAnsi="Times New Roman" w:cs="Times New Roman"/>
          <w:sz w:val="26"/>
          <w:szCs w:val="26"/>
          <w:lang w:eastAsia="es-ES"/>
        </w:rPr>
        <w:t xml:space="preserve"> y el acuerdo de Corte Plena de sesión extraordinaria N° 12-2021, celebrada el 22 de marzo de 2021, artículo XVII, comunicado mediante circular 60-2021, mediante el cual se mantiene la eficacia de los acuerdos de dicho órgano colegiado de sesión N° 18-2020 celebrada el 2 de abril del año en curso, artículo Único, así como lo dispuesto en el acuerdo de sesión extraordinaria N° 26-2020, celebrada el 13 de mayo de 2020, artículo Único y en los acuerdos de sesión N° 32-2020 del 8 de junio de 2020, artículo XVIII, sesión extraordinaria N° 42-2020, celebrada el 20 de julio del 2020, artículo X, todos de esta Corte; esta Comisión de Emergencias, recomienda al Consejo Superior, con base en una interpretación armónica de dichas disposiciones y las competencias que le confiere al Consejo Superior, el artículo 10 incisos c y e del indicado Reglamento, adopte un acuerdo en donde se disponga lo siguiente para efectos de adecuar la prestación de servicios bajo la modalidad de teletrabajo, con ocasión de la situación de pandemia: </w:t>
      </w:r>
    </w:p>
    <w:p w14:paraId="5C8AE897"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sz w:val="26"/>
          <w:szCs w:val="26"/>
          <w:lang w:eastAsia="es-ES"/>
        </w:rPr>
      </w:pPr>
    </w:p>
    <w:p w14:paraId="5809D65D"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i/>
          <w:iCs/>
          <w:sz w:val="26"/>
          <w:szCs w:val="26"/>
          <w:lang w:eastAsia="es-ES"/>
        </w:rPr>
      </w:pPr>
      <w:r w:rsidRPr="00886CEB">
        <w:rPr>
          <w:rFonts w:ascii="Times New Roman" w:eastAsia="Times New Roman" w:hAnsi="Times New Roman" w:cs="Times New Roman"/>
          <w:i/>
          <w:iCs/>
          <w:sz w:val="26"/>
          <w:szCs w:val="26"/>
          <w:lang w:eastAsia="es-ES"/>
        </w:rPr>
        <w:lastRenderedPageBreak/>
        <w:t>“Se adoptan las siguientes medidas a efecto de adecuar la prestación de servicios bajo la modalidad de teletrabajo en situación de pandemia:</w:t>
      </w:r>
    </w:p>
    <w:p w14:paraId="0C71865B"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i/>
          <w:iCs/>
          <w:sz w:val="26"/>
          <w:szCs w:val="26"/>
          <w:lang w:eastAsia="es-ES"/>
        </w:rPr>
      </w:pPr>
    </w:p>
    <w:p w14:paraId="7A3BF8FE" w14:textId="77777777" w:rsidR="00EF57CF" w:rsidRPr="00886CEB" w:rsidRDefault="00EF57CF" w:rsidP="00F962B6">
      <w:pPr>
        <w:numPr>
          <w:ilvl w:val="0"/>
          <w:numId w:val="98"/>
        </w:numPr>
        <w:spacing w:after="0" w:line="240" w:lineRule="auto"/>
        <w:ind w:left="851" w:right="851" w:firstLine="709"/>
        <w:jc w:val="both"/>
        <w:rPr>
          <w:rFonts w:ascii="Times New Roman" w:eastAsia="Times New Roman" w:hAnsi="Times New Roman" w:cs="Times New Roman"/>
          <w:sz w:val="26"/>
          <w:szCs w:val="26"/>
          <w:lang w:eastAsia="es-ES"/>
        </w:rPr>
      </w:pPr>
      <w:r w:rsidRPr="00886CEB">
        <w:rPr>
          <w:rFonts w:ascii="Times New Roman" w:eastAsia="Times New Roman" w:hAnsi="Times New Roman" w:cs="Times New Roman"/>
          <w:i/>
          <w:iCs/>
          <w:sz w:val="26"/>
          <w:szCs w:val="26"/>
          <w:lang w:eastAsia="es-ES"/>
        </w:rPr>
        <w:t xml:space="preserve">Que los despachos y oficinas podrán aprobar la modalidad de teletrabajo a las personas servidoras durante el período de vigencia del presente acuerdo, hasta por cinco días en aquellos casos que por la naturaleza del servicio prestado por la persona resulta viable y necesario que no se presente a laborar de manera presencial con motivo de la pandemia, como condición excepcional y tomando las medidas de control necesarias para asegurar la continuidad y la no afectación en la prestación de servicios, así como garantizando una atención mínima presencial a los usuarios y usuarias que así lo requieran; bajo la responsabilidad de organización, verificación y cumplimiento por parte de la respectiva personas titular subordinada. </w:t>
      </w:r>
    </w:p>
    <w:p w14:paraId="69CC215B"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sz w:val="26"/>
          <w:szCs w:val="26"/>
          <w:lang w:eastAsia="es-ES"/>
        </w:rPr>
      </w:pPr>
    </w:p>
    <w:p w14:paraId="57288E47" w14:textId="77777777" w:rsidR="00EF57CF" w:rsidRPr="00886CEB" w:rsidRDefault="00EF57CF" w:rsidP="00F962B6">
      <w:pPr>
        <w:numPr>
          <w:ilvl w:val="0"/>
          <w:numId w:val="98"/>
        </w:numPr>
        <w:spacing w:after="0" w:line="240" w:lineRule="auto"/>
        <w:ind w:left="851" w:right="851" w:firstLine="709"/>
        <w:jc w:val="both"/>
        <w:rPr>
          <w:rFonts w:ascii="Times New Roman" w:eastAsia="Times New Roman" w:hAnsi="Times New Roman" w:cs="Times New Roman"/>
          <w:sz w:val="26"/>
          <w:szCs w:val="26"/>
          <w:lang w:eastAsia="es-ES"/>
        </w:rPr>
      </w:pPr>
      <w:r w:rsidRPr="00886CEB">
        <w:rPr>
          <w:rFonts w:ascii="Times New Roman" w:eastAsia="Times New Roman" w:hAnsi="Times New Roman" w:cs="Times New Roman"/>
          <w:i/>
          <w:iCs/>
          <w:sz w:val="26"/>
          <w:szCs w:val="26"/>
          <w:lang w:eastAsia="es-ES"/>
        </w:rPr>
        <w:t xml:space="preserve">Que la rúbrica de los contratos de teletrabajo que se empiece a realizar conforme al Reglamento para Regular la Modalidad de Prestación de Servicios en Teletrabajo en el Poder </w:t>
      </w:r>
      <w:proofErr w:type="gramStart"/>
      <w:r w:rsidRPr="00886CEB">
        <w:rPr>
          <w:rFonts w:ascii="Times New Roman" w:eastAsia="Times New Roman" w:hAnsi="Times New Roman" w:cs="Times New Roman"/>
          <w:i/>
          <w:iCs/>
          <w:sz w:val="26"/>
          <w:szCs w:val="26"/>
          <w:lang w:eastAsia="es-ES"/>
        </w:rPr>
        <w:t>Judicial,</w:t>
      </w:r>
      <w:proofErr w:type="gramEnd"/>
      <w:r w:rsidRPr="00886CEB">
        <w:rPr>
          <w:rFonts w:ascii="Times New Roman" w:eastAsia="Times New Roman" w:hAnsi="Times New Roman" w:cs="Times New Roman"/>
          <w:i/>
          <w:iCs/>
          <w:sz w:val="26"/>
          <w:szCs w:val="26"/>
          <w:lang w:eastAsia="es-ES"/>
        </w:rPr>
        <w:t xml:space="preserve"> sea efectuada de manera gradual y paulatina, sin afectar por ello la continuidad en la prestación de servicios que actualmente realizan las personas servidoras bajo dicha modalidad durante el período de la pandemia, con el fin de proteger la vida y salud de las personas servidoras y usuarias. Será responsabilidad de las Jefaturas determinar los objetivos, metas, indicadores, actividades, y los entregables que permitan el control y seguimiento de la labor de la persona teletrabajadora como condicionen necesaria para mantener la prestación de servicios bajo la modalidad de teletrabajo. </w:t>
      </w:r>
    </w:p>
    <w:p w14:paraId="49E71B0D"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sz w:val="26"/>
          <w:szCs w:val="26"/>
          <w:lang w:eastAsia="es-ES"/>
        </w:rPr>
      </w:pPr>
    </w:p>
    <w:p w14:paraId="420592B8" w14:textId="77777777" w:rsidR="00EF57CF" w:rsidRPr="00886CEB" w:rsidRDefault="00EF57CF" w:rsidP="00F962B6">
      <w:pPr>
        <w:numPr>
          <w:ilvl w:val="0"/>
          <w:numId w:val="98"/>
        </w:numPr>
        <w:spacing w:after="0" w:line="240" w:lineRule="auto"/>
        <w:ind w:left="851" w:right="851" w:firstLine="709"/>
        <w:jc w:val="both"/>
        <w:rPr>
          <w:rFonts w:ascii="Times New Roman" w:eastAsia="Times New Roman" w:hAnsi="Times New Roman" w:cs="Times New Roman"/>
          <w:sz w:val="26"/>
          <w:szCs w:val="26"/>
          <w:lang w:eastAsia="es-ES"/>
        </w:rPr>
      </w:pPr>
      <w:r w:rsidRPr="00886CEB">
        <w:rPr>
          <w:rFonts w:ascii="Times New Roman" w:eastAsia="Times New Roman" w:hAnsi="Times New Roman" w:cs="Times New Roman"/>
          <w:i/>
          <w:iCs/>
          <w:sz w:val="26"/>
          <w:szCs w:val="26"/>
          <w:lang w:eastAsia="es-ES"/>
        </w:rPr>
        <w:t xml:space="preserve">Que los contratos de teletrabajo que se rubriquen de manera gradual y paulatina, con motivo de la aplicación del presente acuerdo tendrán el período de vigencia </w:t>
      </w:r>
      <w:proofErr w:type="gramStart"/>
      <w:r w:rsidRPr="00886CEB">
        <w:rPr>
          <w:rFonts w:ascii="Times New Roman" w:eastAsia="Times New Roman" w:hAnsi="Times New Roman" w:cs="Times New Roman"/>
          <w:i/>
          <w:iCs/>
          <w:sz w:val="26"/>
          <w:szCs w:val="26"/>
          <w:lang w:eastAsia="es-ES"/>
        </w:rPr>
        <w:t>del mismo</w:t>
      </w:r>
      <w:proofErr w:type="gramEnd"/>
      <w:r w:rsidRPr="00886CEB">
        <w:rPr>
          <w:rFonts w:ascii="Times New Roman" w:eastAsia="Times New Roman" w:hAnsi="Times New Roman" w:cs="Times New Roman"/>
          <w:i/>
          <w:iCs/>
          <w:sz w:val="26"/>
          <w:szCs w:val="26"/>
          <w:lang w:eastAsia="es-ES"/>
        </w:rPr>
        <w:t>, en el entendido de que podrán tener prórrogas automáticas, si no hay manifestación en contrario de las respectivas Jefaturas o de este Consejo</w:t>
      </w:r>
    </w:p>
    <w:p w14:paraId="6ADA843E"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i/>
          <w:iCs/>
          <w:sz w:val="26"/>
          <w:szCs w:val="26"/>
          <w:lang w:eastAsia="es-ES"/>
        </w:rPr>
      </w:pPr>
    </w:p>
    <w:p w14:paraId="5C1031D6" w14:textId="77777777" w:rsidR="00EF57CF" w:rsidRPr="00886CEB" w:rsidRDefault="00EF57CF" w:rsidP="00F962B6">
      <w:pPr>
        <w:numPr>
          <w:ilvl w:val="0"/>
          <w:numId w:val="98"/>
        </w:numPr>
        <w:spacing w:after="0" w:line="240" w:lineRule="auto"/>
        <w:ind w:left="851" w:right="851" w:firstLine="709"/>
        <w:jc w:val="both"/>
        <w:rPr>
          <w:rFonts w:ascii="Times New Roman" w:eastAsia="Times New Roman" w:hAnsi="Times New Roman" w:cs="Times New Roman"/>
          <w:sz w:val="24"/>
          <w:szCs w:val="24"/>
          <w:lang w:eastAsia="es-ES"/>
        </w:rPr>
      </w:pPr>
      <w:r w:rsidRPr="00886CEB">
        <w:rPr>
          <w:rFonts w:ascii="Times New Roman" w:eastAsia="Times New Roman" w:hAnsi="Times New Roman" w:cs="Times New Roman"/>
          <w:i/>
          <w:iCs/>
          <w:sz w:val="26"/>
          <w:szCs w:val="26"/>
          <w:lang w:eastAsia="es-ES"/>
        </w:rPr>
        <w:t xml:space="preserve">Conforme lo dispuesto en el artículo 142 de la Ley General de la Administración Pública, el acto administrativo de la Jefatura que apruebe la modalidad de teletrabajo formalmente en cada caso en particular, al amparo del Reglamento para Regular la Modalidad de Prestación de Servicios en Teletrabajo en el Poder Judicial, y el respectivo contrato que se rubrique en aplicación de este cuerpo normativo, para el caso de las personas que están desarrollando dicha modalidad de prestación de servicios con motivo de la </w:t>
      </w:r>
      <w:r w:rsidRPr="00886CEB">
        <w:rPr>
          <w:rFonts w:ascii="Times New Roman" w:eastAsia="Times New Roman" w:hAnsi="Times New Roman" w:cs="Times New Roman"/>
          <w:i/>
          <w:iCs/>
          <w:sz w:val="26"/>
          <w:szCs w:val="26"/>
          <w:lang w:eastAsia="es-ES"/>
        </w:rPr>
        <w:lastRenderedPageBreak/>
        <w:t>pandemia, tendrán  efecto retroactivo a la fecha de inicio de ejecución de dicha modalidad en el caso respectivo, siempre y cuando a ese momento hayan existido los motivos para su adopción y la respectiva jefatura hayan determinado los objetivos, metas, indicadores, actividades, y los entregables que les permitieran el control y seguimiento de la labor”.”</w:t>
      </w:r>
    </w:p>
    <w:p w14:paraId="7454CD8F" w14:textId="77777777" w:rsidR="00EF57CF" w:rsidRPr="00886CEB" w:rsidRDefault="00EF57CF" w:rsidP="00EF57CF">
      <w:pPr>
        <w:spacing w:after="0" w:line="240" w:lineRule="auto"/>
        <w:ind w:left="1560" w:right="851"/>
        <w:jc w:val="both"/>
        <w:rPr>
          <w:rFonts w:ascii="Times New Roman" w:eastAsia="Times New Roman" w:hAnsi="Times New Roman" w:cs="Times New Roman"/>
          <w:sz w:val="24"/>
          <w:szCs w:val="24"/>
          <w:lang w:eastAsia="es-ES"/>
        </w:rPr>
      </w:pPr>
    </w:p>
    <w:p w14:paraId="745ED996" w14:textId="77777777" w:rsidR="00EF57CF" w:rsidRPr="00886CEB" w:rsidRDefault="00EF57CF" w:rsidP="00EF57CF">
      <w:pPr>
        <w:spacing w:after="0" w:line="480" w:lineRule="auto"/>
        <w:jc w:val="center"/>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- 0 -</w:t>
      </w:r>
    </w:p>
    <w:p w14:paraId="75CE4C65" w14:textId="77777777" w:rsidR="00EF57CF" w:rsidRPr="00886CEB" w:rsidRDefault="00EF57CF" w:rsidP="00EF57CF">
      <w:pPr>
        <w:spacing w:after="0" w:line="480" w:lineRule="auto"/>
        <w:jc w:val="center"/>
        <w:rPr>
          <w:rFonts w:ascii="Times New Roman" w:eastAsia="Times New Roman" w:hAnsi="Times New Roman" w:cs="Times New Roman"/>
          <w:b/>
          <w:sz w:val="28"/>
          <w:szCs w:val="28"/>
          <w:lang w:eastAsia="es-ES"/>
        </w:rPr>
      </w:pPr>
      <w:r w:rsidRPr="00886CEB">
        <w:rPr>
          <w:rFonts w:ascii="Times New Roman" w:eastAsia="Times New Roman" w:hAnsi="Times New Roman" w:cs="Times New Roman"/>
          <w:b/>
          <w:noProof/>
          <w:sz w:val="28"/>
          <w:szCs w:val="28"/>
          <w:lang w:eastAsia="es-CR"/>
        </w:rPr>
        <w:drawing>
          <wp:inline distT="0" distB="0" distL="0" distR="0" wp14:anchorId="3842664D" wp14:editId="665B6DB0">
            <wp:extent cx="962025" cy="609600"/>
            <wp:effectExtent l="0" t="0" r="0" b="0"/>
            <wp:docPr id="1263269068" name="Imagen 126326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62025" cy="609600"/>
                    </a:xfrm>
                    <a:prstGeom prst="rect">
                      <a:avLst/>
                    </a:prstGeom>
                    <a:noFill/>
                    <a:ln>
                      <a:noFill/>
                    </a:ln>
                  </pic:spPr>
                </pic:pic>
              </a:graphicData>
            </a:graphic>
          </wp:inline>
        </w:drawing>
      </w:r>
    </w:p>
    <w:p w14:paraId="0655B71B"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Manifiesta el Integrante Montero Zúñiga: “Básicamente lo que hice fue adaptar lo que la Comisión de Emergencias estaba pidiendo con el reglamento de lo que aprobaron ustedes en Corte de Teletrabajo, ayer también aprobamos el contrato de teletrabajo, entonces se incluyó el tema de lo que dicto ayer el Poder Ejecutivo, en cuanto al aforo del 20%, también el tema de las alertas naranjas, el licenciado Carlos Mora lo incluyó, la idea es que las oficinas de manera excepcional durante esta cúspide de la pandemia, puedan las jefaturas autorizar teletrabajo hasta por 5 días, para personas que su puesto lo permita, que no afecte el servicio y que tengan alguna condición de salud que amerite darles prioridad a ellos, porque obviamente en alguna oficina muchos tendrán el teletrabajo de 5 días, pero no se puede cerrar, es darle prioridad a los que tengan una condición de salud que justifique enviarlos a la casa y que los que no tengamos problemas de salud extrema puedan trabajar de forma más presencial.</w:t>
      </w:r>
    </w:p>
    <w:p w14:paraId="215E3664"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 xml:space="preserve">La circular viene en esta línea de mantener las oficinas abiertas, el aforo mínimo </w:t>
      </w:r>
      <w:r w:rsidRPr="00886CEB">
        <w:rPr>
          <w:rFonts w:ascii="Times New Roman" w:eastAsia="Times New Roman" w:hAnsi="Times New Roman" w:cs="Times New Roman"/>
          <w:sz w:val="28"/>
          <w:szCs w:val="28"/>
          <w:lang w:eastAsia="es-ES"/>
        </w:rPr>
        <w:lastRenderedPageBreak/>
        <w:t xml:space="preserve">necesario en alerta naranja y el 20% en oficinas donde se pueda mantener ese aforo. La excepción con respecto al reglamento que ustedes aprobaron en Corte Plena, establece que el Consejo Superior es el único que de forma excepcional puede aprobar hasta 5 días de teletrabajo, en este caso, más bien le estamos trasladando esta potestad a las jefaturas, para que ellos valoren esos casos y puedan reducir el aforo, también se </w:t>
      </w:r>
      <w:proofErr w:type="spellStart"/>
      <w:r w:rsidRPr="00886CEB">
        <w:rPr>
          <w:rFonts w:ascii="Times New Roman" w:eastAsia="Times New Roman" w:hAnsi="Times New Roman" w:cs="Times New Roman"/>
          <w:sz w:val="28"/>
          <w:szCs w:val="28"/>
          <w:lang w:eastAsia="es-ES"/>
        </w:rPr>
        <w:t>agrego</w:t>
      </w:r>
      <w:proofErr w:type="spellEnd"/>
      <w:r w:rsidRPr="00886CEB">
        <w:rPr>
          <w:rFonts w:ascii="Times New Roman" w:eastAsia="Times New Roman" w:hAnsi="Times New Roman" w:cs="Times New Roman"/>
          <w:sz w:val="28"/>
          <w:szCs w:val="28"/>
          <w:lang w:eastAsia="es-ES"/>
        </w:rPr>
        <w:t xml:space="preserve"> el tema del espacio físico, tratando de que las jefaturas de forma prioritaria hagan trabajo presencial y en el caso de que la jefatura se incorpore a teletrabajo su espacio físico pueda ser utilizado por los compañeros que van de manera presencial, de tal forma que podamos garantizar el distanciamiento del 1,80 metros y todas las medidas sanitarias, asimismo, podamos tener un aforo mayor, porque en el Consejo hemos visto que se han dado casos  de Juzgados que tienen muy pocos técnicos atendiendo y que generan largas filas o se deja de atender al público. Si el espacio físico lo permite se puede justificar que lleguen más personas a trabajar. Esa es la línea de la circular.</w:t>
      </w:r>
    </w:p>
    <w:p w14:paraId="36595AEB"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 xml:space="preserve">Y en el reglamento de teletrabajo se está incorporando que cuando se distribuya este acuerdo se le remita el reglamento donde las jefaturas firmarían con sus compañeros colaboradores el contrato de teletrabajo, el jefe se pone de acuerdo con la persona, cuantos días va a teletrabajar, cuáles son las labores que va a realizar en teletrabajo, cuantos días va a venir a trabajar presencialmente, firman el contrato los dos; obviamente la jefatura tiene la potestad de autorizarlo o no y lo remite a la </w:t>
      </w:r>
      <w:r w:rsidRPr="00886CEB">
        <w:rPr>
          <w:rFonts w:ascii="Times New Roman" w:eastAsia="Times New Roman" w:hAnsi="Times New Roman" w:cs="Times New Roman"/>
          <w:sz w:val="28"/>
          <w:szCs w:val="28"/>
          <w:lang w:eastAsia="es-ES"/>
        </w:rPr>
        <w:lastRenderedPageBreak/>
        <w:t>Dirección de Gestión Humana, con fines de control y estadísticos, para poder llevar el control de cuantas personas están en teletrabajo, cuantos días, el uso de las computadoras que se requieren para el teletrabajo y la utilización  que le estamos dando al espacio físico, también la información es útil para el trabajo que hace la Dirección Ejecutiva en cuanto a valorar el tema de los alquileres y demás.</w:t>
      </w:r>
    </w:p>
    <w:p w14:paraId="1D01B2E1"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Un detalle importante es que se extenderá del lunes 3 de mayo al 30 de junio, pensando en que Corte Plena han extendido medidas sanitarias hasta esa fecha, para no estar haciendo acuerdos cada semana y firmando contratos todas las semanas. Personalmente considero que, hasta el 30 de junio, es lo mejor para darle más seguridad a los compañeros, sobre todo por el tema de audiencias y juicios.</w:t>
      </w:r>
    </w:p>
    <w:p w14:paraId="65381C7B"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 xml:space="preserve">Indica el Integrante Bonilla Garro: “La leí y me parece perfecta, solo tengo una consulta, el contrato de teletrabajo establece la cantidad de días y cuando vemos la circular en el inciso 5 de la última parte, habla de que estamos en un momento de pandemia y después este se vuelve a efectos retroactivos; es decir, no me queda claro, porque si yo como jefatura hoy en pandemia, creo que la persona puede ir más días y firmo el contrato con esos efectos de 4 días, después de pandemia que pasa, porque después de pandemia, normalmente podría decir, o cuando pasen estas medidas más restrictivas podría ir solo 2 días, quien me da la posibilidad de eso.?       </w:t>
      </w:r>
    </w:p>
    <w:p w14:paraId="34A9841C"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 xml:space="preserve">Responde el Integrante Montero: “Eso está en el reglamento, por eso todas las </w:t>
      </w:r>
      <w:r w:rsidRPr="00886CEB">
        <w:rPr>
          <w:rFonts w:ascii="Times New Roman" w:eastAsia="Times New Roman" w:hAnsi="Times New Roman" w:cs="Times New Roman"/>
          <w:sz w:val="28"/>
          <w:szCs w:val="28"/>
          <w:lang w:eastAsia="es-ES"/>
        </w:rPr>
        <w:lastRenderedPageBreak/>
        <w:t>referencias del acuerdo y del contrato están en el reglamento, ¿qué es lo que va a pasar el 1 de julio? Que ya usted puede indicarle al personal que trabaja con usted, que ya 5 o 4 días no, que usted quiere que se queden en la casa solo 1 día a la semana, buscan el contrato, lo firman los dos y se manda actualizado a Gestión Humana, porque eso lo permite el reglamento, que pasa el 1 de julio si usted quiere que su asesor siga 5 días a la semana, ya el acuerdo venció y lo que corresponde es aplicar el reglamento, entonces usted tendría que mandar al Consejo Superior una nota diciéndole que solicita que se apruebe el teletrabajo de 5 días para esa persona, por razones médicas, sanitarias, de espacio o de hacinamiento, todo lo que usted estime para justificar y será el Consejo quien le autorizará o no, de momento le estamos trasladando esa potestad de autorización que el reglamento le dio solo al Consejo se la estamos trasladando a las jefaturas por el tema de emergencia, básicamente.”</w:t>
      </w:r>
    </w:p>
    <w:p w14:paraId="663DEF73"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Prosigue la máster Romero Jenkins: “ La única observación que yo hacía y que considero ha sido el sentir del Consejo y que corresponde a situaciones que hemos enfrentado, es la necesidad de que siempre haya al menos un titular subordinado en las diferentes dependencias de manera presencial e igualmente en las diferentes áreas u oficinas al menos una persona colaboradora, porque se han dado quejas en áreas administrativas que no han encontrado personal, que suena el teléfono y no contesta nadie, igual en los despachos, entonces para tener en ese aspecto claridad.</w:t>
      </w:r>
    </w:p>
    <w:p w14:paraId="71180157"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lastRenderedPageBreak/>
        <w:t xml:space="preserve">Asimismo, a manera de comentario, existe la preocupación en algunas áreas de servicio, sobre el hecho de disminuir a un 20% las personas en la plataforma de atención, ya que más bien es contraproducente, en la generación de filas, por lo que traía el tema, porque están temerosos de desobedecer la directriz, pero también, esto </w:t>
      </w:r>
      <w:proofErr w:type="gramStart"/>
      <w:r w:rsidRPr="00886CEB">
        <w:rPr>
          <w:rFonts w:ascii="Times New Roman" w:eastAsia="Times New Roman" w:hAnsi="Times New Roman" w:cs="Times New Roman"/>
          <w:sz w:val="28"/>
          <w:szCs w:val="28"/>
          <w:lang w:eastAsia="es-ES"/>
        </w:rPr>
        <w:t>va</w:t>
      </w:r>
      <w:proofErr w:type="gramEnd"/>
      <w:r w:rsidRPr="00886CEB">
        <w:rPr>
          <w:rFonts w:ascii="Times New Roman" w:eastAsia="Times New Roman" w:hAnsi="Times New Roman" w:cs="Times New Roman"/>
          <w:sz w:val="28"/>
          <w:szCs w:val="28"/>
          <w:lang w:eastAsia="es-ES"/>
        </w:rPr>
        <w:t xml:space="preserve"> generar consecuencias adversas.  Lo expongo para tratar de valorar ese asunto como algún tipo de excepción, si se pudiera abordar.”</w:t>
      </w:r>
    </w:p>
    <w:p w14:paraId="40F85C65"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 xml:space="preserve">Expresa la Integrante Pizarro Gutiérrez: “Me genera una duda, si solamente era para la población en zonas de alerta naranja o es a nivel nacional, referente a los despachos judiciales; en cuanto al plazo que se estableció al 30 de junio estoy totalmente de acuerdo, hasta esa fecha, o hasta que el Consejo Superior resuelva lo contrario. </w:t>
      </w:r>
    </w:p>
    <w:p w14:paraId="12FD56DA"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Aclara el licenciado Mora Rodríguez: “Por lo menos la circular, como estaba en el título, es para todos los despachos judiciales del país, pero si viene una parte especifica con disposiciones para los despachos en alerta naranja.”</w:t>
      </w:r>
    </w:p>
    <w:p w14:paraId="1BF9999A"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 xml:space="preserve">Se refiere el Integrante Montero: “En cuanto al aforo en las áreas de servicio, me parece que se puede hacer como al inicio que se limitaba el acceso al edificio, dependiendo a donde iba la persona, que el personal de seguridad tenga control de que en el mostrador de Pensiones Alimentarias solo se permiten 2, etcétera. </w:t>
      </w:r>
      <w:proofErr w:type="gramStart"/>
      <w:r w:rsidRPr="00886CEB">
        <w:rPr>
          <w:rFonts w:ascii="Times New Roman" w:eastAsia="Times New Roman" w:hAnsi="Times New Roman" w:cs="Times New Roman"/>
          <w:sz w:val="28"/>
          <w:szCs w:val="28"/>
          <w:lang w:eastAsia="es-ES"/>
        </w:rPr>
        <w:t>Talvez</w:t>
      </w:r>
      <w:proofErr w:type="gramEnd"/>
      <w:r w:rsidRPr="00886CEB">
        <w:rPr>
          <w:rFonts w:ascii="Times New Roman" w:eastAsia="Times New Roman" w:hAnsi="Times New Roman" w:cs="Times New Roman"/>
          <w:sz w:val="28"/>
          <w:szCs w:val="28"/>
          <w:lang w:eastAsia="es-ES"/>
        </w:rPr>
        <w:t xml:space="preserve"> esa parte, es la que podrían manejar los administradores, no lo veo tan necesario para que </w:t>
      </w:r>
      <w:r w:rsidRPr="00886CEB">
        <w:rPr>
          <w:rFonts w:ascii="Times New Roman" w:eastAsia="Times New Roman" w:hAnsi="Times New Roman" w:cs="Times New Roman"/>
          <w:sz w:val="28"/>
          <w:szCs w:val="28"/>
          <w:lang w:eastAsia="es-ES"/>
        </w:rPr>
        <w:lastRenderedPageBreak/>
        <w:t>la circular lo incluya, es como un tema más de organización del edificio. Debe quedar claro que no se está autorizando cerrar ninguna oficina, lo demás considero que es un poco para que las jefaturas lo administren.”</w:t>
      </w:r>
    </w:p>
    <w:p w14:paraId="51866975"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 xml:space="preserve">Dice la máster Álvarez Acosta: “Me parece que en ese sentido a nivel de todos los despachos un 20%, pero con excepciones, como es el  caso de Antecedentes Penales; si la recepción permite mantener el distanciamiento, se debería de mantener la cantidad de personas necesarias para que no se pierda la continuidad del servicio, porque también, no tenemos que dejar de lado, que ante esta pandemia la gente necesita trabajar, necesita comer y necesita todos esos servicios que nosotros les damos, para poder buscar trabajo. Lo que entiendo, es que el espíritu de la </w:t>
      </w:r>
      <w:proofErr w:type="gramStart"/>
      <w:r w:rsidRPr="00886CEB">
        <w:rPr>
          <w:rFonts w:ascii="Times New Roman" w:eastAsia="Times New Roman" w:hAnsi="Times New Roman" w:cs="Times New Roman"/>
          <w:sz w:val="28"/>
          <w:szCs w:val="28"/>
          <w:lang w:eastAsia="es-ES"/>
        </w:rPr>
        <w:t>circular,</w:t>
      </w:r>
      <w:proofErr w:type="gramEnd"/>
      <w:r w:rsidRPr="00886CEB">
        <w:rPr>
          <w:rFonts w:ascii="Times New Roman" w:eastAsia="Times New Roman" w:hAnsi="Times New Roman" w:cs="Times New Roman"/>
          <w:sz w:val="28"/>
          <w:szCs w:val="28"/>
          <w:lang w:eastAsia="es-ES"/>
        </w:rPr>
        <w:t xml:space="preserve"> es que se tomen medidas para la salud de las personas, siempre cuando la recepción permita mantener y cumplir el distanciamiento social, me parece que la jefatura debe analizar cada caso en particular para ver cuánto personal tiene ahí, porque no puede haber una regla general para todos.” </w:t>
      </w:r>
    </w:p>
    <w:p w14:paraId="2C889668" w14:textId="77777777" w:rsidR="00EF57CF" w:rsidRPr="00886CEB" w:rsidRDefault="00EF57CF" w:rsidP="00EF57CF">
      <w:pPr>
        <w:widowControl w:val="0"/>
        <w:spacing w:after="0" w:line="480" w:lineRule="auto"/>
        <w:ind w:firstLine="709"/>
        <w:jc w:val="both"/>
        <w:rPr>
          <w:rFonts w:ascii="Times New Roman" w:eastAsia="Times New Roman" w:hAnsi="Times New Roman" w:cs="Times New Roman"/>
          <w:sz w:val="28"/>
          <w:szCs w:val="28"/>
          <w:lang w:eastAsia="es-ES"/>
        </w:rPr>
      </w:pPr>
      <w:proofErr w:type="gramStart"/>
      <w:r w:rsidRPr="00886CEB">
        <w:rPr>
          <w:rFonts w:ascii="Times New Roman" w:eastAsia="Times New Roman" w:hAnsi="Times New Roman" w:cs="Times New Roman"/>
          <w:sz w:val="28"/>
          <w:szCs w:val="28"/>
          <w:lang w:eastAsia="es-ES"/>
        </w:rPr>
        <w:t>En razón de</w:t>
      </w:r>
      <w:proofErr w:type="gramEnd"/>
      <w:r w:rsidRPr="00886CEB">
        <w:rPr>
          <w:rFonts w:ascii="Times New Roman" w:eastAsia="Times New Roman" w:hAnsi="Times New Roman" w:cs="Times New Roman"/>
          <w:sz w:val="28"/>
          <w:szCs w:val="28"/>
          <w:lang w:eastAsia="es-ES"/>
        </w:rPr>
        <w:t xml:space="preserve"> lo dispuesto y,</w:t>
      </w:r>
    </w:p>
    <w:p w14:paraId="0EFED2A6" w14:textId="77777777" w:rsidR="00EF57CF" w:rsidRPr="00886CEB" w:rsidRDefault="00EF57CF" w:rsidP="00EF57CF">
      <w:pPr>
        <w:widowControl w:val="0"/>
        <w:spacing w:after="0" w:line="480" w:lineRule="auto"/>
        <w:ind w:firstLine="709"/>
        <w:jc w:val="center"/>
        <w:rPr>
          <w:rFonts w:ascii="Times New Roman" w:eastAsia="Times New Roman" w:hAnsi="Times New Roman" w:cs="Times New Roman"/>
          <w:b/>
          <w:sz w:val="28"/>
          <w:szCs w:val="28"/>
          <w:lang w:eastAsia="es-ES"/>
        </w:rPr>
      </w:pPr>
      <w:r w:rsidRPr="00886CEB">
        <w:rPr>
          <w:rFonts w:ascii="Times New Roman" w:eastAsia="Times New Roman" w:hAnsi="Times New Roman" w:cs="Times New Roman"/>
          <w:b/>
          <w:sz w:val="28"/>
          <w:szCs w:val="28"/>
          <w:lang w:eastAsia="es-ES"/>
        </w:rPr>
        <w:t>CONSIDERANDO</w:t>
      </w:r>
    </w:p>
    <w:p w14:paraId="60E3ECFD"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 xml:space="preserve">1. Que  los artículos 1, 4, 6, 7, 337, 338, 340, 341, 355 y 356 de la Ley General de Salud, Ley número 5395 del 30 de octubre de 1973 y los numerales 2 inciso b) y c) y 57 de la Ley Orgánica del Ministerio de Salud, Ley número 5412 del 08 de noviembre </w:t>
      </w:r>
      <w:r w:rsidRPr="00886CEB">
        <w:rPr>
          <w:rFonts w:ascii="Times New Roman" w:eastAsia="Times New Roman" w:hAnsi="Times New Roman" w:cs="Times New Roman"/>
          <w:color w:val="000000"/>
          <w:sz w:val="28"/>
          <w:szCs w:val="28"/>
          <w:lang w:val="es-ES_tradnl" w:eastAsia="ar-SA"/>
        </w:rPr>
        <w:lastRenderedPageBreak/>
        <w:t>de 1973, facultan a dicho Ministerio a ordenar y tomar las medidas especiales para evitar el riesgo o daño a la salud de las personas o que éstos se difundan o se agraven, así como a declarar el peligro de pandemia y adoptar acciones ante la misma.</w:t>
      </w:r>
    </w:p>
    <w:p w14:paraId="23079914"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2. Que mediante decreto ejecutivo No. 42227-MP-S del 16 de marzo de 2020, el Poder Ejecutivo dispuso declarar estado de emergencia nacional con motivo de la pandemia provocada por la enfermedad del COVID-19.</w:t>
      </w:r>
    </w:p>
    <w:p w14:paraId="75884EB5"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 xml:space="preserve">3. Que el Poder Ejecutivo emitió la directriz 092-S-MTSS-MIDEPLAN para los entes y órganos que están sujetos a su relación de dirección, la cual se encuentra vigente a la fecha de aprobación del presente acuerdo, en donde se establece el deber de </w:t>
      </w:r>
      <w:proofErr w:type="gramStart"/>
      <w:r w:rsidRPr="00886CEB">
        <w:rPr>
          <w:rFonts w:ascii="Times New Roman" w:eastAsia="Times New Roman" w:hAnsi="Times New Roman" w:cs="Times New Roman"/>
          <w:color w:val="000000"/>
          <w:sz w:val="28"/>
          <w:szCs w:val="28"/>
          <w:lang w:val="es-ES_tradnl" w:eastAsia="ar-SA"/>
        </w:rPr>
        <w:t>los mismos</w:t>
      </w:r>
      <w:proofErr w:type="gramEnd"/>
      <w:r w:rsidRPr="00886CEB">
        <w:rPr>
          <w:rFonts w:ascii="Times New Roman" w:eastAsia="Times New Roman" w:hAnsi="Times New Roman" w:cs="Times New Roman"/>
          <w:color w:val="000000"/>
          <w:sz w:val="28"/>
          <w:szCs w:val="28"/>
          <w:lang w:val="es-ES_tradnl" w:eastAsia="ar-SA"/>
        </w:rPr>
        <w:t xml:space="preserve"> de mantener el aforo de servidores públicos indispensable para la continuidad en la prestación de servicios públicos.</w:t>
      </w:r>
    </w:p>
    <w:p w14:paraId="094069AC"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 xml:space="preserve">4. Que para regular la prestación de labores en Centros de trabajo públicos y privados, se han emitido los siguientes documentos por parte del Poder Ejecutivo: “Lineamientos generales para propietarios y administradores de Centros de Trabajo por Coronavirus (COVID-19)” y  “Lineamientos generales para oficinas con atención al público (Bancos, correos, instituciones del Estado, Poder Judicial, empresas privadas de servicios) debido a la alerta sanitaria por Coronavirus (COVID-19)” por parte del Ministerio de Salud, así como los “Lineamientos para implementar el teletrabajo, en </w:t>
      </w:r>
      <w:r w:rsidRPr="00886CEB">
        <w:rPr>
          <w:rFonts w:ascii="Times New Roman" w:eastAsia="Times New Roman" w:hAnsi="Times New Roman" w:cs="Times New Roman"/>
          <w:color w:val="000000"/>
          <w:sz w:val="28"/>
          <w:szCs w:val="28"/>
          <w:lang w:val="es-ES_tradnl" w:eastAsia="ar-SA"/>
        </w:rPr>
        <w:lastRenderedPageBreak/>
        <w:t>ocasión de la alerta sanitaria por COVID-19”, dictados por parte del Ministerio de Trabajo y Seguridad Social.</w:t>
      </w:r>
    </w:p>
    <w:p w14:paraId="07229EF7"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5. Que  de conformidad con lo dispuesto en la resolución MS-DM-JM-5291-2020 MINISTERIO DE SALUD, de las diez horas del veintisiete de agosto de dos mil veinte, se dispuso una apertura progresiva en las actividades comerciales y productivas en todo el país, la ampliación de la posibilidad de movilización por las vías públicas en vehículos y en el entendido de que la estrategia se funda en la consideración de que los ciudadanos, comercio y patronos deben asumir su corresponsabilidad en el cuidado personal, sus familias y terceros.</w:t>
      </w:r>
    </w:p>
    <w:p w14:paraId="5639150A"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6. Que de conformidad con la información suministrada por el Ministerio de Salud, el indicado modelo de corresponsabilidad consiste en gestionar la participación de los actores nacionales, regionales, cantonales, distritales y comunitarios en sus formas de organización pública y privada, en la promoción, comunicación, auto regulación, control y supervisión de la aplicación de los protocolos y lineamientos de prevención de contagio por COVID-19, en cada uno de los territorios, y dentro de la estructura de organización del Sistema Nacional de Gestión de Riesgo (SNGR), tomando como referencia la Razón de Riesgo Cantonal (RRC), producto del análisis de indicadores epidemiológicos, que realiza la Sala de Análisis de Situación del Centro de Operaciones de Emergencia (COE).</w:t>
      </w:r>
    </w:p>
    <w:p w14:paraId="66E8FA05"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lastRenderedPageBreak/>
        <w:t xml:space="preserve">7. Que mediante directriz 077-S-MTSS-MIDEPLAN del 25 de marzo de 2020, el Poder Ejecutivo dispuso una serie de lineamientos sobre el funcionamiento de las instituciones estatales durante la declaratoria de emergencia nacional por el COVID-19. </w:t>
      </w:r>
    </w:p>
    <w:p w14:paraId="12CC8668"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sz w:val="28"/>
          <w:szCs w:val="28"/>
          <w:lang w:val="es-ES_tradnl" w:eastAsia="ar-SA"/>
        </w:rPr>
      </w:pPr>
      <w:r w:rsidRPr="00886CEB">
        <w:rPr>
          <w:rFonts w:ascii="Times New Roman" w:eastAsia="Times New Roman" w:hAnsi="Times New Roman" w:cs="Times New Roman"/>
          <w:color w:val="000000"/>
          <w:sz w:val="28"/>
          <w:szCs w:val="28"/>
          <w:lang w:val="es-ES_tradnl" w:eastAsia="ar-SA"/>
        </w:rPr>
        <w:t xml:space="preserve">8. Que </w:t>
      </w:r>
      <w:r w:rsidRPr="00886CEB">
        <w:rPr>
          <w:rFonts w:ascii="Times New Roman" w:eastAsia="Times New Roman" w:hAnsi="Times New Roman" w:cs="Times New Roman"/>
          <w:sz w:val="28"/>
          <w:szCs w:val="28"/>
          <w:lang w:val="es-ES_tradnl" w:eastAsia="ar-SA"/>
        </w:rPr>
        <w:t>el Poder Ejecutivo emitió para los entes y órganos bajo sus potestades de dirección, la directriz</w:t>
      </w:r>
      <w:r w:rsidRPr="00886CEB">
        <w:rPr>
          <w:rFonts w:ascii="Times New Roman" w:eastAsia="Calibri" w:hAnsi="Times New Roman" w:cs="Times New Roman"/>
          <w:sz w:val="28"/>
          <w:szCs w:val="28"/>
        </w:rPr>
        <w:t xml:space="preserve"> N° 108-S-MTSS-MIDEPLAN, mediante  la cual se mantiene las medidas adoptadas en  la  </w:t>
      </w:r>
      <w:bookmarkStart w:id="268" w:name="_Hlk66382699"/>
      <w:r w:rsidRPr="00886CEB">
        <w:rPr>
          <w:rFonts w:ascii="Times New Roman" w:eastAsia="Calibri" w:hAnsi="Times New Roman" w:cs="Times New Roman"/>
          <w:sz w:val="28"/>
          <w:szCs w:val="28"/>
        </w:rPr>
        <w:t>directriz 077-S-MTSS-MIDEPLAN del 25 de marzo de 2020, sobre el funcionamiento de las instituciones estatales durante la declaratoria de emergencia nacional por el COVID-19</w:t>
      </w:r>
      <w:bookmarkEnd w:id="268"/>
      <w:r w:rsidRPr="00886CEB">
        <w:rPr>
          <w:rFonts w:ascii="Times New Roman" w:eastAsia="Calibri" w:hAnsi="Times New Roman" w:cs="Times New Roman"/>
          <w:sz w:val="28"/>
          <w:szCs w:val="28"/>
        </w:rPr>
        <w:t xml:space="preserve"> y adiciona la posibilidad de realizar jornadas acumulativas y horarios escalonados con días de descanso rotativos, para los servidores públicos. </w:t>
      </w:r>
    </w:p>
    <w:p w14:paraId="4B4D0F89"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 xml:space="preserve">9. </w:t>
      </w:r>
      <w:proofErr w:type="gramStart"/>
      <w:r w:rsidRPr="00886CEB">
        <w:rPr>
          <w:rFonts w:ascii="Times New Roman" w:eastAsia="Times New Roman" w:hAnsi="Times New Roman" w:cs="Times New Roman"/>
          <w:color w:val="000000"/>
          <w:sz w:val="28"/>
          <w:szCs w:val="28"/>
          <w:lang w:val="es-ES_tradnl" w:eastAsia="ar-SA"/>
        </w:rPr>
        <w:t>Que</w:t>
      </w:r>
      <w:proofErr w:type="gramEnd"/>
      <w:r w:rsidRPr="00886CEB">
        <w:rPr>
          <w:rFonts w:ascii="Times New Roman" w:eastAsia="Times New Roman" w:hAnsi="Times New Roman" w:cs="Times New Roman"/>
          <w:color w:val="000000"/>
          <w:sz w:val="28"/>
          <w:szCs w:val="28"/>
          <w:lang w:val="es-ES_tradnl" w:eastAsia="ar-SA"/>
        </w:rPr>
        <w:t xml:space="preserve"> conforme a lo anterior, se advierte que se mantiene la situación de emergencia con motivo de la pandemia provocada por el COVID-19, con un abordaje particular readecuado por el Ministerio rector, más sin que se modifique las regulaciones preventivas y de control establecidas previamente y partiendo del necesario cumplimiento de protocolos para las diferentes actividades en la prestación de bienes y servicios. </w:t>
      </w:r>
    </w:p>
    <w:p w14:paraId="6659C6BF"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b/>
          <w:bCs/>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 xml:space="preserve">10. Que la resolución MS-DM-6958-2020 de las once horas treinta minutos del ocho de setiembre del presente año del Ministerio de Salud, dispone en su punto </w:t>
      </w:r>
      <w:r w:rsidRPr="00886CEB">
        <w:rPr>
          <w:rFonts w:ascii="Times New Roman" w:eastAsia="Times New Roman" w:hAnsi="Times New Roman" w:cs="Times New Roman"/>
          <w:color w:val="000000"/>
          <w:sz w:val="28"/>
          <w:szCs w:val="28"/>
          <w:lang w:val="es-ES_tradnl" w:eastAsia="ar-SA"/>
        </w:rPr>
        <w:lastRenderedPageBreak/>
        <w:t>Tercero que, para las oficinas administrativas del sector público en general, el aforo permitido en las instituciones públicas no está limitado al cincuenta por ciento a partir del 09 de setiembre de este año. Empero, su artículo sexto define que “Todos los establecimientos con permiso sanitario de funcionamiento exceptuados en esta resolución deberán garantizar la aplicación estricta de los lineamientos del Ministerio de Salud para evitar la propagación del COVID-19”.</w:t>
      </w:r>
    </w:p>
    <w:p w14:paraId="1D2A6E45"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sz w:val="28"/>
          <w:szCs w:val="28"/>
          <w:lang w:val="es-ES_tradnl" w:eastAsia="ar-SA"/>
        </w:rPr>
      </w:pPr>
      <w:r w:rsidRPr="00886CEB">
        <w:rPr>
          <w:rFonts w:ascii="Times New Roman" w:eastAsia="Times New Roman" w:hAnsi="Times New Roman" w:cs="Times New Roman"/>
          <w:color w:val="000000"/>
          <w:sz w:val="28"/>
          <w:szCs w:val="28"/>
          <w:lang w:val="es-ES_tradnl" w:eastAsia="ar-SA"/>
        </w:rPr>
        <w:t xml:space="preserve">11. Que dentro de los lineamientos emanados por el Ministerio de Salud se encuentran los “Lineamientos generales para propietarios y administradores de Centros de Trabajo por Coronavirus (COVID-19)”, en los que se recomienda potenciar la herramienta del teletrabajo ante la emergencia nacional. En el mismo sentido, la directriz 077-S-MTSS-MIDEPLAN invita al Poder Judicial a la aplicación de las medidas de prevención contempladas en esa directriz (artículo 8); y, como medida de prevención, refiere al teletrabajo en aquellos puestos en que eso sea posible, manteniéndose con respecto de las mismas y por ende del Poder Judicial, las consideraciones que dieron origen al último acuerdo de prórroga de </w:t>
      </w:r>
      <w:r w:rsidRPr="00886CEB">
        <w:rPr>
          <w:rFonts w:ascii="Times New Roman" w:eastAsia="Times New Roman" w:hAnsi="Times New Roman" w:cs="Times New Roman"/>
          <w:sz w:val="28"/>
          <w:szCs w:val="28"/>
          <w:lang w:val="es-ES_tradnl" w:eastAsia="ar-SA"/>
        </w:rPr>
        <w:t>sesión N° 2-2021, celebrada el 11 de enero de 2021, artículo XXXVII, por un período que vence el día 22 de marzo de 2021.</w:t>
      </w:r>
    </w:p>
    <w:p w14:paraId="7FD52195"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12. Que la Dirección de Planificación y el Centro de Apoyo, Coordinación y Mejoramiento de la Función Jurisdiccional mediante oficio conjunto número “1627-</w:t>
      </w:r>
      <w:r w:rsidRPr="00886CEB">
        <w:rPr>
          <w:rFonts w:ascii="Times New Roman" w:eastAsia="Times New Roman" w:hAnsi="Times New Roman" w:cs="Times New Roman"/>
          <w:color w:val="000000"/>
          <w:sz w:val="28"/>
          <w:szCs w:val="28"/>
          <w:lang w:val="es-ES_tradnl" w:eastAsia="ar-SA"/>
        </w:rPr>
        <w:lastRenderedPageBreak/>
        <w:t xml:space="preserve">PLA-2020 / 371-CACMFJ-JEF-2020” constató el impacto de la crisis sanitaria por la COVID-19 entre los meses de abril y setiembre del año 2020 en los distintos despachos jurisdiccionales del país y se recomendó a la Corte Plena “Valorar las directrices vigentes, en cuanto a la posibilidad de realizar audiencias presenciales a partir de las disposiciones sanitarias vigentes, ello por el impacto que se genera en los asuntos terminados a cargo de la Institución”. </w:t>
      </w:r>
    </w:p>
    <w:p w14:paraId="2E764D23"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13. Que la Corte Plena en sesión N° 64-2020 del 26 de octubre de 2020, artículo XV, en atención a la declaratoria de emergencia nacional, debido a la situación de emergencia sanitaria provocada por la enfermedad COVID-19, dentro de las medidas adoptadas, se acogió la recomendación de la Dirección de Planificación sobre el Plan de acción para la continuidad de los servicios judiciales de las estrategias institucionales desarrolladas producto del COVID-19.</w:t>
      </w:r>
    </w:p>
    <w:p w14:paraId="0B7A02DF"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eastAsia="ar-SA"/>
        </w:rPr>
      </w:pPr>
      <w:r w:rsidRPr="00886CEB">
        <w:rPr>
          <w:rFonts w:ascii="Times New Roman" w:eastAsia="Times New Roman" w:hAnsi="Times New Roman" w:cs="Times New Roman"/>
          <w:color w:val="000000"/>
          <w:sz w:val="28"/>
          <w:szCs w:val="28"/>
          <w:lang w:val="es-ES_tradnl" w:eastAsia="ar-SA"/>
        </w:rPr>
        <w:t xml:space="preserve">14. Que la actividad de los entes públicos deberá estar sujeta en su conjunto a los principios fundamentales del servicio público, para asegurar su continuidad, su eficiencia, su adaptación a todo cambio en el régimen legal o en la necesidad social que satisfacen y la igualdad en el trato de los destinatarios, usuarios o beneficiarios según lo manda el numeral 4 de la Ley General de la Administración Pública. </w:t>
      </w:r>
    </w:p>
    <w:p w14:paraId="62CCDF9B"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sz w:val="28"/>
          <w:szCs w:val="28"/>
          <w:lang w:val="es-ES_tradnl" w:eastAsia="ar-SA"/>
        </w:rPr>
      </w:pPr>
      <w:r w:rsidRPr="00886CEB">
        <w:rPr>
          <w:rFonts w:ascii="Times New Roman" w:eastAsia="Times New Roman" w:hAnsi="Times New Roman" w:cs="Times New Roman"/>
          <w:color w:val="000000"/>
          <w:sz w:val="28"/>
          <w:szCs w:val="28"/>
          <w:lang w:val="es-ES_tradnl" w:eastAsia="ar-SA"/>
        </w:rPr>
        <w:t xml:space="preserve">15. Que la aplicación de medidas en el Poder Judicial dispuestas tanto por la Corte Plena como por este Consejo Superior, como son el teletrabajo, las audiencias </w:t>
      </w:r>
      <w:r w:rsidRPr="00886CEB">
        <w:rPr>
          <w:rFonts w:ascii="Times New Roman" w:eastAsia="Times New Roman" w:hAnsi="Times New Roman" w:cs="Times New Roman"/>
          <w:color w:val="000000"/>
          <w:sz w:val="28"/>
          <w:szCs w:val="28"/>
          <w:lang w:val="es-ES_tradnl" w:eastAsia="ar-SA"/>
        </w:rPr>
        <w:lastRenderedPageBreak/>
        <w:t>virtuales, el distanciamiento social mínimo, la adopción de medidas sanitarias preventivas, el control del aforo y la obligatoriedad de uso de mascarilla, entre otras, han resultado exitosas para prevenir mayores niveles de contagio entre personas servidoras y usuarias, asegurando la continuidad en el servicio</w:t>
      </w:r>
      <w:r w:rsidRPr="00886CEB">
        <w:rPr>
          <w:rFonts w:ascii="Times New Roman" w:eastAsia="Times New Roman" w:hAnsi="Times New Roman" w:cs="Times New Roman"/>
          <w:color w:val="0070C0"/>
          <w:sz w:val="28"/>
          <w:szCs w:val="28"/>
          <w:lang w:val="es-ES_tradnl" w:eastAsia="ar-SA"/>
        </w:rPr>
        <w:t xml:space="preserve"> </w:t>
      </w:r>
      <w:r w:rsidRPr="00886CEB">
        <w:rPr>
          <w:rFonts w:ascii="Times New Roman" w:eastAsia="Times New Roman" w:hAnsi="Times New Roman" w:cs="Times New Roman"/>
          <w:sz w:val="28"/>
          <w:szCs w:val="28"/>
          <w:lang w:val="es-ES_tradnl" w:eastAsia="ar-SA"/>
        </w:rPr>
        <w:t xml:space="preserve">y asegurando una afectación mínima con motivo de su prestación, en la población institucional.  </w:t>
      </w:r>
    </w:p>
    <w:p w14:paraId="68AB18CB"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val="es-ES_tradnl" w:eastAsia="ar-SA"/>
        </w:rPr>
      </w:pPr>
      <w:r w:rsidRPr="00886CEB">
        <w:rPr>
          <w:rFonts w:ascii="Times New Roman" w:eastAsia="Times New Roman" w:hAnsi="Times New Roman" w:cs="Times New Roman"/>
          <w:color w:val="000000"/>
          <w:sz w:val="28"/>
          <w:szCs w:val="28"/>
          <w:lang w:val="es-ES_tradnl" w:eastAsia="ar-SA"/>
        </w:rPr>
        <w:t>16. Que con el fin de asegurar la continuidad en la prestación de un eficiente servicio judicial público, especialmente en lo que a las audiencias en los procesos jurisdiccionales se refiere y ordenar el estricto cumplimiento de los protocolos preventivos aprobados por la Corte Plena y este Consejo Superior, para continuar protegiendo la vida y salud de las personas usuarias y servidoras judiciales, asegurando la continuidad de servicios en el Poder Judicial, toda vez que las mismas han demostrado ser razonables, adecuadas, oportunas y suficientes para el fin público buscado.</w:t>
      </w:r>
    </w:p>
    <w:p w14:paraId="06E31BA3" w14:textId="7971EB3F" w:rsidR="00EF57CF" w:rsidRPr="00886CEB" w:rsidRDefault="00EF57CF" w:rsidP="00EF57CF">
      <w:pPr>
        <w:spacing w:after="0" w:line="480" w:lineRule="auto"/>
        <w:ind w:firstLine="709"/>
        <w:jc w:val="both"/>
        <w:rPr>
          <w:rFonts w:ascii="Times New Roman" w:eastAsia="Calibri" w:hAnsi="Times New Roman" w:cs="Times New Roman"/>
          <w:i/>
          <w:iCs/>
          <w:sz w:val="28"/>
          <w:szCs w:val="28"/>
        </w:rPr>
      </w:pPr>
      <w:r w:rsidRPr="00886CEB">
        <w:rPr>
          <w:rFonts w:ascii="Times New Roman" w:eastAsia="Times New Roman" w:hAnsi="Times New Roman" w:cs="Times New Roman"/>
          <w:color w:val="000000"/>
          <w:sz w:val="28"/>
          <w:szCs w:val="28"/>
          <w:lang w:val="es-ES_tradnl" w:eastAsia="ar-SA"/>
        </w:rPr>
        <w:t xml:space="preserve">17- Que la Corte Plena en la Circular N°60-2021 del 22 de marzo del año en curso, en </w:t>
      </w:r>
      <w:proofErr w:type="gramStart"/>
      <w:r w:rsidRPr="00886CEB">
        <w:rPr>
          <w:rFonts w:ascii="Times New Roman" w:eastAsia="Times New Roman" w:hAnsi="Times New Roman" w:cs="Times New Roman"/>
          <w:color w:val="000000"/>
          <w:sz w:val="28"/>
          <w:szCs w:val="28"/>
          <w:lang w:val="es-ES_tradnl" w:eastAsia="ar-SA"/>
        </w:rPr>
        <w:t>el</w:t>
      </w:r>
      <w:proofErr w:type="gramEnd"/>
      <w:r w:rsidRPr="00886CEB">
        <w:rPr>
          <w:rFonts w:ascii="Times New Roman" w:eastAsia="Times New Roman" w:hAnsi="Times New Roman" w:cs="Times New Roman"/>
          <w:color w:val="000000"/>
          <w:sz w:val="28"/>
          <w:szCs w:val="28"/>
          <w:lang w:val="es-ES_tradnl" w:eastAsia="ar-SA"/>
        </w:rPr>
        <w:t xml:space="preserve"> POR TANTO, punto I, inciso a) dispuso: “</w:t>
      </w:r>
      <w:r w:rsidRPr="00886CEB">
        <w:rPr>
          <w:rFonts w:ascii="Times New Roman" w:eastAsia="Calibri" w:hAnsi="Times New Roman" w:cs="Times New Roman"/>
          <w:i/>
          <w:iCs/>
          <w:sz w:val="28"/>
          <w:szCs w:val="28"/>
        </w:rPr>
        <w:t xml:space="preserve">a.- Se reitera a todas las personas servidoras de los órganos jurisdiccionales, administrativos y auxiliares de justicia, su deber de mantener la continuidad en la prestación de los servicios. Lo anterior, conforme a las directrices generales de funcionamiento establecidas por cada Comisión Jurisdiccional, junto con la Dirección de Planificación y de las Direcciones </w:t>
      </w:r>
      <w:r w:rsidRPr="00886CEB">
        <w:rPr>
          <w:rFonts w:ascii="Times New Roman" w:eastAsia="Calibri" w:hAnsi="Times New Roman" w:cs="Times New Roman"/>
          <w:i/>
          <w:iCs/>
          <w:sz w:val="28"/>
          <w:szCs w:val="28"/>
        </w:rPr>
        <w:lastRenderedPageBreak/>
        <w:t>de apoyo administrativo y en coordinación con el Centro de Apoyo, Coordinación y Mejoramiento de la Función Jurisdiccional.</w:t>
      </w:r>
    </w:p>
    <w:p w14:paraId="51A7E14E" w14:textId="77777777" w:rsidR="00EF57CF" w:rsidRPr="00886CEB" w:rsidRDefault="00EF57CF" w:rsidP="00EF57CF">
      <w:pPr>
        <w:spacing w:after="0" w:line="480" w:lineRule="auto"/>
        <w:ind w:firstLine="709"/>
        <w:jc w:val="both"/>
        <w:rPr>
          <w:rFonts w:ascii="Times New Roman" w:eastAsia="Calibri" w:hAnsi="Times New Roman" w:cs="Times New Roman"/>
          <w:i/>
          <w:iCs/>
          <w:sz w:val="28"/>
          <w:szCs w:val="28"/>
        </w:rPr>
      </w:pPr>
      <w:r w:rsidRPr="00886CEB">
        <w:rPr>
          <w:rFonts w:ascii="Times New Roman" w:eastAsia="Calibri" w:hAnsi="Times New Roman" w:cs="Times New Roman"/>
          <w:i/>
          <w:iCs/>
          <w:sz w:val="28"/>
          <w:szCs w:val="28"/>
        </w:rPr>
        <w:t>Dicha prestación de servicios deberá realizarse conforme lo que disponga el Ministerio de Salud, así como los protocolos preventivos aprobados por la Corte y el Consejo Superior, para continuar protegiendo la vida y salud de las personas usuarias y servidoras del Poder Judicial”.</w:t>
      </w:r>
    </w:p>
    <w:p w14:paraId="307B43CE" w14:textId="77777777" w:rsidR="00EF57CF" w:rsidRPr="00886CEB" w:rsidRDefault="00EF57CF" w:rsidP="00EF57CF">
      <w:pPr>
        <w:suppressAutoHyphens/>
        <w:spacing w:after="0" w:line="480" w:lineRule="auto"/>
        <w:ind w:firstLine="709"/>
        <w:jc w:val="both"/>
        <w:rPr>
          <w:rFonts w:ascii="Times New Roman" w:eastAsia="Times New Roman" w:hAnsi="Times New Roman" w:cs="Times New Roman"/>
          <w:color w:val="000000"/>
          <w:sz w:val="28"/>
          <w:szCs w:val="28"/>
          <w:lang w:eastAsia="ar-SA"/>
        </w:rPr>
      </w:pPr>
      <w:r w:rsidRPr="00886CEB">
        <w:rPr>
          <w:rFonts w:ascii="Times New Roman" w:eastAsia="Times New Roman" w:hAnsi="Times New Roman" w:cs="Times New Roman"/>
          <w:color w:val="000000"/>
          <w:sz w:val="28"/>
          <w:szCs w:val="28"/>
          <w:lang w:eastAsia="ar-SA"/>
        </w:rPr>
        <w:t xml:space="preserve">18- Que en virtud de lo anterior y conforme las recomendaciones emanadas de la Comisión de Emergencias de este Poder de la República, este Consejo Superior. </w:t>
      </w:r>
    </w:p>
    <w:p w14:paraId="03E500D8" w14:textId="77777777" w:rsidR="00EF57CF" w:rsidRPr="00886CEB" w:rsidRDefault="00EF57CF" w:rsidP="00EF57CF">
      <w:pPr>
        <w:suppressAutoHyphens/>
        <w:spacing w:after="0" w:line="480" w:lineRule="auto"/>
        <w:jc w:val="center"/>
        <w:rPr>
          <w:rFonts w:ascii="Times New Roman" w:eastAsia="Times New Roman" w:hAnsi="Times New Roman" w:cs="Times New Roman"/>
          <w:b/>
          <w:color w:val="000000"/>
          <w:sz w:val="28"/>
          <w:szCs w:val="28"/>
          <w:lang w:eastAsia="ar-SA"/>
        </w:rPr>
      </w:pPr>
      <w:r w:rsidRPr="00886CEB">
        <w:rPr>
          <w:rFonts w:ascii="Times New Roman" w:eastAsia="Times New Roman" w:hAnsi="Times New Roman" w:cs="Times New Roman"/>
          <w:b/>
          <w:color w:val="000000"/>
          <w:sz w:val="28"/>
          <w:szCs w:val="28"/>
          <w:lang w:eastAsia="ar-SA"/>
        </w:rPr>
        <w:t>POR TANTO</w:t>
      </w:r>
    </w:p>
    <w:p w14:paraId="035E0B21" w14:textId="77777777" w:rsidR="00EF57CF" w:rsidRPr="00886CEB" w:rsidRDefault="00EF57CF" w:rsidP="00EF57CF">
      <w:pPr>
        <w:widowControl w:val="0"/>
        <w:spacing w:after="0" w:line="480" w:lineRule="auto"/>
        <w:ind w:firstLine="709"/>
        <w:rPr>
          <w:rFonts w:ascii="Times New Roman" w:eastAsia="Times New Roman" w:hAnsi="Times New Roman" w:cs="Times New Roman"/>
          <w:sz w:val="28"/>
          <w:szCs w:val="28"/>
          <w:lang w:eastAsia="es-ES"/>
        </w:rPr>
      </w:pPr>
      <w:r w:rsidRPr="00886CEB">
        <w:rPr>
          <w:rFonts w:ascii="Times New Roman" w:eastAsia="Times New Roman" w:hAnsi="Times New Roman" w:cs="Times New Roman"/>
          <w:sz w:val="28"/>
          <w:szCs w:val="28"/>
          <w:lang w:eastAsia="es-ES"/>
        </w:rPr>
        <w:t xml:space="preserve">Acuerda: </w:t>
      </w:r>
    </w:p>
    <w:p w14:paraId="349EDC68" w14:textId="523DAEF6" w:rsidR="00EF57CF" w:rsidRPr="00CE52AB" w:rsidRDefault="00EF57CF" w:rsidP="00CE52AB">
      <w:pPr>
        <w:spacing w:after="0" w:line="480" w:lineRule="auto"/>
        <w:ind w:firstLine="709"/>
        <w:jc w:val="both"/>
        <w:rPr>
          <w:rFonts w:ascii="Times New Roman" w:eastAsia="Times New Roman" w:hAnsi="Times New Roman" w:cs="Times New Roman"/>
          <w:strike/>
          <w:sz w:val="28"/>
          <w:szCs w:val="28"/>
          <w:vertAlign w:val="superscript"/>
          <w:lang w:val="es-ES_tradnl" w:eastAsia="ar-SA"/>
        </w:rPr>
      </w:pPr>
      <w:r w:rsidRPr="00886CEB">
        <w:rPr>
          <w:rFonts w:ascii="Times New Roman" w:eastAsia="Times New Roman" w:hAnsi="Times New Roman" w:cs="Times New Roman"/>
          <w:sz w:val="28"/>
          <w:szCs w:val="28"/>
          <w:lang w:val="es-ES_tradnl" w:eastAsia="ar-SA"/>
        </w:rPr>
        <w:t>A</w:t>
      </w:r>
      <w:proofErr w:type="gramStart"/>
      <w:r w:rsidRPr="00886CEB">
        <w:rPr>
          <w:rFonts w:ascii="Times New Roman" w:eastAsia="Times New Roman" w:hAnsi="Times New Roman" w:cs="Times New Roman"/>
          <w:sz w:val="28"/>
          <w:szCs w:val="28"/>
          <w:lang w:val="es-ES_tradnl" w:eastAsia="ar-SA"/>
        </w:rPr>
        <w:t>).-</w:t>
      </w:r>
      <w:proofErr w:type="gramEnd"/>
      <w:r w:rsidRPr="00886CEB">
        <w:rPr>
          <w:rFonts w:ascii="Times New Roman" w:eastAsia="Times New Roman" w:hAnsi="Times New Roman" w:cs="Times New Roman"/>
          <w:sz w:val="28"/>
          <w:szCs w:val="28"/>
          <w:lang w:val="es-ES_tradnl" w:eastAsia="ar-SA"/>
        </w:rPr>
        <w:t xml:space="preserve"> De conformidad con lo establecido en el Reglamento el Reglamento para regular la implementación de la modalidad de prestación de servicios del teletrabajo, aprobado en sesión N° 7-2021 celebrada el 15 de febrero del 2021, artículo XVIII de Corte Plena, disponer lo siguiente:</w:t>
      </w:r>
      <w:r w:rsidR="00CE52AB">
        <w:rPr>
          <w:rFonts w:ascii="Times New Roman" w:eastAsia="Times New Roman" w:hAnsi="Times New Roman" w:cs="Times New Roman"/>
          <w:strike/>
          <w:sz w:val="28"/>
          <w:szCs w:val="28"/>
          <w:vertAlign w:val="superscript"/>
          <w:lang w:val="es-ES_tradnl" w:eastAsia="ar-SA"/>
        </w:rPr>
        <w:t xml:space="preserve"> </w:t>
      </w:r>
      <w:r w:rsidRPr="00886CEB">
        <w:rPr>
          <w:rFonts w:ascii="Times New Roman" w:eastAsia="Times New Roman" w:hAnsi="Times New Roman" w:cs="Times New Roman"/>
          <w:b/>
          <w:sz w:val="28"/>
          <w:szCs w:val="28"/>
          <w:lang w:val="es-ES_tradnl" w:eastAsia="ar-SA"/>
        </w:rPr>
        <w:t>1.)</w:t>
      </w:r>
      <w:r w:rsidRPr="00886CEB">
        <w:rPr>
          <w:rFonts w:ascii="Times New Roman" w:eastAsia="Times New Roman" w:hAnsi="Times New Roman" w:cs="Times New Roman"/>
          <w:sz w:val="28"/>
          <w:szCs w:val="28"/>
          <w:lang w:val="es-ES_tradnl" w:eastAsia="ar-SA"/>
        </w:rPr>
        <w:t xml:space="preserve"> Se autoriza a las personas jefes de oficina o despacho, según sea el caso, a aprobar la modalidad de teletrabajo a las personas servidoras, del lunes 3 de mayo y hasta el 30 de junio de 2021, hasta por cinco días en aquellos casos excepcionales que por la naturaleza del servicio prestado por la oficina o despacho, las características del puesto y condición de salud de cada persona lo amerite, siempre dando prioridad a las personas que atiendan público, tengan factores </w:t>
      </w:r>
      <w:r w:rsidRPr="00886CEB">
        <w:rPr>
          <w:rFonts w:ascii="Times New Roman" w:eastAsia="Times New Roman" w:hAnsi="Times New Roman" w:cs="Times New Roman"/>
          <w:sz w:val="28"/>
          <w:szCs w:val="28"/>
          <w:lang w:val="es-ES_tradnl" w:eastAsia="ar-SA"/>
        </w:rPr>
        <w:lastRenderedPageBreak/>
        <w:t>de riesgo y que resulte viable y necesario que no se presenten a laborar de manera presencial con motivo de la situación actual de la pandemia.  Las respectivas jefaturas deberán tomar las medidas de control necesarias para garantizar la continuidad y la no afectación en la prestación de los servicios y la debida atención a las personas usuarias.  Será su responsabilidad velar por la organización, cumplimiento de las cuotas, planes de trabajo y labores asignadas.</w:t>
      </w:r>
      <w:r w:rsidR="00CE52AB">
        <w:rPr>
          <w:rFonts w:ascii="Times New Roman" w:eastAsia="Times New Roman" w:hAnsi="Times New Roman" w:cs="Times New Roman"/>
          <w:sz w:val="28"/>
          <w:szCs w:val="28"/>
          <w:lang w:val="es-ES_tradnl" w:eastAsia="ar-SA"/>
        </w:rPr>
        <w:t xml:space="preserve"> </w:t>
      </w:r>
      <w:r w:rsidRPr="00886CEB">
        <w:rPr>
          <w:rFonts w:ascii="Times New Roman" w:eastAsia="Times New Roman" w:hAnsi="Times New Roman" w:cs="Times New Roman"/>
          <w:b/>
          <w:sz w:val="28"/>
          <w:szCs w:val="28"/>
          <w:lang w:val="es-ES_tradnl" w:eastAsia="ar-SA"/>
        </w:rPr>
        <w:t>2.)</w:t>
      </w:r>
      <w:r w:rsidRPr="00886CEB">
        <w:rPr>
          <w:rFonts w:ascii="Times New Roman" w:eastAsia="Times New Roman" w:hAnsi="Times New Roman" w:cs="Times New Roman"/>
          <w:sz w:val="28"/>
          <w:szCs w:val="28"/>
          <w:lang w:val="es-ES_tradnl" w:eastAsia="ar-SA"/>
        </w:rPr>
        <w:t xml:space="preserve"> En todos los casos, se deberán respetar los lineamientos el Ministerio de Salud.  En las áreas de uso común, se debe mantener un máximo de aforo del veinte por ciento, mientras que las personas servidoras que disponen de oficinas de uso unipersonal, deberán laborar prioritariamente de forma presencial y en caso de que realicen teletrabajo, esa área deberá ser utilizado por otra persona de la oficina o despacho, de forma que se maximice el uso de los espacios institucionales y se dé la menor afectación a las personas usuarias.  </w:t>
      </w:r>
      <w:r w:rsidRPr="00886CEB">
        <w:rPr>
          <w:rFonts w:ascii="Times New Roman" w:eastAsia="Times New Roman" w:hAnsi="Times New Roman" w:cs="Times New Roman"/>
          <w:b/>
          <w:sz w:val="28"/>
          <w:szCs w:val="28"/>
          <w:lang w:val="es-ES_tradnl" w:eastAsia="ar-SA"/>
        </w:rPr>
        <w:t>3.)</w:t>
      </w:r>
      <w:r w:rsidRPr="00886CEB">
        <w:rPr>
          <w:rFonts w:ascii="Times New Roman" w:eastAsia="Times New Roman" w:hAnsi="Times New Roman" w:cs="Times New Roman"/>
          <w:sz w:val="28"/>
          <w:szCs w:val="28"/>
          <w:lang w:val="es-ES_tradnl" w:eastAsia="ar-SA"/>
        </w:rPr>
        <w:t xml:space="preserve"> En cuanto a la firma de los contratos de teletrabajo, conforme al Reglamento y al contrato aprobado por el Consejo Superior en sesión N°34-2021, celebrada el 29 de abril de 2021 </w:t>
      </w:r>
      <w:proofErr w:type="spellStart"/>
      <w:r w:rsidRPr="00886CEB">
        <w:rPr>
          <w:rFonts w:ascii="Times New Roman" w:eastAsia="Times New Roman" w:hAnsi="Times New Roman" w:cs="Times New Roman"/>
          <w:sz w:val="28"/>
          <w:szCs w:val="28"/>
          <w:lang w:val="es-ES_tradnl" w:eastAsia="ar-SA"/>
        </w:rPr>
        <w:t>articulo</w:t>
      </w:r>
      <w:proofErr w:type="spellEnd"/>
      <w:r w:rsidRPr="00886CEB">
        <w:rPr>
          <w:rFonts w:ascii="Times New Roman" w:eastAsia="Times New Roman" w:hAnsi="Times New Roman" w:cs="Times New Roman"/>
          <w:sz w:val="28"/>
          <w:szCs w:val="28"/>
          <w:lang w:val="es-ES_tradnl" w:eastAsia="ar-SA"/>
        </w:rPr>
        <w:t xml:space="preserve"> LXVI, se realizará por la persona teletrabajadora con el visto bueno de la Jefatura de la Oficina o Despacho y deberá ser remitido a la Dirección de Gestión Humana, lo anterior sin afectar la continuidad en la prestación de servicios que realizan las personas servidoras bajo dicha modalidad durante el período indicado en el punto 3, con el fin de proteger la vida y salud de las personas servidoras y usuarias. Conforme al </w:t>
      </w:r>
      <w:r w:rsidRPr="00886CEB">
        <w:rPr>
          <w:rFonts w:ascii="Times New Roman" w:eastAsia="Times New Roman" w:hAnsi="Times New Roman" w:cs="Times New Roman"/>
          <w:sz w:val="28"/>
          <w:szCs w:val="28"/>
          <w:lang w:val="es-ES_tradnl" w:eastAsia="ar-SA"/>
        </w:rPr>
        <w:lastRenderedPageBreak/>
        <w:t xml:space="preserve">Reglamento de Teletrabajo será responsabilidad de las Jefaturas determinar los objetivos, metas, indicadores, actividades, y los entregables que permitan el control y seguimiento de la labor de la persona teletrabajadora como condición necesaria para mantener la prestación de servicios bajo la modalidad de teletrabajo. </w:t>
      </w:r>
      <w:r w:rsidRPr="00886CEB">
        <w:rPr>
          <w:rFonts w:ascii="Times New Roman" w:eastAsia="Times New Roman" w:hAnsi="Times New Roman" w:cs="Times New Roman"/>
          <w:b/>
          <w:sz w:val="28"/>
          <w:szCs w:val="28"/>
          <w:lang w:val="es-ES_tradnl" w:eastAsia="ar-SA"/>
        </w:rPr>
        <w:t>4.)</w:t>
      </w:r>
      <w:r w:rsidRPr="00886CEB">
        <w:rPr>
          <w:rFonts w:ascii="Times New Roman" w:eastAsia="Times New Roman" w:hAnsi="Times New Roman" w:cs="Times New Roman"/>
          <w:sz w:val="28"/>
          <w:szCs w:val="28"/>
          <w:lang w:val="es-ES_tradnl" w:eastAsia="ar-SA"/>
        </w:rPr>
        <w:t xml:space="preserve"> Dichos contratos de teletrabajo serán prorrogables en caso de que la Corte Plena o este Consejo, mantenga las condiciones establecidas después del 30 de junio de 2021.</w:t>
      </w:r>
      <w:r w:rsidR="00CE52AB">
        <w:rPr>
          <w:rFonts w:ascii="Times New Roman" w:eastAsia="Times New Roman" w:hAnsi="Times New Roman" w:cs="Times New Roman"/>
          <w:sz w:val="28"/>
          <w:szCs w:val="28"/>
          <w:lang w:val="es-ES_tradnl" w:eastAsia="ar-SA"/>
        </w:rPr>
        <w:t xml:space="preserve"> </w:t>
      </w:r>
      <w:r w:rsidRPr="00886CEB">
        <w:rPr>
          <w:rFonts w:ascii="Times New Roman" w:eastAsia="Times New Roman" w:hAnsi="Times New Roman" w:cs="Times New Roman"/>
          <w:b/>
          <w:sz w:val="28"/>
          <w:szCs w:val="28"/>
          <w:lang w:val="es-ES_tradnl" w:eastAsia="ar-SA"/>
        </w:rPr>
        <w:t>5.)</w:t>
      </w:r>
      <w:r w:rsidRPr="00886CEB">
        <w:rPr>
          <w:rFonts w:ascii="Times New Roman" w:eastAsia="Times New Roman" w:hAnsi="Times New Roman" w:cs="Times New Roman"/>
          <w:sz w:val="28"/>
          <w:szCs w:val="28"/>
          <w:lang w:val="es-ES_tradnl" w:eastAsia="ar-SA"/>
        </w:rPr>
        <w:t xml:space="preserve">  Conforme lo dispuesto en el artículo 142 de la Ley General de la Administración Pública, el acto administrativo de la Jefatura que apruebe la modalidad de teletrabajo formalmente en cada caso en particular, al amparo del Reglamento para Regular la Modalidad de Prestación de Servicios en Teletrabajo en el Poder Judicial, y el respectivo contrato que se rubrique en aplicación de este cuerpo normativo, para el caso de las personas que están desarrollando dicha modalidad de prestación de servicios con motivo de la pandemia, tendrán  efecto retroactivo a la fecha de inicio de ejecución de dicha modalidad en el caso respectivo, siempre y cuando a ese momento hayan existido los motivos para su adopción y la respectiva jefatura hayan determinado los objetivos, metas, indicadores, actividades, y los entregables que les permitieran el control y seguimiento de la labor.</w:t>
      </w:r>
      <w:r w:rsidR="00CE52AB">
        <w:rPr>
          <w:rFonts w:ascii="Times New Roman" w:eastAsia="Times New Roman" w:hAnsi="Times New Roman" w:cs="Times New Roman"/>
          <w:strike/>
          <w:sz w:val="28"/>
          <w:szCs w:val="28"/>
          <w:vertAlign w:val="superscript"/>
          <w:lang w:val="es-ES_tradnl" w:eastAsia="ar-SA"/>
        </w:rPr>
        <w:t xml:space="preserve"> </w:t>
      </w:r>
      <w:r w:rsidRPr="00886CEB">
        <w:rPr>
          <w:rFonts w:ascii="Times New Roman" w:eastAsia="Times New Roman" w:hAnsi="Times New Roman" w:cs="Times New Roman"/>
          <w:b/>
          <w:sz w:val="28"/>
          <w:szCs w:val="28"/>
          <w:lang w:val="es-ES_tradnl" w:eastAsia="ar-SA"/>
        </w:rPr>
        <w:t>6.)</w:t>
      </w:r>
      <w:r w:rsidRPr="00886CEB">
        <w:rPr>
          <w:rFonts w:ascii="Times New Roman" w:eastAsia="Times New Roman" w:hAnsi="Times New Roman" w:cs="Times New Roman"/>
          <w:sz w:val="28"/>
          <w:szCs w:val="28"/>
          <w:lang w:val="es-ES_tradnl" w:eastAsia="ar-SA"/>
        </w:rPr>
        <w:t xml:space="preserve"> Se adjunta el machote de contrato de teletrabajo aprobado por este Consejo Superior en la sesión de cita.</w:t>
      </w:r>
    </w:p>
    <w:p w14:paraId="4D7A4DC2" w14:textId="77777777" w:rsidR="00EF57CF" w:rsidRPr="00886CEB" w:rsidRDefault="00317F53" w:rsidP="00EF57CF">
      <w:pPr>
        <w:spacing w:after="0" w:line="240" w:lineRule="auto"/>
        <w:ind w:firstLine="709"/>
        <w:jc w:val="center"/>
        <w:rPr>
          <w:rFonts w:ascii="Times New Roman" w:eastAsia="Times New Roman" w:hAnsi="Times New Roman" w:cs="Times New Roman"/>
          <w:sz w:val="24"/>
          <w:szCs w:val="24"/>
          <w:lang w:val="es-ES_tradnl" w:eastAsia="ar-SA"/>
        </w:rPr>
      </w:pPr>
      <w:hyperlink r:id="rId390" w:history="1">
        <w:r w:rsidR="00EF57CF" w:rsidRPr="00886CEB">
          <w:rPr>
            <w:rFonts w:ascii="Calibri Light" w:eastAsia="Calibri" w:hAnsi="Calibri Light" w:cs="Times New Roman"/>
            <w:color w:val="0000FF"/>
            <w:sz w:val="26"/>
            <w:szCs w:val="26"/>
            <w:u w:val="single"/>
          </w:rPr>
          <w:t>https://secretariacorte.poder-judicial.go.cr/images/documentos/Contrato_Teletrabajo.docx</w:t>
        </w:r>
      </w:hyperlink>
    </w:p>
    <w:p w14:paraId="6805EC5B" w14:textId="77777777" w:rsidR="00EF57CF" w:rsidRPr="00886CEB" w:rsidRDefault="00EF57CF" w:rsidP="00EF57CF">
      <w:pPr>
        <w:spacing w:after="0" w:line="240" w:lineRule="auto"/>
        <w:ind w:firstLine="709"/>
        <w:jc w:val="both"/>
        <w:rPr>
          <w:rFonts w:ascii="Times New Roman" w:eastAsia="Times New Roman" w:hAnsi="Times New Roman" w:cs="Times New Roman"/>
          <w:sz w:val="24"/>
          <w:szCs w:val="24"/>
          <w:lang w:val="es-ES_tradnl" w:eastAsia="ar-SA"/>
        </w:rPr>
      </w:pPr>
    </w:p>
    <w:p w14:paraId="7F6EAB8B" w14:textId="2FA28BFF" w:rsidR="00EF57CF" w:rsidRPr="00CE52AB" w:rsidRDefault="00EF57CF" w:rsidP="00CE52AB">
      <w:pPr>
        <w:spacing w:after="0" w:line="600" w:lineRule="auto"/>
        <w:ind w:firstLine="709"/>
        <w:jc w:val="both"/>
        <w:rPr>
          <w:rFonts w:ascii="Times New Roman" w:eastAsia="Times New Roman" w:hAnsi="Times New Roman" w:cs="Times New Roman"/>
          <w:sz w:val="28"/>
          <w:szCs w:val="28"/>
          <w:lang w:val="es-ES_tradnl" w:eastAsia="ar-SA"/>
        </w:rPr>
      </w:pPr>
      <w:r w:rsidRPr="00886CEB">
        <w:rPr>
          <w:rFonts w:ascii="Times New Roman" w:eastAsia="Times New Roman" w:hAnsi="Times New Roman" w:cs="Times New Roman"/>
          <w:b/>
          <w:sz w:val="28"/>
          <w:szCs w:val="28"/>
          <w:lang w:val="es-ES_tradnl" w:eastAsia="ar-SA"/>
        </w:rPr>
        <w:t>B</w:t>
      </w:r>
      <w:proofErr w:type="gramStart"/>
      <w:r w:rsidRPr="00886CEB">
        <w:rPr>
          <w:rFonts w:ascii="Times New Roman" w:eastAsia="Times New Roman" w:hAnsi="Times New Roman" w:cs="Times New Roman"/>
          <w:b/>
          <w:sz w:val="28"/>
          <w:szCs w:val="28"/>
          <w:lang w:val="es-ES_tradnl" w:eastAsia="ar-SA"/>
        </w:rPr>
        <w:t>).-</w:t>
      </w:r>
      <w:proofErr w:type="gramEnd"/>
      <w:r w:rsidRPr="00886CEB">
        <w:rPr>
          <w:rFonts w:ascii="Times New Roman" w:eastAsia="Times New Roman" w:hAnsi="Times New Roman" w:cs="Times New Roman"/>
          <w:sz w:val="28"/>
          <w:szCs w:val="28"/>
          <w:lang w:val="es-ES_tradnl" w:eastAsia="ar-SA"/>
        </w:rPr>
        <w:t xml:space="preserve"> Además de lo expuesto en el punto anterior, también se dispone lo siguiente:</w:t>
      </w:r>
      <w:r w:rsidR="00CE52AB">
        <w:rPr>
          <w:rFonts w:ascii="Times New Roman" w:eastAsia="Times New Roman" w:hAnsi="Times New Roman" w:cs="Times New Roman"/>
          <w:sz w:val="28"/>
          <w:szCs w:val="28"/>
          <w:lang w:val="es-ES_tradnl" w:eastAsia="ar-SA"/>
        </w:rPr>
        <w:t xml:space="preserve"> </w:t>
      </w:r>
      <w:r w:rsidRPr="00886CEB">
        <w:rPr>
          <w:rFonts w:ascii="Times New Roman" w:eastAsia="Times New Roman" w:hAnsi="Times New Roman" w:cs="Times New Roman"/>
          <w:b/>
          <w:sz w:val="28"/>
          <w:szCs w:val="28"/>
          <w:lang w:val="es-ES_tradnl" w:eastAsia="ar-SA"/>
        </w:rPr>
        <w:t>1.)</w:t>
      </w:r>
      <w:r w:rsidRPr="00886CEB">
        <w:rPr>
          <w:rFonts w:ascii="Times New Roman" w:eastAsia="Times New Roman" w:hAnsi="Times New Roman" w:cs="Times New Roman"/>
          <w:sz w:val="28"/>
          <w:szCs w:val="28"/>
          <w:lang w:val="es-ES_tradnl" w:eastAsia="ar-SA"/>
        </w:rPr>
        <w:t xml:space="preserve"> Todos los despachos y oficinas permanecerán abiertos y brindando sus servicios, con la presencia de al menos un titular subordinado por dependencia y una persona de apoyo en cada oficina, unidad u área, conforme los roles que se definan. Para su escogencia, se deberá considerar aquellas personas servidoras que presenten menor vulnerabilidad.  </w:t>
      </w:r>
      <w:r w:rsidRPr="00886CEB">
        <w:rPr>
          <w:rFonts w:ascii="Times New Roman" w:eastAsia="Times New Roman" w:hAnsi="Times New Roman" w:cs="Times New Roman"/>
          <w:b/>
          <w:sz w:val="28"/>
          <w:szCs w:val="28"/>
          <w:lang w:val="es-ES_tradnl" w:eastAsia="ar-SA"/>
        </w:rPr>
        <w:t>2.)</w:t>
      </w:r>
      <w:r w:rsidRPr="00886CEB">
        <w:rPr>
          <w:rFonts w:ascii="Times New Roman" w:eastAsia="Times New Roman" w:hAnsi="Times New Roman" w:cs="Times New Roman"/>
          <w:sz w:val="28"/>
          <w:szCs w:val="28"/>
          <w:lang w:val="es-ES_tradnl" w:eastAsia="ar-SA"/>
        </w:rPr>
        <w:t xml:space="preserve"> A efecto de mantener la continuidad de la prestación de servicios, será obligación de los respectivos titulares subordinados asegurar la atención a las personas usuarias, la recepción de documentos y en general el funcionamiento de la oficina o despacho. </w:t>
      </w:r>
      <w:r w:rsidRPr="00886CEB">
        <w:rPr>
          <w:rFonts w:ascii="Times New Roman" w:eastAsia="Times New Roman" w:hAnsi="Times New Roman" w:cs="Times New Roman"/>
          <w:b/>
          <w:sz w:val="28"/>
          <w:szCs w:val="28"/>
          <w:lang w:val="es-ES_tradnl" w:eastAsia="ar-SA"/>
        </w:rPr>
        <w:t>3.)</w:t>
      </w:r>
      <w:r w:rsidRPr="00886CEB">
        <w:rPr>
          <w:rFonts w:ascii="Times New Roman" w:eastAsia="Times New Roman" w:hAnsi="Times New Roman" w:cs="Times New Roman"/>
          <w:sz w:val="28"/>
          <w:szCs w:val="28"/>
          <w:lang w:val="es-ES_tradnl" w:eastAsia="ar-SA"/>
        </w:rPr>
        <w:t xml:space="preserve"> Con el fin de reducir aforos, facilitar la movilización de las personas servidoras con motivo de la prestación de servicios, los titulares subordinados podrán realizar modificaciones de los horarios de las personas servidoras que deban realizar actividades presenciales, sin afectar el horario normal de prestación de servicios de la respectiva oficina o despacho. En caso de que se requiera modificar la jornada laboral, deberá existir anuencia de la persona servidora.</w:t>
      </w:r>
      <w:r w:rsidR="00CE52AB">
        <w:rPr>
          <w:rFonts w:ascii="Times New Roman" w:eastAsia="Times New Roman" w:hAnsi="Times New Roman" w:cs="Times New Roman"/>
          <w:sz w:val="28"/>
          <w:szCs w:val="28"/>
          <w:lang w:val="es-ES_tradnl" w:eastAsia="ar-SA"/>
        </w:rPr>
        <w:t xml:space="preserve"> </w:t>
      </w:r>
      <w:r w:rsidRPr="00886CEB">
        <w:rPr>
          <w:rFonts w:ascii="Times New Roman" w:eastAsia="Times New Roman" w:hAnsi="Times New Roman" w:cs="Times New Roman"/>
          <w:b/>
          <w:sz w:val="28"/>
          <w:szCs w:val="28"/>
          <w:lang w:val="es-ES_tradnl" w:eastAsia="ar-SA"/>
        </w:rPr>
        <w:t>4.)</w:t>
      </w:r>
      <w:r w:rsidRPr="00886CEB">
        <w:rPr>
          <w:rFonts w:ascii="Times New Roman" w:eastAsia="Times New Roman" w:hAnsi="Times New Roman" w:cs="Times New Roman"/>
          <w:sz w:val="28"/>
          <w:szCs w:val="28"/>
          <w:lang w:val="es-ES_tradnl" w:eastAsia="ar-SA"/>
        </w:rPr>
        <w:t xml:space="preserve"> En los cantones con </w:t>
      </w:r>
      <w:r w:rsidRPr="00886CEB">
        <w:rPr>
          <w:rFonts w:ascii="Times New Roman" w:eastAsia="Times New Roman" w:hAnsi="Times New Roman" w:cs="Times New Roman"/>
          <w:sz w:val="28"/>
          <w:szCs w:val="28"/>
          <w:lang w:val="es-ES_tradnl" w:eastAsia="ar-SA"/>
        </w:rPr>
        <w:lastRenderedPageBreak/>
        <w:t>condición de alerta naranja se deberán observar las diferentes directrices emitidas al respecto por la Corte Plena y este Consejo.</w:t>
      </w:r>
      <w:r w:rsidR="00CE52AB">
        <w:rPr>
          <w:rFonts w:ascii="Times New Roman" w:eastAsia="Times New Roman" w:hAnsi="Times New Roman" w:cs="Times New Roman"/>
          <w:sz w:val="28"/>
          <w:szCs w:val="28"/>
          <w:lang w:val="es-ES_tradnl" w:eastAsia="ar-SA"/>
        </w:rPr>
        <w:t xml:space="preserve"> </w:t>
      </w:r>
      <w:r w:rsidRPr="00886CEB">
        <w:rPr>
          <w:rFonts w:ascii="Times New Roman" w:eastAsia="Times New Roman" w:hAnsi="Times New Roman" w:cs="Times New Roman"/>
          <w:sz w:val="28"/>
          <w:szCs w:val="28"/>
          <w:lang w:eastAsia="es-ES"/>
        </w:rPr>
        <w:t>Con motivo del análisis anterior, la Secretaría General de la Corte emitirá una circular en los términos señalados.</w:t>
      </w:r>
    </w:p>
    <w:p w14:paraId="53B7E4B7" w14:textId="078CCF5F" w:rsidR="00EF57CF" w:rsidRPr="005800D8" w:rsidRDefault="00EF57CF" w:rsidP="00EF57CF">
      <w:pPr>
        <w:keepNext/>
        <w:shd w:val="clear" w:color="auto" w:fill="FFFFFF"/>
        <w:autoSpaceDE w:val="0"/>
        <w:autoSpaceDN w:val="0"/>
        <w:spacing w:after="0" w:line="360" w:lineRule="auto"/>
        <w:jc w:val="center"/>
        <w:outlineLvl w:val="0"/>
        <w:rPr>
          <w:rFonts w:ascii="Times New Roman" w:eastAsia="Calibri" w:hAnsi="Times New Roman" w:cs="Times New Roman"/>
          <w:b/>
          <w:bCs/>
          <w:color w:val="000000"/>
          <w:kern w:val="36"/>
          <w:sz w:val="28"/>
          <w:szCs w:val="28"/>
          <w:u w:val="single"/>
          <w:lang w:eastAsia="es-ES"/>
        </w:rPr>
      </w:pPr>
      <w:r w:rsidRPr="00886CEB">
        <w:rPr>
          <w:rFonts w:ascii="Times New Roman" w:eastAsia="Calibri" w:hAnsi="Times New Roman" w:cs="Times New Roman"/>
          <w:b/>
          <w:bCs/>
          <w:color w:val="000000"/>
          <w:kern w:val="36"/>
          <w:sz w:val="28"/>
          <w:szCs w:val="28"/>
          <w:u w:val="single"/>
          <w:lang w:eastAsia="es-ES"/>
        </w:rPr>
        <w:t xml:space="preserve">ARTÍCULO XXIII </w:t>
      </w:r>
    </w:p>
    <w:p w14:paraId="50CE1C91" w14:textId="77777777" w:rsidR="00EF57CF" w:rsidRPr="00886CEB" w:rsidRDefault="00EF57CF" w:rsidP="007C57B7">
      <w:pPr>
        <w:spacing w:before="120" w:after="120" w:line="480" w:lineRule="auto"/>
        <w:rPr>
          <w:rFonts w:ascii="Times New Roman" w:eastAsia="Times New Roman" w:hAnsi="Times New Roman" w:cs="Times New Roman"/>
          <w:b/>
          <w:bCs/>
          <w:color w:val="00B050"/>
          <w:sz w:val="28"/>
          <w:szCs w:val="28"/>
          <w:lang w:eastAsia="es-ES"/>
        </w:rPr>
      </w:pPr>
      <w:r w:rsidRPr="00886CEB">
        <w:rPr>
          <w:rFonts w:ascii="Times New Roman" w:eastAsia="Times New Roman" w:hAnsi="Times New Roman" w:cs="Times New Roman"/>
          <w:b/>
          <w:bCs/>
          <w:sz w:val="28"/>
          <w:szCs w:val="28"/>
          <w:lang w:eastAsia="es-ES"/>
        </w:rPr>
        <w:t xml:space="preserve">Documento Nº 5350-2020 / </w:t>
      </w:r>
      <w:r w:rsidRPr="00886CEB">
        <w:rPr>
          <w:rFonts w:ascii="Times New Roman" w:eastAsia="Times New Roman" w:hAnsi="Times New Roman" w:cs="Times New Roman"/>
          <w:b/>
          <w:bCs/>
          <w:color w:val="00B050"/>
          <w:sz w:val="28"/>
          <w:szCs w:val="28"/>
          <w:lang w:eastAsia="es-ES"/>
        </w:rPr>
        <w:t>4409-2021</w:t>
      </w:r>
    </w:p>
    <w:p w14:paraId="0E2AC996" w14:textId="77777777" w:rsidR="00EF57CF" w:rsidRPr="00886CEB" w:rsidRDefault="00EF57CF" w:rsidP="00EF57CF">
      <w:pPr>
        <w:autoSpaceDE w:val="0"/>
        <w:autoSpaceDN w:val="0"/>
        <w:adjustRightInd w:val="0"/>
        <w:spacing w:after="0" w:line="480" w:lineRule="auto"/>
        <w:ind w:firstLine="708"/>
        <w:jc w:val="both"/>
        <w:rPr>
          <w:rFonts w:ascii="Times New Roman" w:eastAsia="Times New Roman" w:hAnsi="Times New Roman" w:cs="Times New Roman"/>
          <w:color w:val="000000"/>
          <w:sz w:val="28"/>
          <w:szCs w:val="28"/>
          <w:lang w:eastAsia="es-CR"/>
        </w:rPr>
      </w:pPr>
      <w:r w:rsidRPr="00886CEB">
        <w:rPr>
          <w:rFonts w:ascii="Times New Roman" w:eastAsia="Times New Roman" w:hAnsi="Times New Roman" w:cs="Times New Roman"/>
          <w:color w:val="000000"/>
          <w:sz w:val="28"/>
          <w:szCs w:val="28"/>
          <w:lang w:eastAsia="es-CR"/>
        </w:rPr>
        <w:t>En sesión N°34-2021, artículo LVII, se tomó el acuerdo que literalmente dice:</w:t>
      </w:r>
    </w:p>
    <w:p w14:paraId="1A8429FB" w14:textId="77777777" w:rsidR="00EF57CF" w:rsidRPr="00886CEB" w:rsidRDefault="00EF57CF" w:rsidP="00EF57CF">
      <w:pPr>
        <w:spacing w:after="0" w:line="240" w:lineRule="auto"/>
        <w:jc w:val="center"/>
        <w:rPr>
          <w:rFonts w:ascii="Times New Roman" w:eastAsia="Calibri" w:hAnsi="Times New Roman" w:cs="Times New Roman"/>
          <w:b/>
          <w:bCs/>
          <w:sz w:val="26"/>
          <w:szCs w:val="26"/>
        </w:rPr>
      </w:pPr>
      <w:r w:rsidRPr="00886CEB">
        <w:rPr>
          <w:rFonts w:ascii="Times New Roman" w:eastAsia="Calibri" w:hAnsi="Times New Roman" w:cs="Times New Roman"/>
          <w:b/>
          <w:bCs/>
          <w:sz w:val="26"/>
          <w:szCs w:val="26"/>
        </w:rPr>
        <w:t>“ARTÍCULO LVII</w:t>
      </w:r>
    </w:p>
    <w:p w14:paraId="5B4B3549" w14:textId="77777777" w:rsidR="00EF57CF" w:rsidRPr="00886CEB" w:rsidRDefault="00EF57CF" w:rsidP="00EF57CF">
      <w:pPr>
        <w:pStyle w:val="AAgestin0"/>
      </w:pPr>
    </w:p>
    <w:p w14:paraId="6F4806B6" w14:textId="77777777" w:rsidR="00EF57CF" w:rsidRPr="00886CEB" w:rsidRDefault="00EF57CF" w:rsidP="00EF57CF">
      <w:pPr>
        <w:suppressAutoHyphens/>
        <w:autoSpaceDE w:val="0"/>
        <w:autoSpaceDN w:val="0"/>
        <w:adjustRightInd w:val="0"/>
        <w:spacing w:after="0" w:line="240" w:lineRule="auto"/>
        <w:ind w:left="851" w:right="851" w:firstLine="709"/>
        <w:jc w:val="both"/>
        <w:rPr>
          <w:rFonts w:ascii="Times New Roman" w:eastAsia="Times New Roman" w:hAnsi="Times New Roman" w:cs="Times New Roman"/>
          <w:b/>
          <w:bCs/>
          <w:sz w:val="26"/>
          <w:szCs w:val="26"/>
          <w:lang w:val="es-ES" w:eastAsia="ar-SA"/>
        </w:rPr>
      </w:pPr>
      <w:r w:rsidRPr="00886CEB">
        <w:rPr>
          <w:rFonts w:ascii="Times New Roman" w:eastAsia="Times New Roman" w:hAnsi="Times New Roman" w:cs="Times New Roman"/>
          <w:b/>
          <w:bCs/>
          <w:sz w:val="26"/>
          <w:szCs w:val="26"/>
          <w:lang w:val="es-ES" w:eastAsia="ar-SA"/>
        </w:rPr>
        <w:t>Documento N° 2682-2021 / 4139-2021</w:t>
      </w:r>
    </w:p>
    <w:p w14:paraId="3936621D" w14:textId="77777777" w:rsidR="00EF57CF" w:rsidRPr="00886CEB" w:rsidRDefault="00EF57CF" w:rsidP="00EF57CF">
      <w:pPr>
        <w:suppressAutoHyphens/>
        <w:autoSpaceDE w:val="0"/>
        <w:autoSpaceDN w:val="0"/>
        <w:adjustRightInd w:val="0"/>
        <w:spacing w:after="0" w:line="240" w:lineRule="auto"/>
        <w:ind w:left="851" w:right="851" w:firstLine="709"/>
        <w:jc w:val="both"/>
        <w:rPr>
          <w:rFonts w:ascii="Times New Roman" w:eastAsia="Times New Roman" w:hAnsi="Times New Roman" w:cs="Times New Roman"/>
          <w:b/>
          <w:bCs/>
          <w:color w:val="009999"/>
          <w:sz w:val="26"/>
          <w:szCs w:val="26"/>
          <w:lang w:val="es-ES" w:eastAsia="ar-SA"/>
        </w:rPr>
      </w:pPr>
    </w:p>
    <w:p w14:paraId="765EBEE2"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kern w:val="36"/>
          <w:sz w:val="26"/>
          <w:szCs w:val="26"/>
          <w:lang w:val="es-ES" w:eastAsia="ar-SA"/>
        </w:rPr>
      </w:pPr>
      <w:r w:rsidRPr="00886CEB">
        <w:rPr>
          <w:rFonts w:ascii="Times New Roman" w:eastAsia="Times New Roman" w:hAnsi="Times New Roman" w:cs="Times New Roman"/>
          <w:sz w:val="26"/>
          <w:szCs w:val="26"/>
          <w:lang w:val="es-ES" w:eastAsia="ar-SA"/>
        </w:rPr>
        <w:t>En sesión extraordinaria de presupuesto N° 30-2021 celebrada el 16 abril del 2021, artículo</w:t>
      </w:r>
      <w:r w:rsidRPr="00886CEB">
        <w:rPr>
          <w:rFonts w:ascii="Times New Roman" w:eastAsia="Times New Roman" w:hAnsi="Times New Roman" w:cs="Times New Roman"/>
          <w:kern w:val="36"/>
          <w:sz w:val="26"/>
          <w:szCs w:val="26"/>
          <w:lang w:val="es-ES" w:eastAsia="ar-SA"/>
        </w:rPr>
        <w:t xml:space="preserve"> VI, se tomó el acuerdo que literalmente dice:</w:t>
      </w:r>
    </w:p>
    <w:p w14:paraId="2BCDE7D4"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kern w:val="36"/>
          <w:sz w:val="26"/>
          <w:szCs w:val="26"/>
          <w:lang w:val="es-ES" w:eastAsia="ar-SA"/>
        </w:rPr>
      </w:pPr>
    </w:p>
    <w:p w14:paraId="15437015" w14:textId="77777777" w:rsidR="00EF57CF" w:rsidRPr="00886CEB" w:rsidRDefault="00EF57CF" w:rsidP="00EF57CF">
      <w:pPr>
        <w:widowControl w:val="0"/>
        <w:suppressAutoHyphens/>
        <w:spacing w:after="0" w:line="240" w:lineRule="auto"/>
        <w:ind w:left="850" w:right="850" w:firstLine="566"/>
        <w:jc w:val="both"/>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“En reunión de trabajo del pasado 24 de marzo, la licenciada Nacira Valverde</w:t>
      </w:r>
      <w:r w:rsidRPr="00886CEB">
        <w:rPr>
          <w:rFonts w:ascii="Times New Roman" w:eastAsia="Times New Roman" w:hAnsi="Times New Roman" w:cs="Times New Roman"/>
          <w:sz w:val="26"/>
          <w:szCs w:val="26"/>
          <w:shd w:val="clear" w:color="auto" w:fill="FFFFFF"/>
          <w:lang w:val="es-ES" w:eastAsia="ar-SA"/>
        </w:rPr>
        <w:t xml:space="preserve">, Directora de Planificación, informó </w:t>
      </w:r>
      <w:r w:rsidRPr="00886CEB">
        <w:rPr>
          <w:rFonts w:ascii="Times New Roman" w:eastAsia="Times New Roman" w:hAnsi="Times New Roman" w:cs="Times New Roman"/>
          <w:sz w:val="26"/>
          <w:szCs w:val="26"/>
          <w:lang w:val="es-ES" w:eastAsia="ar-SA"/>
        </w:rPr>
        <w:t>que mediante oficio N° CGTI-05-2021, del 15 de marzo 2021, la máster Kattia Morales Navarro, en calidad de Secretaria de la Comisión Gerencial de Tecnologías, informó sobre el acuerdo tomado por esta Comisión en la sesión extraordinaria N°b02-2021, celebrada el 16 de febrero 2021, en torno al oficio N° 339-DTI-2021 “</w:t>
      </w:r>
      <w:r w:rsidRPr="00886CEB">
        <w:rPr>
          <w:rFonts w:ascii="Times New Roman" w:eastAsia="Times New Roman" w:hAnsi="Times New Roman" w:cs="Times New Roman"/>
          <w:b/>
          <w:bCs/>
          <w:i/>
          <w:iCs/>
          <w:sz w:val="26"/>
          <w:szCs w:val="26"/>
          <w:lang w:val="es-ES" w:eastAsia="ar-SA"/>
        </w:rPr>
        <w:t xml:space="preserve">ACTUALIZACIÓN DEL ANÁLISIS DEL LEASING COMO MODALIDAD DE INVERSIÓN EN EQUIPO DE CÓMPUTO PARA EL PODER JUDICIAL”, </w:t>
      </w:r>
      <w:r w:rsidRPr="00886CEB">
        <w:rPr>
          <w:rFonts w:ascii="Times New Roman" w:eastAsia="Times New Roman" w:hAnsi="Times New Roman" w:cs="Times New Roman"/>
          <w:sz w:val="26"/>
          <w:szCs w:val="26"/>
          <w:lang w:val="es-ES" w:eastAsia="ar-SA"/>
        </w:rPr>
        <w:t>en el cual literalmente se indicó:</w:t>
      </w:r>
    </w:p>
    <w:p w14:paraId="572F94B8" w14:textId="77777777" w:rsidR="00EF57CF" w:rsidRPr="00886CEB" w:rsidRDefault="00EF57CF" w:rsidP="00EF57CF">
      <w:pPr>
        <w:widowControl w:val="0"/>
        <w:suppressAutoHyphens/>
        <w:spacing w:after="0" w:line="240" w:lineRule="auto"/>
        <w:rPr>
          <w:rFonts w:ascii="Times New Roman" w:eastAsia="Times New Roman" w:hAnsi="Times New Roman" w:cs="Times New Roman"/>
          <w:b/>
          <w:bCs/>
          <w:sz w:val="26"/>
          <w:szCs w:val="26"/>
          <w:lang w:val="es-ES" w:eastAsia="ar-SA"/>
        </w:rPr>
      </w:pPr>
    </w:p>
    <w:p w14:paraId="57692E6F" w14:textId="77777777" w:rsidR="00EF57CF" w:rsidRPr="00886CEB" w:rsidRDefault="00EF57CF" w:rsidP="00EF57CF">
      <w:pPr>
        <w:widowControl w:val="0"/>
        <w:suppressAutoHyphens/>
        <w:spacing w:after="0" w:line="240" w:lineRule="auto"/>
        <w:jc w:val="center"/>
        <w:rPr>
          <w:rFonts w:ascii="Times New Roman" w:eastAsia="Times New Roman" w:hAnsi="Times New Roman" w:cs="Times New Roman"/>
          <w:b/>
          <w:bCs/>
          <w:sz w:val="26"/>
          <w:szCs w:val="26"/>
          <w:lang w:val="es-ES" w:eastAsia="ar-SA"/>
        </w:rPr>
      </w:pPr>
      <w:r w:rsidRPr="00886CEB">
        <w:rPr>
          <w:rFonts w:ascii="Times New Roman" w:eastAsia="Times New Roman" w:hAnsi="Times New Roman" w:cs="Times New Roman"/>
          <w:b/>
          <w:noProof/>
          <w:sz w:val="26"/>
          <w:szCs w:val="26"/>
          <w:lang w:eastAsia="es-CR"/>
        </w:rPr>
        <w:drawing>
          <wp:inline distT="0" distB="0" distL="0" distR="0" wp14:anchorId="5C8BF159" wp14:editId="7FB6B932">
            <wp:extent cx="974090" cy="617220"/>
            <wp:effectExtent l="0" t="0" r="0" b="0"/>
            <wp:docPr id="126326906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974090" cy="617220"/>
                    </a:xfrm>
                    <a:prstGeom prst="rect">
                      <a:avLst/>
                    </a:prstGeom>
                    <a:noFill/>
                    <a:ln>
                      <a:noFill/>
                    </a:ln>
                  </pic:spPr>
                </pic:pic>
              </a:graphicData>
            </a:graphic>
          </wp:inline>
        </w:drawing>
      </w:r>
    </w:p>
    <w:p w14:paraId="79273F1F" w14:textId="77777777" w:rsidR="00EF57CF" w:rsidRPr="00886CEB" w:rsidRDefault="00EF57CF" w:rsidP="00EF57CF">
      <w:pPr>
        <w:widowControl w:val="0"/>
        <w:suppressAutoHyphens/>
        <w:spacing w:after="0" w:line="240" w:lineRule="auto"/>
        <w:ind w:left="850" w:right="850"/>
        <w:jc w:val="center"/>
        <w:rPr>
          <w:rFonts w:ascii="Times New Roman" w:eastAsia="Times New Roman" w:hAnsi="Times New Roman" w:cs="Times New Roman"/>
          <w:b/>
          <w:bCs/>
          <w:i/>
          <w:iCs/>
          <w:sz w:val="26"/>
          <w:szCs w:val="26"/>
          <w:u w:val="single"/>
          <w:lang w:val="es-ES" w:eastAsia="ar-SA"/>
        </w:rPr>
      </w:pPr>
    </w:p>
    <w:p w14:paraId="71AD908E" w14:textId="77777777" w:rsidR="00EF57CF" w:rsidRPr="00886CEB" w:rsidRDefault="00EF57CF" w:rsidP="00EF57CF">
      <w:pPr>
        <w:widowControl w:val="0"/>
        <w:suppressAutoHyphens/>
        <w:spacing w:after="0" w:line="240" w:lineRule="auto"/>
        <w:ind w:left="850" w:right="850"/>
        <w:jc w:val="center"/>
        <w:rPr>
          <w:rFonts w:ascii="Times New Roman" w:eastAsia="Times New Roman" w:hAnsi="Times New Roman" w:cs="Times New Roman"/>
          <w:b/>
          <w:bCs/>
          <w:i/>
          <w:iCs/>
          <w:sz w:val="26"/>
          <w:szCs w:val="26"/>
          <w:u w:val="single"/>
          <w:lang w:val="es-ES" w:eastAsia="ar-SA"/>
        </w:rPr>
      </w:pPr>
      <w:r w:rsidRPr="00886CEB">
        <w:rPr>
          <w:rFonts w:ascii="Times New Roman" w:eastAsia="Times New Roman" w:hAnsi="Times New Roman" w:cs="Times New Roman"/>
          <w:b/>
          <w:bCs/>
          <w:i/>
          <w:iCs/>
          <w:sz w:val="26"/>
          <w:szCs w:val="26"/>
          <w:u w:val="single"/>
          <w:lang w:val="es-ES" w:eastAsia="ar-SA"/>
        </w:rPr>
        <w:t>“ARTÍCULO UNICO</w:t>
      </w:r>
    </w:p>
    <w:p w14:paraId="2A8F8103" w14:textId="77777777" w:rsidR="00EF57CF" w:rsidRPr="00886CEB" w:rsidRDefault="00EF57CF" w:rsidP="00EF57CF">
      <w:pPr>
        <w:widowControl w:val="0"/>
        <w:suppressAutoHyphens/>
        <w:autoSpaceDE w:val="0"/>
        <w:adjustRightInd w:val="0"/>
        <w:spacing w:after="0" w:line="240" w:lineRule="auto"/>
        <w:ind w:left="850" w:right="850"/>
        <w:jc w:val="both"/>
        <w:rPr>
          <w:rFonts w:ascii="Times New Roman" w:eastAsia="Times New Roman" w:hAnsi="Times New Roman" w:cs="Times New Roman"/>
          <w:i/>
          <w:iCs/>
          <w:sz w:val="26"/>
          <w:szCs w:val="26"/>
          <w:lang w:val="es-ES" w:eastAsia="es-ES"/>
        </w:rPr>
      </w:pPr>
    </w:p>
    <w:p w14:paraId="5E551971" w14:textId="77777777" w:rsidR="00EF57CF" w:rsidRPr="00886CEB" w:rsidRDefault="00EF57CF" w:rsidP="00EF57CF">
      <w:pPr>
        <w:widowControl w:val="0"/>
        <w:suppressAutoHyphens/>
        <w:autoSpaceDE w:val="0"/>
        <w:adjustRightInd w:val="0"/>
        <w:spacing w:after="0" w:line="240" w:lineRule="auto"/>
        <w:ind w:left="850" w:right="850" w:firstLine="566"/>
        <w:jc w:val="both"/>
        <w:rPr>
          <w:rFonts w:ascii="Times New Roman" w:eastAsia="Times New Roman" w:hAnsi="Times New Roman" w:cs="Times New Roman"/>
          <w:i/>
          <w:iCs/>
          <w:sz w:val="26"/>
          <w:szCs w:val="26"/>
          <w:lang w:val="es-ES" w:eastAsia="es-ES"/>
        </w:rPr>
      </w:pPr>
      <w:r w:rsidRPr="00886CEB">
        <w:rPr>
          <w:rFonts w:ascii="Times New Roman" w:eastAsia="Times New Roman" w:hAnsi="Times New Roman" w:cs="Times New Roman"/>
          <w:i/>
          <w:iCs/>
          <w:sz w:val="26"/>
          <w:szCs w:val="26"/>
          <w:lang w:val="es-ES" w:eastAsia="es-ES"/>
        </w:rPr>
        <w:t xml:space="preserve">El Lic. Jonathan Montiel Álvarez, Jefe del Subproceso de Gestión del </w:t>
      </w:r>
      <w:r w:rsidRPr="00886CEB">
        <w:rPr>
          <w:rFonts w:ascii="Times New Roman" w:eastAsia="Times New Roman" w:hAnsi="Times New Roman" w:cs="Times New Roman"/>
          <w:i/>
          <w:iCs/>
          <w:sz w:val="26"/>
          <w:szCs w:val="26"/>
          <w:lang w:val="es-ES" w:eastAsia="es-ES"/>
        </w:rPr>
        <w:lastRenderedPageBreak/>
        <w:t>Servicio de la Dirección de Tecnología, presenta el oficio 339-DTI-2021 “ACTUALIZACIÓN DEL ANÁLISIS DEL LEASING COMO MODALIDAD DE INVERSIÓN EN EQUIPO DE CÓMPUTO PARA EL PODER JUDICIAL”.</w:t>
      </w:r>
    </w:p>
    <w:p w14:paraId="01BDFD97" w14:textId="77777777" w:rsidR="00EF57CF" w:rsidRPr="00886CEB" w:rsidRDefault="00EF57CF" w:rsidP="00EF57CF">
      <w:pPr>
        <w:widowControl w:val="0"/>
        <w:suppressAutoHyphens/>
        <w:autoSpaceDE w:val="0"/>
        <w:adjustRightInd w:val="0"/>
        <w:spacing w:after="0" w:line="240" w:lineRule="auto"/>
        <w:ind w:left="850" w:right="850"/>
        <w:jc w:val="both"/>
        <w:rPr>
          <w:rFonts w:ascii="Times New Roman" w:eastAsia="Times New Roman" w:hAnsi="Times New Roman" w:cs="Times New Roman"/>
          <w:i/>
          <w:iCs/>
          <w:sz w:val="26"/>
          <w:szCs w:val="26"/>
          <w:lang w:val="es-ES" w:eastAsia="es-ES"/>
        </w:rPr>
      </w:pPr>
    </w:p>
    <w:p w14:paraId="70B62ECB" w14:textId="77777777" w:rsidR="00EF57CF" w:rsidRPr="00886CEB" w:rsidRDefault="00EF57CF" w:rsidP="00EF57CF">
      <w:pPr>
        <w:widowControl w:val="0"/>
        <w:suppressAutoHyphens/>
        <w:spacing w:after="0" w:line="240" w:lineRule="auto"/>
        <w:ind w:left="850" w:right="850"/>
        <w:jc w:val="both"/>
        <w:rPr>
          <w:rFonts w:ascii="Times New Roman" w:eastAsia="Times New Roman" w:hAnsi="Times New Roman" w:cs="Times New Roman"/>
          <w:i/>
          <w:iCs/>
          <w:sz w:val="26"/>
          <w:szCs w:val="26"/>
          <w:lang w:val="es-ES" w:eastAsia="ar-SA"/>
        </w:rPr>
      </w:pPr>
      <w:r w:rsidRPr="00886CEB">
        <w:rPr>
          <w:rFonts w:ascii="Times New Roman" w:eastAsia="Times New Roman" w:hAnsi="Times New Roman" w:cs="Times New Roman"/>
          <w:i/>
          <w:iCs/>
          <w:sz w:val="26"/>
          <w:szCs w:val="26"/>
          <w:lang w:val="es-ES" w:eastAsia="ar-SA"/>
        </w:rPr>
        <w:t>Anotaciones</w:t>
      </w:r>
    </w:p>
    <w:p w14:paraId="182E10A5" w14:textId="77777777" w:rsidR="00EF57CF" w:rsidRPr="00886CEB" w:rsidRDefault="00EF57CF" w:rsidP="00EF57CF">
      <w:pPr>
        <w:widowControl w:val="0"/>
        <w:suppressAutoHyphens/>
        <w:spacing w:after="0" w:line="240" w:lineRule="auto"/>
        <w:rPr>
          <w:rFonts w:ascii="Times New Roman" w:eastAsia="Times New Roman" w:hAnsi="Times New Roman" w:cs="Times New Roman"/>
          <w:i/>
          <w:iCs/>
          <w:sz w:val="26"/>
          <w:szCs w:val="26"/>
          <w:lang w:val="es-ES" w:eastAsia="ar-SA"/>
        </w:rPr>
      </w:pP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8282"/>
      </w:tblGrid>
      <w:tr w:rsidR="00EF57CF" w:rsidRPr="00886CEB" w14:paraId="76566717" w14:textId="77777777" w:rsidTr="004528B6">
        <w:trPr>
          <w:tblHeader/>
          <w:jc w:val="center"/>
        </w:trPr>
        <w:tc>
          <w:tcPr>
            <w:tcW w:w="8828" w:type="dxa"/>
            <w:gridSpan w:val="2"/>
            <w:tcBorders>
              <w:top w:val="single" w:sz="4" w:space="0" w:color="auto"/>
              <w:left w:val="single" w:sz="4" w:space="0" w:color="auto"/>
              <w:bottom w:val="single" w:sz="4" w:space="0" w:color="auto"/>
              <w:right w:val="single" w:sz="4" w:space="0" w:color="auto"/>
            </w:tcBorders>
            <w:shd w:val="clear" w:color="auto" w:fill="C2D69B"/>
            <w:vAlign w:val="center"/>
            <w:hideMark/>
          </w:tcPr>
          <w:p w14:paraId="3A414DE7" w14:textId="77777777" w:rsidR="00EF57CF" w:rsidRPr="00886CEB" w:rsidRDefault="00EF57CF" w:rsidP="004F270D">
            <w:pPr>
              <w:widowControl w:val="0"/>
              <w:shd w:val="clear" w:color="auto" w:fill="FFFFFF"/>
              <w:suppressAutoHyphens/>
              <w:autoSpaceDE w:val="0"/>
              <w:autoSpaceDN w:val="0"/>
              <w:adjustRightInd w:val="0"/>
              <w:spacing w:after="0" w:line="240" w:lineRule="auto"/>
              <w:jc w:val="center"/>
              <w:rPr>
                <w:rFonts w:ascii="Times New Roman" w:eastAsia="Times New Roman" w:hAnsi="Times New Roman" w:cs="Times New Roman"/>
                <w:b/>
                <w:bCs/>
                <w:i/>
                <w:iCs/>
                <w:sz w:val="26"/>
                <w:szCs w:val="26"/>
                <w:lang w:eastAsia="es-ES"/>
              </w:rPr>
            </w:pPr>
            <w:r w:rsidRPr="00886CEB">
              <w:rPr>
                <w:rFonts w:ascii="Times New Roman" w:eastAsia="Times New Roman" w:hAnsi="Times New Roman" w:cs="Times New Roman"/>
                <w:b/>
                <w:bCs/>
                <w:i/>
                <w:iCs/>
                <w:sz w:val="26"/>
                <w:szCs w:val="26"/>
                <w:lang w:eastAsia="es-ES"/>
              </w:rPr>
              <w:t>Comentarios</w:t>
            </w:r>
          </w:p>
        </w:tc>
      </w:tr>
      <w:tr w:rsidR="00EF57CF" w:rsidRPr="00886CEB" w14:paraId="0C69752E" w14:textId="77777777" w:rsidTr="004528B6">
        <w:trPr>
          <w:tblHeader/>
          <w:jc w:val="center"/>
        </w:trPr>
        <w:tc>
          <w:tcPr>
            <w:tcW w:w="54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BBDC4D4" w14:textId="77777777" w:rsidR="00EF57CF" w:rsidRPr="00886CEB" w:rsidRDefault="00EF57CF" w:rsidP="004F270D">
            <w:pPr>
              <w:widowControl w:val="0"/>
              <w:suppressAutoHyphens/>
              <w:spacing w:after="0" w:line="240" w:lineRule="auto"/>
              <w:rPr>
                <w:rFonts w:ascii="Times New Roman" w:eastAsia="Times New Roman" w:hAnsi="Times New Roman" w:cs="Times New Roman"/>
                <w:b/>
                <w:bCs/>
                <w:i/>
                <w:iCs/>
                <w:sz w:val="26"/>
                <w:szCs w:val="26"/>
                <w:u w:val="single"/>
                <w:lang w:eastAsia="ar-SA"/>
              </w:rPr>
            </w:pPr>
            <w:r w:rsidRPr="00886CEB">
              <w:rPr>
                <w:rFonts w:ascii="Times New Roman" w:eastAsia="Times New Roman" w:hAnsi="Times New Roman" w:cs="Times New Roman"/>
                <w:b/>
                <w:bCs/>
                <w:i/>
                <w:iCs/>
                <w:sz w:val="26"/>
                <w:szCs w:val="26"/>
                <w:u w:val="single"/>
                <w:lang w:eastAsia="ar-SA"/>
              </w:rPr>
              <w:t>#</w:t>
            </w:r>
          </w:p>
        </w:tc>
        <w:tc>
          <w:tcPr>
            <w:tcW w:w="8282"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A34F35F" w14:textId="77777777" w:rsidR="00EF57CF" w:rsidRPr="00886CEB" w:rsidRDefault="00EF57CF" w:rsidP="004F270D">
            <w:pPr>
              <w:widowControl w:val="0"/>
              <w:suppressAutoHyphens/>
              <w:spacing w:after="0" w:line="240" w:lineRule="auto"/>
              <w:rPr>
                <w:rFonts w:ascii="Times New Roman" w:eastAsia="Times New Roman" w:hAnsi="Times New Roman" w:cs="Times New Roman"/>
                <w:b/>
                <w:bCs/>
                <w:i/>
                <w:iCs/>
                <w:sz w:val="26"/>
                <w:szCs w:val="26"/>
                <w:u w:val="single"/>
                <w:lang w:eastAsia="ar-SA"/>
              </w:rPr>
            </w:pPr>
            <w:r w:rsidRPr="00886CEB">
              <w:rPr>
                <w:rFonts w:ascii="Times New Roman" w:eastAsia="Times New Roman" w:hAnsi="Times New Roman" w:cs="Times New Roman"/>
                <w:b/>
                <w:bCs/>
                <w:i/>
                <w:iCs/>
                <w:sz w:val="26"/>
                <w:szCs w:val="26"/>
                <w:u w:val="single"/>
                <w:lang w:eastAsia="ar-SA"/>
              </w:rPr>
              <w:t>Detalle</w:t>
            </w:r>
          </w:p>
        </w:tc>
      </w:tr>
      <w:tr w:rsidR="00EF57CF" w:rsidRPr="00886CEB" w14:paraId="0DA9CC6D" w14:textId="77777777" w:rsidTr="004528B6">
        <w:trPr>
          <w:jc w:val="center"/>
        </w:trPr>
        <w:tc>
          <w:tcPr>
            <w:tcW w:w="546" w:type="dxa"/>
            <w:tcBorders>
              <w:top w:val="single" w:sz="4" w:space="0" w:color="auto"/>
              <w:left w:val="single" w:sz="4" w:space="0" w:color="auto"/>
              <w:bottom w:val="single" w:sz="4" w:space="0" w:color="auto"/>
              <w:right w:val="single" w:sz="4" w:space="0" w:color="auto"/>
            </w:tcBorders>
            <w:vAlign w:val="center"/>
            <w:hideMark/>
          </w:tcPr>
          <w:p w14:paraId="44C12E3E" w14:textId="77777777" w:rsidR="00EF57CF" w:rsidRPr="00886CEB" w:rsidRDefault="00EF57CF" w:rsidP="004F270D">
            <w:pPr>
              <w:widowControl w:val="0"/>
              <w:suppressAutoHyphens/>
              <w:spacing w:after="0" w:line="240" w:lineRule="auto"/>
              <w:rPr>
                <w:rFonts w:ascii="Times New Roman" w:eastAsia="Times New Roman" w:hAnsi="Times New Roman" w:cs="Times New Roman"/>
                <w:i/>
                <w:iCs/>
                <w:sz w:val="26"/>
                <w:szCs w:val="26"/>
                <w:lang w:eastAsia="ar-SA"/>
              </w:rPr>
            </w:pPr>
            <w:r w:rsidRPr="00886CEB">
              <w:rPr>
                <w:rFonts w:ascii="Times New Roman" w:eastAsia="Times New Roman" w:hAnsi="Times New Roman" w:cs="Times New Roman"/>
                <w:i/>
                <w:iCs/>
                <w:sz w:val="26"/>
                <w:szCs w:val="26"/>
                <w:lang w:eastAsia="ar-SA"/>
              </w:rPr>
              <w:t>1</w:t>
            </w:r>
          </w:p>
        </w:tc>
        <w:tc>
          <w:tcPr>
            <w:tcW w:w="8282" w:type="dxa"/>
            <w:tcBorders>
              <w:top w:val="single" w:sz="4" w:space="0" w:color="auto"/>
              <w:left w:val="single" w:sz="4" w:space="0" w:color="auto"/>
              <w:bottom w:val="single" w:sz="4" w:space="0" w:color="auto"/>
              <w:right w:val="single" w:sz="4" w:space="0" w:color="auto"/>
            </w:tcBorders>
            <w:vAlign w:val="center"/>
          </w:tcPr>
          <w:p w14:paraId="4217D3C5" w14:textId="77777777" w:rsidR="00EF57CF" w:rsidRPr="00886CEB" w:rsidRDefault="00EF57CF" w:rsidP="004F270D">
            <w:pPr>
              <w:widowControl w:val="0"/>
              <w:suppressAutoHyphens/>
              <w:spacing w:after="0" w:line="240" w:lineRule="auto"/>
              <w:rPr>
                <w:rFonts w:ascii="Times New Roman" w:eastAsia="Times New Roman" w:hAnsi="Times New Roman" w:cs="Times New Roman"/>
                <w:i/>
                <w:iCs/>
                <w:sz w:val="26"/>
                <w:szCs w:val="26"/>
                <w:lang w:eastAsia="ar-SA"/>
              </w:rPr>
            </w:pPr>
            <w:r w:rsidRPr="00886CEB">
              <w:rPr>
                <w:rFonts w:ascii="Times New Roman" w:eastAsia="Times New Roman" w:hAnsi="Times New Roman" w:cs="Times New Roman"/>
                <w:i/>
                <w:iCs/>
                <w:sz w:val="26"/>
                <w:szCs w:val="26"/>
                <w:lang w:eastAsia="ar-SA"/>
              </w:rPr>
              <w:t>Doña Nacira consulta, si los 8 mil millones es para la compra total de los equipos del contrato en computadoras portátiles y cuál es el criterio tecnológico de la Dirección</w:t>
            </w:r>
          </w:p>
          <w:p w14:paraId="2723FED7" w14:textId="77777777" w:rsidR="00EF57CF" w:rsidRPr="00886CEB" w:rsidRDefault="00EF57CF" w:rsidP="004F270D">
            <w:pPr>
              <w:widowControl w:val="0"/>
              <w:suppressAutoHyphens/>
              <w:spacing w:after="0" w:line="240" w:lineRule="auto"/>
              <w:jc w:val="both"/>
              <w:rPr>
                <w:rFonts w:ascii="Times New Roman" w:eastAsia="Times New Roman" w:hAnsi="Times New Roman" w:cs="Times New Roman"/>
                <w:i/>
                <w:iCs/>
                <w:sz w:val="26"/>
                <w:szCs w:val="26"/>
                <w:lang w:eastAsia="ar-SA"/>
              </w:rPr>
            </w:pPr>
            <w:r w:rsidRPr="00886CEB">
              <w:rPr>
                <w:rFonts w:ascii="Times New Roman" w:eastAsia="Times New Roman" w:hAnsi="Times New Roman" w:cs="Times New Roman"/>
                <w:i/>
                <w:iCs/>
                <w:sz w:val="26"/>
                <w:szCs w:val="26"/>
                <w:lang w:eastAsia="ar-SA"/>
              </w:rPr>
              <w:t xml:space="preserve">Doña Kattia indica, que no se da una sugerencia en el informe, ya que el criterio se basa en el presupuesto, por lo cual el cambiar todos los equipos del nuevo contrato a computadoras portátiles es un tema estratégico por parte de la DTIC, que nos permite mantener el equipo actualizado y no tener el riesgo de obsolescencia </w:t>
            </w:r>
          </w:p>
          <w:p w14:paraId="2AF44284" w14:textId="77777777" w:rsidR="00EF57CF" w:rsidRPr="00886CEB" w:rsidRDefault="00EF57CF" w:rsidP="004F270D">
            <w:pPr>
              <w:widowControl w:val="0"/>
              <w:suppressAutoHyphens/>
              <w:spacing w:after="0" w:line="240" w:lineRule="auto"/>
              <w:jc w:val="both"/>
              <w:rPr>
                <w:rFonts w:ascii="Times New Roman" w:eastAsia="Times New Roman" w:hAnsi="Times New Roman" w:cs="Times New Roman"/>
                <w:i/>
                <w:iCs/>
                <w:sz w:val="26"/>
                <w:szCs w:val="26"/>
                <w:lang w:eastAsia="ar-SA"/>
              </w:rPr>
            </w:pPr>
            <w:r w:rsidRPr="00886CEB">
              <w:rPr>
                <w:rFonts w:ascii="Times New Roman" w:eastAsia="Times New Roman" w:hAnsi="Times New Roman" w:cs="Times New Roman"/>
                <w:i/>
                <w:iCs/>
                <w:sz w:val="26"/>
                <w:szCs w:val="26"/>
                <w:lang w:eastAsia="ar-SA"/>
              </w:rPr>
              <w:t>Don Martin indica, que para responderle la pregunta puntualmente a doña Nacira, ya sea en un contrato de alquiler o compra, técnicamente los equipos son los mismos, por lo que técnicamente no habría diferencias.</w:t>
            </w:r>
          </w:p>
          <w:p w14:paraId="77A89592" w14:textId="77777777" w:rsidR="00EF57CF" w:rsidRPr="00886CEB" w:rsidRDefault="00EF57CF" w:rsidP="004F270D">
            <w:pPr>
              <w:widowControl w:val="0"/>
              <w:suppressAutoHyphens/>
              <w:spacing w:after="0" w:line="240" w:lineRule="auto"/>
              <w:jc w:val="both"/>
              <w:rPr>
                <w:rFonts w:ascii="Times New Roman" w:eastAsia="Times New Roman" w:hAnsi="Times New Roman" w:cs="Times New Roman"/>
                <w:i/>
                <w:iCs/>
                <w:sz w:val="26"/>
                <w:szCs w:val="26"/>
                <w:lang w:eastAsia="ar-SA"/>
              </w:rPr>
            </w:pPr>
            <w:r w:rsidRPr="00886CEB">
              <w:rPr>
                <w:rFonts w:ascii="Times New Roman" w:eastAsia="Times New Roman" w:hAnsi="Times New Roman" w:cs="Times New Roman"/>
                <w:i/>
                <w:iCs/>
                <w:sz w:val="26"/>
                <w:szCs w:val="26"/>
                <w:lang w:eastAsia="ar-SA"/>
              </w:rPr>
              <w:t>Don Luis indica, que se inclina por un contrato de Leasing y 100% equipos portátiles, esto porque las condiciones financieras se facilitan con el leasing al diluirse en el presupuesto a 4 años, siendo que el soporte y mantenimiento lo asume el arrendante. Cambiar el contrato a 100% de equipo portátil, nos da un cambio de cultura a la institución y nos da mayor acceso a la virtualización.</w:t>
            </w:r>
          </w:p>
          <w:p w14:paraId="197EF728" w14:textId="77777777" w:rsidR="00EF57CF" w:rsidRPr="00886CEB" w:rsidRDefault="00EF57CF" w:rsidP="004F270D">
            <w:pPr>
              <w:widowControl w:val="0"/>
              <w:suppressAutoHyphens/>
              <w:spacing w:after="0" w:line="240" w:lineRule="auto"/>
              <w:jc w:val="both"/>
              <w:rPr>
                <w:rFonts w:ascii="Times New Roman" w:eastAsia="Times New Roman" w:hAnsi="Times New Roman" w:cs="Times New Roman"/>
                <w:i/>
                <w:iCs/>
                <w:sz w:val="26"/>
                <w:szCs w:val="26"/>
                <w:lang w:eastAsia="ar-SA"/>
              </w:rPr>
            </w:pPr>
            <w:r w:rsidRPr="00886CEB">
              <w:rPr>
                <w:rFonts w:ascii="Times New Roman" w:eastAsia="Times New Roman" w:hAnsi="Times New Roman" w:cs="Times New Roman"/>
                <w:i/>
                <w:iCs/>
                <w:sz w:val="26"/>
                <w:szCs w:val="26"/>
                <w:lang w:eastAsia="ar-SA"/>
              </w:rPr>
              <w:t>Don Wilbert indica, que se inclina por el alquiler y el valor de rescate de la compra no es tan real, ya que se requiere bodegaje y trámites que generan una carga administrativa considerable. Indica si se ha valorado que el cambiar todo el contrato por computadoras portátiles, va a requerir mayor licenciamiento VPN o demás para los sistemas, lo cual sería un gasto mayor</w:t>
            </w:r>
          </w:p>
          <w:p w14:paraId="36DC6969" w14:textId="77777777" w:rsidR="00EF57CF" w:rsidRPr="00886CEB" w:rsidRDefault="00EF57CF" w:rsidP="004F270D">
            <w:pPr>
              <w:widowControl w:val="0"/>
              <w:suppressAutoHyphens/>
              <w:spacing w:after="0" w:line="240" w:lineRule="auto"/>
              <w:jc w:val="both"/>
              <w:rPr>
                <w:rFonts w:ascii="Times New Roman" w:eastAsia="Times New Roman" w:hAnsi="Times New Roman" w:cs="Times New Roman"/>
                <w:i/>
                <w:iCs/>
                <w:sz w:val="26"/>
                <w:szCs w:val="26"/>
                <w:lang w:eastAsia="ar-SA"/>
              </w:rPr>
            </w:pPr>
            <w:r w:rsidRPr="00886CEB">
              <w:rPr>
                <w:rFonts w:ascii="Times New Roman" w:eastAsia="Times New Roman" w:hAnsi="Times New Roman" w:cs="Times New Roman"/>
                <w:i/>
                <w:iCs/>
                <w:sz w:val="26"/>
                <w:szCs w:val="26"/>
                <w:lang w:eastAsia="ar-SA"/>
              </w:rPr>
              <w:t xml:space="preserve">Doña Kattia indica, que sí puede generar un aumento en el licenciamiento de VPN y VDI, pero se ha analizado que la demanda VPN en computadora personal no es el deseado porque los usuarios no tienen los requerimientos mínimos requeridos según circular, por lo cual, no se les puede asignar la licencia de VPN, por lo que se inclinan a VDI, dónde la misma le permite usar los sistemas jurisdiccionales, pero es más costoso. Además, el nuevo sistema de gestión no requeriría acceso al VPN. </w:t>
            </w:r>
          </w:p>
          <w:p w14:paraId="40C4BD9B" w14:textId="77777777" w:rsidR="00EF57CF" w:rsidRPr="00886CEB" w:rsidRDefault="00EF57CF" w:rsidP="004F270D">
            <w:pPr>
              <w:widowControl w:val="0"/>
              <w:suppressAutoHyphens/>
              <w:spacing w:after="0" w:line="240" w:lineRule="auto"/>
              <w:jc w:val="both"/>
              <w:rPr>
                <w:rFonts w:ascii="Times New Roman" w:eastAsia="Times New Roman" w:hAnsi="Times New Roman" w:cs="Times New Roman"/>
                <w:i/>
                <w:iCs/>
                <w:sz w:val="26"/>
                <w:szCs w:val="26"/>
                <w:lang w:eastAsia="ar-SA"/>
              </w:rPr>
            </w:pPr>
          </w:p>
          <w:p w14:paraId="56AAC2B1" w14:textId="77777777" w:rsidR="00EF57CF" w:rsidRPr="00886CEB" w:rsidRDefault="00EF57CF" w:rsidP="004F270D">
            <w:pPr>
              <w:widowControl w:val="0"/>
              <w:suppressAutoHyphens/>
              <w:spacing w:after="0" w:line="240" w:lineRule="auto"/>
              <w:jc w:val="both"/>
              <w:rPr>
                <w:rFonts w:ascii="Times New Roman" w:eastAsia="Times New Roman" w:hAnsi="Times New Roman" w:cs="Times New Roman"/>
                <w:i/>
                <w:iCs/>
                <w:sz w:val="26"/>
                <w:szCs w:val="26"/>
                <w:lang w:eastAsia="ar-SA"/>
              </w:rPr>
            </w:pPr>
            <w:r w:rsidRPr="00886CEB">
              <w:rPr>
                <w:rFonts w:ascii="Times New Roman" w:eastAsia="Times New Roman" w:hAnsi="Times New Roman" w:cs="Times New Roman"/>
                <w:i/>
                <w:iCs/>
                <w:sz w:val="26"/>
                <w:szCs w:val="26"/>
                <w:lang w:eastAsia="ar-SA"/>
              </w:rPr>
              <w:lastRenderedPageBreak/>
              <w:t>Don Martin indica, que sí se van a requerir más licencias, pero tener un equipo portátil con las licencias institucionales, nos va a permitir tener mayor seguridad en los equipos.</w:t>
            </w:r>
          </w:p>
          <w:p w14:paraId="6FFBE2E7" w14:textId="77777777" w:rsidR="00EF57CF" w:rsidRPr="00886CEB" w:rsidRDefault="00EF57CF" w:rsidP="004F270D">
            <w:pPr>
              <w:widowControl w:val="0"/>
              <w:suppressAutoHyphens/>
              <w:spacing w:after="0" w:line="240" w:lineRule="auto"/>
              <w:rPr>
                <w:rFonts w:ascii="Times New Roman" w:eastAsia="Times New Roman" w:hAnsi="Times New Roman" w:cs="Times New Roman"/>
                <w:i/>
                <w:iCs/>
                <w:sz w:val="26"/>
                <w:szCs w:val="26"/>
                <w:lang w:eastAsia="ar-SA"/>
              </w:rPr>
            </w:pPr>
          </w:p>
          <w:p w14:paraId="2D3CB99F" w14:textId="77777777" w:rsidR="00EF57CF" w:rsidRPr="00886CEB" w:rsidRDefault="00EF57CF" w:rsidP="004F270D">
            <w:pPr>
              <w:widowControl w:val="0"/>
              <w:suppressAutoHyphens/>
              <w:spacing w:after="0" w:line="240" w:lineRule="auto"/>
              <w:rPr>
                <w:rFonts w:ascii="Times New Roman" w:eastAsia="Times New Roman" w:hAnsi="Times New Roman" w:cs="Times New Roman"/>
                <w:i/>
                <w:iCs/>
                <w:sz w:val="26"/>
                <w:szCs w:val="26"/>
                <w:lang w:eastAsia="ar-SA"/>
              </w:rPr>
            </w:pPr>
          </w:p>
        </w:tc>
      </w:tr>
    </w:tbl>
    <w:p w14:paraId="461425E6" w14:textId="77777777" w:rsidR="00EF57CF" w:rsidRPr="00886CEB" w:rsidRDefault="00EF57CF" w:rsidP="00EF57CF">
      <w:pPr>
        <w:widowControl w:val="0"/>
        <w:suppressAutoHyphens/>
        <w:spacing w:after="0" w:line="240" w:lineRule="auto"/>
        <w:ind w:left="708"/>
        <w:rPr>
          <w:rFonts w:ascii="Times New Roman" w:eastAsia="Times New Roman" w:hAnsi="Times New Roman" w:cs="Times New Roman"/>
          <w:b/>
          <w:bCs/>
          <w:i/>
          <w:iCs/>
          <w:sz w:val="26"/>
          <w:szCs w:val="26"/>
          <w:lang w:val="es-ES" w:eastAsia="es-ES"/>
        </w:rPr>
      </w:pPr>
    </w:p>
    <w:p w14:paraId="0DFEBA28" w14:textId="77777777" w:rsidR="00EF57CF" w:rsidRPr="00886CEB" w:rsidRDefault="00EF57CF" w:rsidP="00EF57CF">
      <w:pPr>
        <w:widowControl w:val="0"/>
        <w:spacing w:after="0" w:line="240" w:lineRule="auto"/>
        <w:ind w:left="850" w:right="850" w:firstLine="566"/>
        <w:jc w:val="both"/>
        <w:rPr>
          <w:rFonts w:ascii="Times New Roman" w:eastAsia="Calibri" w:hAnsi="Times New Roman" w:cs="Times New Roman"/>
          <w:i/>
          <w:iCs/>
          <w:sz w:val="26"/>
          <w:szCs w:val="26"/>
          <w:lang w:val="es-ES" w:eastAsia="es-ES"/>
        </w:rPr>
      </w:pPr>
      <w:r w:rsidRPr="00886CEB">
        <w:rPr>
          <w:rFonts w:ascii="Times New Roman" w:eastAsia="Calibri" w:hAnsi="Times New Roman" w:cs="Times New Roman"/>
          <w:b/>
          <w:bCs/>
          <w:i/>
          <w:iCs/>
          <w:sz w:val="26"/>
          <w:szCs w:val="26"/>
          <w:lang w:val="es-ES" w:eastAsia="es-ES"/>
        </w:rPr>
        <w:t>Se acordó: 1)</w:t>
      </w:r>
      <w:r w:rsidRPr="00886CEB">
        <w:rPr>
          <w:rFonts w:ascii="Times New Roman" w:eastAsia="Calibri" w:hAnsi="Times New Roman" w:cs="Times New Roman"/>
          <w:i/>
          <w:iCs/>
          <w:sz w:val="26"/>
          <w:szCs w:val="26"/>
          <w:lang w:val="es-ES" w:eastAsia="es-ES"/>
        </w:rPr>
        <w:t xml:space="preserve"> Tener por rendido el informe del Subproceso de Gestión del Servicio de la Dirección de Tecnología, referente “ACTUALIZACIÓN DEL ANÁLISIS DEL LEASING COMO MODALIDAD DE INVERSIÓN EN EQUIPO DE CÓMPUTO PARA EL PODER JUDICIAL”. Completar el estudio para agregar el valor de rescate y costos ocultos. </w:t>
      </w:r>
      <w:r w:rsidRPr="00886CEB">
        <w:rPr>
          <w:rFonts w:ascii="Times New Roman" w:eastAsia="Calibri" w:hAnsi="Times New Roman" w:cs="Times New Roman"/>
          <w:b/>
          <w:bCs/>
          <w:i/>
          <w:iCs/>
          <w:sz w:val="26"/>
          <w:szCs w:val="26"/>
          <w:lang w:val="es-ES" w:eastAsia="es-ES"/>
        </w:rPr>
        <w:t>2)</w:t>
      </w:r>
      <w:r w:rsidRPr="00886CEB">
        <w:rPr>
          <w:rFonts w:ascii="Times New Roman" w:eastAsia="Calibri" w:hAnsi="Times New Roman" w:cs="Times New Roman"/>
          <w:i/>
          <w:iCs/>
          <w:sz w:val="26"/>
          <w:szCs w:val="26"/>
          <w:lang w:val="es-ES" w:eastAsia="es-ES"/>
        </w:rPr>
        <w:t xml:space="preserve"> Proponer al Consejo Superior que el nuevo contrato sea Leasing y que sea 100% portátil. </w:t>
      </w:r>
    </w:p>
    <w:p w14:paraId="00383C98" w14:textId="77777777" w:rsidR="00EF57CF" w:rsidRPr="00886CEB" w:rsidRDefault="00EF57CF" w:rsidP="00EF57CF">
      <w:pPr>
        <w:widowControl w:val="0"/>
        <w:spacing w:after="0" w:line="240" w:lineRule="auto"/>
        <w:ind w:left="850" w:right="850"/>
        <w:jc w:val="both"/>
        <w:rPr>
          <w:rFonts w:ascii="Times New Roman" w:eastAsia="Calibri" w:hAnsi="Times New Roman" w:cs="Times New Roman"/>
          <w:i/>
          <w:iCs/>
          <w:sz w:val="26"/>
          <w:szCs w:val="26"/>
          <w:lang w:val="es-ES" w:eastAsia="es-ES"/>
        </w:rPr>
      </w:pPr>
    </w:p>
    <w:p w14:paraId="08793F35" w14:textId="77777777" w:rsidR="00EF57CF" w:rsidRPr="00886CEB" w:rsidRDefault="00EF57CF" w:rsidP="00EF57CF">
      <w:pPr>
        <w:widowControl w:val="0"/>
        <w:spacing w:after="0" w:line="240" w:lineRule="auto"/>
        <w:ind w:left="850" w:right="850" w:firstLine="566"/>
        <w:jc w:val="both"/>
        <w:rPr>
          <w:rFonts w:ascii="Times New Roman" w:eastAsia="Calibri" w:hAnsi="Times New Roman" w:cs="Times New Roman"/>
          <w:i/>
          <w:iCs/>
          <w:sz w:val="26"/>
          <w:szCs w:val="26"/>
          <w:lang w:val="es-ES" w:eastAsia="es-ES"/>
        </w:rPr>
      </w:pPr>
      <w:r w:rsidRPr="00886CEB">
        <w:rPr>
          <w:rFonts w:ascii="Times New Roman" w:eastAsia="Calibri" w:hAnsi="Times New Roman" w:cs="Times New Roman"/>
          <w:i/>
          <w:iCs/>
          <w:sz w:val="26"/>
          <w:szCs w:val="26"/>
          <w:lang w:val="es-ES" w:eastAsia="es-ES"/>
        </w:rPr>
        <w:t>Doña Nacira, se abstiene a votar hasta no tener el detalle del aumento por mes del costo del nuevo contrato al 100% portátiles, posteriormente se remitió informe final con los datos solicitados, sin embargo, no se recibió manifestación ni a favor ni en contra de la propuesta”.</w:t>
      </w:r>
    </w:p>
    <w:p w14:paraId="2E7A7945" w14:textId="77777777" w:rsidR="00EF57CF" w:rsidRPr="00886CEB" w:rsidRDefault="00EF57CF" w:rsidP="00EF57CF">
      <w:pPr>
        <w:widowControl w:val="0"/>
        <w:spacing w:after="0" w:line="240" w:lineRule="auto"/>
        <w:ind w:left="850" w:right="850"/>
        <w:jc w:val="both"/>
        <w:rPr>
          <w:rFonts w:ascii="Times New Roman" w:eastAsia="Calibri" w:hAnsi="Times New Roman" w:cs="Times New Roman"/>
          <w:sz w:val="26"/>
          <w:szCs w:val="26"/>
          <w:lang w:val="es-ES" w:eastAsia="es-ES"/>
        </w:rPr>
      </w:pPr>
    </w:p>
    <w:p w14:paraId="2B8B29F2" w14:textId="77777777" w:rsidR="00EF57CF" w:rsidRPr="00886CEB" w:rsidRDefault="00EF57CF" w:rsidP="00EF57CF">
      <w:pPr>
        <w:widowControl w:val="0"/>
        <w:suppressAutoHyphens/>
        <w:spacing w:after="0" w:line="240" w:lineRule="auto"/>
        <w:ind w:left="850" w:right="850" w:firstLine="566"/>
        <w:jc w:val="both"/>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Al respecto, el Lic. Martín Hernández Serrano de la Dirección de Tecnología de la Información expone e informa del alcance del estudio realizado y los escenarios correspondientes.</w:t>
      </w:r>
    </w:p>
    <w:p w14:paraId="14D4E3FF" w14:textId="77777777" w:rsidR="00EF57CF" w:rsidRPr="00886CEB" w:rsidRDefault="00EF57CF" w:rsidP="00EF57CF">
      <w:pPr>
        <w:widowControl w:val="0"/>
        <w:suppressAutoHyphens/>
        <w:spacing w:after="0" w:line="240" w:lineRule="auto"/>
        <w:ind w:left="850" w:right="850"/>
        <w:jc w:val="both"/>
        <w:rPr>
          <w:rFonts w:ascii="Times New Roman" w:eastAsia="Times New Roman" w:hAnsi="Times New Roman" w:cs="Times New Roman"/>
          <w:sz w:val="26"/>
          <w:szCs w:val="26"/>
          <w:lang w:val="es-ES" w:eastAsia="ar-SA"/>
        </w:rPr>
      </w:pPr>
    </w:p>
    <w:p w14:paraId="463B7CE0" w14:textId="77777777" w:rsidR="00EF57CF" w:rsidRPr="00886CEB" w:rsidRDefault="00EF57CF" w:rsidP="00EF57CF">
      <w:pPr>
        <w:widowControl w:val="0"/>
        <w:tabs>
          <w:tab w:val="left" w:pos="1320"/>
        </w:tabs>
        <w:suppressAutoHyphens/>
        <w:spacing w:after="0" w:line="240" w:lineRule="auto"/>
        <w:ind w:left="850" w:right="850"/>
        <w:jc w:val="center"/>
        <w:rPr>
          <w:rFonts w:ascii="Times New Roman" w:eastAsia="Times New Roman" w:hAnsi="Times New Roman" w:cs="Times New Roman"/>
          <w:sz w:val="26"/>
          <w:szCs w:val="26"/>
          <w:lang w:eastAsia="es-CR"/>
        </w:rPr>
      </w:pPr>
      <w:r w:rsidRPr="00886CEB">
        <w:rPr>
          <w:rFonts w:ascii="Times New Roman" w:eastAsia="Times New Roman" w:hAnsi="Times New Roman" w:cs="Times New Roman"/>
          <w:sz w:val="26"/>
          <w:szCs w:val="26"/>
          <w:lang w:eastAsia="es-CR"/>
        </w:rPr>
        <w:t>- 0 –</w:t>
      </w:r>
    </w:p>
    <w:p w14:paraId="7332674A" w14:textId="77777777" w:rsidR="00EF57CF" w:rsidRPr="00886CEB" w:rsidRDefault="00EF57CF" w:rsidP="00EF57CF">
      <w:pPr>
        <w:widowControl w:val="0"/>
        <w:tabs>
          <w:tab w:val="left" w:pos="1320"/>
        </w:tabs>
        <w:suppressAutoHyphens/>
        <w:spacing w:after="0" w:line="240" w:lineRule="auto"/>
        <w:ind w:left="850" w:right="850"/>
        <w:jc w:val="center"/>
        <w:rPr>
          <w:rFonts w:ascii="Times New Roman" w:eastAsia="Times New Roman" w:hAnsi="Times New Roman" w:cs="Times New Roman"/>
          <w:b/>
          <w:sz w:val="26"/>
          <w:szCs w:val="26"/>
          <w:lang w:eastAsia="es-CR"/>
        </w:rPr>
      </w:pPr>
    </w:p>
    <w:p w14:paraId="6FB1762B" w14:textId="77777777" w:rsidR="00EF57CF" w:rsidRPr="00886CEB" w:rsidRDefault="00EF57CF" w:rsidP="00EF57CF">
      <w:pPr>
        <w:widowControl w:val="0"/>
        <w:suppressAutoHyphens/>
        <w:spacing w:after="0" w:line="240" w:lineRule="auto"/>
        <w:ind w:left="850" w:right="850" w:firstLine="566"/>
        <w:jc w:val="both"/>
        <w:rPr>
          <w:rFonts w:ascii="Times New Roman" w:eastAsia="Times New Roman" w:hAnsi="Times New Roman" w:cs="Times New Roman"/>
          <w:sz w:val="26"/>
          <w:szCs w:val="26"/>
          <w:lang w:val="es-ES" w:eastAsia="ar-SA"/>
        </w:rPr>
      </w:pPr>
      <w:bookmarkStart w:id="269" w:name="_Toc70349350"/>
      <w:r w:rsidRPr="00886CEB">
        <w:rPr>
          <w:rFonts w:ascii="Times New Roman" w:eastAsia="Times New Roman" w:hAnsi="Times New Roman" w:cs="Times New Roman"/>
          <w:b/>
          <w:bCs/>
          <w:sz w:val="26"/>
          <w:szCs w:val="26"/>
          <w:lang w:val="es-ES" w:eastAsia="ar-SA"/>
        </w:rPr>
        <w:t>Se acordó: 1)</w:t>
      </w:r>
      <w:r w:rsidRPr="00886CEB">
        <w:rPr>
          <w:rFonts w:ascii="Times New Roman" w:eastAsia="Times New Roman" w:hAnsi="Times New Roman" w:cs="Times New Roman"/>
          <w:sz w:val="26"/>
          <w:szCs w:val="26"/>
          <w:lang w:val="es-ES" w:eastAsia="ar-SA"/>
        </w:rPr>
        <w:t xml:space="preserve"> El oficio debe de trasladarse a la Secretaria General de la Corte, para que se conozca en una sesión ordinaria de Consejo Superior. </w:t>
      </w:r>
      <w:r w:rsidRPr="00886CEB">
        <w:rPr>
          <w:rFonts w:ascii="Times New Roman" w:eastAsia="Times New Roman" w:hAnsi="Times New Roman" w:cs="Times New Roman"/>
          <w:b/>
          <w:bCs/>
          <w:sz w:val="26"/>
          <w:szCs w:val="26"/>
          <w:lang w:val="es-ES" w:eastAsia="ar-SA"/>
        </w:rPr>
        <w:t>2)</w:t>
      </w:r>
      <w:r w:rsidRPr="00886CEB">
        <w:rPr>
          <w:rFonts w:ascii="Times New Roman" w:eastAsia="Times New Roman" w:hAnsi="Times New Roman" w:cs="Times New Roman"/>
          <w:sz w:val="26"/>
          <w:szCs w:val="26"/>
          <w:lang w:val="es-ES" w:eastAsia="ar-SA"/>
        </w:rPr>
        <w:t xml:space="preserve"> La Dirección de Tecnología de la Información debe estimar el presupuesto adicional que se requiere, de acuerdo con cada escenario propuesto y remitirlo ante el Consejo Superior como información complementaria para la toma de decisiones finales. Se declara acuerdo firme.”</w:t>
      </w:r>
      <w:bookmarkEnd w:id="269"/>
    </w:p>
    <w:p w14:paraId="060F4C3B" w14:textId="77777777" w:rsidR="00EF57CF" w:rsidRPr="00886CEB" w:rsidRDefault="00EF57CF" w:rsidP="00EF57CF">
      <w:pPr>
        <w:widowControl w:val="0"/>
        <w:suppressAutoHyphens/>
        <w:spacing w:after="0" w:line="240" w:lineRule="auto"/>
        <w:ind w:left="850" w:right="850" w:firstLine="566"/>
        <w:jc w:val="both"/>
        <w:rPr>
          <w:rFonts w:ascii="Times New Roman" w:eastAsia="Times New Roman" w:hAnsi="Times New Roman" w:cs="Times New Roman"/>
          <w:sz w:val="26"/>
          <w:szCs w:val="26"/>
          <w:lang w:val="es-ES" w:eastAsia="ar-SA"/>
        </w:rPr>
      </w:pPr>
    </w:p>
    <w:p w14:paraId="13EC299C" w14:textId="77777777" w:rsidR="00EF57CF" w:rsidRPr="00886CEB" w:rsidRDefault="00EF57CF" w:rsidP="00EF57CF">
      <w:pPr>
        <w:suppressAutoHyphens/>
        <w:autoSpaceDE w:val="0"/>
        <w:autoSpaceDN w:val="0"/>
        <w:adjustRightInd w:val="0"/>
        <w:spacing w:after="0" w:line="240" w:lineRule="auto"/>
        <w:jc w:val="center"/>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 xml:space="preserve">- 0 -  </w:t>
      </w:r>
    </w:p>
    <w:p w14:paraId="660505A9" w14:textId="77777777" w:rsidR="00EF57CF" w:rsidRPr="00886CEB" w:rsidRDefault="00EF57CF" w:rsidP="00EF57CF">
      <w:pPr>
        <w:suppressAutoHyphens/>
        <w:autoSpaceDE w:val="0"/>
        <w:autoSpaceDN w:val="0"/>
        <w:adjustRightInd w:val="0"/>
        <w:spacing w:after="0" w:line="240" w:lineRule="auto"/>
        <w:jc w:val="center"/>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 xml:space="preserve">  </w:t>
      </w:r>
    </w:p>
    <w:p w14:paraId="69B702E0" w14:textId="77777777" w:rsidR="00EF57CF" w:rsidRPr="00886CEB" w:rsidRDefault="00EF57CF" w:rsidP="00EF57CF">
      <w:pPr>
        <w:suppressAutoHyphens/>
        <w:autoSpaceDE w:val="0"/>
        <w:autoSpaceDN w:val="0"/>
        <w:adjustRightInd w:val="0"/>
        <w:spacing w:after="0" w:line="240" w:lineRule="auto"/>
        <w:ind w:firstLine="708"/>
        <w:jc w:val="both"/>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Asimismo, la licenciada Kattia Morales Navarro, Directora de Tecnología de la Información, en oficio N° 697-DTI-2021 de 23 de abril de 2021, remitió lo siguiente:</w:t>
      </w:r>
    </w:p>
    <w:p w14:paraId="2CF64D74" w14:textId="77777777" w:rsidR="00EF57CF" w:rsidRPr="00886CEB" w:rsidRDefault="00EF57CF" w:rsidP="00EF57CF">
      <w:pPr>
        <w:suppressAutoHyphens/>
        <w:autoSpaceDE w:val="0"/>
        <w:autoSpaceDN w:val="0"/>
        <w:adjustRightInd w:val="0"/>
        <w:spacing w:after="0" w:line="240" w:lineRule="auto"/>
        <w:ind w:firstLine="708"/>
        <w:jc w:val="both"/>
        <w:rPr>
          <w:rFonts w:ascii="Times New Roman" w:eastAsia="Times New Roman" w:hAnsi="Times New Roman" w:cs="Times New Roman"/>
          <w:sz w:val="26"/>
          <w:szCs w:val="26"/>
          <w:lang w:eastAsia="ar-SA"/>
        </w:rPr>
      </w:pPr>
    </w:p>
    <w:p w14:paraId="00061B35" w14:textId="77777777" w:rsidR="00EF57CF" w:rsidRPr="00886CEB" w:rsidRDefault="00EF57CF" w:rsidP="00EF57CF">
      <w:pPr>
        <w:widowControl w:val="0"/>
        <w:suppressAutoHyphens/>
        <w:spacing w:after="0" w:line="240" w:lineRule="auto"/>
        <w:ind w:left="850" w:right="850" w:firstLine="706"/>
        <w:jc w:val="both"/>
        <w:rPr>
          <w:rFonts w:ascii="Times New Roman" w:eastAsia="Times New Roman" w:hAnsi="Times New Roman" w:cs="Times New Roman"/>
          <w:sz w:val="26"/>
          <w:szCs w:val="26"/>
        </w:rPr>
      </w:pPr>
      <w:r w:rsidRPr="00886CEB">
        <w:rPr>
          <w:rFonts w:ascii="Times New Roman" w:eastAsia="Times New Roman" w:hAnsi="Times New Roman" w:cs="Times New Roman"/>
          <w:sz w:val="26"/>
          <w:szCs w:val="26"/>
          <w:lang w:val="es-ES" w:eastAsia="ar-SA"/>
        </w:rPr>
        <w:t xml:space="preserve">“En relación con el oficio 3392-2021, referente </w:t>
      </w:r>
      <w:r w:rsidRPr="00886CEB">
        <w:rPr>
          <w:rFonts w:ascii="Times New Roman" w:eastAsia="Times New Roman" w:hAnsi="Times New Roman" w:cs="Times New Roman"/>
          <w:b/>
          <w:bCs/>
          <w:i/>
          <w:iCs/>
          <w:sz w:val="26"/>
          <w:szCs w:val="26"/>
          <w:lang w:val="es-ES" w:eastAsia="ar-SA"/>
        </w:rPr>
        <w:t xml:space="preserve">“ACTUALIZACIÓN </w:t>
      </w:r>
      <w:r w:rsidRPr="00886CEB">
        <w:rPr>
          <w:rFonts w:ascii="Times New Roman" w:eastAsia="Times New Roman" w:hAnsi="Times New Roman" w:cs="Times New Roman"/>
          <w:b/>
          <w:bCs/>
          <w:i/>
          <w:iCs/>
          <w:sz w:val="26"/>
          <w:szCs w:val="26"/>
          <w:lang w:val="es-ES" w:eastAsia="ar-SA"/>
        </w:rPr>
        <w:lastRenderedPageBreak/>
        <w:t>DEL ANÁLISIS DEL LEASING COMO MODALIDAD DE INVERSIÓN EN EQUIPO DE CÓMPUTO PARA EL PODER JUDICIAL”,</w:t>
      </w:r>
      <w:r w:rsidRPr="00886CEB">
        <w:rPr>
          <w:rFonts w:ascii="Times New Roman" w:eastAsia="Times New Roman" w:hAnsi="Times New Roman" w:cs="Times New Roman"/>
          <w:sz w:val="26"/>
          <w:szCs w:val="26"/>
          <w:lang w:val="es-ES" w:eastAsia="ar-SA"/>
        </w:rPr>
        <w:t xml:space="preserve"> me permito adjuntar detalle del presupuesto adicional por cada escenario, lo anterior en el entendido que el pago anual del contrato actual es </w:t>
      </w:r>
      <w:proofErr w:type="gramStart"/>
      <w:r w:rsidRPr="00886CEB">
        <w:rPr>
          <w:rFonts w:ascii="Times New Roman" w:eastAsia="Times New Roman" w:hAnsi="Times New Roman" w:cs="Times New Roman"/>
          <w:sz w:val="26"/>
          <w:szCs w:val="26"/>
          <w:lang w:val="es-ES" w:eastAsia="ar-SA"/>
        </w:rPr>
        <w:t>de  ₡</w:t>
      </w:r>
      <w:proofErr w:type="gramEnd"/>
      <w:r w:rsidRPr="00886CEB">
        <w:rPr>
          <w:rFonts w:ascii="Times New Roman" w:eastAsia="Times New Roman" w:hAnsi="Times New Roman" w:cs="Times New Roman"/>
          <w:sz w:val="26"/>
          <w:szCs w:val="26"/>
          <w:lang w:val="es-ES" w:eastAsia="ar-SA"/>
        </w:rPr>
        <w:t>1 631 688 050,40 y contempla el escenario 1:</w:t>
      </w:r>
    </w:p>
    <w:p w14:paraId="054E7F59" w14:textId="77777777" w:rsidR="00EF57CF" w:rsidRPr="00886CEB" w:rsidRDefault="00EF57CF" w:rsidP="00EF57CF">
      <w:pPr>
        <w:widowControl w:val="0"/>
        <w:suppressAutoHyphens/>
        <w:spacing w:after="0" w:line="240" w:lineRule="auto"/>
        <w:jc w:val="both"/>
        <w:rPr>
          <w:rFonts w:ascii="Times New Roman" w:eastAsia="Times New Roman" w:hAnsi="Times New Roman" w:cs="Times New Roman"/>
          <w:sz w:val="26"/>
          <w:szCs w:val="26"/>
          <w:lang w:val="es-ES" w:eastAsia="ar-SA"/>
        </w:rPr>
      </w:pPr>
    </w:p>
    <w:p w14:paraId="2F782A90" w14:textId="77777777" w:rsidR="00EF57CF" w:rsidRPr="00886CEB" w:rsidRDefault="00EF57CF" w:rsidP="00EF57CF">
      <w:pPr>
        <w:widowControl w:val="0"/>
        <w:suppressAutoHyphens/>
        <w:spacing w:after="0" w:line="240" w:lineRule="auto"/>
        <w:jc w:val="both"/>
        <w:rPr>
          <w:rFonts w:ascii="Times New Roman" w:eastAsia="Times New Roman" w:hAnsi="Times New Roman" w:cs="Times New Roman"/>
          <w:sz w:val="26"/>
          <w:szCs w:val="26"/>
          <w:lang w:val="es-ES" w:eastAsia="ar-SA"/>
        </w:rPr>
      </w:pPr>
    </w:p>
    <w:p w14:paraId="3005A468" w14:textId="77777777" w:rsidR="00EF57CF" w:rsidRPr="00886CEB" w:rsidRDefault="00EF57CF" w:rsidP="00EF57CF">
      <w:pPr>
        <w:spacing w:after="0" w:line="240" w:lineRule="auto"/>
        <w:rPr>
          <w:rFonts w:ascii="Times New Roman" w:eastAsia="Calibri" w:hAnsi="Times New Roman" w:cs="Times New Roman"/>
          <w:sz w:val="26"/>
          <w:szCs w:val="26"/>
          <w:lang w:eastAsia="es-CR"/>
        </w:rPr>
      </w:pPr>
    </w:p>
    <w:tbl>
      <w:tblPr>
        <w:tblW w:w="9214" w:type="dxa"/>
        <w:tblCellMar>
          <w:left w:w="0" w:type="dxa"/>
          <w:right w:w="0" w:type="dxa"/>
        </w:tblCellMar>
        <w:tblLook w:val="04A0" w:firstRow="1" w:lastRow="0" w:firstColumn="1" w:lastColumn="0" w:noHBand="0" w:noVBand="1"/>
      </w:tblPr>
      <w:tblGrid>
        <w:gridCol w:w="2146"/>
        <w:gridCol w:w="1256"/>
        <w:gridCol w:w="1276"/>
        <w:gridCol w:w="1276"/>
        <w:gridCol w:w="1134"/>
        <w:gridCol w:w="2126"/>
      </w:tblGrid>
      <w:tr w:rsidR="00EF57CF" w:rsidRPr="00886CEB" w14:paraId="4B38FFAF" w14:textId="77777777" w:rsidTr="004528B6">
        <w:trPr>
          <w:trHeight w:val="375"/>
        </w:trPr>
        <w:tc>
          <w:tcPr>
            <w:tcW w:w="2146" w:type="dxa"/>
            <w:noWrap/>
            <w:tcMar>
              <w:top w:w="0" w:type="dxa"/>
              <w:left w:w="70" w:type="dxa"/>
              <w:bottom w:w="0" w:type="dxa"/>
              <w:right w:w="70" w:type="dxa"/>
            </w:tcMar>
            <w:vAlign w:val="bottom"/>
            <w:hideMark/>
          </w:tcPr>
          <w:p w14:paraId="63810617" w14:textId="77777777" w:rsidR="00EF57CF" w:rsidRPr="00886CEB" w:rsidRDefault="00EF57CF" w:rsidP="004F270D">
            <w:pPr>
              <w:suppressAutoHyphens/>
              <w:spacing w:after="0" w:line="240" w:lineRule="auto"/>
              <w:rPr>
                <w:rFonts w:ascii="Times New Roman" w:eastAsia="Calibri" w:hAnsi="Times New Roman" w:cs="Times New Roman"/>
                <w:sz w:val="26"/>
                <w:szCs w:val="26"/>
                <w:lang w:eastAsia="es-CR"/>
              </w:rPr>
            </w:pPr>
          </w:p>
        </w:tc>
        <w:tc>
          <w:tcPr>
            <w:tcW w:w="2532" w:type="dxa"/>
            <w:gridSpan w:val="2"/>
            <w:tcBorders>
              <w:top w:val="single" w:sz="8" w:space="0" w:color="auto"/>
              <w:left w:val="single" w:sz="8" w:space="0" w:color="auto"/>
              <w:bottom w:val="nil"/>
              <w:right w:val="single" w:sz="8" w:space="0" w:color="000000"/>
            </w:tcBorders>
            <w:shd w:val="clear" w:color="auto" w:fill="FBE4D5"/>
            <w:tcMar>
              <w:top w:w="0" w:type="dxa"/>
              <w:left w:w="70" w:type="dxa"/>
              <w:bottom w:w="0" w:type="dxa"/>
              <w:right w:w="70" w:type="dxa"/>
            </w:tcMar>
            <w:vAlign w:val="center"/>
            <w:hideMark/>
          </w:tcPr>
          <w:p w14:paraId="67D3982A"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Escenario #1 Leasing</w:t>
            </w:r>
          </w:p>
        </w:tc>
        <w:tc>
          <w:tcPr>
            <w:tcW w:w="2410" w:type="dxa"/>
            <w:gridSpan w:val="2"/>
            <w:tcBorders>
              <w:top w:val="single" w:sz="8" w:space="0" w:color="auto"/>
              <w:left w:val="nil"/>
              <w:bottom w:val="nil"/>
              <w:right w:val="single" w:sz="8" w:space="0" w:color="000000"/>
            </w:tcBorders>
            <w:shd w:val="clear" w:color="auto" w:fill="FFF2CC"/>
            <w:tcMar>
              <w:top w:w="0" w:type="dxa"/>
              <w:left w:w="70" w:type="dxa"/>
              <w:bottom w:w="0" w:type="dxa"/>
              <w:right w:w="70" w:type="dxa"/>
            </w:tcMar>
            <w:vAlign w:val="center"/>
            <w:hideMark/>
          </w:tcPr>
          <w:p w14:paraId="3B816E1B"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Escenario #2 Leasing</w:t>
            </w:r>
          </w:p>
        </w:tc>
        <w:tc>
          <w:tcPr>
            <w:tcW w:w="2126" w:type="dxa"/>
            <w:tcBorders>
              <w:top w:val="single" w:sz="8" w:space="0" w:color="auto"/>
              <w:left w:val="nil"/>
              <w:bottom w:val="nil"/>
              <w:right w:val="single" w:sz="8" w:space="0" w:color="auto"/>
            </w:tcBorders>
            <w:shd w:val="clear" w:color="auto" w:fill="D0CECE"/>
            <w:tcMar>
              <w:top w:w="0" w:type="dxa"/>
              <w:left w:w="70" w:type="dxa"/>
              <w:bottom w:w="0" w:type="dxa"/>
              <w:right w:w="70" w:type="dxa"/>
            </w:tcMar>
            <w:vAlign w:val="center"/>
            <w:hideMark/>
          </w:tcPr>
          <w:p w14:paraId="6F69DC65"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Escenario #3 Leasing</w:t>
            </w:r>
          </w:p>
        </w:tc>
      </w:tr>
      <w:tr w:rsidR="00EF57CF" w:rsidRPr="00886CEB" w14:paraId="3B48F1CD" w14:textId="77777777" w:rsidTr="004528B6">
        <w:trPr>
          <w:trHeight w:val="390"/>
        </w:trPr>
        <w:tc>
          <w:tcPr>
            <w:tcW w:w="2146" w:type="dxa"/>
            <w:noWrap/>
            <w:tcMar>
              <w:top w:w="0" w:type="dxa"/>
              <w:left w:w="70" w:type="dxa"/>
              <w:bottom w:w="0" w:type="dxa"/>
              <w:right w:w="70" w:type="dxa"/>
            </w:tcMar>
            <w:vAlign w:val="bottom"/>
            <w:hideMark/>
          </w:tcPr>
          <w:p w14:paraId="64B5B31D" w14:textId="77777777" w:rsidR="00EF57CF" w:rsidRPr="00886CEB" w:rsidRDefault="00EF57CF" w:rsidP="004F270D">
            <w:pPr>
              <w:suppressAutoHyphens/>
              <w:spacing w:after="0" w:line="240" w:lineRule="auto"/>
              <w:rPr>
                <w:rFonts w:ascii="Times New Roman" w:eastAsia="Calibri" w:hAnsi="Times New Roman" w:cs="Times New Roman"/>
                <w:sz w:val="26"/>
                <w:szCs w:val="26"/>
              </w:rPr>
            </w:pPr>
          </w:p>
        </w:tc>
        <w:tc>
          <w:tcPr>
            <w:tcW w:w="1256" w:type="dxa"/>
            <w:tcBorders>
              <w:top w:val="nil"/>
              <w:left w:val="single" w:sz="8" w:space="0" w:color="auto"/>
              <w:bottom w:val="nil"/>
              <w:right w:val="nil"/>
            </w:tcBorders>
            <w:shd w:val="clear" w:color="auto" w:fill="FBE4D5"/>
            <w:tcMar>
              <w:top w:w="0" w:type="dxa"/>
              <w:left w:w="70" w:type="dxa"/>
              <w:bottom w:w="0" w:type="dxa"/>
              <w:right w:w="70" w:type="dxa"/>
            </w:tcMar>
            <w:vAlign w:val="center"/>
            <w:hideMark/>
          </w:tcPr>
          <w:p w14:paraId="29A557DF"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71% escritorio</w:t>
            </w:r>
          </w:p>
        </w:tc>
        <w:tc>
          <w:tcPr>
            <w:tcW w:w="1276" w:type="dxa"/>
            <w:tcBorders>
              <w:top w:val="nil"/>
              <w:left w:val="nil"/>
              <w:bottom w:val="nil"/>
              <w:right w:val="single" w:sz="8" w:space="0" w:color="auto"/>
            </w:tcBorders>
            <w:shd w:val="clear" w:color="auto" w:fill="FBE4D5"/>
            <w:tcMar>
              <w:top w:w="0" w:type="dxa"/>
              <w:left w:w="70" w:type="dxa"/>
              <w:bottom w:w="0" w:type="dxa"/>
              <w:right w:w="70" w:type="dxa"/>
            </w:tcMar>
            <w:vAlign w:val="center"/>
            <w:hideMark/>
          </w:tcPr>
          <w:p w14:paraId="4728D4E9"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29% portátiles</w:t>
            </w:r>
          </w:p>
        </w:tc>
        <w:tc>
          <w:tcPr>
            <w:tcW w:w="1276" w:type="dxa"/>
            <w:shd w:val="clear" w:color="auto" w:fill="FFF2CC"/>
            <w:tcMar>
              <w:top w:w="0" w:type="dxa"/>
              <w:left w:w="70" w:type="dxa"/>
              <w:bottom w:w="0" w:type="dxa"/>
              <w:right w:w="70" w:type="dxa"/>
            </w:tcMar>
            <w:vAlign w:val="center"/>
            <w:hideMark/>
          </w:tcPr>
          <w:p w14:paraId="047CD2C1"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50% escritorio</w:t>
            </w:r>
          </w:p>
        </w:tc>
        <w:tc>
          <w:tcPr>
            <w:tcW w:w="1134" w:type="dxa"/>
            <w:tcBorders>
              <w:top w:val="nil"/>
              <w:left w:val="nil"/>
              <w:bottom w:val="nil"/>
              <w:right w:val="single" w:sz="8" w:space="0" w:color="auto"/>
            </w:tcBorders>
            <w:shd w:val="clear" w:color="auto" w:fill="FFF2CC"/>
            <w:tcMar>
              <w:top w:w="0" w:type="dxa"/>
              <w:left w:w="70" w:type="dxa"/>
              <w:bottom w:w="0" w:type="dxa"/>
              <w:right w:w="70" w:type="dxa"/>
            </w:tcMar>
            <w:vAlign w:val="center"/>
            <w:hideMark/>
          </w:tcPr>
          <w:p w14:paraId="43ADDD00"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50% portátiles</w:t>
            </w:r>
          </w:p>
        </w:tc>
        <w:tc>
          <w:tcPr>
            <w:tcW w:w="2126" w:type="dxa"/>
            <w:tcBorders>
              <w:top w:val="nil"/>
              <w:left w:val="nil"/>
              <w:bottom w:val="nil"/>
              <w:right w:val="single" w:sz="8" w:space="0" w:color="auto"/>
            </w:tcBorders>
            <w:shd w:val="clear" w:color="auto" w:fill="D0CECE"/>
            <w:tcMar>
              <w:top w:w="0" w:type="dxa"/>
              <w:left w:w="70" w:type="dxa"/>
              <w:bottom w:w="0" w:type="dxa"/>
              <w:right w:w="70" w:type="dxa"/>
            </w:tcMar>
            <w:vAlign w:val="center"/>
            <w:hideMark/>
          </w:tcPr>
          <w:p w14:paraId="00042D42"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100% portátiles</w:t>
            </w:r>
          </w:p>
        </w:tc>
      </w:tr>
      <w:tr w:rsidR="00EF57CF" w:rsidRPr="00886CEB" w14:paraId="2CA66A39" w14:textId="77777777" w:rsidTr="004528B6">
        <w:trPr>
          <w:trHeight w:val="525"/>
        </w:trPr>
        <w:tc>
          <w:tcPr>
            <w:tcW w:w="2146" w:type="dxa"/>
            <w:tcBorders>
              <w:top w:val="single" w:sz="8" w:space="0" w:color="auto"/>
              <w:left w:val="single" w:sz="8" w:space="0" w:color="auto"/>
              <w:bottom w:val="single" w:sz="8" w:space="0" w:color="auto"/>
              <w:right w:val="single" w:sz="8" w:space="0" w:color="auto"/>
            </w:tcBorders>
            <w:shd w:val="clear" w:color="auto" w:fill="2F5496"/>
            <w:tcMar>
              <w:top w:w="0" w:type="dxa"/>
              <w:left w:w="70" w:type="dxa"/>
              <w:bottom w:w="0" w:type="dxa"/>
              <w:right w:w="70" w:type="dxa"/>
            </w:tcMar>
            <w:vAlign w:val="center"/>
            <w:hideMark/>
          </w:tcPr>
          <w:p w14:paraId="7871217C"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PAGO ANUAL NUEVO CONTRATO</w:t>
            </w:r>
          </w:p>
        </w:tc>
        <w:tc>
          <w:tcPr>
            <w:tcW w:w="2532" w:type="dxa"/>
            <w:gridSpan w:val="2"/>
            <w:tcBorders>
              <w:top w:val="single" w:sz="8" w:space="0" w:color="auto"/>
              <w:left w:val="nil"/>
              <w:bottom w:val="single" w:sz="8" w:space="0" w:color="auto"/>
              <w:right w:val="single" w:sz="8" w:space="0" w:color="000000"/>
            </w:tcBorders>
            <w:shd w:val="clear" w:color="auto" w:fill="FBE4D5"/>
            <w:tcMar>
              <w:top w:w="0" w:type="dxa"/>
              <w:left w:w="70" w:type="dxa"/>
              <w:bottom w:w="0" w:type="dxa"/>
              <w:right w:w="70" w:type="dxa"/>
            </w:tcMar>
            <w:vAlign w:val="center"/>
            <w:hideMark/>
          </w:tcPr>
          <w:p w14:paraId="271E7BD9"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₡1 773 762 087,25</w:t>
            </w:r>
          </w:p>
        </w:tc>
        <w:tc>
          <w:tcPr>
            <w:tcW w:w="2410" w:type="dxa"/>
            <w:gridSpan w:val="2"/>
            <w:tcBorders>
              <w:top w:val="single" w:sz="8" w:space="0" w:color="auto"/>
              <w:left w:val="nil"/>
              <w:bottom w:val="nil"/>
              <w:right w:val="single" w:sz="8" w:space="0" w:color="000000"/>
            </w:tcBorders>
            <w:shd w:val="clear" w:color="auto" w:fill="FFF2CC"/>
            <w:tcMar>
              <w:top w:w="0" w:type="dxa"/>
              <w:left w:w="70" w:type="dxa"/>
              <w:bottom w:w="0" w:type="dxa"/>
              <w:right w:w="70" w:type="dxa"/>
            </w:tcMar>
            <w:vAlign w:val="center"/>
            <w:hideMark/>
          </w:tcPr>
          <w:p w14:paraId="5781F997"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₡1 968 359 421,23</w:t>
            </w:r>
          </w:p>
        </w:tc>
        <w:tc>
          <w:tcPr>
            <w:tcW w:w="2126" w:type="dxa"/>
            <w:tcBorders>
              <w:top w:val="single" w:sz="8" w:space="0" w:color="auto"/>
              <w:left w:val="nil"/>
              <w:bottom w:val="single" w:sz="8" w:space="0" w:color="auto"/>
              <w:right w:val="single" w:sz="8" w:space="0" w:color="auto"/>
            </w:tcBorders>
            <w:shd w:val="clear" w:color="auto" w:fill="D0CECE"/>
            <w:tcMar>
              <w:top w:w="0" w:type="dxa"/>
              <w:left w:w="70" w:type="dxa"/>
              <w:bottom w:w="0" w:type="dxa"/>
              <w:right w:w="70" w:type="dxa"/>
            </w:tcMar>
            <w:vAlign w:val="center"/>
            <w:hideMark/>
          </w:tcPr>
          <w:p w14:paraId="3050F3D1"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₡2 383 716 966,61</w:t>
            </w:r>
          </w:p>
        </w:tc>
      </w:tr>
      <w:tr w:rsidR="00EF57CF" w:rsidRPr="00886CEB" w14:paraId="776A591F" w14:textId="77777777" w:rsidTr="004528B6">
        <w:trPr>
          <w:trHeight w:val="780"/>
        </w:trPr>
        <w:tc>
          <w:tcPr>
            <w:tcW w:w="2146" w:type="dxa"/>
            <w:tcBorders>
              <w:top w:val="nil"/>
              <w:left w:val="single" w:sz="8" w:space="0" w:color="auto"/>
              <w:bottom w:val="single" w:sz="8" w:space="0" w:color="auto"/>
              <w:right w:val="single" w:sz="8" w:space="0" w:color="auto"/>
            </w:tcBorders>
            <w:shd w:val="clear" w:color="auto" w:fill="2F5496"/>
            <w:tcMar>
              <w:top w:w="0" w:type="dxa"/>
              <w:left w:w="70" w:type="dxa"/>
              <w:bottom w:w="0" w:type="dxa"/>
              <w:right w:w="70" w:type="dxa"/>
            </w:tcMar>
            <w:vAlign w:val="center"/>
            <w:hideMark/>
          </w:tcPr>
          <w:p w14:paraId="0745E99F"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DIFERENCIA ANUAL SEGÚN PAGO CONTRATO ACTUAL</w:t>
            </w:r>
          </w:p>
        </w:tc>
        <w:tc>
          <w:tcPr>
            <w:tcW w:w="2532" w:type="dxa"/>
            <w:gridSpan w:val="2"/>
            <w:tcBorders>
              <w:top w:val="nil"/>
              <w:left w:val="nil"/>
              <w:bottom w:val="single" w:sz="8" w:space="0" w:color="auto"/>
              <w:right w:val="single" w:sz="8" w:space="0" w:color="000000"/>
            </w:tcBorders>
            <w:shd w:val="clear" w:color="auto" w:fill="FBE4D5"/>
            <w:tcMar>
              <w:top w:w="0" w:type="dxa"/>
              <w:left w:w="70" w:type="dxa"/>
              <w:bottom w:w="0" w:type="dxa"/>
              <w:right w:w="70" w:type="dxa"/>
            </w:tcMar>
            <w:vAlign w:val="center"/>
            <w:hideMark/>
          </w:tcPr>
          <w:p w14:paraId="2020353B"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₡142 074 036,85</w:t>
            </w:r>
          </w:p>
        </w:tc>
        <w:tc>
          <w:tcPr>
            <w:tcW w:w="2410" w:type="dxa"/>
            <w:gridSpan w:val="2"/>
            <w:tcBorders>
              <w:top w:val="single" w:sz="8" w:space="0" w:color="auto"/>
              <w:left w:val="nil"/>
              <w:bottom w:val="single" w:sz="8" w:space="0" w:color="auto"/>
              <w:right w:val="single" w:sz="8" w:space="0" w:color="000000"/>
            </w:tcBorders>
            <w:shd w:val="clear" w:color="auto" w:fill="FFF2CC"/>
            <w:tcMar>
              <w:top w:w="0" w:type="dxa"/>
              <w:left w:w="70" w:type="dxa"/>
              <w:bottom w:w="0" w:type="dxa"/>
              <w:right w:w="70" w:type="dxa"/>
            </w:tcMar>
            <w:vAlign w:val="center"/>
            <w:hideMark/>
          </w:tcPr>
          <w:p w14:paraId="0EA6E251"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₡336 671 370,83</w:t>
            </w:r>
          </w:p>
        </w:tc>
        <w:tc>
          <w:tcPr>
            <w:tcW w:w="2126" w:type="dxa"/>
            <w:tcBorders>
              <w:top w:val="nil"/>
              <w:left w:val="nil"/>
              <w:bottom w:val="single" w:sz="8" w:space="0" w:color="auto"/>
              <w:right w:val="single" w:sz="8" w:space="0" w:color="auto"/>
            </w:tcBorders>
            <w:shd w:val="clear" w:color="auto" w:fill="D0CECE"/>
            <w:tcMar>
              <w:top w:w="0" w:type="dxa"/>
              <w:left w:w="70" w:type="dxa"/>
              <w:bottom w:w="0" w:type="dxa"/>
              <w:right w:w="70" w:type="dxa"/>
            </w:tcMar>
            <w:vAlign w:val="center"/>
            <w:hideMark/>
          </w:tcPr>
          <w:p w14:paraId="3344F4A6" w14:textId="77777777" w:rsidR="00EF57CF" w:rsidRPr="00886CEB" w:rsidRDefault="00EF57CF" w:rsidP="004F270D">
            <w:pPr>
              <w:spacing w:after="0" w:line="240" w:lineRule="auto"/>
              <w:jc w:val="center"/>
              <w:rPr>
                <w:rFonts w:ascii="Times New Roman" w:eastAsia="Calibri" w:hAnsi="Times New Roman" w:cs="Times New Roman"/>
                <w:sz w:val="26"/>
                <w:szCs w:val="26"/>
              </w:rPr>
            </w:pPr>
            <w:r w:rsidRPr="00886CEB">
              <w:rPr>
                <w:rFonts w:ascii="Times New Roman" w:eastAsia="Calibri" w:hAnsi="Times New Roman" w:cs="Times New Roman"/>
                <w:sz w:val="26"/>
                <w:szCs w:val="26"/>
              </w:rPr>
              <w:t>₡752 028 916,21</w:t>
            </w:r>
          </w:p>
        </w:tc>
      </w:tr>
      <w:tr w:rsidR="00EF57CF" w:rsidRPr="00886CEB" w14:paraId="1B835294" w14:textId="77777777" w:rsidTr="004528B6">
        <w:tc>
          <w:tcPr>
            <w:tcW w:w="2146" w:type="dxa"/>
            <w:vAlign w:val="center"/>
            <w:hideMark/>
          </w:tcPr>
          <w:p w14:paraId="45E9EBC7" w14:textId="77777777" w:rsidR="00EF57CF" w:rsidRPr="00886CEB" w:rsidRDefault="00EF57CF" w:rsidP="004F270D">
            <w:pPr>
              <w:suppressAutoHyphens/>
              <w:spacing w:after="0" w:line="240" w:lineRule="auto"/>
              <w:rPr>
                <w:rFonts w:ascii="Times New Roman" w:eastAsia="Calibri" w:hAnsi="Times New Roman" w:cs="Times New Roman"/>
                <w:sz w:val="26"/>
                <w:szCs w:val="26"/>
              </w:rPr>
            </w:pPr>
          </w:p>
        </w:tc>
        <w:tc>
          <w:tcPr>
            <w:tcW w:w="1256" w:type="dxa"/>
            <w:vAlign w:val="center"/>
            <w:hideMark/>
          </w:tcPr>
          <w:p w14:paraId="3A071253" w14:textId="77777777" w:rsidR="00EF57CF" w:rsidRPr="00886CEB" w:rsidRDefault="00EF57CF" w:rsidP="004F270D">
            <w:pPr>
              <w:spacing w:after="0" w:line="240" w:lineRule="auto"/>
              <w:rPr>
                <w:rFonts w:ascii="Times New Roman" w:eastAsia="Times New Roman" w:hAnsi="Times New Roman" w:cs="Times New Roman"/>
                <w:sz w:val="26"/>
                <w:szCs w:val="26"/>
                <w:lang w:eastAsia="es-CR"/>
              </w:rPr>
            </w:pPr>
          </w:p>
        </w:tc>
        <w:tc>
          <w:tcPr>
            <w:tcW w:w="1276" w:type="dxa"/>
            <w:vAlign w:val="center"/>
            <w:hideMark/>
          </w:tcPr>
          <w:p w14:paraId="3C56DC9C" w14:textId="77777777" w:rsidR="00EF57CF" w:rsidRPr="00886CEB" w:rsidRDefault="00EF57CF" w:rsidP="004F270D">
            <w:pPr>
              <w:spacing w:after="0" w:line="240" w:lineRule="auto"/>
              <w:rPr>
                <w:rFonts w:ascii="Times New Roman" w:eastAsia="Times New Roman" w:hAnsi="Times New Roman" w:cs="Times New Roman"/>
                <w:sz w:val="26"/>
                <w:szCs w:val="26"/>
                <w:lang w:eastAsia="es-CR"/>
              </w:rPr>
            </w:pPr>
          </w:p>
        </w:tc>
        <w:tc>
          <w:tcPr>
            <w:tcW w:w="1276" w:type="dxa"/>
            <w:vAlign w:val="center"/>
            <w:hideMark/>
          </w:tcPr>
          <w:p w14:paraId="6B5A1A12" w14:textId="77777777" w:rsidR="00EF57CF" w:rsidRPr="00886CEB" w:rsidRDefault="00EF57CF" w:rsidP="004F270D">
            <w:pPr>
              <w:spacing w:after="0" w:line="240" w:lineRule="auto"/>
              <w:rPr>
                <w:rFonts w:ascii="Times New Roman" w:eastAsia="Times New Roman" w:hAnsi="Times New Roman" w:cs="Times New Roman"/>
                <w:sz w:val="26"/>
                <w:szCs w:val="26"/>
                <w:lang w:eastAsia="es-CR"/>
              </w:rPr>
            </w:pPr>
          </w:p>
        </w:tc>
        <w:tc>
          <w:tcPr>
            <w:tcW w:w="1134" w:type="dxa"/>
            <w:vAlign w:val="center"/>
            <w:hideMark/>
          </w:tcPr>
          <w:p w14:paraId="7AA716BA" w14:textId="77777777" w:rsidR="00EF57CF" w:rsidRPr="00886CEB" w:rsidRDefault="00EF57CF" w:rsidP="004F270D">
            <w:pPr>
              <w:spacing w:after="0" w:line="240" w:lineRule="auto"/>
              <w:rPr>
                <w:rFonts w:ascii="Times New Roman" w:eastAsia="Times New Roman" w:hAnsi="Times New Roman" w:cs="Times New Roman"/>
                <w:sz w:val="26"/>
                <w:szCs w:val="26"/>
                <w:lang w:eastAsia="es-CR"/>
              </w:rPr>
            </w:pPr>
          </w:p>
        </w:tc>
        <w:tc>
          <w:tcPr>
            <w:tcW w:w="2126" w:type="dxa"/>
            <w:vAlign w:val="center"/>
            <w:hideMark/>
          </w:tcPr>
          <w:p w14:paraId="771FD6E0" w14:textId="77777777" w:rsidR="00EF57CF" w:rsidRPr="00886CEB" w:rsidRDefault="00EF57CF" w:rsidP="004F270D">
            <w:pPr>
              <w:spacing w:after="0" w:line="240" w:lineRule="auto"/>
              <w:rPr>
                <w:rFonts w:ascii="Times New Roman" w:eastAsia="Times New Roman" w:hAnsi="Times New Roman" w:cs="Times New Roman"/>
                <w:sz w:val="26"/>
                <w:szCs w:val="26"/>
                <w:lang w:eastAsia="es-CR"/>
              </w:rPr>
            </w:pPr>
          </w:p>
        </w:tc>
      </w:tr>
    </w:tbl>
    <w:p w14:paraId="1803AD58" w14:textId="77777777" w:rsidR="00EF57CF" w:rsidRPr="00886CEB" w:rsidRDefault="00EF57CF" w:rsidP="00EF57CF">
      <w:pPr>
        <w:spacing w:after="0" w:line="240" w:lineRule="auto"/>
        <w:rPr>
          <w:rFonts w:ascii="Times New Roman" w:eastAsia="Calibri" w:hAnsi="Times New Roman" w:cs="Times New Roman"/>
          <w:sz w:val="26"/>
          <w:szCs w:val="26"/>
          <w:lang w:eastAsia="es-CR"/>
        </w:rPr>
      </w:pPr>
      <w:r w:rsidRPr="00886CEB">
        <w:rPr>
          <w:rFonts w:ascii="Times New Roman" w:eastAsia="Calibri" w:hAnsi="Times New Roman" w:cs="Times New Roman"/>
          <w:sz w:val="26"/>
          <w:szCs w:val="26"/>
          <w:lang w:eastAsia="es-CR"/>
        </w:rPr>
        <w:t> </w:t>
      </w:r>
    </w:p>
    <w:p w14:paraId="601DB793" w14:textId="77777777" w:rsidR="00EF57CF" w:rsidRPr="00886CEB" w:rsidRDefault="00EF57CF" w:rsidP="00EF57CF">
      <w:pPr>
        <w:spacing w:after="0" w:line="240" w:lineRule="auto"/>
        <w:ind w:left="850" w:right="850" w:firstLine="706"/>
        <w:rPr>
          <w:rFonts w:ascii="Times New Roman" w:eastAsia="Calibri" w:hAnsi="Times New Roman" w:cs="Times New Roman"/>
          <w:sz w:val="26"/>
          <w:szCs w:val="26"/>
          <w:lang w:eastAsia="es-CR"/>
        </w:rPr>
      </w:pPr>
      <w:r w:rsidRPr="00886CEB">
        <w:rPr>
          <w:rFonts w:ascii="Times New Roman" w:eastAsia="Calibri" w:hAnsi="Times New Roman" w:cs="Times New Roman"/>
          <w:sz w:val="26"/>
          <w:szCs w:val="26"/>
          <w:lang w:eastAsia="es-CR"/>
        </w:rPr>
        <w:t>(…)”</w:t>
      </w:r>
    </w:p>
    <w:p w14:paraId="6F185B7D" w14:textId="77777777" w:rsidR="00EF57CF" w:rsidRPr="00886CEB" w:rsidRDefault="00EF57CF" w:rsidP="00EF57CF">
      <w:pPr>
        <w:spacing w:after="0" w:line="240" w:lineRule="auto"/>
        <w:ind w:left="850" w:right="850" w:firstLine="706"/>
        <w:rPr>
          <w:rFonts w:ascii="Times New Roman" w:eastAsia="Calibri" w:hAnsi="Times New Roman" w:cs="Times New Roman"/>
          <w:sz w:val="26"/>
          <w:szCs w:val="26"/>
          <w:lang w:eastAsia="es-CR"/>
        </w:rPr>
      </w:pPr>
    </w:p>
    <w:p w14:paraId="147AC97E" w14:textId="77777777" w:rsidR="00EF57CF" w:rsidRPr="00886CEB" w:rsidRDefault="00EF57CF" w:rsidP="00EF57CF">
      <w:pPr>
        <w:suppressAutoHyphens/>
        <w:autoSpaceDE w:val="0"/>
        <w:autoSpaceDN w:val="0"/>
        <w:adjustRightInd w:val="0"/>
        <w:spacing w:after="0" w:line="240" w:lineRule="auto"/>
        <w:jc w:val="center"/>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 xml:space="preserve">- 0 -  </w:t>
      </w:r>
    </w:p>
    <w:p w14:paraId="45909CA6" w14:textId="77777777" w:rsidR="00EF57CF" w:rsidRPr="00886CEB" w:rsidRDefault="00EF57CF" w:rsidP="00EF57CF">
      <w:pPr>
        <w:suppressAutoHyphens/>
        <w:autoSpaceDE w:val="0"/>
        <w:autoSpaceDN w:val="0"/>
        <w:adjustRightInd w:val="0"/>
        <w:spacing w:after="0" w:line="240" w:lineRule="auto"/>
        <w:jc w:val="center"/>
        <w:rPr>
          <w:rFonts w:ascii="Times New Roman" w:eastAsia="Times New Roman" w:hAnsi="Times New Roman" w:cs="Times New Roman"/>
          <w:sz w:val="26"/>
          <w:szCs w:val="26"/>
          <w:lang w:val="es-ES" w:eastAsia="ar-SA"/>
        </w:rPr>
      </w:pPr>
    </w:p>
    <w:p w14:paraId="57D656C8" w14:textId="77777777" w:rsidR="00EF57CF" w:rsidRPr="00886CEB" w:rsidRDefault="00EF57CF" w:rsidP="00EF57CF">
      <w:pPr>
        <w:suppressAutoHyphens/>
        <w:autoSpaceDE w:val="0"/>
        <w:autoSpaceDN w:val="0"/>
        <w:adjustRightInd w:val="0"/>
        <w:spacing w:after="0" w:line="240" w:lineRule="auto"/>
        <w:jc w:val="both"/>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ab/>
        <w:t>Posteriormente, el licenciado Juan Gabriel Mena, Araya, Profesional Administrativo de la Unidad de Investigación y Control de la Calidad de la Dirección de Gestión Humana, trasladó el correo electrónico de 29 de abril de 2021, remitió lo siguiente:</w:t>
      </w:r>
    </w:p>
    <w:p w14:paraId="54CC25A0" w14:textId="77777777" w:rsidR="00EF57CF" w:rsidRPr="00886CEB" w:rsidRDefault="00EF57CF" w:rsidP="00EF57CF">
      <w:pPr>
        <w:suppressAutoHyphens/>
        <w:autoSpaceDE w:val="0"/>
        <w:autoSpaceDN w:val="0"/>
        <w:adjustRightInd w:val="0"/>
        <w:spacing w:after="0" w:line="240" w:lineRule="auto"/>
        <w:jc w:val="both"/>
        <w:rPr>
          <w:rFonts w:ascii="Times New Roman" w:eastAsia="Times New Roman" w:hAnsi="Times New Roman" w:cs="Times New Roman"/>
          <w:sz w:val="26"/>
          <w:szCs w:val="26"/>
          <w:lang w:val="es-ES" w:eastAsia="ar-SA"/>
        </w:rPr>
      </w:pPr>
    </w:p>
    <w:p w14:paraId="36CC4557"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rPr>
      </w:pPr>
      <w:r w:rsidRPr="00886CEB">
        <w:rPr>
          <w:rFonts w:ascii="Times New Roman" w:eastAsia="Times New Roman" w:hAnsi="Times New Roman" w:cs="Times New Roman"/>
          <w:sz w:val="26"/>
          <w:szCs w:val="26"/>
          <w:lang w:val="es-ES" w:eastAsia="ar-SA"/>
        </w:rPr>
        <w:t>“De conformidad con la solicitud de datos realizada y según la indicación de doña Roxana Arrieta Meléndez, remito la siguiente información la cual corresponde a lo almacenado en la base de datos de la Dirección de Gestión Humana al 28 de abril de 2021.</w:t>
      </w:r>
    </w:p>
    <w:p w14:paraId="558CE8C1" w14:textId="77777777" w:rsidR="00EF57CF" w:rsidRPr="00886CEB" w:rsidRDefault="00EF57CF" w:rsidP="00EF57CF">
      <w:pPr>
        <w:suppressAutoHyphens/>
        <w:spacing w:after="0" w:line="240" w:lineRule="auto"/>
        <w:rPr>
          <w:rFonts w:ascii="Times New Roman" w:eastAsia="Times New Roman" w:hAnsi="Times New Roman" w:cs="Times New Roman"/>
          <w:sz w:val="26"/>
          <w:szCs w:val="26"/>
          <w:lang w:val="es-ES" w:eastAsia="ar-SA"/>
        </w:rPr>
      </w:pPr>
    </w:p>
    <w:tbl>
      <w:tblPr>
        <w:tblW w:w="0" w:type="auto"/>
        <w:tblInd w:w="-3" w:type="dxa"/>
        <w:tblCellMar>
          <w:left w:w="0" w:type="dxa"/>
          <w:right w:w="0" w:type="dxa"/>
        </w:tblCellMar>
        <w:tblLook w:val="04A0" w:firstRow="1" w:lastRow="0" w:firstColumn="1" w:lastColumn="0" w:noHBand="0" w:noVBand="1"/>
      </w:tblPr>
      <w:tblGrid>
        <w:gridCol w:w="2714"/>
        <w:gridCol w:w="4177"/>
        <w:gridCol w:w="2760"/>
      </w:tblGrid>
      <w:tr w:rsidR="00EF57CF" w:rsidRPr="00886CEB" w14:paraId="1BFE8035" w14:textId="77777777" w:rsidTr="004528B6">
        <w:trPr>
          <w:trHeight w:val="747"/>
        </w:trPr>
        <w:tc>
          <w:tcPr>
            <w:tcW w:w="0" w:type="auto"/>
            <w:tcBorders>
              <w:top w:val="single" w:sz="8" w:space="0" w:color="auto"/>
              <w:left w:val="single" w:sz="8" w:space="0" w:color="auto"/>
              <w:bottom w:val="single" w:sz="8" w:space="0" w:color="auto"/>
              <w:right w:val="single" w:sz="8" w:space="0" w:color="auto"/>
            </w:tcBorders>
            <w:shd w:val="clear" w:color="auto" w:fill="4472C4"/>
            <w:tcMar>
              <w:top w:w="0" w:type="dxa"/>
              <w:left w:w="70" w:type="dxa"/>
              <w:bottom w:w="0" w:type="dxa"/>
              <w:right w:w="70" w:type="dxa"/>
            </w:tcMar>
            <w:hideMark/>
          </w:tcPr>
          <w:p w14:paraId="19CA1F43" w14:textId="77777777" w:rsidR="00EF57CF" w:rsidRPr="00886CEB" w:rsidRDefault="00EF57CF" w:rsidP="004F270D">
            <w:pPr>
              <w:suppressAutoHyphens/>
              <w:spacing w:after="0" w:line="240" w:lineRule="auto"/>
              <w:jc w:val="center"/>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Categorías de puestos</w:t>
            </w:r>
          </w:p>
        </w:tc>
        <w:tc>
          <w:tcPr>
            <w:tcW w:w="0" w:type="auto"/>
            <w:tcBorders>
              <w:top w:val="single" w:sz="8" w:space="0" w:color="auto"/>
              <w:left w:val="nil"/>
              <w:bottom w:val="single" w:sz="8" w:space="0" w:color="auto"/>
              <w:right w:val="single" w:sz="8" w:space="0" w:color="auto"/>
            </w:tcBorders>
            <w:shd w:val="clear" w:color="auto" w:fill="4472C4"/>
            <w:tcMar>
              <w:top w:w="0" w:type="dxa"/>
              <w:left w:w="70" w:type="dxa"/>
              <w:bottom w:w="0" w:type="dxa"/>
              <w:right w:w="70" w:type="dxa"/>
            </w:tcMar>
            <w:hideMark/>
          </w:tcPr>
          <w:p w14:paraId="7A1E1D6F" w14:textId="77777777" w:rsidR="00EF57CF" w:rsidRPr="00886CEB" w:rsidRDefault="00EF57CF" w:rsidP="004F270D">
            <w:pPr>
              <w:suppressAutoHyphens/>
              <w:spacing w:after="0" w:line="240" w:lineRule="auto"/>
              <w:jc w:val="center"/>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 xml:space="preserve">Cantidad de personas activas al 28 de abril de 2021 que ocupan las clases de puesto </w:t>
            </w:r>
          </w:p>
        </w:tc>
        <w:tc>
          <w:tcPr>
            <w:tcW w:w="0" w:type="auto"/>
            <w:tcBorders>
              <w:top w:val="single" w:sz="8" w:space="0" w:color="auto"/>
              <w:left w:val="nil"/>
              <w:bottom w:val="single" w:sz="8" w:space="0" w:color="auto"/>
              <w:right w:val="single" w:sz="8" w:space="0" w:color="auto"/>
            </w:tcBorders>
            <w:shd w:val="clear" w:color="auto" w:fill="4472C4"/>
            <w:tcMar>
              <w:top w:w="0" w:type="dxa"/>
              <w:left w:w="70" w:type="dxa"/>
              <w:bottom w:w="0" w:type="dxa"/>
              <w:right w:w="70" w:type="dxa"/>
            </w:tcMar>
            <w:hideMark/>
          </w:tcPr>
          <w:p w14:paraId="705C3231" w14:textId="77777777" w:rsidR="00EF57CF" w:rsidRPr="00886CEB" w:rsidRDefault="00EF57CF" w:rsidP="004F270D">
            <w:pPr>
              <w:suppressAutoHyphens/>
              <w:spacing w:after="0" w:line="240" w:lineRule="auto"/>
              <w:jc w:val="center"/>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Cantidad de plazas según la Relación de puestos</w:t>
            </w:r>
          </w:p>
        </w:tc>
      </w:tr>
      <w:tr w:rsidR="00EF57CF" w:rsidRPr="00886CEB" w14:paraId="1E42F7DD" w14:textId="77777777" w:rsidTr="004528B6">
        <w:trPr>
          <w:trHeight w:val="373"/>
        </w:trPr>
        <w:tc>
          <w:tcPr>
            <w:tcW w:w="0" w:type="auto"/>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bottom"/>
            <w:hideMark/>
          </w:tcPr>
          <w:p w14:paraId="0D893538" w14:textId="77777777" w:rsidR="00EF57CF" w:rsidRPr="00886CEB" w:rsidRDefault="00EF57CF" w:rsidP="004F270D">
            <w:pPr>
              <w:suppressAutoHyphens/>
              <w:spacing w:after="0" w:line="240" w:lineRule="auto"/>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sz w:val="26"/>
                <w:szCs w:val="26"/>
                <w:lang w:val="es-ES" w:eastAsia="es-CR"/>
              </w:rPr>
              <w:lastRenderedPageBreak/>
              <w:t>Guardas, choferes, conserjes</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63CB4F27"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629</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09A872A6"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583</w:t>
            </w:r>
          </w:p>
        </w:tc>
      </w:tr>
      <w:tr w:rsidR="00EF57CF" w:rsidRPr="00886CEB" w14:paraId="1A7E80D5" w14:textId="77777777" w:rsidTr="004528B6">
        <w:trPr>
          <w:trHeight w:val="747"/>
        </w:trPr>
        <w:tc>
          <w:tcPr>
            <w:tcW w:w="0" w:type="auto"/>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bottom"/>
            <w:hideMark/>
          </w:tcPr>
          <w:p w14:paraId="0A2B9D8C" w14:textId="77777777" w:rsidR="00EF57CF" w:rsidRPr="00886CEB" w:rsidRDefault="00EF57CF" w:rsidP="004F270D">
            <w:pPr>
              <w:suppressAutoHyphens/>
              <w:spacing w:after="0" w:line="240" w:lineRule="auto"/>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sz w:val="26"/>
                <w:szCs w:val="26"/>
                <w:lang w:val="es-ES" w:eastAsia="es-CR"/>
              </w:rPr>
              <w:t>Investigadores, custodios de detenidos.</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4647C98B"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1805</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4B0BB07D"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1810</w:t>
            </w:r>
          </w:p>
        </w:tc>
      </w:tr>
      <w:tr w:rsidR="00EF57CF" w:rsidRPr="00886CEB" w14:paraId="6A2A4C2E" w14:textId="77777777" w:rsidTr="004528B6">
        <w:trPr>
          <w:trHeight w:val="747"/>
        </w:trPr>
        <w:tc>
          <w:tcPr>
            <w:tcW w:w="0" w:type="auto"/>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bottom"/>
            <w:hideMark/>
          </w:tcPr>
          <w:p w14:paraId="0221218E" w14:textId="77777777" w:rsidR="00EF57CF" w:rsidRPr="00886CEB" w:rsidRDefault="00EF57CF" w:rsidP="004F270D">
            <w:pPr>
              <w:suppressAutoHyphens/>
              <w:spacing w:after="0" w:line="240" w:lineRule="auto"/>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sz w:val="26"/>
                <w:szCs w:val="26"/>
                <w:lang w:val="es-ES" w:eastAsia="es-CR"/>
              </w:rPr>
              <w:t>Secretarias o asistentes administrativos.</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4C110493"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484</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43E959E4"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478</w:t>
            </w:r>
          </w:p>
        </w:tc>
      </w:tr>
      <w:tr w:rsidR="00EF57CF" w:rsidRPr="00886CEB" w14:paraId="40C6C1C1" w14:textId="77777777" w:rsidTr="004528B6">
        <w:trPr>
          <w:trHeight w:val="373"/>
        </w:trPr>
        <w:tc>
          <w:tcPr>
            <w:tcW w:w="0" w:type="auto"/>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bottom"/>
            <w:hideMark/>
          </w:tcPr>
          <w:p w14:paraId="73B95E12" w14:textId="77777777" w:rsidR="00EF57CF" w:rsidRPr="00886CEB" w:rsidRDefault="00EF57CF" w:rsidP="004F270D">
            <w:pPr>
              <w:suppressAutoHyphens/>
              <w:spacing w:after="0" w:line="240" w:lineRule="auto"/>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sz w:val="26"/>
                <w:szCs w:val="26"/>
                <w:lang w:val="es-ES" w:eastAsia="es-CR"/>
              </w:rPr>
              <w:t>Técnicos administrativos.</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295ABED1"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306</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19572F85"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291</w:t>
            </w:r>
          </w:p>
        </w:tc>
      </w:tr>
      <w:tr w:rsidR="00EF57CF" w:rsidRPr="00886CEB" w14:paraId="76DD2043" w14:textId="77777777" w:rsidTr="004528B6">
        <w:trPr>
          <w:trHeight w:val="373"/>
        </w:trPr>
        <w:tc>
          <w:tcPr>
            <w:tcW w:w="0" w:type="auto"/>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bottom"/>
            <w:hideMark/>
          </w:tcPr>
          <w:p w14:paraId="2403EB0C" w14:textId="77777777" w:rsidR="00EF57CF" w:rsidRPr="00886CEB" w:rsidRDefault="00EF57CF" w:rsidP="004F270D">
            <w:pPr>
              <w:suppressAutoHyphens/>
              <w:spacing w:after="0" w:line="240" w:lineRule="auto"/>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sz w:val="26"/>
                <w:szCs w:val="26"/>
                <w:lang w:val="es-ES" w:eastAsia="es-CR"/>
              </w:rPr>
              <w:t>Técnicos judiciales</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455CEE58"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2612</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19308EA5"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2575</w:t>
            </w:r>
          </w:p>
        </w:tc>
      </w:tr>
      <w:tr w:rsidR="00EF57CF" w:rsidRPr="00886CEB" w14:paraId="282E7502" w14:textId="77777777" w:rsidTr="004528B6">
        <w:trPr>
          <w:trHeight w:val="388"/>
        </w:trPr>
        <w:tc>
          <w:tcPr>
            <w:tcW w:w="0" w:type="auto"/>
            <w:tcBorders>
              <w:top w:val="nil"/>
              <w:left w:val="single" w:sz="8" w:space="0" w:color="auto"/>
              <w:bottom w:val="single" w:sz="8" w:space="0" w:color="8EA9DB"/>
              <w:right w:val="single" w:sz="8" w:space="0" w:color="auto"/>
            </w:tcBorders>
            <w:shd w:val="clear" w:color="auto" w:fill="FFFFFF"/>
            <w:tcMar>
              <w:top w:w="0" w:type="dxa"/>
              <w:left w:w="70" w:type="dxa"/>
              <w:bottom w:w="0" w:type="dxa"/>
              <w:right w:w="70" w:type="dxa"/>
            </w:tcMar>
            <w:vAlign w:val="bottom"/>
            <w:hideMark/>
          </w:tcPr>
          <w:p w14:paraId="1C2B9FC1" w14:textId="77777777" w:rsidR="00EF57CF" w:rsidRPr="00886CEB" w:rsidRDefault="00EF57CF" w:rsidP="004F270D">
            <w:pPr>
              <w:suppressAutoHyphens/>
              <w:spacing w:after="0" w:line="240" w:lineRule="auto"/>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sz w:val="26"/>
                <w:szCs w:val="26"/>
                <w:lang w:val="es-ES" w:eastAsia="es-CR"/>
              </w:rPr>
              <w:t>Puestos profesionales</w:t>
            </w:r>
          </w:p>
        </w:tc>
        <w:tc>
          <w:tcPr>
            <w:tcW w:w="0" w:type="auto"/>
            <w:tcBorders>
              <w:top w:val="nil"/>
              <w:left w:val="nil"/>
              <w:bottom w:val="single" w:sz="8" w:space="0" w:color="8EA9DB"/>
              <w:right w:val="single" w:sz="8" w:space="0" w:color="auto"/>
            </w:tcBorders>
            <w:shd w:val="clear" w:color="auto" w:fill="FFFFFF"/>
            <w:tcMar>
              <w:top w:w="0" w:type="dxa"/>
              <w:left w:w="70" w:type="dxa"/>
              <w:bottom w:w="0" w:type="dxa"/>
              <w:right w:w="70" w:type="dxa"/>
            </w:tcMar>
            <w:vAlign w:val="bottom"/>
            <w:hideMark/>
          </w:tcPr>
          <w:p w14:paraId="509C7ADD"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5008</w:t>
            </w:r>
          </w:p>
        </w:tc>
        <w:tc>
          <w:tcPr>
            <w:tcW w:w="0" w:type="auto"/>
            <w:tcBorders>
              <w:top w:val="nil"/>
              <w:left w:val="nil"/>
              <w:bottom w:val="single" w:sz="8" w:space="0" w:color="8EA9DB"/>
              <w:right w:val="single" w:sz="8" w:space="0" w:color="auto"/>
            </w:tcBorders>
            <w:shd w:val="clear" w:color="auto" w:fill="FFFFFF"/>
            <w:tcMar>
              <w:top w:w="0" w:type="dxa"/>
              <w:left w:w="70" w:type="dxa"/>
              <w:bottom w:w="0" w:type="dxa"/>
              <w:right w:w="70" w:type="dxa"/>
            </w:tcMar>
            <w:vAlign w:val="bottom"/>
            <w:hideMark/>
          </w:tcPr>
          <w:p w14:paraId="1E2262A1"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4834</w:t>
            </w:r>
          </w:p>
        </w:tc>
      </w:tr>
      <w:tr w:rsidR="00EF57CF" w:rsidRPr="00886CEB" w14:paraId="6DE98B09" w14:textId="77777777" w:rsidTr="004528B6">
        <w:trPr>
          <w:trHeight w:val="313"/>
        </w:trPr>
        <w:tc>
          <w:tcPr>
            <w:tcW w:w="0" w:type="auto"/>
            <w:tcBorders>
              <w:top w:val="nil"/>
              <w:left w:val="single" w:sz="8" w:space="0" w:color="auto"/>
              <w:bottom w:val="single" w:sz="8" w:space="0" w:color="auto"/>
              <w:right w:val="nil"/>
            </w:tcBorders>
            <w:shd w:val="clear" w:color="auto" w:fill="FFFFFF"/>
            <w:tcMar>
              <w:top w:w="0" w:type="dxa"/>
              <w:left w:w="70" w:type="dxa"/>
              <w:bottom w:w="0" w:type="dxa"/>
              <w:right w:w="70" w:type="dxa"/>
            </w:tcMar>
            <w:vAlign w:val="bottom"/>
            <w:hideMark/>
          </w:tcPr>
          <w:p w14:paraId="194BA240" w14:textId="77777777" w:rsidR="00EF57CF" w:rsidRPr="00886CEB" w:rsidRDefault="00EF57CF" w:rsidP="004F270D">
            <w:pPr>
              <w:suppressAutoHyphens/>
              <w:spacing w:after="0" w:line="240" w:lineRule="auto"/>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Total</w:t>
            </w:r>
          </w:p>
        </w:tc>
        <w:tc>
          <w:tcPr>
            <w:tcW w:w="0" w:type="auto"/>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bottom"/>
            <w:hideMark/>
          </w:tcPr>
          <w:p w14:paraId="059C2089"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10844</w:t>
            </w:r>
          </w:p>
        </w:tc>
        <w:tc>
          <w:tcPr>
            <w:tcW w:w="0" w:type="auto"/>
            <w:tcBorders>
              <w:top w:val="nil"/>
              <w:left w:val="nil"/>
              <w:bottom w:val="single" w:sz="8" w:space="0" w:color="auto"/>
              <w:right w:val="single" w:sz="8" w:space="0" w:color="auto"/>
            </w:tcBorders>
            <w:shd w:val="clear" w:color="auto" w:fill="FFFFFF"/>
            <w:tcMar>
              <w:top w:w="0" w:type="dxa"/>
              <w:left w:w="70" w:type="dxa"/>
              <w:bottom w:w="0" w:type="dxa"/>
              <w:right w:w="70" w:type="dxa"/>
            </w:tcMar>
            <w:vAlign w:val="bottom"/>
            <w:hideMark/>
          </w:tcPr>
          <w:p w14:paraId="5198CC7C" w14:textId="77777777" w:rsidR="00EF57CF" w:rsidRPr="00886CEB" w:rsidRDefault="00EF57CF" w:rsidP="004F270D">
            <w:pPr>
              <w:suppressAutoHyphens/>
              <w:spacing w:after="0" w:line="240" w:lineRule="auto"/>
              <w:jc w:val="right"/>
              <w:rPr>
                <w:rFonts w:ascii="Times New Roman" w:eastAsia="Times New Roman" w:hAnsi="Times New Roman" w:cs="Times New Roman"/>
                <w:b/>
                <w:bCs/>
                <w:sz w:val="26"/>
                <w:szCs w:val="26"/>
                <w:lang w:val="es-ES" w:eastAsia="es-CR"/>
              </w:rPr>
            </w:pPr>
            <w:r w:rsidRPr="00886CEB">
              <w:rPr>
                <w:rFonts w:ascii="Times New Roman" w:eastAsia="Times New Roman" w:hAnsi="Times New Roman" w:cs="Times New Roman"/>
                <w:b/>
                <w:bCs/>
                <w:sz w:val="26"/>
                <w:szCs w:val="26"/>
                <w:lang w:val="es-ES" w:eastAsia="es-CR"/>
              </w:rPr>
              <w:t>10571</w:t>
            </w:r>
          </w:p>
        </w:tc>
      </w:tr>
    </w:tbl>
    <w:p w14:paraId="3387B7E1" w14:textId="77777777" w:rsidR="00EF57CF" w:rsidRPr="00886CEB" w:rsidRDefault="00EF57CF" w:rsidP="00EF57CF">
      <w:pPr>
        <w:suppressAutoHyphens/>
        <w:spacing w:after="0" w:line="240" w:lineRule="auto"/>
        <w:rPr>
          <w:rFonts w:ascii="Times New Roman" w:eastAsia="Calibri" w:hAnsi="Times New Roman" w:cs="Times New Roman"/>
          <w:sz w:val="26"/>
          <w:szCs w:val="26"/>
          <w:lang w:val="es-ES"/>
        </w:rPr>
      </w:pPr>
    </w:p>
    <w:p w14:paraId="78A603E2"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La tabla anterior se compone de la siguiente información.</w:t>
      </w:r>
    </w:p>
    <w:p w14:paraId="13EFEA71"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ar-SA"/>
        </w:rPr>
      </w:pPr>
    </w:p>
    <w:p w14:paraId="7601B5E8"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b/>
          <w:bCs/>
          <w:sz w:val="26"/>
          <w:szCs w:val="26"/>
          <w:lang w:val="es-ES" w:eastAsia="es-CR"/>
        </w:rPr>
        <w:t xml:space="preserve">Categorías de puestos: </w:t>
      </w:r>
      <w:r w:rsidRPr="00886CEB">
        <w:rPr>
          <w:rFonts w:ascii="Times New Roman" w:eastAsia="Times New Roman" w:hAnsi="Times New Roman" w:cs="Times New Roman"/>
          <w:sz w:val="26"/>
          <w:szCs w:val="26"/>
          <w:lang w:val="es-ES" w:eastAsia="es-CR"/>
        </w:rPr>
        <w:t>contiene las categorías para el análisis de la información.</w:t>
      </w:r>
    </w:p>
    <w:p w14:paraId="3AAC82B6"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es-CR"/>
        </w:rPr>
      </w:pPr>
    </w:p>
    <w:p w14:paraId="071F5CA8"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b/>
          <w:bCs/>
          <w:sz w:val="26"/>
          <w:szCs w:val="26"/>
          <w:lang w:val="es-ES" w:eastAsia="es-CR"/>
        </w:rPr>
        <w:t xml:space="preserve">Cantidad de personas activas al 28 de abril de 2021 que ocupan las clases de puesto: </w:t>
      </w:r>
      <w:r w:rsidRPr="00886CEB">
        <w:rPr>
          <w:rFonts w:ascii="Times New Roman" w:eastAsia="Times New Roman" w:hAnsi="Times New Roman" w:cs="Times New Roman"/>
          <w:sz w:val="26"/>
          <w:szCs w:val="26"/>
          <w:lang w:val="es-ES" w:eastAsia="es-CR"/>
        </w:rPr>
        <w:t>Conteo de personas que ocupan a hoy los puestos para estudio.</w:t>
      </w:r>
    </w:p>
    <w:p w14:paraId="59325905"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es-CR"/>
        </w:rPr>
      </w:pPr>
    </w:p>
    <w:p w14:paraId="7B8DF34C"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b/>
          <w:bCs/>
          <w:sz w:val="26"/>
          <w:szCs w:val="26"/>
          <w:lang w:val="es-ES" w:eastAsia="es-CR"/>
        </w:rPr>
        <w:t xml:space="preserve">Cantidad de plazas según la Relación de puestos: </w:t>
      </w:r>
      <w:r w:rsidRPr="00886CEB">
        <w:rPr>
          <w:rFonts w:ascii="Times New Roman" w:eastAsia="Times New Roman" w:hAnsi="Times New Roman" w:cs="Times New Roman"/>
          <w:sz w:val="26"/>
          <w:szCs w:val="26"/>
          <w:lang w:val="es-ES" w:eastAsia="es-CR"/>
        </w:rPr>
        <w:t>cantidad de puestos contenidos en la relación de puestos que refieren a las categorías para estudio.</w:t>
      </w:r>
    </w:p>
    <w:p w14:paraId="0FBBACB0"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rPr>
      </w:pPr>
    </w:p>
    <w:p w14:paraId="2DDC9C01"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Se remite tanto la cantidad de personas activas como la cantidad de plazas contenidas en la relación de puestos, ya que existe diferencia entre ambos puntos de análisis, esto producto de las sustituciones.</w:t>
      </w:r>
    </w:p>
    <w:p w14:paraId="03599175"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es-CR"/>
        </w:rPr>
      </w:pPr>
    </w:p>
    <w:p w14:paraId="1E2DE6BC"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es-CR"/>
        </w:rPr>
      </w:pPr>
      <w:r w:rsidRPr="00886CEB">
        <w:rPr>
          <w:rFonts w:ascii="Times New Roman" w:eastAsia="Times New Roman" w:hAnsi="Times New Roman" w:cs="Times New Roman"/>
          <w:sz w:val="26"/>
          <w:szCs w:val="26"/>
          <w:lang w:val="es-ES" w:eastAsia="es-CR"/>
        </w:rPr>
        <w:t>Quedo atento a cualquier consulta o dato adicional.</w:t>
      </w:r>
    </w:p>
    <w:p w14:paraId="61F97ABC"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es-CR"/>
        </w:rPr>
      </w:pPr>
    </w:p>
    <w:p w14:paraId="3AE6603B" w14:textId="77777777" w:rsidR="00EF57CF" w:rsidRPr="00886CEB" w:rsidRDefault="00EF57CF" w:rsidP="00EF57CF">
      <w:pPr>
        <w:suppressAutoHyphens/>
        <w:spacing w:after="0" w:line="240" w:lineRule="auto"/>
        <w:ind w:left="851" w:right="851" w:firstLine="709"/>
        <w:jc w:val="both"/>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es-CR"/>
        </w:rPr>
        <w:t>Agradezco la atención y ayuda brindadas.</w:t>
      </w:r>
      <w:r w:rsidRPr="00886CEB">
        <w:rPr>
          <w:rFonts w:ascii="Times New Roman" w:eastAsia="Times New Roman" w:hAnsi="Times New Roman" w:cs="Times New Roman"/>
          <w:sz w:val="26"/>
          <w:szCs w:val="26"/>
          <w:lang w:val="es-ES" w:eastAsia="ar-SA"/>
        </w:rPr>
        <w:t>”</w:t>
      </w:r>
    </w:p>
    <w:p w14:paraId="33067A6C" w14:textId="77777777" w:rsidR="00EF57CF" w:rsidRPr="00886CEB" w:rsidRDefault="00EF57CF" w:rsidP="00EF57CF">
      <w:pPr>
        <w:suppressAutoHyphens/>
        <w:spacing w:after="0" w:line="240" w:lineRule="auto"/>
        <w:rPr>
          <w:rFonts w:ascii="Times New Roman" w:eastAsia="Times New Roman" w:hAnsi="Times New Roman" w:cs="Times New Roman"/>
          <w:sz w:val="26"/>
          <w:szCs w:val="26"/>
          <w:lang w:val="es-ES" w:eastAsia="ar-SA"/>
        </w:rPr>
      </w:pPr>
    </w:p>
    <w:p w14:paraId="1A93438C" w14:textId="77777777" w:rsidR="00EF57CF" w:rsidRPr="00886CEB" w:rsidRDefault="00EF57CF" w:rsidP="00EF57CF">
      <w:pPr>
        <w:suppressAutoHyphens/>
        <w:spacing w:after="0" w:line="240" w:lineRule="auto"/>
        <w:rPr>
          <w:rFonts w:ascii="Times New Roman" w:eastAsia="Times New Roman" w:hAnsi="Times New Roman" w:cs="Times New Roman"/>
          <w:sz w:val="26"/>
          <w:szCs w:val="26"/>
          <w:lang w:val="es-ES" w:eastAsia="ar-SA"/>
        </w:rPr>
      </w:pPr>
    </w:p>
    <w:p w14:paraId="1E93222F" w14:textId="77777777" w:rsidR="00EF57CF" w:rsidRPr="00886CEB" w:rsidRDefault="00EF57CF" w:rsidP="00EF57CF">
      <w:pPr>
        <w:suppressAutoHyphens/>
        <w:autoSpaceDE w:val="0"/>
        <w:autoSpaceDN w:val="0"/>
        <w:adjustRightInd w:val="0"/>
        <w:spacing w:after="0" w:line="240" w:lineRule="auto"/>
        <w:jc w:val="center"/>
        <w:rPr>
          <w:rFonts w:ascii="Times New Roman" w:eastAsia="Times New Roman" w:hAnsi="Times New Roman" w:cs="Times New Roman"/>
          <w:color w:val="000000"/>
          <w:sz w:val="26"/>
          <w:szCs w:val="26"/>
          <w:lang w:val="es-ES" w:eastAsia="ar-SA"/>
        </w:rPr>
      </w:pPr>
      <w:r w:rsidRPr="00886CEB">
        <w:rPr>
          <w:rFonts w:ascii="Times New Roman" w:eastAsia="Times New Roman" w:hAnsi="Times New Roman" w:cs="Times New Roman"/>
          <w:color w:val="000000"/>
          <w:sz w:val="26"/>
          <w:szCs w:val="26"/>
          <w:lang w:val="es-ES" w:eastAsia="ar-SA"/>
        </w:rPr>
        <w:t xml:space="preserve">- 0 -  </w:t>
      </w:r>
    </w:p>
    <w:p w14:paraId="0D933421" w14:textId="77777777" w:rsidR="00EF57CF" w:rsidRPr="00886CEB" w:rsidRDefault="00EF57CF" w:rsidP="00EF57CF">
      <w:pPr>
        <w:suppressAutoHyphens/>
        <w:spacing w:after="0" w:line="240" w:lineRule="auto"/>
        <w:rPr>
          <w:rFonts w:ascii="Times New Roman" w:eastAsia="Times New Roman" w:hAnsi="Times New Roman" w:cs="Times New Roman"/>
          <w:sz w:val="26"/>
          <w:szCs w:val="26"/>
          <w:lang w:val="es-ES" w:eastAsia="ar-SA"/>
        </w:rPr>
      </w:pPr>
    </w:p>
    <w:p w14:paraId="63437B4D" w14:textId="77777777" w:rsidR="00EF57CF" w:rsidRPr="00886CEB" w:rsidRDefault="00EF57CF" w:rsidP="00EF57CF">
      <w:pPr>
        <w:shd w:val="clear" w:color="auto" w:fill="FFFFFF"/>
        <w:spacing w:after="0" w:line="240" w:lineRule="auto"/>
        <w:ind w:firstLine="709"/>
        <w:jc w:val="both"/>
        <w:rPr>
          <w:rFonts w:ascii="Times New Roman" w:eastAsia="Times New Roman" w:hAnsi="Times New Roman" w:cs="Times New Roman"/>
          <w:color w:val="201F1E"/>
          <w:sz w:val="26"/>
          <w:szCs w:val="26"/>
          <w:bdr w:val="none" w:sz="0" w:space="0" w:color="auto" w:frame="1"/>
          <w:lang w:val="es-MX" w:eastAsia="es-MX"/>
        </w:rPr>
      </w:pPr>
      <w:r w:rsidRPr="00886CEB">
        <w:rPr>
          <w:rFonts w:ascii="Times New Roman" w:eastAsia="Times New Roman" w:hAnsi="Times New Roman" w:cs="Times New Roman"/>
          <w:b/>
          <w:bCs/>
          <w:color w:val="201F1E"/>
          <w:sz w:val="26"/>
          <w:szCs w:val="26"/>
          <w:bdr w:val="none" w:sz="0" w:space="0" w:color="auto" w:frame="1"/>
          <w:lang w:val="es-MX" w:eastAsia="es-MX"/>
        </w:rPr>
        <w:t>Antecedente de interés</w:t>
      </w:r>
      <w:r w:rsidRPr="00886CEB">
        <w:rPr>
          <w:rFonts w:ascii="Times New Roman" w:eastAsia="Times New Roman" w:hAnsi="Times New Roman" w:cs="Times New Roman"/>
          <w:color w:val="201F1E"/>
          <w:sz w:val="26"/>
          <w:szCs w:val="26"/>
          <w:bdr w:val="none" w:sz="0" w:space="0" w:color="auto" w:frame="1"/>
          <w:lang w:val="es-MX" w:eastAsia="es-MX"/>
        </w:rPr>
        <w:t>:</w:t>
      </w:r>
    </w:p>
    <w:p w14:paraId="2EDE2459" w14:textId="77777777" w:rsidR="00EF57CF" w:rsidRPr="00886CEB" w:rsidRDefault="00EF57CF" w:rsidP="00EF57CF">
      <w:pPr>
        <w:shd w:val="clear" w:color="auto" w:fill="FFFFFF"/>
        <w:spacing w:after="0" w:line="240" w:lineRule="auto"/>
        <w:ind w:firstLine="709"/>
        <w:jc w:val="both"/>
        <w:rPr>
          <w:rFonts w:ascii="Times New Roman" w:eastAsia="Times New Roman" w:hAnsi="Times New Roman" w:cs="Times New Roman"/>
          <w:color w:val="201F1E"/>
          <w:sz w:val="26"/>
          <w:szCs w:val="26"/>
          <w:bdr w:val="none" w:sz="0" w:space="0" w:color="auto" w:frame="1"/>
          <w:lang w:val="es-MX" w:eastAsia="es-MX"/>
        </w:rPr>
      </w:pPr>
    </w:p>
    <w:p w14:paraId="1B2528FA" w14:textId="77777777" w:rsidR="00EF57CF" w:rsidRPr="00886CEB" w:rsidRDefault="00EF57CF" w:rsidP="00EF57CF">
      <w:pPr>
        <w:shd w:val="clear" w:color="auto" w:fill="FFFFFF"/>
        <w:spacing w:after="0" w:line="240" w:lineRule="auto"/>
        <w:ind w:firstLine="709"/>
        <w:jc w:val="both"/>
        <w:rPr>
          <w:rFonts w:ascii="Times New Roman" w:eastAsia="Times New Roman" w:hAnsi="Times New Roman" w:cs="Times New Roman"/>
          <w:color w:val="201F1E"/>
          <w:sz w:val="26"/>
          <w:szCs w:val="26"/>
          <w:bdr w:val="none" w:sz="0" w:space="0" w:color="auto" w:frame="1"/>
          <w:lang w:val="es-MX" w:eastAsia="es-MX"/>
        </w:rPr>
      </w:pPr>
      <w:r w:rsidRPr="00886CEB">
        <w:rPr>
          <w:rFonts w:ascii="Times New Roman" w:eastAsia="Times New Roman" w:hAnsi="Times New Roman" w:cs="Times New Roman"/>
          <w:color w:val="201F1E"/>
          <w:sz w:val="26"/>
          <w:szCs w:val="26"/>
          <w:bdr w:val="none" w:sz="0" w:space="0" w:color="auto" w:frame="1"/>
          <w:lang w:val="es-MX" w:eastAsia="es-MX"/>
        </w:rPr>
        <w:lastRenderedPageBreak/>
        <w:t>En sesión No. 8-2021 celebrada el 28 de enero de 2021, artículo XXXVIII</w:t>
      </w:r>
      <w:r w:rsidRPr="00886CEB">
        <w:rPr>
          <w:rFonts w:ascii="Times New Roman" w:eastAsia="Times New Roman" w:hAnsi="Times New Roman" w:cs="Times New Roman"/>
          <w:sz w:val="26"/>
          <w:szCs w:val="26"/>
          <w:lang w:val="es-ES" w:eastAsia="ar-SA"/>
        </w:rPr>
        <w:t xml:space="preserve">, </w:t>
      </w:r>
      <w:r w:rsidRPr="00886CEB">
        <w:rPr>
          <w:rFonts w:ascii="Times New Roman" w:eastAsia="Times New Roman" w:hAnsi="Times New Roman" w:cs="Times New Roman"/>
          <w:color w:val="201F1E"/>
          <w:sz w:val="26"/>
          <w:szCs w:val="26"/>
          <w:bdr w:val="none" w:sz="0" w:space="0" w:color="auto" w:frame="1"/>
          <w:lang w:val="es-MX" w:eastAsia="es-MX"/>
        </w:rPr>
        <w:t>aprobó la recomendación realizada por la Dirección de Gestión Humana, de la siguiente manera:</w:t>
      </w:r>
    </w:p>
    <w:p w14:paraId="7BA1AC99" w14:textId="77777777" w:rsidR="00EF57CF" w:rsidRPr="00886CEB" w:rsidRDefault="00EF57CF" w:rsidP="00EF57CF">
      <w:pPr>
        <w:shd w:val="clear" w:color="auto" w:fill="FFFFFF"/>
        <w:spacing w:after="0" w:line="240" w:lineRule="auto"/>
        <w:ind w:left="851" w:right="851" w:firstLine="709"/>
        <w:jc w:val="both"/>
        <w:rPr>
          <w:rFonts w:ascii="Times New Roman" w:eastAsia="Times New Roman" w:hAnsi="Times New Roman" w:cs="Times New Roman"/>
          <w:color w:val="201F1E"/>
          <w:sz w:val="26"/>
          <w:szCs w:val="26"/>
          <w:bdr w:val="none" w:sz="0" w:space="0" w:color="auto" w:frame="1"/>
          <w:lang w:val="es-MX" w:eastAsia="es-MX"/>
        </w:rPr>
      </w:pPr>
    </w:p>
    <w:p w14:paraId="0467691D" w14:textId="77777777" w:rsidR="00EF57CF" w:rsidRPr="00886CEB" w:rsidRDefault="00EF57CF" w:rsidP="00F962B6">
      <w:pPr>
        <w:numPr>
          <w:ilvl w:val="0"/>
          <w:numId w:val="99"/>
        </w:numPr>
        <w:shd w:val="clear" w:color="auto" w:fill="FFFFFF"/>
        <w:suppressAutoHyphens/>
        <w:spacing w:after="0" w:line="240" w:lineRule="auto"/>
        <w:ind w:left="851" w:right="851" w:firstLine="709"/>
        <w:jc w:val="both"/>
        <w:rPr>
          <w:rFonts w:ascii="Times New Roman" w:eastAsia="Calibri" w:hAnsi="Times New Roman" w:cs="Times New Roman"/>
          <w:noProof/>
          <w:sz w:val="26"/>
          <w:szCs w:val="26"/>
          <w:lang w:val="es-MX" w:eastAsia="es-MX"/>
        </w:rPr>
      </w:pPr>
      <w:r w:rsidRPr="00886CEB">
        <w:rPr>
          <w:rFonts w:ascii="Times New Roman" w:eastAsia="Times New Roman" w:hAnsi="Times New Roman" w:cs="Times New Roman"/>
          <w:color w:val="201F1E"/>
          <w:sz w:val="26"/>
          <w:szCs w:val="26"/>
          <w:bdr w:val="none" w:sz="0" w:space="0" w:color="auto" w:frame="1"/>
          <w:lang w:val="es-MX" w:eastAsia="es-MX"/>
        </w:rPr>
        <w:t xml:space="preserve">Incorporación dentro </w:t>
      </w:r>
      <w:r w:rsidRPr="00886CEB">
        <w:rPr>
          <w:rFonts w:ascii="Times New Roman" w:eastAsia="Times New Roman" w:hAnsi="Times New Roman" w:cs="Times New Roman"/>
          <w:sz w:val="26"/>
          <w:szCs w:val="26"/>
          <w:lang w:eastAsia="es-ES"/>
        </w:rPr>
        <w:t xml:space="preserve">del Programa de Teletrabajo, las siguientes clases de puestos, con excepción de las plazas relativas a </w:t>
      </w:r>
      <w:r w:rsidRPr="00886CEB">
        <w:rPr>
          <w:rFonts w:ascii="Times New Roman" w:eastAsia="Times New Roman" w:hAnsi="Times New Roman" w:cs="Times New Roman"/>
          <w:b/>
          <w:sz w:val="26"/>
          <w:szCs w:val="26"/>
          <w:lang w:eastAsia="es-ES"/>
        </w:rPr>
        <w:t>enfermeras, asistentes dentales, odontólogos</w:t>
      </w:r>
      <w:r w:rsidRPr="00886CEB">
        <w:rPr>
          <w:rFonts w:ascii="Times New Roman" w:eastAsia="Times New Roman" w:hAnsi="Times New Roman" w:cs="Times New Roman"/>
          <w:sz w:val="26"/>
          <w:szCs w:val="26"/>
          <w:lang w:eastAsia="es-ES"/>
        </w:rPr>
        <w:t xml:space="preserve"> y </w:t>
      </w:r>
      <w:r w:rsidRPr="00886CEB">
        <w:rPr>
          <w:rFonts w:ascii="Times New Roman" w:eastAsia="Times New Roman" w:hAnsi="Times New Roman" w:cs="Times New Roman"/>
          <w:b/>
          <w:sz w:val="26"/>
          <w:szCs w:val="26"/>
          <w:lang w:eastAsia="es-ES"/>
        </w:rPr>
        <w:t>médicos</w:t>
      </w:r>
      <w:r w:rsidRPr="00886CEB">
        <w:rPr>
          <w:rFonts w:ascii="Times New Roman" w:eastAsia="Times New Roman" w:hAnsi="Times New Roman" w:cs="Times New Roman"/>
          <w:sz w:val="26"/>
          <w:szCs w:val="26"/>
          <w:lang w:eastAsia="es-ES"/>
        </w:rPr>
        <w:t>, debido a la particularidad de la naturaleza de sus funciones. Sin embargo, en caso de que, por alguna situación en particular se requiera que una de las plazas trabaje bajo la modalidad de teletrabajo, los interesados podrán gestionar lo que corresponda ante el Consejo Superior y se analizará cada caso en particular:</w:t>
      </w:r>
    </w:p>
    <w:p w14:paraId="0E383702" w14:textId="77777777" w:rsidR="00EF57CF" w:rsidRPr="00886CEB" w:rsidRDefault="00EF57CF" w:rsidP="00EF57CF">
      <w:pPr>
        <w:shd w:val="clear" w:color="auto" w:fill="FFFFFF"/>
        <w:spacing w:after="0" w:line="240" w:lineRule="auto"/>
        <w:ind w:left="1069"/>
        <w:jc w:val="both"/>
        <w:rPr>
          <w:rFonts w:ascii="Times New Roman" w:eastAsia="Calibri" w:hAnsi="Times New Roman" w:cs="Times New Roman"/>
          <w:noProof/>
          <w:sz w:val="26"/>
          <w:szCs w:val="26"/>
          <w:lang w:val="es-MX" w:eastAsia="es-MX"/>
        </w:rPr>
      </w:pPr>
    </w:p>
    <w:p w14:paraId="1DA3076B" w14:textId="77777777" w:rsidR="00EF57CF" w:rsidRPr="00886CEB" w:rsidRDefault="00EF57CF" w:rsidP="00EF57CF">
      <w:pPr>
        <w:shd w:val="clear" w:color="auto" w:fill="FFFFFF"/>
        <w:spacing w:after="0" w:line="240" w:lineRule="auto"/>
        <w:jc w:val="center"/>
        <w:rPr>
          <w:rFonts w:ascii="Times New Roman" w:eastAsia="Calibri" w:hAnsi="Times New Roman" w:cs="Times New Roman"/>
          <w:sz w:val="26"/>
          <w:szCs w:val="26"/>
        </w:rPr>
      </w:pPr>
      <w:r w:rsidRPr="00886CEB">
        <w:rPr>
          <w:rFonts w:ascii="Times New Roman" w:eastAsia="Times New Roman" w:hAnsi="Times New Roman" w:cs="Times New Roman"/>
          <w:noProof/>
          <w:sz w:val="26"/>
          <w:szCs w:val="26"/>
          <w:lang w:eastAsia="es-CR"/>
        </w:rPr>
        <w:lastRenderedPageBreak/>
        <w:drawing>
          <wp:anchor distT="0" distB="0" distL="114300" distR="114300" simplePos="0" relativeHeight="251659264" behindDoc="1" locked="0" layoutInCell="1" allowOverlap="1" wp14:anchorId="1FEBB983" wp14:editId="3138A44B">
            <wp:simplePos x="0" y="0"/>
            <wp:positionH relativeFrom="column">
              <wp:posOffset>560705</wp:posOffset>
            </wp:positionH>
            <wp:positionV relativeFrom="paragraph">
              <wp:posOffset>66675</wp:posOffset>
            </wp:positionV>
            <wp:extent cx="2219325" cy="4834255"/>
            <wp:effectExtent l="0" t="0" r="9525" b="4445"/>
            <wp:wrapThrough wrapText="bothSides">
              <wp:wrapPolygon edited="0">
                <wp:start x="0" y="0"/>
                <wp:lineTo x="0" y="21535"/>
                <wp:lineTo x="21507" y="21535"/>
                <wp:lineTo x="21507" y="0"/>
                <wp:lineTo x="0" y="0"/>
              </wp:wrapPolygon>
            </wp:wrapThrough>
            <wp:docPr id="1263269070" name="Imagen 9"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9" descr="Imagen que contiene Tabla&#10;&#10;Descripción generada automáticamente"/>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219325" cy="4834255"/>
                    </a:xfrm>
                    <a:prstGeom prst="rect">
                      <a:avLst/>
                    </a:prstGeom>
                    <a:noFill/>
                  </pic:spPr>
                </pic:pic>
              </a:graphicData>
            </a:graphic>
            <wp14:sizeRelH relativeFrom="page">
              <wp14:pctWidth>0</wp14:pctWidth>
            </wp14:sizeRelH>
            <wp14:sizeRelV relativeFrom="page">
              <wp14:pctHeight>0</wp14:pctHeight>
            </wp14:sizeRelV>
          </wp:anchor>
        </w:drawing>
      </w:r>
      <w:r w:rsidRPr="00886CEB">
        <w:rPr>
          <w:rFonts w:ascii="Times New Roman" w:eastAsia="Times New Roman" w:hAnsi="Times New Roman" w:cs="Times New Roman"/>
          <w:noProof/>
          <w:sz w:val="26"/>
          <w:szCs w:val="26"/>
          <w:lang w:eastAsia="es-CR"/>
        </w:rPr>
        <w:drawing>
          <wp:anchor distT="0" distB="0" distL="114300" distR="114300" simplePos="0" relativeHeight="251660288" behindDoc="1" locked="0" layoutInCell="1" allowOverlap="1" wp14:anchorId="65039295" wp14:editId="551B46F4">
            <wp:simplePos x="0" y="0"/>
            <wp:positionH relativeFrom="column">
              <wp:posOffset>3084195</wp:posOffset>
            </wp:positionH>
            <wp:positionV relativeFrom="paragraph">
              <wp:posOffset>66675</wp:posOffset>
            </wp:positionV>
            <wp:extent cx="2095500" cy="5491480"/>
            <wp:effectExtent l="0" t="0" r="0" b="0"/>
            <wp:wrapThrough wrapText="bothSides">
              <wp:wrapPolygon edited="0">
                <wp:start x="0" y="0"/>
                <wp:lineTo x="0" y="21505"/>
                <wp:lineTo x="21404" y="21505"/>
                <wp:lineTo x="21404" y="0"/>
                <wp:lineTo x="0" y="0"/>
              </wp:wrapPolygon>
            </wp:wrapThrough>
            <wp:docPr id="1263269071" name="Imagen 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8" descr="Diagrama&#10;&#10;Descripción generada automáticamente"/>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095500" cy="5491480"/>
                    </a:xfrm>
                    <a:prstGeom prst="rect">
                      <a:avLst/>
                    </a:prstGeom>
                    <a:noFill/>
                  </pic:spPr>
                </pic:pic>
              </a:graphicData>
            </a:graphic>
            <wp14:sizeRelH relativeFrom="page">
              <wp14:pctWidth>0</wp14:pctWidth>
            </wp14:sizeRelH>
            <wp14:sizeRelV relativeFrom="page">
              <wp14:pctHeight>0</wp14:pctHeight>
            </wp14:sizeRelV>
          </wp:anchor>
        </w:drawing>
      </w:r>
    </w:p>
    <w:p w14:paraId="1260567C" w14:textId="77777777" w:rsidR="00EF57CF" w:rsidRPr="00886CEB" w:rsidRDefault="00EF57CF" w:rsidP="00EF57CF">
      <w:pPr>
        <w:spacing w:after="0" w:line="240" w:lineRule="auto"/>
        <w:ind w:left="708"/>
        <w:jc w:val="center"/>
        <w:rPr>
          <w:rFonts w:ascii="Times New Roman" w:eastAsia="Times New Roman" w:hAnsi="Times New Roman" w:cs="Times New Roman"/>
          <w:sz w:val="26"/>
          <w:szCs w:val="26"/>
          <w:lang w:eastAsia="es-ES"/>
        </w:rPr>
      </w:pPr>
    </w:p>
    <w:p w14:paraId="14E298E2" w14:textId="77777777" w:rsidR="00EF57CF" w:rsidRPr="00886CEB" w:rsidRDefault="00EF57CF" w:rsidP="00EF57CF">
      <w:pPr>
        <w:spacing w:after="0" w:line="240" w:lineRule="auto"/>
        <w:ind w:left="708"/>
        <w:rPr>
          <w:rFonts w:ascii="Times New Roman" w:eastAsia="Times New Roman" w:hAnsi="Times New Roman" w:cs="Times New Roman"/>
          <w:sz w:val="26"/>
          <w:szCs w:val="26"/>
          <w:lang w:eastAsia="es-ES"/>
        </w:rPr>
      </w:pPr>
    </w:p>
    <w:p w14:paraId="540FD4AA" w14:textId="77777777" w:rsidR="00EF57CF" w:rsidRPr="00886CEB" w:rsidRDefault="00EF57CF" w:rsidP="00EF57CF">
      <w:pPr>
        <w:spacing w:after="0" w:line="240" w:lineRule="auto"/>
        <w:jc w:val="center"/>
        <w:rPr>
          <w:rFonts w:ascii="Times New Roman" w:eastAsia="Times New Roman" w:hAnsi="Times New Roman" w:cs="Times New Roman"/>
          <w:sz w:val="26"/>
          <w:szCs w:val="26"/>
          <w:lang w:eastAsia="es-ES"/>
        </w:rPr>
      </w:pPr>
      <w:r w:rsidRPr="00886CEB">
        <w:rPr>
          <w:rFonts w:ascii="Times New Roman" w:eastAsia="Times New Roman" w:hAnsi="Times New Roman" w:cs="Times New Roman"/>
          <w:noProof/>
          <w:sz w:val="26"/>
          <w:szCs w:val="26"/>
          <w:lang w:eastAsia="es-CR"/>
        </w:rPr>
        <w:drawing>
          <wp:anchor distT="0" distB="0" distL="114300" distR="114300" simplePos="0" relativeHeight="251662336" behindDoc="0" locked="0" layoutInCell="1" allowOverlap="1" wp14:anchorId="127DDCE7" wp14:editId="019050BB">
            <wp:simplePos x="0" y="0"/>
            <wp:positionH relativeFrom="margin">
              <wp:posOffset>537845</wp:posOffset>
            </wp:positionH>
            <wp:positionV relativeFrom="margin">
              <wp:posOffset>43180</wp:posOffset>
            </wp:positionV>
            <wp:extent cx="2073275" cy="8258810"/>
            <wp:effectExtent l="0" t="0" r="3175" b="8890"/>
            <wp:wrapSquare wrapText="bothSides"/>
            <wp:docPr id="1263269075"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7" descr="Diagrama&#10;&#10;Descripción generada automáticamente"/>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073275" cy="8258810"/>
                    </a:xfrm>
                    <a:prstGeom prst="rect">
                      <a:avLst/>
                    </a:prstGeom>
                    <a:noFill/>
                  </pic:spPr>
                </pic:pic>
              </a:graphicData>
            </a:graphic>
            <wp14:sizeRelH relativeFrom="page">
              <wp14:pctWidth>0</wp14:pctWidth>
            </wp14:sizeRelH>
            <wp14:sizeRelV relativeFrom="page">
              <wp14:pctHeight>0</wp14:pctHeight>
            </wp14:sizeRelV>
          </wp:anchor>
        </w:drawing>
      </w:r>
      <w:r w:rsidRPr="00886CEB">
        <w:rPr>
          <w:rFonts w:ascii="Times New Roman" w:eastAsia="Times New Roman" w:hAnsi="Times New Roman" w:cs="Times New Roman"/>
          <w:noProof/>
          <w:sz w:val="26"/>
          <w:szCs w:val="26"/>
          <w:lang w:eastAsia="es-CR"/>
        </w:rPr>
        <w:drawing>
          <wp:anchor distT="0" distB="0" distL="114300" distR="114300" simplePos="0" relativeHeight="251661312" behindDoc="0" locked="0" layoutInCell="1" allowOverlap="1" wp14:anchorId="1875BC00" wp14:editId="77BA09F7">
            <wp:simplePos x="0" y="0"/>
            <wp:positionH relativeFrom="margin">
              <wp:posOffset>3021330</wp:posOffset>
            </wp:positionH>
            <wp:positionV relativeFrom="margin">
              <wp:posOffset>43180</wp:posOffset>
            </wp:positionV>
            <wp:extent cx="2184400" cy="7621270"/>
            <wp:effectExtent l="0" t="0" r="6350" b="0"/>
            <wp:wrapSquare wrapText="bothSides"/>
            <wp:docPr id="1263269076" name="Imagen 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6" descr="Diagrama&#10;&#10;Descripción generada automáticamente con confianza media"/>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184400" cy="7621270"/>
                    </a:xfrm>
                    <a:prstGeom prst="rect">
                      <a:avLst/>
                    </a:prstGeom>
                    <a:noFill/>
                  </pic:spPr>
                </pic:pic>
              </a:graphicData>
            </a:graphic>
            <wp14:sizeRelH relativeFrom="page">
              <wp14:pctWidth>0</wp14:pctWidth>
            </wp14:sizeRelH>
            <wp14:sizeRelV relativeFrom="page">
              <wp14:pctHeight>0</wp14:pctHeight>
            </wp14:sizeRelV>
          </wp:anchor>
        </w:drawing>
      </w:r>
    </w:p>
    <w:p w14:paraId="7E5E714B" w14:textId="77777777" w:rsidR="00EF57CF" w:rsidRPr="00886CEB" w:rsidRDefault="00EF57CF" w:rsidP="00EF57CF">
      <w:pPr>
        <w:spacing w:after="0" w:line="240" w:lineRule="auto"/>
        <w:jc w:val="center"/>
        <w:rPr>
          <w:rFonts w:ascii="Times New Roman" w:eastAsia="Calibri" w:hAnsi="Times New Roman" w:cs="Times New Roman"/>
          <w:noProof/>
          <w:sz w:val="26"/>
          <w:szCs w:val="26"/>
          <w:lang w:val="es-MX" w:eastAsia="es-MX"/>
        </w:rPr>
      </w:pPr>
    </w:p>
    <w:p w14:paraId="082D4DE6" w14:textId="77777777" w:rsidR="00EF57CF" w:rsidRPr="00886CEB" w:rsidRDefault="00EF57CF" w:rsidP="00EF57CF">
      <w:pPr>
        <w:spacing w:after="0" w:line="240" w:lineRule="auto"/>
        <w:jc w:val="center"/>
        <w:rPr>
          <w:rFonts w:ascii="Times New Roman" w:eastAsia="Times New Roman" w:hAnsi="Times New Roman" w:cs="Times New Roman"/>
          <w:sz w:val="26"/>
          <w:szCs w:val="26"/>
          <w:lang w:eastAsia="es-ES"/>
        </w:rPr>
      </w:pPr>
    </w:p>
    <w:p w14:paraId="4D122993" w14:textId="77777777" w:rsidR="00EF57CF" w:rsidRPr="00886CEB" w:rsidRDefault="00EF57CF" w:rsidP="00EF57CF">
      <w:pPr>
        <w:spacing w:after="0" w:line="240" w:lineRule="auto"/>
        <w:ind w:firstLine="709"/>
        <w:rPr>
          <w:rFonts w:ascii="Times New Roman" w:eastAsia="Times New Roman" w:hAnsi="Times New Roman" w:cs="Times New Roman"/>
          <w:sz w:val="26"/>
          <w:szCs w:val="26"/>
          <w:lang w:eastAsia="es-ES"/>
        </w:rPr>
      </w:pPr>
    </w:p>
    <w:p w14:paraId="4CD1CF02" w14:textId="77777777" w:rsidR="00EF57CF" w:rsidRPr="00886CEB" w:rsidRDefault="00EF57CF" w:rsidP="00EF57CF">
      <w:pPr>
        <w:spacing w:after="0" w:line="240" w:lineRule="auto"/>
        <w:ind w:firstLine="709"/>
        <w:rPr>
          <w:rFonts w:ascii="Times New Roman" w:eastAsia="Times New Roman" w:hAnsi="Times New Roman" w:cs="Times New Roman"/>
          <w:sz w:val="26"/>
          <w:szCs w:val="26"/>
          <w:lang w:eastAsia="es-ES"/>
        </w:rPr>
      </w:pPr>
    </w:p>
    <w:p w14:paraId="27FF5B11" w14:textId="77777777" w:rsidR="00EF57CF" w:rsidRPr="00886CEB" w:rsidRDefault="00EF57CF" w:rsidP="00EF57CF">
      <w:pPr>
        <w:spacing w:after="0" w:line="240" w:lineRule="auto"/>
        <w:ind w:firstLine="709"/>
        <w:rPr>
          <w:rFonts w:ascii="Times New Roman" w:eastAsia="Times New Roman" w:hAnsi="Times New Roman" w:cs="Times New Roman"/>
          <w:sz w:val="26"/>
          <w:szCs w:val="26"/>
          <w:lang w:eastAsia="es-ES"/>
        </w:rPr>
      </w:pPr>
    </w:p>
    <w:p w14:paraId="0A555EC4" w14:textId="77777777" w:rsidR="00EF57CF" w:rsidRPr="00886CEB" w:rsidRDefault="00EF57CF" w:rsidP="00EF57CF">
      <w:pPr>
        <w:spacing w:after="0" w:line="240" w:lineRule="auto"/>
        <w:ind w:left="851" w:right="851" w:firstLine="709"/>
        <w:rPr>
          <w:rFonts w:ascii="Times New Roman" w:eastAsia="Times New Roman" w:hAnsi="Times New Roman" w:cs="Times New Roman"/>
          <w:sz w:val="26"/>
          <w:szCs w:val="26"/>
          <w:lang w:eastAsia="es-ES"/>
        </w:rPr>
      </w:pPr>
      <w:r w:rsidRPr="00886CEB">
        <w:rPr>
          <w:rFonts w:ascii="Times New Roman" w:eastAsia="Times New Roman" w:hAnsi="Times New Roman" w:cs="Times New Roman"/>
          <w:noProof/>
          <w:sz w:val="26"/>
          <w:szCs w:val="26"/>
          <w:lang w:eastAsia="es-CR"/>
        </w:rPr>
        <w:lastRenderedPageBreak/>
        <w:drawing>
          <wp:anchor distT="0" distB="0" distL="114300" distR="114300" simplePos="0" relativeHeight="251664384" behindDoc="1" locked="0" layoutInCell="1" allowOverlap="1" wp14:anchorId="371D3664" wp14:editId="76BC5A8A">
            <wp:simplePos x="0" y="0"/>
            <wp:positionH relativeFrom="column">
              <wp:posOffset>591185</wp:posOffset>
            </wp:positionH>
            <wp:positionV relativeFrom="paragraph">
              <wp:posOffset>0</wp:posOffset>
            </wp:positionV>
            <wp:extent cx="2025015" cy="8258810"/>
            <wp:effectExtent l="0" t="0" r="0" b="8890"/>
            <wp:wrapThrough wrapText="bothSides">
              <wp:wrapPolygon edited="0">
                <wp:start x="0" y="0"/>
                <wp:lineTo x="0" y="21573"/>
                <wp:lineTo x="21336" y="21573"/>
                <wp:lineTo x="21336" y="0"/>
                <wp:lineTo x="0" y="0"/>
              </wp:wrapPolygon>
            </wp:wrapThrough>
            <wp:docPr id="1263269077" name="Imagen 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5" descr="Diagrama&#10;&#10;Descripción generada automáticamente"/>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025015" cy="8258810"/>
                    </a:xfrm>
                    <a:prstGeom prst="rect">
                      <a:avLst/>
                    </a:prstGeom>
                    <a:noFill/>
                  </pic:spPr>
                </pic:pic>
              </a:graphicData>
            </a:graphic>
            <wp14:sizeRelH relativeFrom="page">
              <wp14:pctWidth>0</wp14:pctWidth>
            </wp14:sizeRelH>
            <wp14:sizeRelV relativeFrom="page">
              <wp14:pctHeight>0</wp14:pctHeight>
            </wp14:sizeRelV>
          </wp:anchor>
        </w:drawing>
      </w:r>
      <w:r w:rsidRPr="00886CEB">
        <w:rPr>
          <w:rFonts w:ascii="Times New Roman" w:eastAsia="Times New Roman" w:hAnsi="Times New Roman" w:cs="Times New Roman"/>
          <w:noProof/>
          <w:sz w:val="26"/>
          <w:szCs w:val="26"/>
          <w:lang w:eastAsia="es-CR"/>
        </w:rPr>
        <w:drawing>
          <wp:anchor distT="0" distB="0" distL="114300" distR="114300" simplePos="0" relativeHeight="251663360" behindDoc="0" locked="0" layoutInCell="1" allowOverlap="1" wp14:anchorId="32EA5386" wp14:editId="62930B07">
            <wp:simplePos x="0" y="0"/>
            <wp:positionH relativeFrom="margin">
              <wp:posOffset>3050540</wp:posOffset>
            </wp:positionH>
            <wp:positionV relativeFrom="margin">
              <wp:posOffset>0</wp:posOffset>
            </wp:positionV>
            <wp:extent cx="2138680" cy="5381625"/>
            <wp:effectExtent l="0" t="0" r="0" b="9525"/>
            <wp:wrapSquare wrapText="bothSides"/>
            <wp:docPr id="1263269078" name="Imagen 1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11" descr="Imagen que contiene Diagrama&#10;&#10;Descripción generada automáticamente"/>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138680" cy="5381625"/>
                    </a:xfrm>
                    <a:prstGeom prst="rect">
                      <a:avLst/>
                    </a:prstGeom>
                    <a:noFill/>
                  </pic:spPr>
                </pic:pic>
              </a:graphicData>
            </a:graphic>
            <wp14:sizeRelH relativeFrom="page">
              <wp14:pctWidth>0</wp14:pctWidth>
            </wp14:sizeRelH>
            <wp14:sizeRelV relativeFrom="page">
              <wp14:pctHeight>0</wp14:pctHeight>
            </wp14:sizeRelV>
          </wp:anchor>
        </w:drawing>
      </w:r>
      <w:r w:rsidRPr="00886CEB">
        <w:rPr>
          <w:rFonts w:ascii="Times New Roman" w:eastAsia="Times New Roman" w:hAnsi="Times New Roman" w:cs="Times New Roman"/>
          <w:sz w:val="26"/>
          <w:szCs w:val="26"/>
          <w:lang w:eastAsia="es-ES"/>
        </w:rPr>
        <w:tab/>
        <w:t xml:space="preserve">   </w:t>
      </w:r>
    </w:p>
    <w:p w14:paraId="0821328A" w14:textId="77777777" w:rsidR="00EF57CF" w:rsidRPr="00886CEB" w:rsidRDefault="00EF57CF" w:rsidP="00EF57CF">
      <w:pPr>
        <w:spacing w:after="0" w:line="240" w:lineRule="auto"/>
        <w:ind w:left="851" w:right="851" w:firstLine="709"/>
        <w:rPr>
          <w:rFonts w:ascii="Times New Roman" w:eastAsia="Times New Roman" w:hAnsi="Times New Roman" w:cs="Times New Roman"/>
          <w:sz w:val="26"/>
          <w:szCs w:val="26"/>
          <w:lang w:eastAsia="es-ES"/>
        </w:rPr>
      </w:pPr>
    </w:p>
    <w:p w14:paraId="7C9C877C" w14:textId="77777777" w:rsidR="00EF57CF" w:rsidRPr="00886CEB" w:rsidRDefault="00EF57CF" w:rsidP="00EF57CF">
      <w:pPr>
        <w:spacing w:after="0" w:line="240" w:lineRule="auto"/>
        <w:ind w:left="851" w:right="851" w:firstLine="709"/>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Lo anterior, toda vez que:</w:t>
      </w:r>
    </w:p>
    <w:p w14:paraId="1C069876" w14:textId="77777777" w:rsidR="00EF57CF" w:rsidRPr="00886CEB" w:rsidRDefault="00EF57CF" w:rsidP="00EF57CF">
      <w:pPr>
        <w:spacing w:after="0" w:line="240" w:lineRule="auto"/>
        <w:ind w:left="851" w:right="851" w:firstLine="709"/>
        <w:jc w:val="right"/>
        <w:rPr>
          <w:rFonts w:ascii="Times New Roman" w:eastAsia="Calibri" w:hAnsi="Times New Roman" w:cs="Times New Roman"/>
          <w:sz w:val="26"/>
          <w:szCs w:val="26"/>
        </w:rPr>
      </w:pPr>
    </w:p>
    <w:p w14:paraId="44139672" w14:textId="77777777" w:rsidR="00EF57CF" w:rsidRPr="00886CEB" w:rsidRDefault="00EF57CF" w:rsidP="00F962B6">
      <w:pPr>
        <w:numPr>
          <w:ilvl w:val="1"/>
          <w:numId w:val="100"/>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Las tareas están asociadas a objetivos claros, metas específicas y actividades.</w:t>
      </w:r>
    </w:p>
    <w:p w14:paraId="3E7F7A5E" w14:textId="77777777" w:rsidR="00EF57CF" w:rsidRPr="00886CEB" w:rsidRDefault="00EF57CF" w:rsidP="00EF57CF">
      <w:pPr>
        <w:overflowPunct w:val="0"/>
        <w:autoSpaceDE w:val="0"/>
        <w:autoSpaceDN w:val="0"/>
        <w:adjustRightInd w:val="0"/>
        <w:spacing w:after="0" w:line="240" w:lineRule="auto"/>
        <w:ind w:left="1560" w:right="851"/>
        <w:jc w:val="both"/>
        <w:textAlignment w:val="baseline"/>
        <w:rPr>
          <w:rFonts w:ascii="Times New Roman" w:eastAsia="Times New Roman" w:hAnsi="Times New Roman" w:cs="Times New Roman"/>
          <w:sz w:val="26"/>
          <w:szCs w:val="26"/>
          <w:lang w:eastAsia="es-ES"/>
        </w:rPr>
      </w:pPr>
    </w:p>
    <w:p w14:paraId="3B8631A7" w14:textId="77777777" w:rsidR="00EF57CF" w:rsidRPr="00886CEB" w:rsidRDefault="00EF57CF" w:rsidP="00F962B6">
      <w:pPr>
        <w:numPr>
          <w:ilvl w:val="1"/>
          <w:numId w:val="100"/>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Permiten la planificación, control, seguimiento y comunicación.</w:t>
      </w:r>
    </w:p>
    <w:p w14:paraId="262BB4C7"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75C2F95A" w14:textId="77777777" w:rsidR="00EF57CF" w:rsidRPr="00886CEB" w:rsidRDefault="00EF57CF" w:rsidP="00F962B6">
      <w:pPr>
        <w:numPr>
          <w:ilvl w:val="1"/>
          <w:numId w:val="100"/>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Utilizan las tecnologías de información y comunicación.</w:t>
      </w:r>
    </w:p>
    <w:p w14:paraId="53E4E156"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0EA592F6" w14:textId="77777777" w:rsidR="00EF57CF" w:rsidRPr="00886CEB" w:rsidRDefault="00EF57CF" w:rsidP="00F962B6">
      <w:pPr>
        <w:numPr>
          <w:ilvl w:val="1"/>
          <w:numId w:val="100"/>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No afectan el normal desempeño de otros cargos.</w:t>
      </w:r>
    </w:p>
    <w:p w14:paraId="01039E5E"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02DF3C11" w14:textId="77777777" w:rsidR="00EF57CF" w:rsidRPr="00886CEB" w:rsidRDefault="00EF57CF" w:rsidP="00F962B6">
      <w:pPr>
        <w:numPr>
          <w:ilvl w:val="1"/>
          <w:numId w:val="100"/>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No afectan la prestación del servicio que brinda la institución.</w:t>
      </w:r>
    </w:p>
    <w:p w14:paraId="49100954" w14:textId="77777777" w:rsidR="00EF57CF" w:rsidRPr="00886CEB" w:rsidRDefault="00EF57CF" w:rsidP="00EF57CF">
      <w:pPr>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p>
    <w:p w14:paraId="0742C6DA" w14:textId="77777777" w:rsidR="00EF57CF" w:rsidRPr="00886CEB" w:rsidRDefault="00EF57CF" w:rsidP="00F962B6">
      <w:pPr>
        <w:numPr>
          <w:ilvl w:val="0"/>
          <w:numId w:val="99"/>
        </w:numPr>
        <w:suppressAutoHyphens/>
        <w:spacing w:after="0" w:line="240" w:lineRule="auto"/>
        <w:ind w:left="851" w:right="851" w:firstLine="709"/>
        <w:jc w:val="both"/>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 xml:space="preserve"> Se establece un rango posible de días máximos para teletrabajo entre 1 y 4; a las clases de puestos que pueden ser consideradas para la prestación del servicio en la modalidad de teletrabajo. Esta posible frecuencia de días por semana sirve de apoyo o guía a la Jefatura de la Oficina o Despacho Judicial; en que una persona servidora judicial pueda prestar el servicio mediante la modalidad de teletrabajo. </w:t>
      </w:r>
    </w:p>
    <w:p w14:paraId="27D35092"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sz w:val="26"/>
          <w:szCs w:val="26"/>
          <w:lang w:eastAsia="es-ES"/>
        </w:rPr>
      </w:pPr>
    </w:p>
    <w:p w14:paraId="70C6AD6E" w14:textId="77777777" w:rsidR="00EF57CF" w:rsidRPr="00886CEB" w:rsidRDefault="00EF57CF" w:rsidP="00EF57CF">
      <w:pPr>
        <w:spacing w:after="0" w:line="240" w:lineRule="auto"/>
        <w:ind w:left="851" w:right="851" w:firstLine="709"/>
        <w:jc w:val="both"/>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Para la asignación de los días; las Jefaturas deben considerar entre otras variables:</w:t>
      </w:r>
    </w:p>
    <w:p w14:paraId="10F83E3D" w14:textId="77777777" w:rsidR="00EF57CF" w:rsidRPr="00886CEB" w:rsidRDefault="00EF57CF" w:rsidP="00EF57CF">
      <w:pPr>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p>
    <w:p w14:paraId="1E786595"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Personas servidoras judiciales en situación de riesgo por su condición personal de salud.</w:t>
      </w:r>
    </w:p>
    <w:p w14:paraId="0BDDBA2F"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543C4144"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Funcionalidad de cada despacho judicial, según materia.</w:t>
      </w:r>
    </w:p>
    <w:p w14:paraId="26A09D47"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7ABE82E2"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La naturaleza del cargo y las condiciones laborales del puesto</w:t>
      </w:r>
    </w:p>
    <w:p w14:paraId="79B00CFD"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71EF2D89"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La organización del trabajo de la Oficina o Despacho Judicial.</w:t>
      </w:r>
    </w:p>
    <w:p w14:paraId="7FB2C2B2"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07E43675"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La existencia de roles de trabajo.</w:t>
      </w:r>
    </w:p>
    <w:p w14:paraId="5909C97F"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6783E04E"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La disponibilidad que demande la prestación del servicio.</w:t>
      </w:r>
    </w:p>
    <w:p w14:paraId="49410200"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5DF6A8E4"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Considerar las disposiciones sanitarias dictadas por el Ministerio de Salud y las aprobadas por el Poder Judicial.</w:t>
      </w:r>
    </w:p>
    <w:p w14:paraId="5ABA2C6F"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334796F6"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lastRenderedPageBreak/>
        <w:t>Distanciamiento 1,80 metros.</w:t>
      </w:r>
    </w:p>
    <w:p w14:paraId="5C771FC6" w14:textId="77777777" w:rsidR="00EF57CF" w:rsidRPr="00886CEB" w:rsidRDefault="00EF57CF" w:rsidP="00EF57CF">
      <w:pPr>
        <w:suppressAutoHyphens/>
        <w:spacing w:after="0" w:line="240" w:lineRule="auto"/>
        <w:ind w:left="708"/>
        <w:rPr>
          <w:rFonts w:ascii="Times New Roman" w:eastAsia="Times New Roman" w:hAnsi="Times New Roman" w:cs="Times New Roman"/>
          <w:sz w:val="26"/>
          <w:szCs w:val="26"/>
          <w:lang w:eastAsia="es-ES"/>
        </w:rPr>
      </w:pPr>
    </w:p>
    <w:p w14:paraId="610AE8E9" w14:textId="77777777" w:rsidR="00EF57CF" w:rsidRPr="00886CEB" w:rsidRDefault="00EF57CF" w:rsidP="00EF57CF">
      <w:pPr>
        <w:overflowPunct w:val="0"/>
        <w:autoSpaceDE w:val="0"/>
        <w:autoSpaceDN w:val="0"/>
        <w:adjustRightInd w:val="0"/>
        <w:spacing w:after="0" w:line="240" w:lineRule="auto"/>
        <w:ind w:left="1560" w:right="851"/>
        <w:jc w:val="both"/>
        <w:textAlignment w:val="baseline"/>
        <w:rPr>
          <w:rFonts w:ascii="Times New Roman" w:eastAsia="Times New Roman" w:hAnsi="Times New Roman" w:cs="Times New Roman"/>
          <w:sz w:val="26"/>
          <w:szCs w:val="26"/>
          <w:lang w:eastAsia="es-ES"/>
        </w:rPr>
      </w:pPr>
    </w:p>
    <w:p w14:paraId="7A9627C1"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Velar porque se continúe con la prestación de los servicios.</w:t>
      </w:r>
    </w:p>
    <w:p w14:paraId="6D8013A4" w14:textId="77777777" w:rsidR="00EF57CF" w:rsidRPr="00886CEB" w:rsidRDefault="00EF57CF" w:rsidP="00EF57CF">
      <w:pPr>
        <w:overflowPunct w:val="0"/>
        <w:autoSpaceDE w:val="0"/>
        <w:autoSpaceDN w:val="0"/>
        <w:adjustRightInd w:val="0"/>
        <w:spacing w:after="0" w:line="240" w:lineRule="auto"/>
        <w:ind w:left="851" w:right="851"/>
        <w:jc w:val="both"/>
        <w:textAlignment w:val="baseline"/>
        <w:rPr>
          <w:rFonts w:ascii="Times New Roman" w:eastAsia="Times New Roman" w:hAnsi="Times New Roman" w:cs="Times New Roman"/>
          <w:sz w:val="26"/>
          <w:szCs w:val="26"/>
          <w:lang w:eastAsia="es-ES"/>
        </w:rPr>
      </w:pPr>
    </w:p>
    <w:p w14:paraId="657E7695"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Maximización de las herramientas tecnológicas.</w:t>
      </w:r>
    </w:p>
    <w:p w14:paraId="3F9823A5"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4A9C51E6"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 xml:space="preserve">Aplicación de los Protocolos de audiencias virtuales. </w:t>
      </w:r>
    </w:p>
    <w:p w14:paraId="69FEC00A" w14:textId="77777777" w:rsidR="00EF57CF" w:rsidRPr="00886CEB" w:rsidRDefault="00EF57CF" w:rsidP="00EF57CF">
      <w:pPr>
        <w:overflowPunct w:val="0"/>
        <w:autoSpaceDE w:val="0"/>
        <w:autoSpaceDN w:val="0"/>
        <w:adjustRightInd w:val="0"/>
        <w:spacing w:after="0" w:line="240" w:lineRule="auto"/>
        <w:ind w:right="851"/>
        <w:jc w:val="both"/>
        <w:textAlignment w:val="baseline"/>
        <w:rPr>
          <w:rFonts w:ascii="Times New Roman" w:eastAsia="Times New Roman" w:hAnsi="Times New Roman" w:cs="Times New Roman"/>
          <w:sz w:val="26"/>
          <w:szCs w:val="26"/>
          <w:lang w:eastAsia="es-ES"/>
        </w:rPr>
      </w:pPr>
    </w:p>
    <w:p w14:paraId="6D1A3784" w14:textId="77777777" w:rsidR="00EF57CF" w:rsidRPr="00886CEB" w:rsidRDefault="00EF57CF" w:rsidP="00F962B6">
      <w:pPr>
        <w:numPr>
          <w:ilvl w:val="0"/>
          <w:numId w:val="101"/>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Posibilidad de ceder espacios a otras áreas de trabajo.</w:t>
      </w:r>
    </w:p>
    <w:p w14:paraId="21D0B4C5" w14:textId="77777777" w:rsidR="00EF57CF" w:rsidRPr="00886CEB" w:rsidRDefault="00EF57CF" w:rsidP="00EF57CF">
      <w:pPr>
        <w:spacing w:after="0" w:line="240" w:lineRule="auto"/>
        <w:ind w:left="851" w:right="851" w:firstLine="709"/>
        <w:jc w:val="both"/>
        <w:rPr>
          <w:rFonts w:ascii="Times New Roman" w:eastAsia="Calibri" w:hAnsi="Times New Roman" w:cs="Times New Roman"/>
          <w:sz w:val="26"/>
          <w:szCs w:val="26"/>
        </w:rPr>
      </w:pPr>
    </w:p>
    <w:p w14:paraId="5EB3C01B" w14:textId="77777777" w:rsidR="00EF57CF" w:rsidRPr="00886CEB" w:rsidRDefault="00EF57CF" w:rsidP="00EF57CF">
      <w:pPr>
        <w:spacing w:after="0" w:line="240" w:lineRule="auto"/>
        <w:ind w:left="851" w:right="851" w:firstLine="709"/>
        <w:jc w:val="both"/>
        <w:rPr>
          <w:rFonts w:ascii="Times New Roman" w:eastAsia="Calibri" w:hAnsi="Times New Roman" w:cs="Times New Roman"/>
          <w:sz w:val="26"/>
          <w:szCs w:val="26"/>
        </w:rPr>
      </w:pPr>
      <w:r w:rsidRPr="00886CEB">
        <w:rPr>
          <w:rFonts w:ascii="Times New Roman" w:eastAsia="Calibri" w:hAnsi="Times New Roman" w:cs="Times New Roman"/>
          <w:sz w:val="26"/>
          <w:szCs w:val="26"/>
        </w:rPr>
        <w:t xml:space="preserve">En casos excepcionales la Comisión de Teletrabajo podrá analizar situaciones en las que por circunstancias específicas el puesto podrá laborar hasta 5 días de teletrabajo, como por ejemplo cuando existan criterios del Programa de Adaptación al Puesto por Condición de Salud. </w:t>
      </w:r>
    </w:p>
    <w:p w14:paraId="30DDC425" w14:textId="77777777" w:rsidR="00EF57CF" w:rsidRPr="00886CEB" w:rsidRDefault="00EF57CF" w:rsidP="00EF57CF">
      <w:pPr>
        <w:spacing w:after="0" w:line="240" w:lineRule="auto"/>
        <w:ind w:left="851" w:right="851" w:firstLine="709"/>
        <w:jc w:val="both"/>
        <w:rPr>
          <w:rFonts w:ascii="Times New Roman" w:eastAsia="Calibri" w:hAnsi="Times New Roman" w:cs="Times New Roman"/>
          <w:sz w:val="26"/>
          <w:szCs w:val="26"/>
        </w:rPr>
      </w:pPr>
    </w:p>
    <w:p w14:paraId="46BA8E57" w14:textId="77777777" w:rsidR="00EF57CF" w:rsidRPr="00886CEB" w:rsidRDefault="00EF57CF" w:rsidP="00F962B6">
      <w:pPr>
        <w:numPr>
          <w:ilvl w:val="0"/>
          <w:numId w:val="99"/>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b/>
          <w:sz w:val="26"/>
          <w:szCs w:val="26"/>
          <w:lang w:eastAsia="es-ES"/>
        </w:rPr>
      </w:pPr>
      <w:r w:rsidRPr="00886CEB">
        <w:rPr>
          <w:rFonts w:ascii="Times New Roman" w:eastAsia="Times New Roman" w:hAnsi="Times New Roman" w:cs="Times New Roman"/>
          <w:sz w:val="26"/>
          <w:szCs w:val="26"/>
          <w:lang w:eastAsia="es-ES"/>
        </w:rPr>
        <w:t>Las siguientes clases de puestos de conformidad con lo analizado; no pueden prestar el servicio bajo la modalidad de teletrabajo.</w:t>
      </w:r>
    </w:p>
    <w:p w14:paraId="7DF383B5" w14:textId="77777777" w:rsidR="00EF57CF" w:rsidRPr="00886CEB" w:rsidRDefault="00EF57CF" w:rsidP="00EF57CF">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b/>
          <w:sz w:val="26"/>
          <w:szCs w:val="26"/>
          <w:lang w:eastAsia="es-ES"/>
        </w:rPr>
      </w:pPr>
    </w:p>
    <w:p w14:paraId="0210AA5F" w14:textId="77777777" w:rsidR="00EF57CF" w:rsidRPr="00886CEB" w:rsidRDefault="00EF57CF" w:rsidP="00EF57CF">
      <w:pPr>
        <w:spacing w:after="0" w:line="240" w:lineRule="auto"/>
        <w:jc w:val="center"/>
        <w:rPr>
          <w:rFonts w:ascii="Times New Roman" w:eastAsia="Calibri" w:hAnsi="Times New Roman" w:cs="Times New Roman"/>
          <w:b/>
          <w:sz w:val="26"/>
          <w:szCs w:val="26"/>
        </w:rPr>
      </w:pPr>
      <w:r w:rsidRPr="00886CEB">
        <w:rPr>
          <w:rFonts w:ascii="Times New Roman" w:eastAsia="Calibri" w:hAnsi="Times New Roman" w:cs="Times New Roman"/>
          <w:noProof/>
          <w:sz w:val="26"/>
          <w:szCs w:val="26"/>
          <w:lang w:eastAsia="es-CR"/>
        </w:rPr>
        <w:drawing>
          <wp:inline distT="0" distB="0" distL="0" distR="0" wp14:anchorId="3E1AF318" wp14:editId="2AECBA9C">
            <wp:extent cx="1745615" cy="3147060"/>
            <wp:effectExtent l="0" t="0" r="6985" b="0"/>
            <wp:docPr id="1263269079"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3" descr="Tabla&#10;&#10;Descripción generada automáticamente"/>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745615" cy="3147060"/>
                    </a:xfrm>
                    <a:prstGeom prst="rect">
                      <a:avLst/>
                    </a:prstGeom>
                    <a:noFill/>
                    <a:ln>
                      <a:noFill/>
                    </a:ln>
                  </pic:spPr>
                </pic:pic>
              </a:graphicData>
            </a:graphic>
          </wp:inline>
        </w:drawing>
      </w:r>
      <w:r w:rsidRPr="00886CEB">
        <w:rPr>
          <w:rFonts w:ascii="Times New Roman" w:eastAsia="Calibri" w:hAnsi="Times New Roman" w:cs="Times New Roman"/>
          <w:noProof/>
          <w:sz w:val="26"/>
          <w:szCs w:val="26"/>
          <w:lang w:val="es-MX" w:eastAsia="es-MX"/>
        </w:rPr>
        <w:t xml:space="preserve">            </w:t>
      </w:r>
      <w:r w:rsidRPr="00886CEB">
        <w:rPr>
          <w:rFonts w:ascii="Times New Roman" w:eastAsia="Calibri" w:hAnsi="Times New Roman" w:cs="Times New Roman"/>
          <w:noProof/>
          <w:sz w:val="26"/>
          <w:szCs w:val="26"/>
          <w:lang w:eastAsia="es-CR"/>
        </w:rPr>
        <w:drawing>
          <wp:inline distT="0" distB="0" distL="0" distR="0" wp14:anchorId="56BFB2CF" wp14:editId="133B9BA0">
            <wp:extent cx="1650365" cy="3134995"/>
            <wp:effectExtent l="0" t="0" r="6985" b="8255"/>
            <wp:docPr id="1263269080"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2" descr="Tabla&#10;&#10;Descripción generada automáticamente"/>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650365" cy="3134995"/>
                    </a:xfrm>
                    <a:prstGeom prst="rect">
                      <a:avLst/>
                    </a:prstGeom>
                    <a:noFill/>
                    <a:ln>
                      <a:noFill/>
                    </a:ln>
                  </pic:spPr>
                </pic:pic>
              </a:graphicData>
            </a:graphic>
          </wp:inline>
        </w:drawing>
      </w:r>
    </w:p>
    <w:p w14:paraId="5464BC7A" w14:textId="77777777" w:rsidR="00EF57CF" w:rsidRPr="00886CEB" w:rsidRDefault="00EF57CF" w:rsidP="00EF57CF">
      <w:pPr>
        <w:spacing w:after="0" w:line="240" w:lineRule="auto"/>
        <w:jc w:val="both"/>
        <w:rPr>
          <w:rFonts w:ascii="Times New Roman" w:eastAsia="Calibri" w:hAnsi="Times New Roman" w:cs="Times New Roman"/>
          <w:b/>
          <w:sz w:val="26"/>
          <w:szCs w:val="26"/>
        </w:rPr>
      </w:pPr>
    </w:p>
    <w:p w14:paraId="379F767B" w14:textId="77777777" w:rsidR="00EF57CF" w:rsidRPr="00886CEB" w:rsidRDefault="00EF57CF" w:rsidP="00EF57CF">
      <w:pPr>
        <w:spacing w:after="0" w:line="240" w:lineRule="auto"/>
        <w:ind w:left="851" w:right="851" w:firstLine="709"/>
        <w:jc w:val="both"/>
        <w:rPr>
          <w:rFonts w:ascii="Times New Roman" w:eastAsia="Calibri" w:hAnsi="Times New Roman" w:cs="Times New Roman"/>
          <w:sz w:val="26"/>
          <w:szCs w:val="26"/>
        </w:rPr>
      </w:pPr>
      <w:r w:rsidRPr="00886CEB">
        <w:rPr>
          <w:rFonts w:ascii="Times New Roman" w:eastAsia="Calibri" w:hAnsi="Times New Roman" w:cs="Times New Roman"/>
          <w:sz w:val="26"/>
          <w:szCs w:val="26"/>
        </w:rPr>
        <w:t xml:space="preserve">En casos excepcionales la Comisión de Teletrabajo podrá analizar situaciones en las que por circunstancias específicas algún puesto de estas </w:t>
      </w:r>
      <w:r w:rsidRPr="00886CEB">
        <w:rPr>
          <w:rFonts w:ascii="Times New Roman" w:eastAsia="Calibri" w:hAnsi="Times New Roman" w:cs="Times New Roman"/>
          <w:sz w:val="26"/>
          <w:szCs w:val="26"/>
        </w:rPr>
        <w:lastRenderedPageBreak/>
        <w:t xml:space="preserve">categorías deba optar por teletrabajo, como por ejemplo cuando existan criterios del Programa de Adaptación al Puesto por Condición de Salud. </w:t>
      </w:r>
    </w:p>
    <w:p w14:paraId="7B911536" w14:textId="77777777" w:rsidR="00EF57CF" w:rsidRPr="00886CEB" w:rsidRDefault="00EF57CF" w:rsidP="00EF57CF">
      <w:pPr>
        <w:spacing w:after="0" w:line="240" w:lineRule="auto"/>
        <w:ind w:left="851" w:right="851" w:firstLine="709"/>
        <w:rPr>
          <w:rFonts w:ascii="Times New Roman" w:eastAsia="Calibri" w:hAnsi="Times New Roman" w:cs="Times New Roman"/>
          <w:b/>
          <w:sz w:val="26"/>
          <w:szCs w:val="26"/>
        </w:rPr>
      </w:pPr>
    </w:p>
    <w:p w14:paraId="07E7B23B" w14:textId="77777777" w:rsidR="00EF57CF" w:rsidRPr="00886CEB" w:rsidRDefault="00EF57CF" w:rsidP="00F962B6">
      <w:pPr>
        <w:numPr>
          <w:ilvl w:val="0"/>
          <w:numId w:val="99"/>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Por lo anterior, se estará en mayor apertura de analizar y revisar; algún caso en particular; sobre las clases de puestos indicadas en los puntos números 1 y 3; de este documento de trabajo.</w:t>
      </w:r>
    </w:p>
    <w:p w14:paraId="5EAD2D6A" w14:textId="77777777" w:rsidR="00EF57CF" w:rsidRPr="00886CEB" w:rsidRDefault="00EF57CF" w:rsidP="00EF57CF">
      <w:pPr>
        <w:spacing w:after="0" w:line="240" w:lineRule="auto"/>
        <w:ind w:left="851" w:right="851" w:firstLine="709"/>
        <w:jc w:val="both"/>
        <w:rPr>
          <w:rFonts w:ascii="Times New Roman" w:eastAsia="Calibri" w:hAnsi="Times New Roman" w:cs="Times New Roman"/>
          <w:sz w:val="26"/>
          <w:szCs w:val="26"/>
        </w:rPr>
      </w:pPr>
    </w:p>
    <w:p w14:paraId="34B42D40" w14:textId="77777777" w:rsidR="00EF57CF" w:rsidRPr="00886CEB" w:rsidRDefault="00EF57CF" w:rsidP="00F962B6">
      <w:pPr>
        <w:numPr>
          <w:ilvl w:val="0"/>
          <w:numId w:val="99"/>
        </w:numPr>
        <w:suppressAutoHyphens/>
        <w:overflowPunct w:val="0"/>
        <w:autoSpaceDE w:val="0"/>
        <w:autoSpaceDN w:val="0"/>
        <w:adjustRightInd w:val="0"/>
        <w:spacing w:after="0" w:line="240" w:lineRule="auto"/>
        <w:ind w:left="851" w:right="851" w:firstLine="709"/>
        <w:jc w:val="both"/>
        <w:textAlignment w:val="baseline"/>
        <w:rPr>
          <w:rFonts w:ascii="Times New Roman" w:eastAsia="Times New Roman" w:hAnsi="Times New Roman" w:cs="Times New Roman"/>
          <w:sz w:val="26"/>
          <w:szCs w:val="26"/>
          <w:lang w:eastAsia="es-ES"/>
        </w:rPr>
      </w:pPr>
      <w:r w:rsidRPr="00886CEB">
        <w:rPr>
          <w:rFonts w:ascii="Times New Roman" w:eastAsia="Times New Roman" w:hAnsi="Times New Roman" w:cs="Times New Roman"/>
          <w:sz w:val="26"/>
          <w:szCs w:val="26"/>
          <w:lang w:eastAsia="es-ES"/>
        </w:rPr>
        <w:t xml:space="preserve">En caso de requerirse de alguna herramienta tecnológica para prestar el servicio bajo la modalidad de teletrabajo, la persona servidora judicial debe de cumplir con el procedimiento definido por la Dirección de Tecnología de la Información y Comunicaciones; y la asignación de </w:t>
      </w:r>
      <w:proofErr w:type="gramStart"/>
      <w:r w:rsidRPr="00886CEB">
        <w:rPr>
          <w:rFonts w:ascii="Times New Roman" w:eastAsia="Times New Roman" w:hAnsi="Times New Roman" w:cs="Times New Roman"/>
          <w:sz w:val="26"/>
          <w:szCs w:val="26"/>
          <w:lang w:eastAsia="es-ES"/>
        </w:rPr>
        <w:t>la misma</w:t>
      </w:r>
      <w:proofErr w:type="gramEnd"/>
      <w:r w:rsidRPr="00886CEB">
        <w:rPr>
          <w:rFonts w:ascii="Times New Roman" w:eastAsia="Times New Roman" w:hAnsi="Times New Roman" w:cs="Times New Roman"/>
          <w:sz w:val="26"/>
          <w:szCs w:val="26"/>
          <w:lang w:eastAsia="es-ES"/>
        </w:rPr>
        <w:t>, quedará sujeta a la disponibilidad existente de las herramientas tecnológicas”.</w:t>
      </w:r>
    </w:p>
    <w:p w14:paraId="7F38BFBF" w14:textId="77777777" w:rsidR="00EF57CF" w:rsidRPr="00886CEB" w:rsidRDefault="00EF57CF" w:rsidP="00EF57CF">
      <w:pPr>
        <w:suppressAutoHyphens/>
        <w:spacing w:after="0" w:line="240" w:lineRule="auto"/>
        <w:rPr>
          <w:rFonts w:ascii="Times New Roman" w:eastAsia="Times New Roman" w:hAnsi="Times New Roman" w:cs="Times New Roman"/>
          <w:sz w:val="26"/>
          <w:szCs w:val="26"/>
          <w:lang w:val="es-ES" w:eastAsia="ar-SA"/>
        </w:rPr>
      </w:pPr>
    </w:p>
    <w:p w14:paraId="3F20F7E0" w14:textId="77777777" w:rsidR="00EF57CF" w:rsidRPr="00886CEB" w:rsidRDefault="00EF57CF" w:rsidP="00EF57CF">
      <w:pPr>
        <w:suppressAutoHyphens/>
        <w:autoSpaceDE w:val="0"/>
        <w:autoSpaceDN w:val="0"/>
        <w:adjustRightInd w:val="0"/>
        <w:spacing w:after="0" w:line="240" w:lineRule="auto"/>
        <w:jc w:val="center"/>
        <w:rPr>
          <w:rFonts w:ascii="Times New Roman" w:eastAsia="Times New Roman" w:hAnsi="Times New Roman" w:cs="Times New Roman"/>
          <w:color w:val="000000"/>
          <w:sz w:val="26"/>
          <w:szCs w:val="26"/>
          <w:lang w:val="es-ES" w:eastAsia="ar-SA"/>
        </w:rPr>
      </w:pPr>
      <w:r w:rsidRPr="00886CEB">
        <w:rPr>
          <w:rFonts w:ascii="Times New Roman" w:eastAsia="Times New Roman" w:hAnsi="Times New Roman" w:cs="Times New Roman"/>
          <w:color w:val="000000"/>
          <w:sz w:val="26"/>
          <w:szCs w:val="26"/>
          <w:lang w:val="es-ES" w:eastAsia="ar-SA"/>
        </w:rPr>
        <w:t xml:space="preserve">- 0 -  </w:t>
      </w:r>
    </w:p>
    <w:p w14:paraId="6ED21F05" w14:textId="77777777" w:rsidR="00EF57CF" w:rsidRPr="00886CEB" w:rsidRDefault="00EF57CF" w:rsidP="00EF57CF">
      <w:pPr>
        <w:suppressAutoHyphens/>
        <w:autoSpaceDE w:val="0"/>
        <w:autoSpaceDN w:val="0"/>
        <w:adjustRightInd w:val="0"/>
        <w:spacing w:after="0" w:line="240" w:lineRule="auto"/>
        <w:jc w:val="center"/>
        <w:rPr>
          <w:rFonts w:ascii="Times New Roman" w:eastAsia="Times New Roman" w:hAnsi="Times New Roman" w:cs="Times New Roman"/>
          <w:color w:val="000000"/>
          <w:sz w:val="26"/>
          <w:szCs w:val="26"/>
          <w:lang w:val="es-ES" w:eastAsia="ar-SA"/>
        </w:rPr>
      </w:pPr>
    </w:p>
    <w:p w14:paraId="0DFCEA12" w14:textId="77777777" w:rsidR="00EF57CF" w:rsidRPr="00886CEB" w:rsidRDefault="00EF57CF" w:rsidP="00EF57CF">
      <w:pPr>
        <w:suppressAutoHyphens/>
        <w:spacing w:after="0" w:line="240" w:lineRule="auto"/>
        <w:ind w:firstLine="708"/>
        <w:jc w:val="both"/>
        <w:rPr>
          <w:rFonts w:ascii="Times New Roman" w:eastAsia="Times New Roman" w:hAnsi="Times New Roman" w:cs="Times New Roman"/>
          <w:sz w:val="26"/>
          <w:szCs w:val="26"/>
          <w:lang w:val="es-ES" w:eastAsia="ar-SA"/>
        </w:rPr>
      </w:pPr>
      <w:r w:rsidRPr="00886CEB">
        <w:rPr>
          <w:rFonts w:ascii="Times New Roman" w:eastAsia="Times New Roman" w:hAnsi="Times New Roman" w:cs="Times New Roman"/>
          <w:sz w:val="26"/>
          <w:szCs w:val="26"/>
          <w:lang w:val="es-ES" w:eastAsia="ar-SA"/>
        </w:rPr>
        <w:t xml:space="preserve">Previamente a resolver el oficio N° 697-DTI-2021 de 23 de abril de 2021, suscrito por la licenciada Kattia Morales Navarro, Directora de Tecnología de la Información, en cuanto a la estimación presupuestaria para la  “Actualización del Análisis del Leasing como Modalidad de Inversión en Equipo de Cómputo para el Poder Judicial”, con el fin de determinar la necesidad de adquirir este recurso, según la </w:t>
      </w:r>
      <w:r w:rsidRPr="00886CEB">
        <w:rPr>
          <w:rFonts w:ascii="Times New Roman" w:eastAsia="Times New Roman" w:hAnsi="Times New Roman" w:cs="Times New Roman"/>
          <w:sz w:val="26"/>
          <w:szCs w:val="26"/>
          <w:lang w:val="es-ES" w:eastAsia="es-CR"/>
        </w:rPr>
        <w:t xml:space="preserve">relación de puestos existentes en la institución, en el tanto a los puestos a los que les sea asignado dicho equipo se encuentren respaldados por el  protocolo establecido mediante sesión N° </w:t>
      </w:r>
      <w:r w:rsidRPr="00886CEB">
        <w:rPr>
          <w:rFonts w:ascii="Times New Roman" w:eastAsia="Times New Roman" w:hAnsi="Times New Roman" w:cs="Times New Roman"/>
          <w:color w:val="201F1E"/>
          <w:sz w:val="26"/>
          <w:szCs w:val="26"/>
          <w:bdr w:val="none" w:sz="0" w:space="0" w:color="auto" w:frame="1"/>
          <w:lang w:val="es-MX" w:eastAsia="es-MX"/>
        </w:rPr>
        <w:t>8-2021 celebrada el 28 de enero de 2021, artículo XXXVIII, así publicado mediante circular N° 46-2021, denominada “Adición al Programa de Teletrabajo de los puestos que pueden o no prestar el servicio bajo esa modalidad”,</w:t>
      </w:r>
      <w:r w:rsidRPr="00886CEB">
        <w:rPr>
          <w:rFonts w:ascii="Times New Roman" w:eastAsia="Times New Roman" w:hAnsi="Times New Roman" w:cs="Times New Roman"/>
          <w:sz w:val="26"/>
          <w:szCs w:val="26"/>
          <w:lang w:val="es-ES" w:eastAsia="es-CR"/>
        </w:rPr>
        <w:t xml:space="preserve"> tomando en cuenta que deben tener la condición </w:t>
      </w:r>
      <w:proofErr w:type="spellStart"/>
      <w:r w:rsidRPr="00886CEB">
        <w:rPr>
          <w:rFonts w:ascii="Times New Roman" w:eastAsia="Times New Roman" w:hAnsi="Times New Roman" w:cs="Times New Roman"/>
          <w:sz w:val="26"/>
          <w:szCs w:val="26"/>
          <w:lang w:val="es-ES" w:eastAsia="es-CR"/>
        </w:rPr>
        <w:t>teletrabajable</w:t>
      </w:r>
      <w:proofErr w:type="spellEnd"/>
      <w:r w:rsidRPr="00886CEB">
        <w:rPr>
          <w:rFonts w:ascii="Times New Roman" w:eastAsia="Times New Roman" w:hAnsi="Times New Roman" w:cs="Times New Roman"/>
          <w:sz w:val="26"/>
          <w:szCs w:val="26"/>
          <w:lang w:val="es-ES" w:eastAsia="es-CR"/>
        </w:rPr>
        <w:t xml:space="preserve">, para que de esta manera exista un aprovechamiento real del recurso tecnológico y se justifique su compra, </w:t>
      </w:r>
      <w:r w:rsidRPr="00886CEB">
        <w:rPr>
          <w:rFonts w:ascii="Times New Roman" w:eastAsia="Times New Roman" w:hAnsi="Times New Roman" w:cs="Times New Roman"/>
          <w:b/>
          <w:bCs/>
          <w:sz w:val="26"/>
          <w:szCs w:val="26"/>
          <w:lang w:val="es-ES" w:eastAsia="ar-SA"/>
        </w:rPr>
        <w:t>se acuerda</w:t>
      </w:r>
      <w:r w:rsidRPr="00886CEB">
        <w:rPr>
          <w:rFonts w:ascii="Times New Roman" w:eastAsia="Times New Roman" w:hAnsi="Times New Roman" w:cs="Times New Roman"/>
          <w:sz w:val="26"/>
          <w:szCs w:val="26"/>
          <w:lang w:val="es-ES" w:eastAsia="ar-SA"/>
        </w:rPr>
        <w:t xml:space="preserve">: </w:t>
      </w:r>
      <w:r w:rsidRPr="00886CEB">
        <w:rPr>
          <w:rFonts w:ascii="Times New Roman" w:eastAsia="Times New Roman" w:hAnsi="Times New Roman" w:cs="Times New Roman"/>
          <w:b/>
          <w:bCs/>
          <w:sz w:val="26"/>
          <w:szCs w:val="26"/>
          <w:lang w:val="es-ES" w:eastAsia="ar-SA"/>
        </w:rPr>
        <w:t>1.)</w:t>
      </w:r>
      <w:r w:rsidRPr="00886CEB">
        <w:rPr>
          <w:rFonts w:ascii="Times New Roman" w:eastAsia="Times New Roman" w:hAnsi="Times New Roman" w:cs="Times New Roman"/>
          <w:sz w:val="26"/>
          <w:szCs w:val="26"/>
          <w:lang w:val="es-ES" w:eastAsia="ar-SA"/>
        </w:rPr>
        <w:t xml:space="preserve"> Trasladar a la Dirección de Tecnología de la Información el correo electrónico de 29 de abril de 2021, suscrito por el licenciado Juan Gabriel Mena, Araya, Profesional Administrativo de la Unidad de Investigación y Control de la Calidad de la Dirección de Gestión Humana, para que a la brevedad remita criterio técnico sobre el escenario ideal para la compra del equipo de cómputo. Lo anterior, para que sea conocido en la sesión de este Consejo Superior que se llevará a cabo el viernes 30 de abril de 2021, a las 9:00 horas.</w:t>
      </w:r>
    </w:p>
    <w:p w14:paraId="3AAC73B4" w14:textId="77777777" w:rsidR="00EF57CF" w:rsidRPr="00886CEB" w:rsidRDefault="00EF57CF" w:rsidP="00EF57CF">
      <w:pPr>
        <w:suppressAutoHyphens/>
        <w:spacing w:after="0" w:line="240" w:lineRule="auto"/>
        <w:rPr>
          <w:rFonts w:ascii="Times New Roman" w:eastAsia="Times New Roman" w:hAnsi="Times New Roman" w:cs="Times New Roman"/>
          <w:sz w:val="26"/>
          <w:szCs w:val="26"/>
          <w:lang w:val="es-ES" w:eastAsia="ar-SA"/>
        </w:rPr>
      </w:pPr>
    </w:p>
    <w:p w14:paraId="04DF9EF4" w14:textId="77777777" w:rsidR="00EF57CF" w:rsidRPr="00886CEB" w:rsidRDefault="00EF57CF" w:rsidP="00EF57CF">
      <w:pPr>
        <w:suppressAutoHyphens/>
        <w:spacing w:after="0" w:line="240" w:lineRule="auto"/>
        <w:ind w:firstLine="708"/>
        <w:jc w:val="both"/>
        <w:rPr>
          <w:rFonts w:ascii="Times New Roman" w:eastAsia="Times New Roman" w:hAnsi="Times New Roman" w:cs="Times New Roman"/>
          <w:b/>
          <w:bCs/>
          <w:sz w:val="26"/>
          <w:szCs w:val="26"/>
          <w:lang w:val="es-ES" w:eastAsia="ar-SA"/>
        </w:rPr>
      </w:pPr>
      <w:r w:rsidRPr="00886CEB">
        <w:rPr>
          <w:rFonts w:ascii="Times New Roman" w:eastAsia="Times New Roman" w:hAnsi="Times New Roman" w:cs="Times New Roman"/>
          <w:sz w:val="26"/>
          <w:szCs w:val="26"/>
          <w:lang w:val="es-ES" w:eastAsia="ar-SA"/>
        </w:rPr>
        <w:t xml:space="preserve">La Dirección de Tecnología de la Información y la Dirección de Gestión Humana, tomarán nota para los fines consiguientes. </w:t>
      </w:r>
      <w:r w:rsidRPr="00886CEB">
        <w:rPr>
          <w:rFonts w:ascii="Times New Roman" w:eastAsia="Times New Roman" w:hAnsi="Times New Roman" w:cs="Times New Roman"/>
          <w:b/>
          <w:bCs/>
          <w:sz w:val="26"/>
          <w:szCs w:val="26"/>
          <w:lang w:val="es-ES" w:eastAsia="ar-SA"/>
        </w:rPr>
        <w:t>Se declara acuerdo firme.</w:t>
      </w:r>
      <w:r w:rsidRPr="00886CEB">
        <w:rPr>
          <w:rFonts w:ascii="Times New Roman" w:eastAsia="Times New Roman" w:hAnsi="Times New Roman" w:cs="Times New Roman"/>
          <w:sz w:val="26"/>
          <w:szCs w:val="26"/>
          <w:lang w:val="es-ES" w:eastAsia="ar-SA"/>
        </w:rPr>
        <w:t>”</w:t>
      </w:r>
    </w:p>
    <w:p w14:paraId="11E1B2F6" w14:textId="77777777" w:rsidR="00EF57CF" w:rsidRPr="00886CEB" w:rsidRDefault="00EF57CF" w:rsidP="00EF57CF">
      <w:pPr>
        <w:autoSpaceDE w:val="0"/>
        <w:autoSpaceDN w:val="0"/>
        <w:adjustRightInd w:val="0"/>
        <w:spacing w:after="0" w:line="240" w:lineRule="auto"/>
        <w:ind w:left="851" w:right="851" w:firstLine="709"/>
        <w:jc w:val="both"/>
        <w:rPr>
          <w:rFonts w:ascii="Times New Roman" w:eastAsia="Times New Roman" w:hAnsi="Times New Roman" w:cs="Times New Roman"/>
          <w:color w:val="000000"/>
          <w:sz w:val="26"/>
          <w:szCs w:val="26"/>
          <w:lang w:eastAsia="es-CR"/>
        </w:rPr>
      </w:pPr>
    </w:p>
    <w:p w14:paraId="1A9B4350" w14:textId="77777777" w:rsidR="00EF57CF" w:rsidRPr="00886CEB" w:rsidRDefault="00EF57CF" w:rsidP="00EF57CF">
      <w:pPr>
        <w:autoSpaceDE w:val="0"/>
        <w:autoSpaceDN w:val="0"/>
        <w:adjustRightInd w:val="0"/>
        <w:spacing w:after="0" w:line="240" w:lineRule="auto"/>
        <w:ind w:left="851" w:right="851" w:firstLine="709"/>
        <w:jc w:val="both"/>
        <w:rPr>
          <w:rFonts w:ascii="Times New Roman" w:eastAsia="Times New Roman" w:hAnsi="Times New Roman" w:cs="Times New Roman"/>
          <w:color w:val="000000"/>
          <w:sz w:val="26"/>
          <w:szCs w:val="26"/>
          <w:lang w:eastAsia="es-CR"/>
        </w:rPr>
      </w:pPr>
    </w:p>
    <w:p w14:paraId="51721387" w14:textId="77777777" w:rsidR="00EF57CF" w:rsidRPr="00886CEB" w:rsidRDefault="00EF57CF" w:rsidP="00EF57CF">
      <w:pPr>
        <w:autoSpaceDE w:val="0"/>
        <w:autoSpaceDN w:val="0"/>
        <w:adjustRightInd w:val="0"/>
        <w:spacing w:after="0" w:line="480" w:lineRule="auto"/>
        <w:jc w:val="center"/>
        <w:rPr>
          <w:rFonts w:ascii="Times New Roman" w:eastAsia="Times New Roman" w:hAnsi="Times New Roman" w:cs="Times New Roman"/>
          <w:b/>
          <w:bCs/>
          <w:color w:val="000000"/>
          <w:kern w:val="36"/>
          <w:sz w:val="28"/>
          <w:szCs w:val="28"/>
          <w:u w:val="single"/>
          <w:lang w:val="es-ES" w:eastAsia="es-ES"/>
        </w:rPr>
      </w:pPr>
      <w:r w:rsidRPr="00886CEB">
        <w:rPr>
          <w:rFonts w:ascii="Times New Roman" w:eastAsia="Times New Roman" w:hAnsi="Times New Roman" w:cs="Times New Roman"/>
          <w:b/>
          <w:bCs/>
          <w:color w:val="000000"/>
          <w:kern w:val="36"/>
          <w:sz w:val="28"/>
          <w:szCs w:val="28"/>
          <w:lang w:val="es-ES" w:eastAsia="es-ES"/>
        </w:rPr>
        <w:t>- 0 -</w:t>
      </w:r>
    </w:p>
    <w:p w14:paraId="2063F61D" w14:textId="77777777" w:rsidR="00EF57CF" w:rsidRPr="00886CEB" w:rsidRDefault="00EF57CF" w:rsidP="00EF57CF">
      <w:pPr>
        <w:autoSpaceDE w:val="0"/>
        <w:autoSpaceDN w:val="0"/>
        <w:adjustRightInd w:val="0"/>
        <w:spacing w:after="0" w:line="480" w:lineRule="auto"/>
        <w:ind w:firstLine="708"/>
        <w:jc w:val="both"/>
        <w:rPr>
          <w:rFonts w:ascii="Times New Roman" w:eastAsia="Times New Roman" w:hAnsi="Times New Roman" w:cs="Times New Roman"/>
          <w:color w:val="000000"/>
          <w:sz w:val="28"/>
          <w:szCs w:val="28"/>
          <w:lang w:eastAsia="es-CR"/>
        </w:rPr>
      </w:pPr>
      <w:r w:rsidRPr="00886CEB">
        <w:rPr>
          <w:rFonts w:ascii="Times New Roman" w:eastAsia="Times New Roman" w:hAnsi="Times New Roman" w:cs="Times New Roman"/>
          <w:color w:val="000000"/>
          <w:sz w:val="28"/>
          <w:szCs w:val="28"/>
          <w:lang w:eastAsia="es-CR"/>
        </w:rPr>
        <w:lastRenderedPageBreak/>
        <w:t>La máster Kattia Morales Navarro, Directora de la Dirección de Tecnología de la Información y Comunicaciones, mediante correo electrónico del 29 de abril informó:</w:t>
      </w:r>
    </w:p>
    <w:p w14:paraId="35E588BC" w14:textId="77777777" w:rsidR="00EF57CF" w:rsidRPr="00886CEB" w:rsidRDefault="00EF57CF" w:rsidP="00EF57CF">
      <w:pPr>
        <w:autoSpaceDE w:val="0"/>
        <w:autoSpaceDN w:val="0"/>
        <w:adjustRightInd w:val="0"/>
        <w:spacing w:after="0" w:line="240" w:lineRule="auto"/>
        <w:ind w:left="851" w:right="851" w:firstLine="709"/>
        <w:jc w:val="both"/>
        <w:rPr>
          <w:rFonts w:ascii="Times New Roman" w:eastAsia="Times New Roman" w:hAnsi="Times New Roman" w:cs="Times New Roman"/>
          <w:color w:val="000000"/>
          <w:sz w:val="26"/>
          <w:szCs w:val="26"/>
          <w:lang w:eastAsia="es-CR"/>
        </w:rPr>
      </w:pPr>
      <w:r w:rsidRPr="00886CEB">
        <w:rPr>
          <w:rFonts w:ascii="Times New Roman" w:eastAsia="Times New Roman" w:hAnsi="Times New Roman" w:cs="Times New Roman"/>
          <w:color w:val="000000"/>
          <w:sz w:val="26"/>
          <w:szCs w:val="26"/>
          <w:lang w:eastAsia="es-CR"/>
        </w:rPr>
        <w:t xml:space="preserve">“(…), este es el mismo </w:t>
      </w:r>
      <w:proofErr w:type="spellStart"/>
      <w:r w:rsidRPr="00886CEB">
        <w:rPr>
          <w:rFonts w:ascii="Times New Roman" w:eastAsia="Times New Roman" w:hAnsi="Times New Roman" w:cs="Times New Roman"/>
          <w:color w:val="000000"/>
          <w:sz w:val="26"/>
          <w:szCs w:val="26"/>
          <w:lang w:eastAsia="es-CR"/>
        </w:rPr>
        <w:t>excel</w:t>
      </w:r>
      <w:proofErr w:type="spellEnd"/>
      <w:r w:rsidRPr="00886CEB">
        <w:rPr>
          <w:rFonts w:ascii="Times New Roman" w:eastAsia="Times New Roman" w:hAnsi="Times New Roman" w:cs="Times New Roman"/>
          <w:color w:val="000000"/>
          <w:sz w:val="26"/>
          <w:szCs w:val="26"/>
          <w:lang w:eastAsia="es-CR"/>
        </w:rPr>
        <w:t xml:space="preserve"> con tres columnas </w:t>
      </w:r>
      <w:proofErr w:type="spellStart"/>
      <w:r w:rsidRPr="00886CEB">
        <w:rPr>
          <w:rFonts w:ascii="Times New Roman" w:eastAsia="Times New Roman" w:hAnsi="Times New Roman" w:cs="Times New Roman"/>
          <w:color w:val="000000"/>
          <w:sz w:val="26"/>
          <w:szCs w:val="26"/>
          <w:lang w:eastAsia="es-CR"/>
        </w:rPr>
        <w:t>mas</w:t>
      </w:r>
      <w:proofErr w:type="spellEnd"/>
      <w:r w:rsidRPr="00886CEB">
        <w:rPr>
          <w:rFonts w:ascii="Times New Roman" w:eastAsia="Times New Roman" w:hAnsi="Times New Roman" w:cs="Times New Roman"/>
          <w:color w:val="000000"/>
          <w:sz w:val="26"/>
          <w:szCs w:val="26"/>
          <w:lang w:eastAsia="es-CR"/>
        </w:rPr>
        <w:t xml:space="preserve">, una el porcentaje del total de la población por tipo de puesto, luego una propuesta de porcentaje de asignación a esa categoría, por </w:t>
      </w:r>
      <w:proofErr w:type="gramStart"/>
      <w:r w:rsidRPr="00886CEB">
        <w:rPr>
          <w:rFonts w:ascii="Times New Roman" w:eastAsia="Times New Roman" w:hAnsi="Times New Roman" w:cs="Times New Roman"/>
          <w:color w:val="000000"/>
          <w:sz w:val="26"/>
          <w:szCs w:val="26"/>
          <w:lang w:eastAsia="es-CR"/>
        </w:rPr>
        <w:t>ejemplo</w:t>
      </w:r>
      <w:proofErr w:type="gramEnd"/>
      <w:r w:rsidRPr="00886CEB">
        <w:rPr>
          <w:rFonts w:ascii="Times New Roman" w:eastAsia="Times New Roman" w:hAnsi="Times New Roman" w:cs="Times New Roman"/>
          <w:color w:val="000000"/>
          <w:sz w:val="26"/>
          <w:szCs w:val="26"/>
          <w:lang w:eastAsia="es-CR"/>
        </w:rPr>
        <w:t xml:space="preserve"> guardas, custodios es un 0%, técnicos un 30% y profesionales mantener los dispuesto en un 100%, esto nos da un 55% en portátiles. pueden definirse porcentajes menores, solo lo modifico en la tabla.”</w:t>
      </w:r>
    </w:p>
    <w:p w14:paraId="41BB51BD" w14:textId="77777777" w:rsidR="00EF57CF" w:rsidRPr="00886CEB" w:rsidRDefault="00EF57CF" w:rsidP="00EF57CF">
      <w:pPr>
        <w:autoSpaceDE w:val="0"/>
        <w:autoSpaceDN w:val="0"/>
        <w:adjustRightInd w:val="0"/>
        <w:spacing w:after="0" w:line="240" w:lineRule="auto"/>
        <w:jc w:val="both"/>
        <w:rPr>
          <w:rFonts w:ascii="Times New Roman" w:eastAsia="Times New Roman" w:hAnsi="Times New Roman" w:cs="Times New Roman"/>
          <w:color w:val="2F5597"/>
          <w:sz w:val="21"/>
          <w:szCs w:val="21"/>
          <w:shd w:val="clear" w:color="auto" w:fill="FFFFFF"/>
          <w:lang w:eastAsia="es-CR"/>
        </w:rPr>
      </w:pPr>
    </w:p>
    <w:p w14:paraId="4A3B9767" w14:textId="77777777" w:rsidR="00EF57CF" w:rsidRPr="00886CEB" w:rsidRDefault="00EF57CF" w:rsidP="00EF57CF">
      <w:pPr>
        <w:autoSpaceDE w:val="0"/>
        <w:autoSpaceDN w:val="0"/>
        <w:adjustRightInd w:val="0"/>
        <w:spacing w:after="0" w:line="240" w:lineRule="auto"/>
        <w:jc w:val="center"/>
        <w:rPr>
          <w:rFonts w:ascii="Times New Roman" w:eastAsia="Times New Roman" w:hAnsi="Times New Roman" w:cs="Times New Roman"/>
          <w:b/>
          <w:bCs/>
          <w:color w:val="000000"/>
          <w:kern w:val="36"/>
          <w:sz w:val="28"/>
          <w:szCs w:val="28"/>
          <w:lang w:val="es-ES" w:eastAsia="es-ES"/>
        </w:rPr>
      </w:pPr>
      <w:r w:rsidRPr="00886CEB">
        <w:rPr>
          <w:rFonts w:ascii="Times New Roman" w:eastAsia="Times New Roman" w:hAnsi="Times New Roman" w:cs="Times New Roman"/>
          <w:b/>
          <w:bCs/>
          <w:color w:val="000000"/>
          <w:kern w:val="36"/>
          <w:sz w:val="28"/>
          <w:szCs w:val="28"/>
          <w:lang w:val="es-ES" w:eastAsia="es-ES"/>
        </w:rPr>
        <w:object w:dxaOrig="1546" w:dyaOrig="1001" w14:anchorId="16A172B1">
          <v:shape id="_x0000_i1168" type="#_x0000_t75" style="width:76.5pt;height:49.5pt" o:ole="">
            <v:imagedata r:id="rId400" o:title=""/>
          </v:shape>
          <o:OLEObject Type="Embed" ProgID="Excel.Sheet.12" ShapeID="_x0000_i1168" DrawAspect="Icon" ObjectID="_1684067111" r:id="rId401"/>
        </w:object>
      </w:r>
    </w:p>
    <w:p w14:paraId="6B2C18CA" w14:textId="77777777" w:rsidR="00EF57CF" w:rsidRPr="00886CEB" w:rsidRDefault="00EF57CF" w:rsidP="00EF57CF">
      <w:pPr>
        <w:autoSpaceDE w:val="0"/>
        <w:autoSpaceDN w:val="0"/>
        <w:adjustRightInd w:val="0"/>
        <w:spacing w:after="0" w:line="240" w:lineRule="auto"/>
        <w:jc w:val="center"/>
        <w:rPr>
          <w:rFonts w:ascii="Times New Roman" w:eastAsia="Times New Roman" w:hAnsi="Times New Roman" w:cs="Times New Roman"/>
          <w:b/>
          <w:bCs/>
          <w:color w:val="000000"/>
          <w:kern w:val="36"/>
          <w:sz w:val="28"/>
          <w:szCs w:val="28"/>
          <w:lang w:val="es-ES" w:eastAsia="es-ES"/>
        </w:rPr>
      </w:pPr>
      <w:r w:rsidRPr="00886CEB">
        <w:rPr>
          <w:rFonts w:ascii="Times New Roman" w:eastAsia="Times New Roman" w:hAnsi="Times New Roman" w:cs="Times New Roman"/>
          <w:b/>
          <w:bCs/>
          <w:color w:val="000000"/>
          <w:kern w:val="36"/>
          <w:sz w:val="28"/>
          <w:szCs w:val="28"/>
          <w:lang w:val="es-ES" w:eastAsia="es-ES"/>
        </w:rPr>
        <w:t xml:space="preserve">- 0 -  </w:t>
      </w:r>
    </w:p>
    <w:p w14:paraId="15BFFD70" w14:textId="77777777" w:rsidR="00EF57CF" w:rsidRPr="00886CEB" w:rsidRDefault="00EF57CF" w:rsidP="00EF57CF">
      <w:pPr>
        <w:autoSpaceDE w:val="0"/>
        <w:autoSpaceDN w:val="0"/>
        <w:adjustRightInd w:val="0"/>
        <w:spacing w:after="0" w:line="240" w:lineRule="auto"/>
        <w:jc w:val="center"/>
        <w:rPr>
          <w:rFonts w:ascii="Times New Roman" w:eastAsia="Times New Roman" w:hAnsi="Times New Roman" w:cs="Times New Roman"/>
          <w:b/>
          <w:bCs/>
          <w:color w:val="000000"/>
          <w:kern w:val="36"/>
          <w:sz w:val="28"/>
          <w:szCs w:val="28"/>
          <w:u w:val="single"/>
          <w:lang w:val="es-ES" w:eastAsia="es-ES"/>
        </w:rPr>
      </w:pPr>
    </w:p>
    <w:p w14:paraId="016A7580" w14:textId="77777777" w:rsidR="00EF57CF" w:rsidRPr="00886CEB" w:rsidRDefault="00EF57CF" w:rsidP="00EF57CF">
      <w:pPr>
        <w:autoSpaceDE w:val="0"/>
        <w:autoSpaceDN w:val="0"/>
        <w:adjustRightInd w:val="0"/>
        <w:spacing w:after="0" w:line="480" w:lineRule="auto"/>
        <w:ind w:firstLine="708"/>
        <w:jc w:val="both"/>
        <w:rPr>
          <w:rFonts w:ascii="Times New Roman" w:eastAsia="Times New Roman" w:hAnsi="Times New Roman" w:cs="Times New Roman"/>
          <w:color w:val="000000"/>
          <w:sz w:val="28"/>
          <w:szCs w:val="28"/>
          <w:lang w:eastAsia="es-CR"/>
        </w:rPr>
      </w:pPr>
      <w:proofErr w:type="gramStart"/>
      <w:r w:rsidRPr="00886CEB">
        <w:rPr>
          <w:rFonts w:ascii="Times New Roman" w:eastAsia="Times New Roman" w:hAnsi="Times New Roman" w:cs="Times New Roman"/>
          <w:color w:val="000000"/>
          <w:sz w:val="28"/>
          <w:szCs w:val="28"/>
          <w:lang w:eastAsia="es-CR"/>
        </w:rPr>
        <w:t>En razón de</w:t>
      </w:r>
      <w:proofErr w:type="gramEnd"/>
      <w:r w:rsidRPr="00886CEB">
        <w:rPr>
          <w:rFonts w:ascii="Times New Roman" w:eastAsia="Times New Roman" w:hAnsi="Times New Roman" w:cs="Times New Roman"/>
          <w:color w:val="000000"/>
          <w:sz w:val="28"/>
          <w:szCs w:val="28"/>
          <w:lang w:eastAsia="es-CR"/>
        </w:rPr>
        <w:t xml:space="preserve"> lo anterior, mediante correo electrónico del 29 de abril el integrante Carlos Montero Zuñiga expresó:</w:t>
      </w:r>
    </w:p>
    <w:p w14:paraId="6C2A71BC" w14:textId="77777777" w:rsidR="00EF57CF" w:rsidRPr="00886CEB" w:rsidRDefault="00EF57CF" w:rsidP="00EF57CF">
      <w:pPr>
        <w:spacing w:after="0" w:line="240" w:lineRule="auto"/>
        <w:ind w:left="851" w:right="284" w:firstLine="567"/>
        <w:jc w:val="both"/>
        <w:rPr>
          <w:rFonts w:ascii="Times New Roman" w:eastAsia="Times New Roman" w:hAnsi="Times New Roman" w:cs="Times New Roman"/>
          <w:color w:val="000000"/>
          <w:sz w:val="26"/>
          <w:szCs w:val="26"/>
          <w:lang w:eastAsia="es-CR"/>
        </w:rPr>
      </w:pPr>
      <w:r w:rsidRPr="00886CEB">
        <w:rPr>
          <w:rFonts w:ascii="Times New Roman" w:eastAsia="Calibri" w:hAnsi="Times New Roman" w:cs="Times New Roman"/>
          <w:sz w:val="28"/>
          <w:szCs w:val="28"/>
        </w:rPr>
        <w:t>“</w:t>
      </w:r>
      <w:r w:rsidRPr="00886CEB">
        <w:rPr>
          <w:rFonts w:ascii="Times New Roman" w:eastAsia="Times New Roman" w:hAnsi="Times New Roman" w:cs="Times New Roman"/>
          <w:color w:val="000000"/>
          <w:sz w:val="26"/>
          <w:szCs w:val="26"/>
          <w:lang w:eastAsia="es-CR"/>
        </w:rPr>
        <w:t>Con base en esa información parece que se podría justificar el escenario 2 de un 50% de portátiles y 50% en escritorio.  Si optamos por la opción 1 que es la más económica, por razones presupuestarias, deberíamos excluir o reducir la cantidad de portátiles al personal técnico, una opción sería distribuir esas por oficina, para que se usen por las personas que hagan teletrabajo durante los diferentes días.”</w:t>
      </w:r>
    </w:p>
    <w:p w14:paraId="335A2904" w14:textId="77777777" w:rsidR="00EF57CF" w:rsidRPr="00886CEB" w:rsidRDefault="00EF57CF" w:rsidP="00EF57CF">
      <w:pPr>
        <w:spacing w:after="0" w:line="360" w:lineRule="auto"/>
        <w:ind w:left="851" w:right="284" w:firstLine="565"/>
        <w:jc w:val="both"/>
        <w:rPr>
          <w:rFonts w:ascii="Times New Roman" w:eastAsia="Calibri" w:hAnsi="Times New Roman" w:cs="Times New Roman"/>
          <w:sz w:val="28"/>
          <w:szCs w:val="28"/>
        </w:rPr>
      </w:pPr>
    </w:p>
    <w:p w14:paraId="24E45D3D" w14:textId="77777777" w:rsidR="00EF57CF" w:rsidRPr="00886CEB" w:rsidRDefault="00EF57CF" w:rsidP="00EF57CF">
      <w:pPr>
        <w:autoSpaceDE w:val="0"/>
        <w:autoSpaceDN w:val="0"/>
        <w:adjustRightInd w:val="0"/>
        <w:spacing w:after="0" w:line="480" w:lineRule="auto"/>
        <w:ind w:firstLine="708"/>
        <w:jc w:val="both"/>
        <w:rPr>
          <w:rFonts w:ascii="Times New Roman" w:eastAsia="Times New Roman" w:hAnsi="Times New Roman" w:cs="Times New Roman"/>
          <w:color w:val="000000"/>
          <w:sz w:val="28"/>
          <w:szCs w:val="28"/>
          <w:lang w:eastAsia="es-CR"/>
        </w:rPr>
      </w:pPr>
      <w:r w:rsidRPr="00886CEB">
        <w:rPr>
          <w:rFonts w:ascii="Times New Roman" w:eastAsia="Times New Roman" w:hAnsi="Times New Roman" w:cs="Times New Roman"/>
          <w:color w:val="000000"/>
          <w:sz w:val="28"/>
          <w:szCs w:val="28"/>
          <w:lang w:eastAsia="es-CR"/>
        </w:rPr>
        <w:t>Posteriormente, la máster Kattia Morales Navarro, Directora de la Dirección de Tecnología de la Información y Comunicaciones, mediante Oficio 729-DTI-2021, remite adición a lo solicitado en oficio N° 3773-2021, indicando:</w:t>
      </w:r>
    </w:p>
    <w:p w14:paraId="67D9BE61" w14:textId="77777777" w:rsidR="00EF57CF" w:rsidRPr="00886CEB" w:rsidRDefault="00EF57CF" w:rsidP="00EF57CF">
      <w:pPr>
        <w:spacing w:after="0" w:line="240" w:lineRule="auto"/>
        <w:ind w:left="851" w:right="851"/>
        <w:jc w:val="both"/>
        <w:rPr>
          <w:rFonts w:ascii="Times New Roman" w:eastAsia="Times New Roman" w:hAnsi="Times New Roman" w:cs="Times New Roman"/>
          <w:color w:val="000000"/>
          <w:sz w:val="26"/>
          <w:szCs w:val="26"/>
          <w:lang w:eastAsia="es-CR"/>
        </w:rPr>
      </w:pPr>
      <w:r w:rsidRPr="00886CEB">
        <w:rPr>
          <w:rFonts w:ascii="Times New Roman" w:eastAsia="Times New Roman" w:hAnsi="Times New Roman" w:cs="Times New Roman"/>
          <w:color w:val="000000"/>
          <w:sz w:val="26"/>
          <w:szCs w:val="26"/>
          <w:lang w:eastAsia="es-CR"/>
        </w:rPr>
        <w:t>“En atención oficio N° 3773-2021, en el que se transcribe el acuerdo tomado en sesión N° 34-2021</w:t>
      </w:r>
      <w:bookmarkStart w:id="270" w:name="_Toc70349347"/>
      <w:r w:rsidRPr="00886CEB">
        <w:rPr>
          <w:rFonts w:ascii="Times New Roman" w:eastAsia="Times New Roman" w:hAnsi="Times New Roman" w:cs="Times New Roman"/>
          <w:color w:val="000000"/>
          <w:sz w:val="26"/>
          <w:szCs w:val="26"/>
          <w:lang w:eastAsia="es-CR"/>
        </w:rPr>
        <w:t>, ARTÍCULO LVII</w:t>
      </w:r>
      <w:bookmarkEnd w:id="270"/>
      <w:r w:rsidRPr="00886CEB">
        <w:rPr>
          <w:rFonts w:ascii="Times New Roman" w:eastAsia="Times New Roman" w:hAnsi="Times New Roman" w:cs="Times New Roman"/>
          <w:color w:val="000000"/>
          <w:sz w:val="26"/>
          <w:szCs w:val="26"/>
          <w:lang w:eastAsia="es-CR"/>
        </w:rPr>
        <w:t>, en el cual literalmente se indica:</w:t>
      </w:r>
    </w:p>
    <w:p w14:paraId="27698B8C" w14:textId="77777777" w:rsidR="00EF57CF" w:rsidRPr="00886CEB" w:rsidRDefault="00EF57CF" w:rsidP="00EF57CF">
      <w:pPr>
        <w:spacing w:after="0" w:line="240" w:lineRule="auto"/>
        <w:ind w:left="851" w:right="851"/>
        <w:jc w:val="both"/>
        <w:rPr>
          <w:rFonts w:ascii="Times New Roman" w:eastAsia="Times New Roman" w:hAnsi="Times New Roman" w:cs="Times New Roman"/>
          <w:color w:val="000000"/>
          <w:sz w:val="26"/>
          <w:szCs w:val="26"/>
          <w:lang w:eastAsia="es-CR"/>
        </w:rPr>
      </w:pPr>
    </w:p>
    <w:p w14:paraId="171B3A73" w14:textId="77777777" w:rsidR="00EF57CF" w:rsidRPr="00886CEB" w:rsidRDefault="00EF57CF" w:rsidP="00EF57CF">
      <w:pPr>
        <w:spacing w:after="0" w:line="240" w:lineRule="auto"/>
        <w:ind w:left="1134" w:right="1134" w:firstLine="567"/>
        <w:jc w:val="both"/>
        <w:rPr>
          <w:rFonts w:ascii="Times New Roman" w:eastAsia="Times New Roman" w:hAnsi="Times New Roman" w:cs="Times New Roman"/>
          <w:color w:val="000000"/>
          <w:sz w:val="26"/>
          <w:szCs w:val="26"/>
          <w:lang w:eastAsia="es-CR"/>
        </w:rPr>
      </w:pPr>
      <w:r w:rsidRPr="00886CEB">
        <w:rPr>
          <w:rFonts w:ascii="Times New Roman" w:eastAsia="Times New Roman" w:hAnsi="Times New Roman" w:cs="Times New Roman"/>
          <w:color w:val="000000"/>
          <w:sz w:val="26"/>
          <w:szCs w:val="26"/>
          <w:lang w:eastAsia="es-CR"/>
        </w:rPr>
        <w:t xml:space="preserve">“Trasladar a la Dirección de Tecnología de la Información el correo electrónico de 29 de abril de 2021, suscrito por el licenciado Juan </w:t>
      </w:r>
      <w:r w:rsidRPr="00886CEB">
        <w:rPr>
          <w:rFonts w:ascii="Times New Roman" w:eastAsia="Times New Roman" w:hAnsi="Times New Roman" w:cs="Times New Roman"/>
          <w:color w:val="000000"/>
          <w:sz w:val="26"/>
          <w:szCs w:val="26"/>
          <w:lang w:eastAsia="es-CR"/>
        </w:rPr>
        <w:lastRenderedPageBreak/>
        <w:t>Gabriel Mena, Araya, Profesional Administrativo de la Unidad de Investigación y Control de la Calidad de la Dirección de Gestión Humana, para que a la brevedad remita criterio técnico sobre el escenario ideal para la compra del equipo de cómputo. Lo anterior, para que sea conocido en la sesión de este Consejo Superior que se llevará a cabo el viernes 30 de abril de 2021, a las 9:00 horas.”</w:t>
      </w:r>
    </w:p>
    <w:p w14:paraId="0A9E1749" w14:textId="77777777" w:rsidR="00EF57CF" w:rsidRPr="00886CEB" w:rsidRDefault="00EF57CF" w:rsidP="00EF57CF">
      <w:pPr>
        <w:spacing w:after="0" w:line="240" w:lineRule="auto"/>
        <w:ind w:left="851" w:right="851"/>
        <w:jc w:val="both"/>
        <w:rPr>
          <w:rFonts w:ascii="Times New Roman" w:eastAsia="Times New Roman" w:hAnsi="Times New Roman" w:cs="Times New Roman"/>
          <w:color w:val="000000"/>
          <w:sz w:val="26"/>
          <w:szCs w:val="26"/>
          <w:lang w:eastAsia="es-CR"/>
        </w:rPr>
      </w:pPr>
    </w:p>
    <w:p w14:paraId="6DF00643" w14:textId="77777777" w:rsidR="00EF57CF" w:rsidRPr="00886CEB" w:rsidRDefault="00EF57CF" w:rsidP="00EF57CF">
      <w:pPr>
        <w:spacing w:after="0" w:line="240" w:lineRule="auto"/>
        <w:ind w:left="851" w:right="851" w:firstLine="565"/>
        <w:jc w:val="both"/>
        <w:rPr>
          <w:rFonts w:ascii="Times New Roman" w:eastAsia="Times New Roman" w:hAnsi="Times New Roman" w:cs="Times New Roman"/>
          <w:color w:val="000000"/>
          <w:sz w:val="26"/>
          <w:szCs w:val="26"/>
          <w:lang w:eastAsia="es-CR"/>
        </w:rPr>
      </w:pPr>
      <w:r w:rsidRPr="00886CEB">
        <w:rPr>
          <w:rFonts w:ascii="Times New Roman" w:eastAsia="Times New Roman" w:hAnsi="Times New Roman" w:cs="Times New Roman"/>
          <w:color w:val="000000"/>
          <w:sz w:val="26"/>
          <w:szCs w:val="26"/>
          <w:lang w:eastAsia="es-CR"/>
        </w:rPr>
        <w:t xml:space="preserve">Al respecto, se indica que en la cantidad de puestos señalados en el informe del señor Mena Araya, se omitieron aproximadamente 3000 puestos, no obstante, se realizó el análisis correspondiente con los datos adjuntos.  Se anexa la tabla con la cantidad de puestos, a la cual se le sumaron tres columnas, una con el porcentaje de la población respecto al total, otra con un porcentaje sugerido de personas de esa categoría que podrían estar en teletrabajo, ante lo que se establece un 30 por ciento en puestos no profesionales </w:t>
      </w:r>
      <w:proofErr w:type="spellStart"/>
      <w:r w:rsidRPr="00886CEB">
        <w:rPr>
          <w:rFonts w:ascii="Times New Roman" w:eastAsia="Times New Roman" w:hAnsi="Times New Roman" w:cs="Times New Roman"/>
          <w:color w:val="000000"/>
          <w:sz w:val="26"/>
          <w:szCs w:val="26"/>
          <w:lang w:eastAsia="es-CR"/>
        </w:rPr>
        <w:t>teletrabajables</w:t>
      </w:r>
      <w:proofErr w:type="spellEnd"/>
      <w:r w:rsidRPr="00886CEB">
        <w:rPr>
          <w:rFonts w:ascii="Times New Roman" w:eastAsia="Times New Roman" w:hAnsi="Times New Roman" w:cs="Times New Roman"/>
          <w:color w:val="000000"/>
          <w:sz w:val="26"/>
          <w:szCs w:val="26"/>
          <w:lang w:eastAsia="es-CR"/>
        </w:rPr>
        <w:t xml:space="preserve"> y un 100 por ciento en puestos profesionales, estos valores pueden variarse según lo que establezca el estimable Consejo Superior. Con estos valores se obtiene un recomendado del 55% en computadoras portátiles.” </w:t>
      </w:r>
    </w:p>
    <w:p w14:paraId="2C2D21C4" w14:textId="77777777" w:rsidR="00EF57CF" w:rsidRPr="00886CEB" w:rsidRDefault="00EF57CF" w:rsidP="00EF57CF">
      <w:pPr>
        <w:spacing w:after="0" w:line="240" w:lineRule="auto"/>
        <w:ind w:left="851" w:right="851"/>
        <w:jc w:val="both"/>
        <w:rPr>
          <w:rFonts w:ascii="Times New Roman" w:eastAsia="Times New Roman" w:hAnsi="Times New Roman" w:cs="Times New Roman"/>
          <w:color w:val="000000"/>
          <w:sz w:val="26"/>
          <w:szCs w:val="26"/>
          <w:lang w:eastAsia="es-CR"/>
        </w:rPr>
      </w:pPr>
    </w:p>
    <w:p w14:paraId="5A75258E" w14:textId="77777777" w:rsidR="00EF57CF" w:rsidRPr="00886CEB" w:rsidRDefault="00EF57CF" w:rsidP="00EF57CF">
      <w:pPr>
        <w:autoSpaceDE w:val="0"/>
        <w:autoSpaceDN w:val="0"/>
        <w:adjustRightInd w:val="0"/>
        <w:spacing w:after="0" w:line="480" w:lineRule="auto"/>
        <w:jc w:val="center"/>
        <w:rPr>
          <w:rFonts w:ascii="Times New Roman" w:eastAsia="Times New Roman" w:hAnsi="Times New Roman" w:cs="Times New Roman"/>
          <w:b/>
          <w:bCs/>
          <w:color w:val="FF0000"/>
          <w:sz w:val="36"/>
          <w:szCs w:val="36"/>
          <w:lang w:eastAsia="es-CR"/>
        </w:rPr>
      </w:pPr>
      <w:r w:rsidRPr="00886CEB">
        <w:rPr>
          <w:rFonts w:ascii="Times New Roman" w:eastAsia="Times New Roman" w:hAnsi="Times New Roman" w:cs="Times New Roman"/>
          <w:b/>
          <w:bCs/>
          <w:color w:val="FF0000"/>
          <w:sz w:val="36"/>
          <w:szCs w:val="36"/>
          <w:lang w:eastAsia="es-CR"/>
        </w:rPr>
        <w:object w:dxaOrig="1309" w:dyaOrig="850" w14:anchorId="4AB9C126">
          <v:shape id="_x0000_i1169" type="#_x0000_t75" style="width:68.25pt;height:43.5pt" o:ole="">
            <v:imagedata r:id="rId402" o:title=""/>
          </v:shape>
          <o:OLEObject Type="Embed" ProgID="Excel.Sheet.12" ShapeID="_x0000_i1169" DrawAspect="Icon" ObjectID="_1684067112" r:id="rId403"/>
        </w:object>
      </w:r>
    </w:p>
    <w:p w14:paraId="5B2EB21E" w14:textId="77777777" w:rsidR="00EF57CF" w:rsidRPr="00886CEB" w:rsidRDefault="00EF57CF" w:rsidP="00EF57CF">
      <w:pPr>
        <w:autoSpaceDE w:val="0"/>
        <w:autoSpaceDN w:val="0"/>
        <w:adjustRightInd w:val="0"/>
        <w:spacing w:after="0" w:line="480" w:lineRule="auto"/>
        <w:jc w:val="center"/>
        <w:rPr>
          <w:rFonts w:ascii="Times New Roman" w:eastAsia="Times New Roman" w:hAnsi="Times New Roman" w:cs="Times New Roman"/>
          <w:b/>
          <w:bCs/>
          <w:color w:val="000000"/>
          <w:kern w:val="36"/>
          <w:sz w:val="28"/>
          <w:szCs w:val="28"/>
          <w:u w:val="single"/>
          <w:lang w:val="es-ES" w:eastAsia="es-ES"/>
        </w:rPr>
      </w:pPr>
      <w:r w:rsidRPr="00886CEB">
        <w:rPr>
          <w:rFonts w:ascii="Times New Roman" w:eastAsia="Times New Roman" w:hAnsi="Times New Roman" w:cs="Times New Roman"/>
          <w:b/>
          <w:bCs/>
          <w:color w:val="000000"/>
          <w:kern w:val="36"/>
          <w:sz w:val="28"/>
          <w:szCs w:val="28"/>
          <w:lang w:val="es-ES" w:eastAsia="es-ES"/>
        </w:rPr>
        <w:t>- 0 -</w:t>
      </w:r>
    </w:p>
    <w:p w14:paraId="29741A91" w14:textId="77777777" w:rsidR="00EF57CF" w:rsidRPr="00886CEB" w:rsidRDefault="00EF57CF" w:rsidP="00EF57CF">
      <w:pPr>
        <w:autoSpaceDE w:val="0"/>
        <w:autoSpaceDN w:val="0"/>
        <w:adjustRightInd w:val="0"/>
        <w:spacing w:after="0" w:line="480" w:lineRule="auto"/>
        <w:ind w:firstLine="708"/>
        <w:jc w:val="both"/>
        <w:rPr>
          <w:rFonts w:ascii="Times New Roman" w:eastAsia="Times New Roman" w:hAnsi="Times New Roman" w:cs="Times New Roman"/>
          <w:color w:val="000000"/>
          <w:sz w:val="28"/>
          <w:szCs w:val="28"/>
          <w:shd w:val="clear" w:color="auto" w:fill="FFFFFF"/>
          <w:lang w:eastAsia="es-CR"/>
        </w:rPr>
      </w:pPr>
      <w:r w:rsidRPr="00886CEB">
        <w:rPr>
          <w:rFonts w:ascii="Times New Roman" w:eastAsia="Times New Roman" w:hAnsi="Times New Roman" w:cs="Times New Roman"/>
          <w:color w:val="000000"/>
          <w:sz w:val="28"/>
          <w:szCs w:val="28"/>
          <w:shd w:val="clear" w:color="auto" w:fill="FFFFFF"/>
          <w:lang w:eastAsia="es-CR"/>
        </w:rPr>
        <w:t xml:space="preserve">Indica el Integrante Bonilla Garro: “El escenario más austero es el que   permite dotar de algunas computadoras portátiles para que sean rotados, por ejemplo, a algunos puestos que eventualmente no hacen teletrabajo, como técnicos y secretarias me parece, no se le está dando computadoras a </w:t>
      </w:r>
      <w:proofErr w:type="gramStart"/>
      <w:r w:rsidRPr="00886CEB">
        <w:rPr>
          <w:rFonts w:ascii="Times New Roman" w:eastAsia="Times New Roman" w:hAnsi="Times New Roman" w:cs="Times New Roman"/>
          <w:color w:val="000000"/>
          <w:sz w:val="28"/>
          <w:szCs w:val="28"/>
          <w:shd w:val="clear" w:color="auto" w:fill="FFFFFF"/>
          <w:lang w:eastAsia="es-CR"/>
        </w:rPr>
        <w:t>todas ese personal</w:t>
      </w:r>
      <w:proofErr w:type="gramEnd"/>
      <w:r w:rsidRPr="00886CEB">
        <w:rPr>
          <w:rFonts w:ascii="Times New Roman" w:eastAsia="Times New Roman" w:hAnsi="Times New Roman" w:cs="Times New Roman"/>
          <w:color w:val="000000"/>
          <w:sz w:val="28"/>
          <w:szCs w:val="28"/>
          <w:shd w:val="clear" w:color="auto" w:fill="FFFFFF"/>
          <w:lang w:eastAsia="es-CR"/>
        </w:rPr>
        <w:t xml:space="preserve">, pero se les está dejando por oficina una cuantas para que puedan ser rotadas al personal. El de 50 50 si </w:t>
      </w:r>
      <w:proofErr w:type="gramStart"/>
      <w:r w:rsidRPr="00886CEB">
        <w:rPr>
          <w:rFonts w:ascii="Times New Roman" w:eastAsia="Times New Roman" w:hAnsi="Times New Roman" w:cs="Times New Roman"/>
          <w:color w:val="000000"/>
          <w:sz w:val="28"/>
          <w:szCs w:val="28"/>
          <w:shd w:val="clear" w:color="auto" w:fill="FFFFFF"/>
          <w:lang w:eastAsia="es-CR"/>
        </w:rPr>
        <w:t>implicaría</w:t>
      </w:r>
      <w:proofErr w:type="gramEnd"/>
      <w:r w:rsidRPr="00886CEB">
        <w:rPr>
          <w:rFonts w:ascii="Times New Roman" w:eastAsia="Times New Roman" w:hAnsi="Times New Roman" w:cs="Times New Roman"/>
          <w:color w:val="000000"/>
          <w:sz w:val="28"/>
          <w:szCs w:val="28"/>
          <w:shd w:val="clear" w:color="auto" w:fill="FFFFFF"/>
          <w:lang w:eastAsia="es-CR"/>
        </w:rPr>
        <w:t xml:space="preserve"> una masificación a esos puestos de dotarlos de computadoras que en este punto </w:t>
      </w:r>
      <w:r w:rsidRPr="00886CEB">
        <w:rPr>
          <w:rFonts w:ascii="Times New Roman" w:eastAsia="Times New Roman" w:hAnsi="Times New Roman" w:cs="Times New Roman"/>
          <w:color w:val="000000"/>
          <w:sz w:val="28"/>
          <w:szCs w:val="28"/>
          <w:shd w:val="clear" w:color="auto" w:fill="FFFFFF"/>
          <w:lang w:eastAsia="es-CR"/>
        </w:rPr>
        <w:lastRenderedPageBreak/>
        <w:t>consideramos que podría ser un poco acelerado si no tenemos claro. Si los compañeros lo tienen a bien, es el que habría que aprobar.”</w:t>
      </w:r>
    </w:p>
    <w:p w14:paraId="662BF534" w14:textId="77777777" w:rsidR="00EF57CF" w:rsidRPr="00886CEB" w:rsidRDefault="00EF57CF" w:rsidP="00EF57CF">
      <w:pPr>
        <w:autoSpaceDE w:val="0"/>
        <w:autoSpaceDN w:val="0"/>
        <w:adjustRightInd w:val="0"/>
        <w:spacing w:after="0" w:line="480" w:lineRule="auto"/>
        <w:ind w:firstLine="708"/>
        <w:jc w:val="both"/>
        <w:rPr>
          <w:rFonts w:ascii="Times New Roman" w:eastAsia="Times New Roman" w:hAnsi="Times New Roman" w:cs="Times New Roman"/>
          <w:color w:val="000000"/>
          <w:sz w:val="28"/>
          <w:szCs w:val="28"/>
          <w:shd w:val="clear" w:color="auto" w:fill="FFFFFF"/>
          <w:lang w:eastAsia="es-CR"/>
        </w:rPr>
      </w:pPr>
      <w:r w:rsidRPr="00886CEB">
        <w:rPr>
          <w:rFonts w:ascii="Times New Roman" w:eastAsia="Times New Roman" w:hAnsi="Times New Roman" w:cs="Times New Roman"/>
          <w:color w:val="000000"/>
          <w:sz w:val="28"/>
          <w:szCs w:val="28"/>
          <w:shd w:val="clear" w:color="auto" w:fill="FFFFFF"/>
          <w:lang w:eastAsia="es-CR"/>
        </w:rPr>
        <w:t>Manifiesta el Presidente Magistrado Cruz Castro: “Además ya tenemos los datos para tomar la decisión con mayor certeza.”</w:t>
      </w:r>
    </w:p>
    <w:p w14:paraId="0FF7205E" w14:textId="467B19B8" w:rsidR="00EF57CF" w:rsidRPr="00EF57CF" w:rsidRDefault="00EF57CF" w:rsidP="00EF57CF">
      <w:pPr>
        <w:autoSpaceDE w:val="0"/>
        <w:autoSpaceDN w:val="0"/>
        <w:adjustRightInd w:val="0"/>
        <w:spacing w:after="0" w:line="480" w:lineRule="auto"/>
        <w:ind w:firstLine="708"/>
        <w:jc w:val="both"/>
        <w:rPr>
          <w:rFonts w:ascii="Times New Roman" w:eastAsia="Times New Roman" w:hAnsi="Times New Roman" w:cs="Times New Roman"/>
          <w:sz w:val="28"/>
          <w:szCs w:val="28"/>
          <w:lang w:eastAsia="es-CR"/>
        </w:rPr>
      </w:pPr>
      <w:r w:rsidRPr="00886CEB">
        <w:rPr>
          <w:rFonts w:ascii="Times New Roman" w:eastAsia="Times New Roman" w:hAnsi="Times New Roman" w:cs="Times New Roman"/>
          <w:color w:val="000000"/>
          <w:sz w:val="28"/>
          <w:szCs w:val="28"/>
          <w:shd w:val="clear" w:color="auto" w:fill="FFFFFF"/>
          <w:lang w:eastAsia="es-CR"/>
        </w:rPr>
        <w:t xml:space="preserve">Una vez analizada por este Consejo Superior la gestión presentada por la máster Kattia Morales Navarro, Directora de Tecnología de Información, mediante </w:t>
      </w:r>
      <w:r w:rsidRPr="00886CEB">
        <w:rPr>
          <w:rFonts w:ascii="Times New Roman" w:eastAsia="Times New Roman" w:hAnsi="Times New Roman" w:cs="Times New Roman"/>
          <w:color w:val="000000"/>
          <w:sz w:val="28"/>
          <w:szCs w:val="28"/>
          <w:lang w:eastAsia="es-CR"/>
        </w:rPr>
        <w:t>correo electrónico del 29 de abril y Oficio N°729-DTI-2021</w:t>
      </w:r>
      <w:r w:rsidRPr="00886CEB">
        <w:rPr>
          <w:rFonts w:ascii="Times New Roman" w:eastAsia="Times New Roman" w:hAnsi="Times New Roman" w:cs="Times New Roman"/>
          <w:color w:val="000000"/>
          <w:sz w:val="28"/>
          <w:szCs w:val="28"/>
          <w:shd w:val="clear" w:color="auto" w:fill="FFFFFF"/>
          <w:lang w:eastAsia="es-CR"/>
        </w:rPr>
        <w:t xml:space="preserve"> </w:t>
      </w:r>
      <w:r w:rsidRPr="00886CEB">
        <w:rPr>
          <w:rFonts w:ascii="Times New Roman" w:eastAsia="Times New Roman" w:hAnsi="Times New Roman" w:cs="Times New Roman"/>
          <w:b/>
          <w:bCs/>
          <w:color w:val="000000"/>
          <w:sz w:val="28"/>
          <w:szCs w:val="28"/>
          <w:shd w:val="clear" w:color="auto" w:fill="FFFFFF"/>
          <w:lang w:eastAsia="es-CR"/>
        </w:rPr>
        <w:t xml:space="preserve">se acordó: 1.) </w:t>
      </w:r>
      <w:r w:rsidRPr="00886CEB">
        <w:rPr>
          <w:rFonts w:ascii="Times New Roman" w:eastAsia="Times New Roman" w:hAnsi="Times New Roman" w:cs="Times New Roman"/>
          <w:color w:val="000000"/>
          <w:sz w:val="28"/>
          <w:szCs w:val="28"/>
          <w:shd w:val="clear" w:color="auto" w:fill="FFFFFF"/>
          <w:lang w:eastAsia="es-CR"/>
        </w:rPr>
        <w:t xml:space="preserve">Acoger el </w:t>
      </w:r>
      <w:r w:rsidRPr="00886CEB">
        <w:rPr>
          <w:rFonts w:ascii="Times New Roman" w:eastAsia="Times New Roman" w:hAnsi="Times New Roman" w:cs="Times New Roman"/>
          <w:sz w:val="28"/>
          <w:szCs w:val="28"/>
          <w:lang w:eastAsia="es-CR"/>
        </w:rPr>
        <w:t xml:space="preserve">escenario uno referente </w:t>
      </w:r>
      <w:r w:rsidRPr="00886CEB">
        <w:rPr>
          <w:rFonts w:ascii="Times New Roman" w:eastAsia="Times New Roman" w:hAnsi="Times New Roman" w:cs="Times New Roman"/>
          <w:color w:val="000000"/>
          <w:sz w:val="28"/>
          <w:szCs w:val="28"/>
          <w:lang w:eastAsia="es-CR"/>
        </w:rPr>
        <w:t>a la estimación presupuestaria para la “Actualización del Análisis del Leasing como Modalidad de Inversión en Equipo de Cómputo para el Poder Judicial”</w:t>
      </w:r>
      <w:r w:rsidRPr="00886CEB">
        <w:rPr>
          <w:rFonts w:ascii="Times New Roman" w:eastAsia="Times New Roman" w:hAnsi="Times New Roman" w:cs="Times New Roman"/>
          <w:sz w:val="28"/>
          <w:szCs w:val="28"/>
          <w:lang w:eastAsia="es-CR"/>
        </w:rPr>
        <w:t xml:space="preserve">. </w:t>
      </w:r>
      <w:r w:rsidRPr="00886CEB">
        <w:rPr>
          <w:rFonts w:ascii="Times New Roman" w:eastAsia="Times New Roman" w:hAnsi="Times New Roman" w:cs="Times New Roman"/>
          <w:b/>
          <w:bCs/>
          <w:sz w:val="28"/>
          <w:szCs w:val="28"/>
          <w:lang w:eastAsia="es-CR"/>
        </w:rPr>
        <w:t>2.)</w:t>
      </w:r>
      <w:r w:rsidRPr="00886CEB">
        <w:rPr>
          <w:rFonts w:ascii="Times New Roman" w:eastAsia="Times New Roman" w:hAnsi="Times New Roman" w:cs="Times New Roman"/>
          <w:sz w:val="28"/>
          <w:szCs w:val="28"/>
          <w:lang w:eastAsia="es-CR"/>
        </w:rPr>
        <w:t> Hacer este acuerdo de conocimiento de la Dirección de Planificación, l</w:t>
      </w:r>
      <w:r w:rsidRPr="00886CEB">
        <w:rPr>
          <w:rFonts w:ascii="Times New Roman" w:eastAsia="Times New Roman" w:hAnsi="Times New Roman" w:cs="Times New Roman"/>
          <w:color w:val="000000"/>
          <w:sz w:val="28"/>
          <w:szCs w:val="28"/>
          <w:lang w:val="es-ES" w:eastAsia="es-CR"/>
        </w:rPr>
        <w:t xml:space="preserve">a Dirección de Tecnología de la Información y la Dirección de Gestión Humana para los fines consiguientes. </w:t>
      </w:r>
      <w:r w:rsidRPr="00886CEB">
        <w:rPr>
          <w:rFonts w:ascii="Times New Roman" w:eastAsia="Times New Roman" w:hAnsi="Times New Roman" w:cs="Times New Roman"/>
          <w:b/>
          <w:bCs/>
          <w:color w:val="000000"/>
          <w:sz w:val="28"/>
          <w:szCs w:val="28"/>
          <w:lang w:val="es-ES" w:eastAsia="es-CR"/>
        </w:rPr>
        <w:t>Se declara acuerdo firme.</w:t>
      </w:r>
    </w:p>
    <w:p w14:paraId="73CFA4F8" w14:textId="2937DB9E" w:rsidR="002A7673" w:rsidRPr="002A7673" w:rsidRDefault="002A7673" w:rsidP="002A7673">
      <w:pPr>
        <w:keepNext/>
        <w:tabs>
          <w:tab w:val="num" w:pos="0"/>
        </w:tabs>
        <w:suppressAutoHyphens/>
        <w:spacing w:before="240" w:after="120" w:line="360" w:lineRule="auto"/>
        <w:jc w:val="center"/>
        <w:outlineLvl w:val="0"/>
        <w:rPr>
          <w:rFonts w:ascii="Times New Roman" w:eastAsia="Times New Roman" w:hAnsi="Times New Roman" w:cs="Times New Roman"/>
          <w:color w:val="FF0000"/>
          <w:kern w:val="36"/>
          <w:sz w:val="28"/>
          <w:szCs w:val="28"/>
          <w:u w:val="single"/>
          <w:lang w:val="es-ES" w:eastAsia="ar-SA"/>
        </w:rPr>
      </w:pPr>
      <w:r w:rsidRPr="002A7673">
        <w:rPr>
          <w:rFonts w:ascii="Times New Roman" w:eastAsia="Times New Roman" w:hAnsi="Times New Roman" w:cs="Times New Roman"/>
          <w:b/>
          <w:bCs/>
          <w:color w:val="000000"/>
          <w:kern w:val="36"/>
          <w:sz w:val="28"/>
          <w:szCs w:val="28"/>
          <w:u w:val="single"/>
          <w:lang w:val="es-ES" w:eastAsia="ar-SA"/>
        </w:rPr>
        <w:t>ARTÍCULO X</w:t>
      </w:r>
      <w:r w:rsidR="007063B0">
        <w:rPr>
          <w:rFonts w:ascii="Times New Roman" w:eastAsia="Times New Roman" w:hAnsi="Times New Roman" w:cs="Times New Roman"/>
          <w:b/>
          <w:bCs/>
          <w:color w:val="000000"/>
          <w:kern w:val="36"/>
          <w:sz w:val="28"/>
          <w:szCs w:val="28"/>
          <w:u w:val="single"/>
          <w:lang w:val="es-ES" w:eastAsia="ar-SA"/>
        </w:rPr>
        <w:t>X</w:t>
      </w:r>
      <w:r w:rsidRPr="002A7673">
        <w:rPr>
          <w:rFonts w:ascii="Times New Roman" w:eastAsia="Times New Roman" w:hAnsi="Times New Roman" w:cs="Times New Roman"/>
          <w:b/>
          <w:bCs/>
          <w:color w:val="000000"/>
          <w:kern w:val="36"/>
          <w:sz w:val="28"/>
          <w:szCs w:val="28"/>
          <w:u w:val="single"/>
          <w:lang w:val="es-ES" w:eastAsia="ar-SA"/>
        </w:rPr>
        <w:t xml:space="preserve">IV </w:t>
      </w:r>
    </w:p>
    <w:p w14:paraId="3AC645D2" w14:textId="77777777" w:rsidR="002A7673" w:rsidRPr="002A7673" w:rsidRDefault="002A7673" w:rsidP="007C57B7">
      <w:pPr>
        <w:suppressAutoHyphens/>
        <w:autoSpaceDE w:val="0"/>
        <w:autoSpaceDN w:val="0"/>
        <w:adjustRightInd w:val="0"/>
        <w:spacing w:before="120" w:after="120" w:line="480" w:lineRule="auto"/>
        <w:jc w:val="both"/>
        <w:rPr>
          <w:rFonts w:ascii="Times New Roman" w:eastAsia="Times New Roman" w:hAnsi="Times New Roman" w:cs="Times New Roman"/>
          <w:color w:val="FF0000"/>
          <w:sz w:val="28"/>
          <w:szCs w:val="28"/>
          <w:lang w:val="es-ES_tradnl" w:eastAsia="ar-SA"/>
        </w:rPr>
      </w:pPr>
      <w:r w:rsidRPr="002A7673">
        <w:rPr>
          <w:rFonts w:ascii="Times New Roman" w:eastAsia="Times New Roman" w:hAnsi="Times New Roman" w:cs="Times New Roman"/>
          <w:b/>
          <w:bCs/>
          <w:sz w:val="28"/>
          <w:szCs w:val="28"/>
          <w:lang w:val="es-ES_tradnl" w:eastAsia="ar-SA"/>
        </w:rPr>
        <w:t xml:space="preserve">Documento N° 13583-2020, </w:t>
      </w:r>
      <w:r w:rsidRPr="002A7673">
        <w:rPr>
          <w:rFonts w:ascii="Times New Roman" w:eastAsia="Times New Roman" w:hAnsi="Times New Roman" w:cs="Times New Roman"/>
          <w:b/>
          <w:bCs/>
          <w:color w:val="00B050"/>
          <w:sz w:val="28"/>
          <w:szCs w:val="28"/>
          <w:lang w:val="es-ES_tradnl" w:eastAsia="ar-SA"/>
        </w:rPr>
        <w:t>3176, 4424-2021, 4014-21, 4156-21.</w:t>
      </w:r>
    </w:p>
    <w:p w14:paraId="63714C59"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En reunión de trabajo del pasado 23 de abril, la licenciada Nacira Valverde Bermúdez,</w:t>
      </w:r>
      <w:r w:rsidRPr="002A7673">
        <w:rPr>
          <w:rFonts w:ascii="Times New Roman" w:eastAsia="Times New Roman" w:hAnsi="Times New Roman" w:cs="Times New Roman"/>
          <w:bCs/>
          <w:sz w:val="28"/>
          <w:szCs w:val="28"/>
          <w:shd w:val="clear" w:color="auto" w:fill="FFFFFF"/>
          <w:lang w:val="es-ES" w:eastAsia="es-CR"/>
        </w:rPr>
        <w:t xml:space="preserve"> </w:t>
      </w:r>
      <w:r w:rsidRPr="002A7673">
        <w:rPr>
          <w:rFonts w:ascii="Times New Roman" w:eastAsia="Times New Roman" w:hAnsi="Times New Roman" w:cs="Times New Roman"/>
          <w:bCs/>
          <w:sz w:val="28"/>
          <w:szCs w:val="28"/>
          <w:lang w:val="es-ES" w:eastAsia="es-CR"/>
        </w:rPr>
        <w:t>Directora de Planificación indicó que mediante oficio DM-0238-2021 el Ministerio de Hacienda comunicó el resultado de la “</w:t>
      </w:r>
      <w:r w:rsidRPr="002A7673">
        <w:rPr>
          <w:rFonts w:ascii="Times New Roman" w:eastAsia="Times New Roman" w:hAnsi="Times New Roman" w:cs="Times New Roman"/>
          <w:bCs/>
          <w:i/>
          <w:iCs/>
          <w:sz w:val="28"/>
          <w:szCs w:val="28"/>
          <w:lang w:val="es-ES" w:eastAsia="es-CR"/>
        </w:rPr>
        <w:t xml:space="preserve">Aplicación de la regla fiscal en la </w:t>
      </w:r>
      <w:r w:rsidRPr="002A7673">
        <w:rPr>
          <w:rFonts w:ascii="Times New Roman" w:eastAsia="Times New Roman" w:hAnsi="Times New Roman" w:cs="Times New Roman"/>
          <w:bCs/>
          <w:i/>
          <w:iCs/>
          <w:sz w:val="28"/>
          <w:szCs w:val="28"/>
          <w:lang w:val="es-ES" w:eastAsia="es-CR"/>
        </w:rPr>
        <w:lastRenderedPageBreak/>
        <w:t>formulación de los presupuestos ordinarios y al gasto total ejecutado del 2022, para las entidades y órganos que conforman el Sector Público no Financiero (SPNF)</w:t>
      </w:r>
      <w:r w:rsidRPr="002A7673">
        <w:rPr>
          <w:rFonts w:ascii="Times New Roman" w:eastAsia="Times New Roman" w:hAnsi="Times New Roman" w:cs="Times New Roman"/>
          <w:bCs/>
          <w:sz w:val="28"/>
          <w:szCs w:val="28"/>
          <w:lang w:val="es-ES" w:eastAsia="es-CR"/>
        </w:rPr>
        <w:t>”.</w:t>
      </w:r>
    </w:p>
    <w:p w14:paraId="0C8AE1FB"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i/>
          <w:iCs/>
          <w:sz w:val="28"/>
          <w:szCs w:val="28"/>
          <w:lang w:val="es-ES" w:eastAsia="es-CR"/>
        </w:rPr>
      </w:pPr>
      <w:r w:rsidRPr="002A7673">
        <w:rPr>
          <w:rFonts w:ascii="Times New Roman" w:eastAsia="Times New Roman" w:hAnsi="Times New Roman" w:cs="Times New Roman"/>
          <w:bCs/>
          <w:sz w:val="28"/>
          <w:szCs w:val="28"/>
          <w:lang w:val="es-ES" w:eastAsia="es-CR"/>
        </w:rPr>
        <w:t>Como parte de este documento se indicó que la tasa de crecimiento del gasto corriente para el 2022 se estableció en un 1,96% y que el crecimiento del gasto de capital podrá sobrepasar dicha tasa, siempre y cuando la suma de ambos tipos de gasto (corriente y de capital) no sobrepase el crecimiento autorizado del 1,96% a nivel del gasto total.</w:t>
      </w:r>
    </w:p>
    <w:p w14:paraId="470C0006" w14:textId="77777777" w:rsidR="002A7673" w:rsidRPr="002A7673" w:rsidRDefault="002A7673" w:rsidP="002A7673">
      <w:pPr>
        <w:suppressAutoHyphens/>
        <w:spacing w:after="0" w:line="360" w:lineRule="auto"/>
        <w:jc w:val="center"/>
        <w:rPr>
          <w:rFonts w:ascii="Times New Roman" w:eastAsia="Times New Roman" w:hAnsi="Times New Roman" w:cs="Times New Roman"/>
          <w:color w:val="000000"/>
          <w:sz w:val="28"/>
          <w:szCs w:val="28"/>
          <w:lang w:val="es-ES_tradnl" w:eastAsia="ar-SA"/>
        </w:rPr>
      </w:pPr>
      <w:r w:rsidRPr="002A7673">
        <w:rPr>
          <w:rFonts w:ascii="Times New Roman" w:eastAsia="Times New Roman" w:hAnsi="Times New Roman" w:cs="Times New Roman"/>
          <w:color w:val="000000"/>
          <w:sz w:val="28"/>
          <w:szCs w:val="28"/>
          <w:lang w:val="es-ES_tradnl" w:eastAsia="ar-SA"/>
        </w:rPr>
        <w:object w:dxaOrig="1508" w:dyaOrig="984" w14:anchorId="5D25391C">
          <v:shape id="_x0000_i1170" type="#_x0000_t75" style="width:77.25pt;height:51.75pt" o:ole="">
            <v:imagedata r:id="rId404" o:title=""/>
          </v:shape>
          <o:OLEObject Type="Embed" ProgID="AcroExch.Document.DC" ShapeID="_x0000_i1170" DrawAspect="Icon" ObjectID="_1684067113" r:id="rId405"/>
        </w:object>
      </w:r>
    </w:p>
    <w:p w14:paraId="3269B59B" w14:textId="77777777" w:rsidR="002A7673" w:rsidRPr="002A7673" w:rsidRDefault="002A7673" w:rsidP="002A7673">
      <w:pPr>
        <w:spacing w:after="0" w:line="480" w:lineRule="auto"/>
        <w:jc w:val="center"/>
        <w:rPr>
          <w:rFonts w:ascii="Times New Roman" w:eastAsia="Times New Roman" w:hAnsi="Times New Roman" w:cs="Times New Roman"/>
          <w:color w:val="000000"/>
          <w:sz w:val="28"/>
          <w:szCs w:val="28"/>
          <w:lang w:val="es-ES" w:eastAsia="ar-SA"/>
        </w:rPr>
      </w:pPr>
      <w:r w:rsidRPr="002A7673">
        <w:rPr>
          <w:rFonts w:ascii="Times New Roman" w:eastAsia="Times New Roman" w:hAnsi="Times New Roman" w:cs="Times New Roman"/>
          <w:color w:val="000000"/>
          <w:sz w:val="28"/>
          <w:szCs w:val="28"/>
          <w:lang w:val="es-ES" w:eastAsia="ar-SA"/>
        </w:rPr>
        <w:t>-0 -</w:t>
      </w:r>
    </w:p>
    <w:p w14:paraId="1C68C378"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ES"/>
        </w:rPr>
      </w:pPr>
      <w:r w:rsidRPr="002A7673">
        <w:rPr>
          <w:rFonts w:ascii="Times New Roman" w:eastAsia="Times New Roman" w:hAnsi="Times New Roman" w:cs="Times New Roman"/>
          <w:bCs/>
          <w:sz w:val="28"/>
          <w:szCs w:val="28"/>
          <w:lang w:val="es-ES" w:eastAsia="es-CR"/>
        </w:rPr>
        <w:t>Posteriormente, mediante oficio DM-0340-DGPN-2021 el Ministerio de Hacienda remitió la “</w:t>
      </w:r>
      <w:r w:rsidRPr="002A7673">
        <w:rPr>
          <w:rFonts w:ascii="Times New Roman" w:eastAsia="Times New Roman" w:hAnsi="Times New Roman" w:cs="Times New Roman"/>
          <w:bCs/>
          <w:i/>
          <w:iCs/>
          <w:sz w:val="28"/>
          <w:szCs w:val="28"/>
          <w:lang w:val="es-ES" w:eastAsia="es-CR"/>
        </w:rPr>
        <w:t>Comunicación del gasto presupuestario máximo para 2022</w:t>
      </w:r>
      <w:r w:rsidRPr="002A7673">
        <w:rPr>
          <w:rFonts w:ascii="Times New Roman" w:eastAsia="Times New Roman" w:hAnsi="Times New Roman" w:cs="Times New Roman"/>
          <w:bCs/>
          <w:sz w:val="28"/>
          <w:szCs w:val="28"/>
          <w:lang w:val="es-ES" w:eastAsia="es-CR"/>
        </w:rPr>
        <w:t xml:space="preserve">”, </w:t>
      </w:r>
      <w:r w:rsidRPr="002A7673">
        <w:rPr>
          <w:rFonts w:ascii="Times New Roman" w:eastAsia="Times New Roman" w:hAnsi="Times New Roman" w:cs="Times New Roman"/>
          <w:bCs/>
          <w:sz w:val="28"/>
          <w:szCs w:val="28"/>
          <w:lang w:val="es-ES" w:eastAsia="es-ES"/>
        </w:rPr>
        <w:t>señalando que para el Poder Judicial este gasto presupuestario máximo se estableció en un monto total de ₡468 504,00 millones.</w:t>
      </w:r>
    </w:p>
    <w:p w14:paraId="7A1F82FF"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ES"/>
        </w:rPr>
      </w:pPr>
      <w:r w:rsidRPr="002A7673">
        <w:rPr>
          <w:rFonts w:ascii="Times New Roman" w:eastAsia="Times New Roman" w:hAnsi="Times New Roman" w:cs="Times New Roman"/>
          <w:bCs/>
          <w:sz w:val="28"/>
          <w:szCs w:val="28"/>
          <w:lang w:val="es-ES" w:eastAsia="es-CR"/>
        </w:rPr>
        <w:t xml:space="preserve">Se indica además que este monto, debe considerar los ingresos por los siguientes conceptos: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23"/>
        <w:gridCol w:w="1776"/>
      </w:tblGrid>
      <w:tr w:rsidR="002A7673" w:rsidRPr="002A7673" w14:paraId="3027E4B5" w14:textId="77777777" w:rsidTr="004F270D">
        <w:trPr>
          <w:trHeight w:val="103"/>
          <w:jc w:val="center"/>
        </w:trPr>
        <w:tc>
          <w:tcPr>
            <w:tcW w:w="4423" w:type="dxa"/>
          </w:tcPr>
          <w:p w14:paraId="25F15784"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color w:val="000000"/>
                <w:sz w:val="23"/>
                <w:szCs w:val="23"/>
                <w:lang w:val="es-ES_tradnl" w:eastAsia="ar-SA"/>
              </w:rPr>
            </w:pPr>
          </w:p>
          <w:p w14:paraId="36B72591"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b/>
                <w:bCs/>
                <w:color w:val="000000"/>
                <w:sz w:val="20"/>
                <w:szCs w:val="20"/>
                <w:lang w:val="es-ES_tradnl" w:eastAsia="ar-SA"/>
              </w:rPr>
              <w:lastRenderedPageBreak/>
              <w:t>Concepto</w:t>
            </w:r>
          </w:p>
        </w:tc>
        <w:tc>
          <w:tcPr>
            <w:tcW w:w="1776" w:type="dxa"/>
          </w:tcPr>
          <w:p w14:paraId="2B28F183"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b/>
                <w:bCs/>
                <w:color w:val="000000"/>
                <w:sz w:val="20"/>
                <w:szCs w:val="20"/>
                <w:lang w:val="es-ES_tradnl" w:eastAsia="ar-SA"/>
              </w:rPr>
            </w:pPr>
          </w:p>
          <w:p w14:paraId="5CC5ED27"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b/>
                <w:bCs/>
                <w:color w:val="000000"/>
                <w:sz w:val="20"/>
                <w:szCs w:val="20"/>
                <w:lang w:val="es-ES_tradnl" w:eastAsia="ar-SA"/>
              </w:rPr>
              <w:lastRenderedPageBreak/>
              <w:t>Monto en Millones</w:t>
            </w:r>
          </w:p>
        </w:tc>
      </w:tr>
      <w:tr w:rsidR="002A7673" w:rsidRPr="002A7673" w14:paraId="33733830" w14:textId="77777777" w:rsidTr="004F270D">
        <w:trPr>
          <w:trHeight w:val="93"/>
          <w:jc w:val="center"/>
        </w:trPr>
        <w:tc>
          <w:tcPr>
            <w:tcW w:w="4423" w:type="dxa"/>
          </w:tcPr>
          <w:p w14:paraId="057DD10B"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lastRenderedPageBreak/>
              <w:t xml:space="preserve">Personas jurídicas 1/ </w:t>
            </w:r>
          </w:p>
        </w:tc>
        <w:tc>
          <w:tcPr>
            <w:tcW w:w="1776" w:type="dxa"/>
          </w:tcPr>
          <w:p w14:paraId="46C94BF1"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¢967,3</w:t>
            </w:r>
          </w:p>
        </w:tc>
      </w:tr>
      <w:tr w:rsidR="002A7673" w:rsidRPr="002A7673" w14:paraId="2D7EF06C" w14:textId="77777777" w:rsidTr="004F270D">
        <w:trPr>
          <w:trHeight w:val="93"/>
          <w:jc w:val="center"/>
        </w:trPr>
        <w:tc>
          <w:tcPr>
            <w:tcW w:w="4423" w:type="dxa"/>
          </w:tcPr>
          <w:p w14:paraId="663F68E5"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 xml:space="preserve">Honorarios servicios Oficina Defensa Civil de la Víctima /2 </w:t>
            </w:r>
          </w:p>
        </w:tc>
        <w:tc>
          <w:tcPr>
            <w:tcW w:w="1776" w:type="dxa"/>
          </w:tcPr>
          <w:p w14:paraId="29A802C4"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¢234,5</w:t>
            </w:r>
          </w:p>
        </w:tc>
      </w:tr>
      <w:tr w:rsidR="002A7673" w:rsidRPr="002A7673" w14:paraId="4A2A9BDE" w14:textId="77777777" w:rsidTr="004F270D">
        <w:trPr>
          <w:trHeight w:val="94"/>
          <w:jc w:val="center"/>
        </w:trPr>
        <w:tc>
          <w:tcPr>
            <w:tcW w:w="4423" w:type="dxa"/>
          </w:tcPr>
          <w:p w14:paraId="79DA2331"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 xml:space="preserve">Plataforma de Información Policial (PIP) /3 </w:t>
            </w:r>
          </w:p>
        </w:tc>
        <w:tc>
          <w:tcPr>
            <w:tcW w:w="1776" w:type="dxa"/>
          </w:tcPr>
          <w:p w14:paraId="40850556"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¢40,0</w:t>
            </w:r>
          </w:p>
        </w:tc>
      </w:tr>
      <w:tr w:rsidR="002A7673" w:rsidRPr="002A7673" w14:paraId="7E2B0F51" w14:textId="77777777" w:rsidTr="004F270D">
        <w:trPr>
          <w:trHeight w:val="93"/>
          <w:jc w:val="center"/>
        </w:trPr>
        <w:tc>
          <w:tcPr>
            <w:tcW w:w="4423" w:type="dxa"/>
          </w:tcPr>
          <w:p w14:paraId="5FAA7581"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 xml:space="preserve">Plataforma de Información Policial (PIP) /4 </w:t>
            </w:r>
          </w:p>
        </w:tc>
        <w:tc>
          <w:tcPr>
            <w:tcW w:w="1776" w:type="dxa"/>
          </w:tcPr>
          <w:p w14:paraId="296AB83F"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¢1,1</w:t>
            </w:r>
          </w:p>
        </w:tc>
      </w:tr>
      <w:tr w:rsidR="002A7673" w:rsidRPr="002A7673" w14:paraId="0141F497" w14:textId="77777777" w:rsidTr="004F270D">
        <w:trPr>
          <w:trHeight w:val="93"/>
          <w:jc w:val="center"/>
        </w:trPr>
        <w:tc>
          <w:tcPr>
            <w:tcW w:w="4423" w:type="dxa"/>
          </w:tcPr>
          <w:p w14:paraId="54F78CBD"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 xml:space="preserve">Centro Judicial de Intervención de Comunicaciones (CJIC) /4 </w:t>
            </w:r>
          </w:p>
        </w:tc>
        <w:tc>
          <w:tcPr>
            <w:tcW w:w="1776" w:type="dxa"/>
          </w:tcPr>
          <w:p w14:paraId="37DF014F"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¢0,3</w:t>
            </w:r>
          </w:p>
        </w:tc>
      </w:tr>
      <w:tr w:rsidR="002A7673" w:rsidRPr="002A7673" w14:paraId="4D85073D" w14:textId="77777777" w:rsidTr="004F270D">
        <w:trPr>
          <w:trHeight w:val="93"/>
          <w:jc w:val="center"/>
        </w:trPr>
        <w:tc>
          <w:tcPr>
            <w:tcW w:w="4423" w:type="dxa"/>
          </w:tcPr>
          <w:p w14:paraId="5A5103DE"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 xml:space="preserve">Ministerio Público /4 </w:t>
            </w:r>
          </w:p>
        </w:tc>
        <w:tc>
          <w:tcPr>
            <w:tcW w:w="1776" w:type="dxa"/>
          </w:tcPr>
          <w:p w14:paraId="710E52A2" w14:textId="77777777" w:rsidR="002A7673" w:rsidRPr="002A7673" w:rsidRDefault="002A7673" w:rsidP="002A7673">
            <w:pPr>
              <w:suppressAutoHyphens/>
              <w:autoSpaceDE w:val="0"/>
              <w:autoSpaceDN w:val="0"/>
              <w:adjustRightInd w:val="0"/>
              <w:spacing w:after="0" w:line="240" w:lineRule="auto"/>
              <w:jc w:val="center"/>
              <w:rPr>
                <w:rFonts w:ascii="Times New Roman" w:eastAsia="Times New Roman" w:hAnsi="Times New Roman" w:cs="Times New Roman"/>
                <w:color w:val="000000"/>
                <w:sz w:val="20"/>
                <w:szCs w:val="20"/>
                <w:lang w:val="es-ES_tradnl" w:eastAsia="ar-SA"/>
              </w:rPr>
            </w:pPr>
            <w:r w:rsidRPr="002A7673">
              <w:rPr>
                <w:rFonts w:ascii="Times New Roman" w:eastAsia="Times New Roman" w:hAnsi="Times New Roman" w:cs="Times New Roman"/>
                <w:color w:val="000000"/>
                <w:sz w:val="20"/>
                <w:szCs w:val="20"/>
                <w:lang w:val="es-ES_tradnl" w:eastAsia="ar-SA"/>
              </w:rPr>
              <w:t>¢0,3</w:t>
            </w:r>
          </w:p>
        </w:tc>
      </w:tr>
    </w:tbl>
    <w:p w14:paraId="037388B4"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18"/>
          <w:szCs w:val="18"/>
          <w:lang w:val="es-ES_tradnl" w:eastAsia="ar-SA"/>
        </w:rPr>
      </w:pPr>
      <w:r w:rsidRPr="002A7673">
        <w:rPr>
          <w:rFonts w:ascii="Times New Roman" w:eastAsia="Times New Roman" w:hAnsi="Times New Roman" w:cs="Times New Roman"/>
          <w:color w:val="000000"/>
          <w:sz w:val="18"/>
          <w:szCs w:val="18"/>
          <w:lang w:val="es-ES_tradnl" w:eastAsia="ar-SA"/>
        </w:rPr>
        <w:t xml:space="preserve">1/Impuesto Personas Jurídicas, Ley N.º 9428 </w:t>
      </w:r>
    </w:p>
    <w:p w14:paraId="02501731"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18"/>
          <w:szCs w:val="18"/>
          <w:lang w:val="es-ES_tradnl" w:eastAsia="ar-SA"/>
        </w:rPr>
      </w:pPr>
      <w:r w:rsidRPr="002A7673">
        <w:rPr>
          <w:rFonts w:ascii="Times New Roman" w:eastAsia="Times New Roman" w:hAnsi="Times New Roman" w:cs="Times New Roman"/>
          <w:color w:val="000000"/>
          <w:sz w:val="18"/>
          <w:szCs w:val="18"/>
          <w:lang w:val="es-ES_tradnl" w:eastAsia="ar-SA"/>
        </w:rPr>
        <w:t xml:space="preserve">2/Ley Orgánica del Ministerio Público, N.º 7442 </w:t>
      </w:r>
    </w:p>
    <w:p w14:paraId="5596764F"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18"/>
          <w:szCs w:val="18"/>
          <w:lang w:val="es-ES_tradnl" w:eastAsia="ar-SA"/>
        </w:rPr>
      </w:pPr>
      <w:r w:rsidRPr="002A7673">
        <w:rPr>
          <w:rFonts w:ascii="Times New Roman" w:eastAsia="Times New Roman" w:hAnsi="Times New Roman" w:cs="Times New Roman"/>
          <w:color w:val="000000"/>
          <w:sz w:val="18"/>
          <w:szCs w:val="18"/>
          <w:lang w:val="es-ES_tradnl" w:eastAsia="ar-SA"/>
        </w:rPr>
        <w:t xml:space="preserve">3/Ley sobre estupefacientes, sustancias psicotrópicas, drogas de uso no autorizado, actividades conexas, legitimación de capitales y financiamiento al terrorismo", N.º 8204 </w:t>
      </w:r>
    </w:p>
    <w:p w14:paraId="0845A7CC" w14:textId="77777777" w:rsidR="002A7673" w:rsidRPr="002A7673" w:rsidRDefault="002A7673" w:rsidP="002A7673">
      <w:pPr>
        <w:suppressAutoHyphens/>
        <w:spacing w:after="0" w:line="360" w:lineRule="auto"/>
        <w:jc w:val="both"/>
        <w:rPr>
          <w:rFonts w:ascii="Times New Roman" w:eastAsia="Times New Roman" w:hAnsi="Times New Roman" w:cs="Times New Roman"/>
          <w:color w:val="000000"/>
          <w:sz w:val="28"/>
          <w:szCs w:val="28"/>
          <w:lang w:val="es-ES_tradnl" w:eastAsia="ar-SA"/>
        </w:rPr>
      </w:pPr>
      <w:r w:rsidRPr="002A7673">
        <w:rPr>
          <w:rFonts w:ascii="Times New Roman" w:eastAsia="Times New Roman" w:hAnsi="Times New Roman" w:cs="Times New Roman"/>
          <w:color w:val="000000"/>
          <w:sz w:val="18"/>
          <w:szCs w:val="18"/>
          <w:lang w:val="es-ES_tradnl" w:eastAsia="ar-SA"/>
        </w:rPr>
        <w:t>4/Ley Contra la Delincuencia Organizada, N.º 8754</w:t>
      </w:r>
    </w:p>
    <w:p w14:paraId="7342E139"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En relación con los recursos incluidos dentro del límite presupuestario para el Poder Judicial, se establece un monto de ¢967,3 millones por concepto de impuesto a las Personerías Jurídicas para formular en el OIJ, con base en lo aprobado para el 2021. En este caso, cabe señalar que es necesario ajustar la propuesta presentada por el O.I.J. ya que la elaboró por un monto de ¢987 millones.</w:t>
      </w:r>
    </w:p>
    <w:p w14:paraId="67C736AC"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Por su parte, por honorarios por servicios de la Oficina de Defensa Civil de la Víctima, se indica un monto de ¢234,5 millones, que fue lo aprobado para el 2021, monto que representa una disminución de ¢19,7 millones.  En este segundo caso, cabe señalar que en reunión de trabajo del pasado 16 de abril, el Consejo Superior conoció el Oficio N°150-ODCV-2021, con el detalle de los recursos necesarios para la adquisición de bienes y servicios para el pago de requerimientos económicos urgentes a víctimas, así como recursos para el mejoramiento de la oficina, correspondiente al </w:t>
      </w:r>
      <w:r w:rsidRPr="002A7673">
        <w:rPr>
          <w:rFonts w:ascii="Times New Roman" w:eastAsia="Times New Roman" w:hAnsi="Times New Roman" w:cs="Times New Roman"/>
          <w:bCs/>
          <w:sz w:val="28"/>
          <w:szCs w:val="28"/>
          <w:lang w:val="es-ES" w:eastAsia="es-CR"/>
        </w:rPr>
        <w:lastRenderedPageBreak/>
        <w:t xml:space="preserve">período 2022, presentado por la suma de ¢198.973.372, cifra que la Oficina de Defensa Civil de la Víctima trasladó a la Tesorería Nacional y que mediante correo electrónico del 08 de marzo pasado la señora </w:t>
      </w:r>
      <w:proofErr w:type="spellStart"/>
      <w:r w:rsidRPr="002A7673">
        <w:rPr>
          <w:rFonts w:ascii="Times New Roman" w:eastAsia="Times New Roman" w:hAnsi="Times New Roman" w:cs="Times New Roman"/>
          <w:bCs/>
          <w:sz w:val="28"/>
          <w:szCs w:val="28"/>
          <w:lang w:val="es-ES" w:eastAsia="es-CR"/>
        </w:rPr>
        <w:t>Meribeth</w:t>
      </w:r>
      <w:proofErr w:type="spellEnd"/>
      <w:r w:rsidRPr="002A7673">
        <w:rPr>
          <w:rFonts w:ascii="Times New Roman" w:eastAsia="Times New Roman" w:hAnsi="Times New Roman" w:cs="Times New Roman"/>
          <w:bCs/>
          <w:sz w:val="28"/>
          <w:szCs w:val="28"/>
          <w:lang w:val="es-ES" w:eastAsia="es-CR"/>
        </w:rPr>
        <w:t xml:space="preserve"> Arguedas Muñoz de la Unidad de Control de Ingresos de la Tesorería Nacional los acreditó como recibidos, es decir, un monto inferior al señalado en el oficio DM-0340-DGPN-2021 del Ministerio de Hacienda. </w:t>
      </w:r>
    </w:p>
    <w:p w14:paraId="60896522"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Con respecto a los otros conceptos, se consultó al Lic. Marco González, Profesional de la Dirección General de Presupuesto Nacional, quien señaló que lo relativo a recursos para Plataforma de Información Policial, Centro Judicial de Intervención de Comunicaciones y Ministerio Público, debe incluirse efectivamente dentro del límite presupuestario, ya que corresponde a transferencias que debía realizar el Instituto Costarricense sobre Drogas (ICD) en apego a la Ley sobre    estupefacientes, sustancias psicotrópicas, drogas de uso no autorizado, actividades conexas, legitimación de capitales y financiamiento al terrorismo N.º 8204, así como a la Ley Contra la Delincuencia Organizada N.º 8754.</w:t>
      </w:r>
    </w:p>
    <w:p w14:paraId="11F9C4D6"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Adicionalmente se señala:</w:t>
      </w:r>
    </w:p>
    <w:p w14:paraId="36010668"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 </w:t>
      </w:r>
    </w:p>
    <w:p w14:paraId="605F9441"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i/>
          <w:iCs/>
          <w:sz w:val="28"/>
          <w:szCs w:val="28"/>
          <w:lang w:val="es-ES" w:eastAsia="es-CR"/>
        </w:rPr>
      </w:pPr>
      <w:r w:rsidRPr="002A7673">
        <w:rPr>
          <w:rFonts w:ascii="Times New Roman" w:eastAsia="Times New Roman" w:hAnsi="Times New Roman" w:cs="Times New Roman"/>
          <w:bCs/>
          <w:i/>
          <w:iCs/>
          <w:sz w:val="28"/>
          <w:szCs w:val="28"/>
          <w:lang w:val="es-ES" w:eastAsia="es-CR"/>
        </w:rPr>
        <w:lastRenderedPageBreak/>
        <w:t xml:space="preserve">Desde este Ministerio se solicita que en el monto máximo comunicado deben incorporarse los gastos que cubran la totalidad de las operaciones institucionales, de carácter ineludible, por ejemplo, remuneraciones y las contribuciones sociales asociadas, agua, luz, teléfono, así como diferentes contratos por servicios de limpieza, seguridad y alquileres, entre otros. </w:t>
      </w:r>
    </w:p>
    <w:p w14:paraId="4DC75E99"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i/>
          <w:iCs/>
          <w:sz w:val="28"/>
          <w:szCs w:val="28"/>
          <w:lang w:val="es-ES" w:eastAsia="es-CR"/>
        </w:rPr>
      </w:pPr>
      <w:r w:rsidRPr="002A7673">
        <w:rPr>
          <w:rFonts w:ascii="Times New Roman" w:eastAsia="Times New Roman" w:hAnsi="Times New Roman" w:cs="Times New Roman"/>
          <w:bCs/>
          <w:i/>
          <w:iCs/>
          <w:sz w:val="28"/>
          <w:szCs w:val="28"/>
          <w:lang w:val="es-ES" w:eastAsia="es-CR"/>
        </w:rPr>
        <w:t xml:space="preserve">No será de recibo un anteproyecto de presupuesto en el que se financien otros gastos en detrimento de los antes señalados o que se presupuesten de manera parcial. </w:t>
      </w:r>
    </w:p>
    <w:p w14:paraId="7484FD61"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i/>
          <w:iCs/>
          <w:sz w:val="28"/>
          <w:szCs w:val="28"/>
          <w:lang w:val="es-ES" w:eastAsia="es-CR"/>
        </w:rPr>
      </w:pPr>
      <w:r w:rsidRPr="002A7673">
        <w:rPr>
          <w:rFonts w:ascii="Times New Roman" w:eastAsia="Times New Roman" w:hAnsi="Times New Roman" w:cs="Times New Roman"/>
          <w:bCs/>
          <w:i/>
          <w:iCs/>
          <w:sz w:val="28"/>
          <w:szCs w:val="28"/>
          <w:lang w:val="es-ES" w:eastAsia="es-CR"/>
        </w:rPr>
        <w:t xml:space="preserve">Debido a la situación fiscal no será posible atender solicitudes de ampliación del monto de gasto presupuestario máximo comunicado, ni se autorizará la creación de plazas, por lo que estas opciones estarán deshabilitadas en el Sistema de Formulación Presupuestaria (SFP). </w:t>
      </w:r>
    </w:p>
    <w:p w14:paraId="2CF95E5C"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i/>
          <w:iCs/>
          <w:sz w:val="28"/>
          <w:szCs w:val="28"/>
          <w:lang w:val="es-ES" w:eastAsia="es-CR"/>
        </w:rPr>
      </w:pPr>
      <w:r w:rsidRPr="002A7673">
        <w:rPr>
          <w:rFonts w:ascii="Times New Roman" w:eastAsia="Times New Roman" w:hAnsi="Times New Roman" w:cs="Times New Roman"/>
          <w:bCs/>
          <w:i/>
          <w:iCs/>
          <w:sz w:val="28"/>
          <w:szCs w:val="28"/>
          <w:lang w:val="es-ES" w:eastAsia="es-CR"/>
        </w:rPr>
        <w:t xml:space="preserve">Se excepciona de lo anterior, los recursos del presupuesto para la operación de la Junta Administradora del Fondo de Jubilaciones y Pensiones del Poder Judicial, que se financian con recursos de los trabajadores, jubilados y pensionados de ese Poder, de conformidad con al artículo 239 de la Ley N.º 9544, Reforma a la Ley N.º 7333, Ley Orgánica del Poder Judicial. </w:t>
      </w:r>
    </w:p>
    <w:p w14:paraId="75A5CD74"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i/>
          <w:iCs/>
          <w:sz w:val="28"/>
          <w:szCs w:val="28"/>
          <w:lang w:val="es-ES" w:eastAsia="es-CR"/>
        </w:rPr>
      </w:pPr>
      <w:r w:rsidRPr="002A7673">
        <w:rPr>
          <w:rFonts w:ascii="Times New Roman" w:eastAsia="Times New Roman" w:hAnsi="Times New Roman" w:cs="Times New Roman"/>
          <w:bCs/>
          <w:i/>
          <w:iCs/>
          <w:sz w:val="28"/>
          <w:szCs w:val="28"/>
          <w:lang w:val="es-ES" w:eastAsia="es-CR"/>
        </w:rPr>
        <w:lastRenderedPageBreak/>
        <w:t xml:space="preserve">El documento mediante el cual se remita el anteproyecto de gasto deberá coincidir con los registros incluidos en el SFP. Si existiera diferencia, prevalecerá lo incluido en el SFP. </w:t>
      </w:r>
    </w:p>
    <w:p w14:paraId="74C7D9C4"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i/>
          <w:iCs/>
          <w:sz w:val="28"/>
          <w:szCs w:val="28"/>
          <w:lang w:val="es-ES" w:eastAsia="es-CR"/>
        </w:rPr>
      </w:pPr>
      <w:r w:rsidRPr="002A7673">
        <w:rPr>
          <w:rFonts w:ascii="Times New Roman" w:eastAsia="Times New Roman" w:hAnsi="Times New Roman" w:cs="Times New Roman"/>
          <w:bCs/>
          <w:i/>
          <w:iCs/>
          <w:sz w:val="28"/>
          <w:szCs w:val="28"/>
          <w:lang w:val="es-ES" w:eastAsia="es-CR"/>
        </w:rPr>
        <w:t xml:space="preserve">Se requiere que los recursos incluidos en el anteproyecto se encuentren relacionados con la programación presupuestaria y estos a su vez con los planes institucionales, de forma que se permita la vinculación plan-presupuesto. </w:t>
      </w:r>
    </w:p>
    <w:p w14:paraId="31FA3382"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i/>
          <w:iCs/>
          <w:sz w:val="28"/>
          <w:szCs w:val="28"/>
          <w:lang w:val="es-ES" w:eastAsia="es-CR"/>
        </w:rPr>
      </w:pPr>
      <w:r w:rsidRPr="002A7673">
        <w:rPr>
          <w:rFonts w:ascii="Times New Roman" w:eastAsia="Times New Roman" w:hAnsi="Times New Roman" w:cs="Times New Roman"/>
          <w:bCs/>
          <w:i/>
          <w:iCs/>
          <w:sz w:val="28"/>
          <w:szCs w:val="28"/>
          <w:lang w:val="es-ES" w:eastAsia="es-CR"/>
        </w:rPr>
        <w:t xml:space="preserve">Finalmente, debo indicar que según lo dispuesto en los artículos 34, 35 y concordantes de la Ley de la Administración Financiera y Presupuestos Públicos de la República, Ley N° 8131, no es viable ampliar la fecha de entrega del anteproyecto de presupuesto de su representada, por lo que el mismo deberá ser remitido a este despacho a más tardar el 15 de junio del año en curso, a la cuenta de correo electrónico </w:t>
      </w:r>
      <w:hyperlink r:id="rId406" w:history="1">
        <w:r w:rsidRPr="002A7673">
          <w:rPr>
            <w:rFonts w:ascii="Times New Roman" w:eastAsia="Times New Roman" w:hAnsi="Times New Roman" w:cs="Times New Roman"/>
            <w:bCs/>
            <w:i/>
            <w:iCs/>
            <w:color w:val="0000FF"/>
            <w:sz w:val="28"/>
            <w:szCs w:val="28"/>
            <w:u w:val="single"/>
            <w:lang w:val="es-ES" w:eastAsia="es-CR"/>
          </w:rPr>
          <w:t>despachomh@hacienda.go.cr</w:t>
        </w:r>
      </w:hyperlink>
      <w:r w:rsidRPr="002A7673">
        <w:rPr>
          <w:rFonts w:ascii="Times New Roman" w:eastAsia="Times New Roman" w:hAnsi="Times New Roman" w:cs="Times New Roman"/>
          <w:bCs/>
          <w:i/>
          <w:iCs/>
          <w:sz w:val="28"/>
          <w:szCs w:val="28"/>
          <w:lang w:val="es-ES" w:eastAsia="es-CR"/>
        </w:rPr>
        <w:t>.”</w:t>
      </w:r>
    </w:p>
    <w:p w14:paraId="6696CD14" w14:textId="77777777" w:rsidR="002A7673" w:rsidRPr="002A7673" w:rsidRDefault="002A7673" w:rsidP="002A7673">
      <w:pPr>
        <w:suppressAutoHyphens/>
        <w:spacing w:after="0" w:line="480" w:lineRule="auto"/>
        <w:jc w:val="center"/>
        <w:rPr>
          <w:rFonts w:ascii="Times New Roman" w:eastAsia="Times New Roman" w:hAnsi="Times New Roman" w:cs="Times New Roman"/>
          <w:i/>
          <w:iCs/>
          <w:sz w:val="28"/>
          <w:szCs w:val="28"/>
          <w:lang w:val="es-ES_tradnl" w:eastAsia="ar-SA"/>
        </w:rPr>
      </w:pPr>
      <w:r w:rsidRPr="002A7673">
        <w:rPr>
          <w:rFonts w:ascii="Times New Roman" w:eastAsia="Times New Roman" w:hAnsi="Times New Roman" w:cs="Times New Roman"/>
          <w:i/>
          <w:iCs/>
          <w:sz w:val="28"/>
          <w:szCs w:val="28"/>
          <w:lang w:val="es-ES_tradnl" w:eastAsia="ar-SA"/>
        </w:rPr>
        <w:object w:dxaOrig="1508" w:dyaOrig="984" w14:anchorId="780CC5BA">
          <v:shape id="_x0000_i1171" type="#_x0000_t75" style="width:77.25pt;height:51.75pt" o:ole="">
            <v:imagedata r:id="rId407" o:title=""/>
          </v:shape>
          <o:OLEObject Type="Embed" ProgID="AcroExch.Document.DC" ShapeID="_x0000_i1171" DrawAspect="Icon" ObjectID="_1684067114" r:id="rId408"/>
        </w:object>
      </w:r>
    </w:p>
    <w:p w14:paraId="424663B7" w14:textId="77777777" w:rsidR="002A7673" w:rsidRPr="002A7673" w:rsidRDefault="002A7673" w:rsidP="002A7673">
      <w:pPr>
        <w:spacing w:after="0" w:line="480" w:lineRule="auto"/>
        <w:jc w:val="center"/>
        <w:rPr>
          <w:rFonts w:ascii="Times New Roman" w:eastAsia="Times New Roman" w:hAnsi="Times New Roman" w:cs="Times New Roman"/>
          <w:color w:val="000000"/>
          <w:sz w:val="28"/>
          <w:szCs w:val="28"/>
          <w:lang w:val="es-ES" w:eastAsia="ar-SA"/>
        </w:rPr>
      </w:pPr>
      <w:r w:rsidRPr="002A7673">
        <w:rPr>
          <w:rFonts w:ascii="Times New Roman" w:eastAsia="Times New Roman" w:hAnsi="Times New Roman" w:cs="Times New Roman"/>
          <w:color w:val="000000"/>
          <w:sz w:val="28"/>
          <w:szCs w:val="28"/>
          <w:lang w:val="es-ES" w:eastAsia="ar-SA"/>
        </w:rPr>
        <w:t>-0 -</w:t>
      </w:r>
    </w:p>
    <w:p w14:paraId="216C2917"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x-none"/>
        </w:rPr>
      </w:pPr>
      <w:r w:rsidRPr="002A7673">
        <w:rPr>
          <w:rFonts w:ascii="Times New Roman" w:eastAsia="Times New Roman" w:hAnsi="Times New Roman" w:cs="Times New Roman"/>
          <w:bCs/>
          <w:sz w:val="28"/>
          <w:szCs w:val="28"/>
          <w:lang w:val="es-ES" w:eastAsia="x-none"/>
        </w:rPr>
        <w:t>Panorama general al 30 de abril de 2021</w:t>
      </w:r>
    </w:p>
    <w:p w14:paraId="4D712761"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x-none"/>
        </w:rPr>
      </w:pPr>
      <w:r w:rsidRPr="002A7673">
        <w:rPr>
          <w:rFonts w:ascii="Times New Roman" w:eastAsia="Times New Roman" w:hAnsi="Times New Roman" w:cs="Times New Roman"/>
          <w:bCs/>
          <w:sz w:val="28"/>
          <w:szCs w:val="28"/>
          <w:lang w:val="es-ES" w:eastAsia="x-none"/>
        </w:rPr>
        <w:lastRenderedPageBreak/>
        <w:t>Considerando las comunicaciones anteriores, en el caso del Poder Judicial se tiene que el monto máximo a formular por concepto de gasto corriente para el 2022 es de ¢443.456,2 millones, considerando que de acuerdo con el oficio DM-0238-2021 el crecimiento máximo permitido al gasto corriente es del orden del 1.96%.</w:t>
      </w:r>
    </w:p>
    <w:p w14:paraId="09008DC8"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x-none"/>
        </w:rPr>
      </w:pPr>
      <w:r w:rsidRPr="002A7673">
        <w:rPr>
          <w:rFonts w:ascii="Times New Roman" w:eastAsia="Times New Roman" w:hAnsi="Times New Roman" w:cs="Times New Roman"/>
          <w:bCs/>
          <w:sz w:val="28"/>
          <w:szCs w:val="28"/>
          <w:lang w:val="es-ES" w:eastAsia="x-none"/>
        </w:rPr>
        <w:t xml:space="preserve">Por su parte, en el caso del gasto de capital se podrían formular hasta ¢25.027,7 millones, a partir del límite presupuestario máximo autorizado al Poder Judicial mediante oficio DM-0340-2021. </w:t>
      </w:r>
    </w:p>
    <w:p w14:paraId="754BE774" w14:textId="77777777" w:rsidR="002A7673" w:rsidRPr="002A7673" w:rsidRDefault="002A7673" w:rsidP="002A7673">
      <w:pPr>
        <w:spacing w:after="0" w:line="480" w:lineRule="auto"/>
        <w:jc w:val="center"/>
        <w:rPr>
          <w:rFonts w:ascii="Times New Roman" w:eastAsia="Times New Roman" w:hAnsi="Times New Roman" w:cs="Times New Roman"/>
          <w:color w:val="000000"/>
          <w:sz w:val="28"/>
          <w:szCs w:val="28"/>
          <w:lang w:val="es-ES" w:eastAsia="ar-SA"/>
        </w:rPr>
      </w:pPr>
      <w:r w:rsidRPr="002A7673">
        <w:rPr>
          <w:rFonts w:ascii="Times New Roman" w:eastAsia="Times New Roman" w:hAnsi="Times New Roman" w:cs="Times New Roman"/>
          <w:color w:val="000000"/>
          <w:sz w:val="28"/>
          <w:szCs w:val="28"/>
          <w:lang w:val="es-ES" w:eastAsia="ar-SA"/>
        </w:rPr>
        <w:t>-0 -</w:t>
      </w:r>
    </w:p>
    <w:p w14:paraId="7BFB3703"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
          <w:sz w:val="28"/>
          <w:szCs w:val="28"/>
          <w:u w:val="single"/>
          <w:lang w:val="es-ES" w:eastAsia="es-CR"/>
        </w:rPr>
      </w:pPr>
      <w:bookmarkStart w:id="271" w:name="_MON_1680595922"/>
      <w:bookmarkEnd w:id="271"/>
      <w:r w:rsidRPr="002A7673">
        <w:rPr>
          <w:rFonts w:ascii="Times New Roman" w:eastAsia="Times New Roman" w:hAnsi="Times New Roman" w:cs="Times New Roman"/>
          <w:b/>
          <w:sz w:val="28"/>
          <w:szCs w:val="28"/>
          <w:u w:val="single"/>
          <w:lang w:val="es-ES" w:eastAsia="es-CR"/>
        </w:rPr>
        <w:t>Otras Necesidades Institucionales</w:t>
      </w:r>
    </w:p>
    <w:p w14:paraId="6F7A6141" w14:textId="77777777" w:rsidR="002A7673" w:rsidRPr="002A7673" w:rsidRDefault="002A7673" w:rsidP="002A7673">
      <w:pPr>
        <w:suppressAutoHyphens/>
        <w:spacing w:after="0" w:line="480" w:lineRule="auto"/>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De forma complementaria a lo señalado con anterioridad, se han logrado identificar una serie de necesidades institucionales, que indudablemente representan necesidades urgentes de atender. A </w:t>
      </w:r>
      <w:proofErr w:type="gramStart"/>
      <w:r w:rsidRPr="002A7673">
        <w:rPr>
          <w:rFonts w:ascii="Times New Roman" w:eastAsia="Times New Roman" w:hAnsi="Times New Roman" w:cs="Times New Roman"/>
          <w:bCs/>
          <w:sz w:val="28"/>
          <w:szCs w:val="28"/>
          <w:lang w:val="es-ES_tradnl" w:eastAsia="ar-SA"/>
        </w:rPr>
        <w:t>continuación</w:t>
      </w:r>
      <w:proofErr w:type="gramEnd"/>
      <w:r w:rsidRPr="002A7673">
        <w:rPr>
          <w:rFonts w:ascii="Times New Roman" w:eastAsia="Times New Roman" w:hAnsi="Times New Roman" w:cs="Times New Roman"/>
          <w:bCs/>
          <w:sz w:val="28"/>
          <w:szCs w:val="28"/>
          <w:lang w:val="es-ES_tradnl" w:eastAsia="ar-SA"/>
        </w:rPr>
        <w:t xml:space="preserve"> se presenta el detalle correspondiente:</w:t>
      </w:r>
    </w:p>
    <w:p w14:paraId="44F1DB7F"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 xml:space="preserve">Restitución de Recursos Económicos para atender Servicios Médicos </w:t>
      </w:r>
    </w:p>
    <w:p w14:paraId="0D7E6BBC" w14:textId="77777777" w:rsidR="002A7673" w:rsidRPr="002A7673" w:rsidRDefault="002A7673" w:rsidP="002A7673">
      <w:pPr>
        <w:suppressAutoHyphens/>
        <w:spacing w:after="0" w:line="480" w:lineRule="auto"/>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En atención a lo solicitado por la Corte Plena en sesión 5-2021 del 01 de febrero del 2021, según artículo XIII acuerdo se restituye la suma de </w:t>
      </w:r>
      <w:r w:rsidRPr="002A7673">
        <w:rPr>
          <w:rFonts w:ascii="Times New Roman" w:eastAsia="Times New Roman" w:hAnsi="Times New Roman" w:cs="Times New Roman"/>
          <w:sz w:val="28"/>
          <w:szCs w:val="28"/>
          <w:lang w:val="es-ES_tradnl" w:eastAsia="ar-SA"/>
        </w:rPr>
        <w:t>¢</w:t>
      </w:r>
      <w:r w:rsidRPr="002A7673">
        <w:rPr>
          <w:rFonts w:ascii="Times New Roman" w:eastAsia="Times New Roman" w:hAnsi="Times New Roman" w:cs="Times New Roman"/>
          <w:bCs/>
          <w:sz w:val="28"/>
          <w:szCs w:val="28"/>
          <w:lang w:val="es-ES_tradnl" w:eastAsia="ar-SA"/>
        </w:rPr>
        <w:t xml:space="preserve">210.010.089. </w:t>
      </w:r>
    </w:p>
    <w:p w14:paraId="45F7C18C" w14:textId="77777777" w:rsidR="002A7673" w:rsidRPr="002A7673" w:rsidRDefault="002A7673" w:rsidP="002A7673">
      <w:pPr>
        <w:suppressAutoHyphens/>
        <w:spacing w:after="0" w:line="480" w:lineRule="auto"/>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Con respecto a los recursos para servicios médicos, según lo analizado por el Consejo Superior en esta reunión de trabajo del 23 de abril, serán asignadas a la Dirección </w:t>
      </w:r>
      <w:r w:rsidRPr="002A7673">
        <w:rPr>
          <w:rFonts w:ascii="Times New Roman" w:eastAsia="Times New Roman" w:hAnsi="Times New Roman" w:cs="Times New Roman"/>
          <w:bCs/>
          <w:sz w:val="28"/>
          <w:szCs w:val="28"/>
          <w:lang w:val="es-ES_tradnl" w:eastAsia="ar-SA"/>
        </w:rPr>
        <w:lastRenderedPageBreak/>
        <w:t xml:space="preserve">Ejecutiva para reiniciar la contratación paulatina de los servicios en los diferentes circuitos judiciales, lo anterior, debido a la necesidad de fortalecer los servicios y fortalecer el resguardo en la salud de las personas servidoras judiciales. </w:t>
      </w:r>
    </w:p>
    <w:p w14:paraId="4CC8DED1"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Servicios de Limpieza Anexo E</w:t>
      </w:r>
    </w:p>
    <w:p w14:paraId="5118D24A"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En respuesta al acuerdo del Consejo Superior en la sesión extraordinaria N° 30-2021 celebrada el 16 de abril del año en curso, artículo XII, la Dirección Ejecutiva mediante oficio  1334-DE-2021, informó sobre la estimación correspondiente para la inclusión de recursos por ¢18.080.000 para la contratación de dos servicios de limpieza, atendiendo las proyecciones de la Sección de Limpieza y Jardinería, dado que se proyecta un faltante de dos puestos para completar la limpieza del edificio, considerando los recursos que se destacan en el Edificio Catedral y Santa Rita (se suma el IVA).  Se indica que los recursos deben ser formulados en la Administración del Primer Circuito Judicial de San José (520 – Edificio Anexo E).</w:t>
      </w:r>
    </w:p>
    <w:p w14:paraId="40483CF8" w14:textId="77777777" w:rsidR="002A7673" w:rsidRPr="002A7673" w:rsidRDefault="002A7673" w:rsidP="002A7673">
      <w:pPr>
        <w:suppressAutoHyphens/>
        <w:spacing w:after="0" w:line="480" w:lineRule="auto"/>
        <w:ind w:firstLine="360"/>
        <w:jc w:val="center"/>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object w:dxaOrig="1508" w:dyaOrig="984" w14:anchorId="1D0A799E">
          <v:shape id="_x0000_i1172" type="#_x0000_t75" style="width:77.25pt;height:51.75pt" o:ole="">
            <v:imagedata r:id="rId409" o:title=""/>
          </v:shape>
          <o:OLEObject Type="Embed" ProgID="AcroExch.Document.DC" ShapeID="_x0000_i1172" DrawAspect="Icon" ObjectID="_1684067115" r:id="rId410"/>
        </w:object>
      </w:r>
    </w:p>
    <w:p w14:paraId="2E57D900" w14:textId="77777777" w:rsidR="002A7673" w:rsidRPr="002A7673" w:rsidRDefault="002A7673" w:rsidP="002A7673">
      <w:pPr>
        <w:suppressAutoHyphens/>
        <w:spacing w:after="0" w:line="480" w:lineRule="auto"/>
        <w:ind w:firstLine="360"/>
        <w:jc w:val="center"/>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-0-</w:t>
      </w:r>
    </w:p>
    <w:p w14:paraId="7B2CA5D8"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Oficio PJ-DGH-CAP-190-2021 correspondiente a las estimaciones de especialistas en contenido para el año 2022</w:t>
      </w:r>
    </w:p>
    <w:p w14:paraId="7AE34F4B" w14:textId="77777777" w:rsidR="002A7673" w:rsidRPr="002A7673" w:rsidRDefault="002A7673" w:rsidP="002A7673">
      <w:pPr>
        <w:suppressAutoHyphens/>
        <w:spacing w:after="0" w:line="480" w:lineRule="auto"/>
        <w:ind w:firstLine="709"/>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lastRenderedPageBreak/>
        <w:t>Tal como se expuso en el artículo VIII de esta sesión del Consejo Superior (35-2021), la Dirección de Gestión Humana presentó el oficio PJ-DGH-CAP-190-2021 correspondiente a las estimaciones de especialistas en contenido para el año 2022, concretamente un monto de ¢576,9 millones, cifra que al incorporarse el impacto en cargas sociales deriva en un monto total de ¢799.632.173, para ser incorporados también como parte del presupuesto ordinario del Poder Judicial para el 2022. Al respecto el Consejo Superior en el artículo citado dispuso lo siguiente:</w:t>
      </w:r>
    </w:p>
    <w:p w14:paraId="7D65EBF3" w14:textId="77777777" w:rsidR="002A7673" w:rsidRPr="002A7673" w:rsidRDefault="002A7673" w:rsidP="002A7673">
      <w:pPr>
        <w:suppressAutoHyphens/>
        <w:spacing w:after="0" w:line="480" w:lineRule="auto"/>
        <w:ind w:firstLine="709"/>
        <w:jc w:val="both"/>
        <w:rPr>
          <w:rFonts w:ascii="Times New Roman" w:eastAsia="Times New Roman" w:hAnsi="Times New Roman" w:cs="Times New Roman"/>
          <w:bCs/>
          <w:i/>
          <w:iCs/>
          <w:sz w:val="28"/>
          <w:szCs w:val="28"/>
          <w:lang w:val="es-ES_tradnl" w:eastAsia="ar-SA"/>
        </w:rPr>
      </w:pPr>
      <w:r w:rsidRPr="002A7673">
        <w:rPr>
          <w:rFonts w:ascii="Times New Roman" w:eastAsia="Times New Roman" w:hAnsi="Times New Roman" w:cs="Times New Roman"/>
          <w:bCs/>
          <w:i/>
          <w:iCs/>
          <w:sz w:val="28"/>
          <w:szCs w:val="28"/>
          <w:lang w:val="es-ES_tradnl" w:eastAsia="ar-SA"/>
        </w:rPr>
        <w:t xml:space="preserve">“(…) 2) En relación con la estimación del costo de los especialistas en contenido para el año 2022 por un total de ₡576 921 314,64, se toma nota de la estimación realizada por la Dirección de Gestión Humana, monto que se deberá incorporar como parte del presupuesto de remuneraciones para el 2022.” </w:t>
      </w:r>
    </w:p>
    <w:p w14:paraId="4A19C549"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 xml:space="preserve">Informe 499-PLA-MI-2021 relacionado con el análisis de plazas de </w:t>
      </w:r>
      <w:proofErr w:type="gramStart"/>
      <w:r w:rsidRPr="002A7673">
        <w:rPr>
          <w:rFonts w:ascii="Times New Roman" w:eastAsia="Times New Roman" w:hAnsi="Times New Roman" w:cs="Times New Roman"/>
          <w:b/>
          <w:bCs/>
          <w:sz w:val="28"/>
          <w:szCs w:val="28"/>
          <w:u w:val="single"/>
          <w:lang w:val="es-ES_tradnl" w:eastAsia="ar-SA"/>
        </w:rPr>
        <w:t>Técnicas y Técnicos</w:t>
      </w:r>
      <w:proofErr w:type="gramEnd"/>
      <w:r w:rsidRPr="002A7673">
        <w:rPr>
          <w:rFonts w:ascii="Times New Roman" w:eastAsia="Times New Roman" w:hAnsi="Times New Roman" w:cs="Times New Roman"/>
          <w:b/>
          <w:bCs/>
          <w:sz w:val="28"/>
          <w:szCs w:val="28"/>
          <w:u w:val="single"/>
          <w:lang w:val="es-ES_tradnl" w:eastAsia="ar-SA"/>
        </w:rPr>
        <w:t xml:space="preserve"> Jurídicos de la Defensa Pública</w:t>
      </w:r>
    </w:p>
    <w:p w14:paraId="59B24CAC"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Tal como se expuso en el artículo XX de esta sesión del Consejo Superior (35-2021), la Dirección de Planificación presentó el oficio 499-PLA-MI-2021 relacionado con el análisis de plazas de </w:t>
      </w:r>
      <w:proofErr w:type="gramStart"/>
      <w:r w:rsidRPr="002A7673">
        <w:rPr>
          <w:rFonts w:ascii="Times New Roman" w:eastAsia="Times New Roman" w:hAnsi="Times New Roman" w:cs="Times New Roman"/>
          <w:bCs/>
          <w:sz w:val="28"/>
          <w:szCs w:val="28"/>
          <w:lang w:val="es-ES_tradnl" w:eastAsia="ar-SA"/>
        </w:rPr>
        <w:t>Técnicas y Técnicos</w:t>
      </w:r>
      <w:proofErr w:type="gramEnd"/>
      <w:r w:rsidRPr="002A7673">
        <w:rPr>
          <w:rFonts w:ascii="Times New Roman" w:eastAsia="Times New Roman" w:hAnsi="Times New Roman" w:cs="Times New Roman"/>
          <w:bCs/>
          <w:sz w:val="28"/>
          <w:szCs w:val="28"/>
          <w:lang w:val="es-ES_tradnl" w:eastAsia="ar-SA"/>
        </w:rPr>
        <w:t xml:space="preserve"> Jurídicos de la Defensa Pública, con la intención de buscar alternativas para el reforzamiento de las plazas requeridas para la Defensa Pública según prioridades institucionales.  </w:t>
      </w:r>
    </w:p>
    <w:p w14:paraId="28344372"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Al respecto el Consejo Superior dispuso lo siguiente:</w:t>
      </w:r>
    </w:p>
    <w:p w14:paraId="780C2189" w14:textId="77777777" w:rsidR="002A7673" w:rsidRPr="002A7673" w:rsidRDefault="002A7673" w:rsidP="002A7673">
      <w:pPr>
        <w:widowControl w:val="0"/>
        <w:suppressAutoHyphens/>
        <w:spacing w:after="0" w:line="240" w:lineRule="auto"/>
        <w:ind w:left="851" w:right="851" w:firstLine="709"/>
        <w:jc w:val="both"/>
        <w:rPr>
          <w:rFonts w:ascii="Times New Roman" w:eastAsia="Times New Roman" w:hAnsi="Times New Roman" w:cs="Times New Roman"/>
          <w:bCs/>
          <w:i/>
          <w:iCs/>
          <w:lang w:val="es-ES" w:eastAsia="ar-SA"/>
        </w:rPr>
      </w:pPr>
      <w:r w:rsidRPr="002A7673">
        <w:rPr>
          <w:rFonts w:ascii="Times New Roman" w:eastAsia="Times New Roman" w:hAnsi="Times New Roman" w:cs="Times New Roman"/>
          <w:b/>
          <w:i/>
          <w:iCs/>
          <w:sz w:val="28"/>
          <w:szCs w:val="28"/>
          <w:lang w:val="es-ES" w:eastAsia="ar-SA"/>
        </w:rPr>
        <w:lastRenderedPageBreak/>
        <w:t>“Se acordó</w:t>
      </w:r>
      <w:r w:rsidRPr="002A7673">
        <w:rPr>
          <w:rFonts w:ascii="Times New Roman" w:eastAsia="Times New Roman" w:hAnsi="Times New Roman" w:cs="Times New Roman"/>
          <w:i/>
          <w:iCs/>
          <w:sz w:val="28"/>
          <w:szCs w:val="28"/>
          <w:lang w:val="es-ES" w:eastAsia="ar-SA"/>
        </w:rPr>
        <w:t xml:space="preserve">: 1) Aprobar el informe 499-PLA-MI-2021 y sus recomendaciones, con la aclaración de que se acoge la recomendación de reclasificación de 11 plazas de </w:t>
      </w:r>
      <w:proofErr w:type="gramStart"/>
      <w:r w:rsidRPr="002A7673">
        <w:rPr>
          <w:rFonts w:ascii="Times New Roman" w:eastAsia="Times New Roman" w:hAnsi="Times New Roman" w:cs="Times New Roman"/>
          <w:i/>
          <w:iCs/>
          <w:sz w:val="28"/>
          <w:szCs w:val="28"/>
          <w:lang w:val="es-ES" w:eastAsia="ar-SA"/>
        </w:rPr>
        <w:t>Técnicas y Técnicos</w:t>
      </w:r>
      <w:proofErr w:type="gramEnd"/>
      <w:r w:rsidRPr="002A7673">
        <w:rPr>
          <w:rFonts w:ascii="Times New Roman" w:eastAsia="Times New Roman" w:hAnsi="Times New Roman" w:cs="Times New Roman"/>
          <w:i/>
          <w:iCs/>
          <w:sz w:val="28"/>
          <w:szCs w:val="28"/>
          <w:lang w:val="es-ES" w:eastAsia="ar-SA"/>
        </w:rPr>
        <w:t xml:space="preserve"> Jurídicos de la Defensa Pública.”</w:t>
      </w:r>
    </w:p>
    <w:p w14:paraId="046F7CA9" w14:textId="77777777" w:rsidR="002A7673" w:rsidRPr="002A7673" w:rsidRDefault="002A7673" w:rsidP="002A7673">
      <w:pPr>
        <w:suppressAutoHyphens/>
        <w:spacing w:after="0" w:line="480" w:lineRule="auto"/>
        <w:ind w:left="851" w:right="851" w:firstLine="360"/>
        <w:jc w:val="both"/>
        <w:rPr>
          <w:rFonts w:ascii="Times New Roman" w:eastAsia="Times New Roman" w:hAnsi="Times New Roman" w:cs="Times New Roman"/>
          <w:bCs/>
          <w:sz w:val="28"/>
          <w:szCs w:val="28"/>
          <w:lang w:val="es-ES_tradnl" w:eastAsia="ar-SA"/>
        </w:rPr>
      </w:pPr>
    </w:p>
    <w:p w14:paraId="440E047C"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
          <w:sz w:val="28"/>
          <w:szCs w:val="28"/>
          <w:lang w:val="es-ES_tradnl" w:eastAsia="ar-SA"/>
        </w:rPr>
      </w:pPr>
      <w:r w:rsidRPr="002A7673">
        <w:rPr>
          <w:rFonts w:ascii="Times New Roman" w:eastAsia="Times New Roman" w:hAnsi="Times New Roman" w:cs="Times New Roman"/>
          <w:bCs/>
          <w:sz w:val="28"/>
          <w:szCs w:val="28"/>
          <w:lang w:val="es-ES_tradnl" w:eastAsia="ar-SA"/>
        </w:rPr>
        <w:t>Lo anterior, según las estimaciones realizadas tiene un costo de ¢700 millones, para ser incorporados también como parte del presupuesto ordinario del Poder Judicial para el 2022.</w:t>
      </w:r>
    </w:p>
    <w:p w14:paraId="68CEDF83"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Necesidad de espacio físico en la Fiscalía Adjunta de Probidad, Transparencia y Anticorrupción</w:t>
      </w:r>
    </w:p>
    <w:p w14:paraId="636195F4" w14:textId="77777777" w:rsidR="002A7673" w:rsidRPr="002A7673" w:rsidRDefault="002A7673" w:rsidP="002A7673">
      <w:pPr>
        <w:suppressAutoHyphens/>
        <w:spacing w:after="0" w:line="480" w:lineRule="auto"/>
        <w:jc w:val="both"/>
        <w:rPr>
          <w:rFonts w:ascii="Times New Roman" w:eastAsia="Times New Roman" w:hAnsi="Times New Roman" w:cs="Times New Roman"/>
          <w:sz w:val="20"/>
          <w:szCs w:val="20"/>
          <w:lang w:val="es-ES_tradnl" w:eastAsia="ar-SA"/>
        </w:rPr>
      </w:pPr>
    </w:p>
    <w:p w14:paraId="31C2AB07"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 La Fiscalía Adjunta de Probidad, Transparencia y Anticorrupción, solicitó el incremento en las subpartidas de alquileres, limpieza y vigilancia por la suma de ¢282.525.569.00, para contar un adecuado espacio físico que cubra las necesidades de resguardo y seguridad a las funciones que se realizan por esta Fiscalía. </w:t>
      </w:r>
    </w:p>
    <w:p w14:paraId="1427E8EA"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Analizada la solicitud en sesión de trabajo de presupuesto del Consejo Superior, se plantea la posibilidad de que la Dirección Ejecutiva por medio del Departamento de Servicios Generales, realice la propuesta de remodelación para reorganización de espacios en el sector sureste del edificio de Tribunales. </w:t>
      </w:r>
    </w:p>
    <w:p w14:paraId="5A1F036A"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lastRenderedPageBreak/>
        <w:t xml:space="preserve">Una vez confeccionada la propuesta y validada con la Jefatura de la </w:t>
      </w:r>
      <w:proofErr w:type="spellStart"/>
      <w:r w:rsidRPr="002A7673">
        <w:rPr>
          <w:rFonts w:ascii="Times New Roman" w:eastAsia="Times New Roman" w:hAnsi="Times New Roman" w:cs="Times New Roman"/>
          <w:bCs/>
          <w:sz w:val="28"/>
          <w:szCs w:val="28"/>
          <w:lang w:val="es-ES" w:eastAsia="es-CR"/>
        </w:rPr>
        <w:t>Fiscalia</w:t>
      </w:r>
      <w:proofErr w:type="spellEnd"/>
      <w:r w:rsidRPr="002A7673">
        <w:rPr>
          <w:rFonts w:ascii="Times New Roman" w:eastAsia="Times New Roman" w:hAnsi="Times New Roman" w:cs="Times New Roman"/>
          <w:bCs/>
          <w:sz w:val="28"/>
          <w:szCs w:val="28"/>
          <w:lang w:val="es-ES" w:eastAsia="es-CR"/>
        </w:rPr>
        <w:t xml:space="preserve"> de Probidad, se acepta la misma.  Por tanto, los recursos solicitados en las subpartidas indicadas se redireccionan a la subpartida de Remodelaciones por un monto de </w:t>
      </w:r>
      <w:r w:rsidRPr="002A7673">
        <w:rPr>
          <w:rFonts w:ascii="Times New Roman" w:eastAsia="Times New Roman" w:hAnsi="Times New Roman" w:cs="Times New Roman"/>
          <w:b/>
          <w:bCs/>
          <w:sz w:val="28"/>
          <w:szCs w:val="28"/>
          <w:lang w:val="es-ES" w:eastAsia="es-CR"/>
        </w:rPr>
        <w:t>¢160.000.000</w:t>
      </w:r>
      <w:r w:rsidRPr="002A7673">
        <w:rPr>
          <w:rFonts w:ascii="Times New Roman" w:eastAsia="Times New Roman" w:hAnsi="Times New Roman" w:cs="Times New Roman"/>
          <w:bCs/>
          <w:sz w:val="28"/>
          <w:szCs w:val="28"/>
          <w:lang w:val="es-ES" w:eastAsia="es-CR"/>
        </w:rPr>
        <w:t>, con la finalidad de llevar a cabo los ajustes en los espacios físicos en el Edificio de los Tribunales.</w:t>
      </w:r>
    </w:p>
    <w:p w14:paraId="72D2F25D"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x-none"/>
        </w:rPr>
      </w:pPr>
      <w:r w:rsidRPr="002A7673">
        <w:rPr>
          <w:rFonts w:ascii="Times New Roman" w:eastAsia="Times New Roman" w:hAnsi="Times New Roman" w:cs="Times New Roman"/>
          <w:bCs/>
          <w:sz w:val="28"/>
          <w:szCs w:val="28"/>
          <w:lang w:val="es-ES" w:eastAsia="x-none"/>
        </w:rPr>
        <w:t xml:space="preserve">Se anexan los documentos que respaldan la propuesta y las acciones realizadas. Así como el correo electrónico del día 29 de abril, en el que se brinda la aceptación de la propuesta por parte del Máster Carlos Meléndez Sequeira, Fiscal Adjunto. </w:t>
      </w:r>
    </w:p>
    <w:bookmarkStart w:id="272" w:name="_MON_1681296451"/>
    <w:bookmarkEnd w:id="272"/>
    <w:p w14:paraId="21A8D977" w14:textId="77777777" w:rsidR="002A7673" w:rsidRPr="002A7673" w:rsidRDefault="002A7673" w:rsidP="002A7673">
      <w:pPr>
        <w:suppressAutoHyphens/>
        <w:spacing w:after="0" w:line="480" w:lineRule="auto"/>
        <w:jc w:val="both"/>
        <w:rPr>
          <w:rFonts w:ascii="Times New Roman" w:eastAsia="Times New Roman" w:hAnsi="Times New Roman" w:cs="Times New Roman"/>
          <w:b/>
          <w:sz w:val="28"/>
          <w:szCs w:val="28"/>
          <w:lang w:val="es-ES_tradnl" w:eastAsia="ar-SA"/>
        </w:rPr>
      </w:pPr>
      <w:r w:rsidRPr="002A7673">
        <w:rPr>
          <w:rFonts w:ascii="Times New Roman" w:eastAsia="Times New Roman" w:hAnsi="Times New Roman" w:cs="Times New Roman"/>
          <w:b/>
          <w:sz w:val="28"/>
          <w:szCs w:val="28"/>
          <w:lang w:val="es-ES_tradnl" w:eastAsia="ar-SA"/>
        </w:rPr>
        <w:object w:dxaOrig="1508" w:dyaOrig="984" w14:anchorId="35E85E6B">
          <v:shape id="_x0000_i1173" type="#_x0000_t75" style="width:77.25pt;height:51.75pt" o:ole="">
            <v:imagedata r:id="rId411" o:title=""/>
          </v:shape>
          <o:OLEObject Type="Embed" ProgID="Word.Document.8" ShapeID="_x0000_i1173" DrawAspect="Icon" ObjectID="_1684067116" r:id="rId412">
            <o:FieldCodes>\s</o:FieldCodes>
          </o:OLEObject>
        </w:object>
      </w:r>
      <w:r w:rsidRPr="002A7673">
        <w:rPr>
          <w:rFonts w:ascii="Times New Roman" w:eastAsia="Times New Roman" w:hAnsi="Times New Roman" w:cs="Times New Roman"/>
          <w:b/>
          <w:sz w:val="28"/>
          <w:szCs w:val="28"/>
          <w:lang w:val="es-ES_tradnl" w:eastAsia="ar-SA"/>
        </w:rPr>
        <w:object w:dxaOrig="1508" w:dyaOrig="984" w14:anchorId="2E7AF54E">
          <v:shape id="_x0000_i1174" type="#_x0000_t75" style="width:77.25pt;height:51.75pt" o:ole="">
            <v:imagedata r:id="rId413" o:title=""/>
          </v:shape>
          <o:OLEObject Type="Embed" ProgID="AcroExch.Document.DC" ShapeID="_x0000_i1174" DrawAspect="Icon" ObjectID="_1684067117" r:id="rId414"/>
        </w:object>
      </w:r>
      <w:bookmarkStart w:id="273" w:name="_MON_1681296892"/>
      <w:bookmarkEnd w:id="273"/>
      <w:r w:rsidRPr="002A7673">
        <w:rPr>
          <w:rFonts w:ascii="Times New Roman" w:eastAsia="Times New Roman" w:hAnsi="Times New Roman" w:cs="Times New Roman"/>
          <w:b/>
          <w:sz w:val="28"/>
          <w:szCs w:val="28"/>
          <w:lang w:val="es-ES_tradnl" w:eastAsia="ar-SA"/>
        </w:rPr>
        <w:object w:dxaOrig="1508" w:dyaOrig="984" w14:anchorId="3E218149">
          <v:shape id="_x0000_i1175" type="#_x0000_t75" style="width:77.25pt;height:51.75pt" o:ole="">
            <v:imagedata r:id="rId415" o:title=""/>
          </v:shape>
          <o:OLEObject Type="Embed" ProgID="Word.Document.8" ShapeID="_x0000_i1175" DrawAspect="Icon" ObjectID="_1684067118" r:id="rId416">
            <o:FieldCodes>\s</o:FieldCodes>
          </o:OLEObject>
        </w:object>
      </w:r>
      <w:r w:rsidRPr="002A7673">
        <w:rPr>
          <w:rFonts w:ascii="Times New Roman" w:eastAsia="Times New Roman" w:hAnsi="Times New Roman" w:cs="Times New Roman"/>
          <w:b/>
          <w:sz w:val="28"/>
          <w:szCs w:val="28"/>
          <w:lang w:val="es-ES_tradnl" w:eastAsia="ar-SA"/>
        </w:rPr>
        <w:object w:dxaOrig="1508" w:dyaOrig="984" w14:anchorId="2669A018">
          <v:shape id="_x0000_i1176" type="#_x0000_t75" style="width:77.25pt;height:51.75pt" o:ole="">
            <v:imagedata r:id="rId417" o:title=""/>
          </v:shape>
          <o:OLEObject Type="Embed" ProgID="Package" ShapeID="_x0000_i1176" DrawAspect="Icon" ObjectID="_1684067119" r:id="rId418"/>
        </w:object>
      </w:r>
    </w:p>
    <w:p w14:paraId="65AB717C" w14:textId="77777777" w:rsidR="002A7673" w:rsidRPr="002A7673" w:rsidRDefault="002A7673" w:rsidP="002A7673">
      <w:pPr>
        <w:suppressAutoHyphens/>
        <w:spacing w:after="0" w:line="480" w:lineRule="auto"/>
        <w:jc w:val="both"/>
        <w:rPr>
          <w:rFonts w:ascii="Times New Roman" w:eastAsia="Times New Roman" w:hAnsi="Times New Roman" w:cs="Times New Roman"/>
          <w:b/>
          <w:sz w:val="28"/>
          <w:szCs w:val="28"/>
          <w:lang w:val="es-ES_tradnl" w:eastAsia="ar-SA"/>
        </w:rPr>
      </w:pPr>
      <w:r w:rsidRPr="002A7673">
        <w:rPr>
          <w:rFonts w:ascii="Times New Roman" w:eastAsia="Times New Roman" w:hAnsi="Times New Roman" w:cs="Times New Roman"/>
          <w:b/>
          <w:sz w:val="28"/>
          <w:szCs w:val="28"/>
          <w:lang w:val="es-ES_tradnl" w:eastAsia="ar-SA"/>
        </w:rPr>
        <w:object w:dxaOrig="1508" w:dyaOrig="984" w14:anchorId="3D2F72A4">
          <v:shape id="_x0000_i1177" type="#_x0000_t75" style="width:77.25pt;height:51.75pt" o:ole="">
            <v:imagedata r:id="rId419" o:title=""/>
          </v:shape>
          <o:OLEObject Type="Embed" ProgID="AcroExch.Document.DC" ShapeID="_x0000_i1177" DrawAspect="Icon" ObjectID="_1684067120" r:id="rId420"/>
        </w:object>
      </w:r>
      <w:r w:rsidRPr="002A7673">
        <w:rPr>
          <w:rFonts w:ascii="Times New Roman" w:eastAsia="Times New Roman" w:hAnsi="Times New Roman" w:cs="Times New Roman"/>
          <w:b/>
          <w:sz w:val="28"/>
          <w:szCs w:val="28"/>
          <w:lang w:val="es-ES_tradnl" w:eastAsia="ar-SA"/>
        </w:rPr>
        <w:object w:dxaOrig="1508" w:dyaOrig="984" w14:anchorId="604DC0B6">
          <v:shape id="_x0000_i1178" type="#_x0000_t75" style="width:77.25pt;height:51.75pt" o:ole="">
            <v:imagedata r:id="rId421" o:title=""/>
          </v:shape>
          <o:OLEObject Type="Embed" ProgID="AcroExch.Document.DC" ShapeID="_x0000_i1178" DrawAspect="Icon" ObjectID="_1684067121" r:id="rId422"/>
        </w:object>
      </w:r>
      <w:r w:rsidRPr="002A7673">
        <w:rPr>
          <w:rFonts w:ascii="Times New Roman" w:eastAsia="Times New Roman" w:hAnsi="Times New Roman" w:cs="Times New Roman"/>
          <w:b/>
          <w:sz w:val="28"/>
          <w:szCs w:val="28"/>
          <w:lang w:val="es-ES_tradnl" w:eastAsia="ar-SA"/>
        </w:rPr>
        <w:object w:dxaOrig="1508" w:dyaOrig="984" w14:anchorId="21E6FCBB">
          <v:shape id="_x0000_i1179" type="#_x0000_t75" style="width:77.25pt;height:51.75pt" o:ole="">
            <v:imagedata r:id="rId423" o:title=""/>
          </v:shape>
          <o:OLEObject Type="Embed" ProgID="AcroExch.Document.DC" ShapeID="_x0000_i1179" DrawAspect="Icon" ObjectID="_1684067122" r:id="rId424"/>
        </w:object>
      </w:r>
    </w:p>
    <w:p w14:paraId="7D2D9848" w14:textId="77777777" w:rsidR="002A7673" w:rsidRPr="002A7673" w:rsidRDefault="002A7673" w:rsidP="002A7673">
      <w:pPr>
        <w:suppressAutoHyphens/>
        <w:rPr>
          <w:rFonts w:ascii="Times New Roman" w:eastAsia="Times New Roman" w:hAnsi="Times New Roman" w:cs="Times New Roman"/>
          <w:b/>
          <w:sz w:val="28"/>
          <w:szCs w:val="28"/>
          <w:lang w:val="es-ES_tradnl" w:eastAsia="ar-SA"/>
        </w:rPr>
      </w:pPr>
    </w:p>
    <w:p w14:paraId="5937F41F"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Prestaciones Legales</w:t>
      </w:r>
    </w:p>
    <w:p w14:paraId="529D2DBD"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x-none"/>
        </w:rPr>
      </w:pPr>
      <w:r w:rsidRPr="002A7673">
        <w:rPr>
          <w:rFonts w:ascii="Times New Roman" w:eastAsia="Times New Roman" w:hAnsi="Times New Roman" w:cs="Times New Roman"/>
          <w:bCs/>
          <w:sz w:val="28"/>
          <w:szCs w:val="28"/>
          <w:lang w:val="es-ES" w:eastAsia="x-none"/>
        </w:rPr>
        <w:t xml:space="preserve">Mediante correo electrónico del pasado jueves 29 de abril, el Lic. David Madrigal Robles, Coordinador de Unidad de la Unidad de Presupuesto y Estudios </w:t>
      </w:r>
      <w:r w:rsidRPr="002A7673">
        <w:rPr>
          <w:rFonts w:ascii="Times New Roman" w:eastAsia="Times New Roman" w:hAnsi="Times New Roman" w:cs="Times New Roman"/>
          <w:bCs/>
          <w:sz w:val="28"/>
          <w:szCs w:val="28"/>
          <w:lang w:val="es-ES" w:eastAsia="x-none"/>
        </w:rPr>
        <w:lastRenderedPageBreak/>
        <w:t>Especiales de la Dirección de Gestión Humana, remitió a la Dirección de Planificación, las proyecciones realizadas en torno a la demanda de prestaciones legales para el 2022.</w:t>
      </w:r>
    </w:p>
    <w:p w14:paraId="72F09BC0" w14:textId="77777777" w:rsidR="002A7673" w:rsidRPr="002A7673" w:rsidRDefault="002A7673" w:rsidP="002A7673">
      <w:pPr>
        <w:suppressAutoHyphens/>
        <w:spacing w:after="0" w:line="240" w:lineRule="auto"/>
        <w:rPr>
          <w:rFonts w:ascii="Times New Roman" w:eastAsia="Times New Roman" w:hAnsi="Times New Roman" w:cs="Times New Roman"/>
          <w:sz w:val="20"/>
          <w:szCs w:val="20"/>
          <w:lang w:val="es-ES_tradnl" w:eastAsia="ar-SA"/>
        </w:rPr>
      </w:pPr>
    </w:p>
    <w:p w14:paraId="13940AC4" w14:textId="77777777" w:rsidR="002A7673" w:rsidRPr="002A7673" w:rsidRDefault="002A7673" w:rsidP="002A7673">
      <w:pPr>
        <w:suppressAutoHyphens/>
        <w:spacing w:after="0" w:line="480" w:lineRule="auto"/>
        <w:jc w:val="center"/>
        <w:rPr>
          <w:rFonts w:ascii="Times New Roman" w:eastAsia="Times New Roman" w:hAnsi="Times New Roman" w:cs="Times New Roman"/>
          <w:bCs/>
          <w:color w:val="000000"/>
          <w:sz w:val="28"/>
          <w:szCs w:val="28"/>
          <w:lang w:val="es-ES_tradnl" w:eastAsia="ar-SA"/>
        </w:rPr>
      </w:pPr>
      <w:r w:rsidRPr="002A7673">
        <w:rPr>
          <w:rFonts w:ascii="Times New Roman" w:eastAsia="Times New Roman" w:hAnsi="Times New Roman" w:cs="Times New Roman"/>
          <w:bCs/>
          <w:color w:val="000000"/>
          <w:sz w:val="28"/>
          <w:szCs w:val="28"/>
          <w:lang w:val="es-ES_tradnl" w:eastAsia="ar-SA"/>
        </w:rPr>
        <w:object w:dxaOrig="1508" w:dyaOrig="984" w14:anchorId="357A5A04">
          <v:shape id="_x0000_i1180" type="#_x0000_t75" style="width:77.25pt;height:51.75pt" o:ole="">
            <v:imagedata r:id="rId425" o:title=""/>
          </v:shape>
          <o:OLEObject Type="Embed" ProgID="Package" ShapeID="_x0000_i1180" DrawAspect="Icon" ObjectID="_1684067123" r:id="rId426"/>
        </w:object>
      </w:r>
    </w:p>
    <w:p w14:paraId="316DB7FA" w14:textId="77777777" w:rsidR="002A7673" w:rsidRPr="002A7673" w:rsidRDefault="002A7673" w:rsidP="002A7673">
      <w:pPr>
        <w:suppressAutoHyphens/>
        <w:spacing w:after="0" w:line="480" w:lineRule="auto"/>
        <w:jc w:val="both"/>
        <w:rPr>
          <w:rFonts w:ascii="Times New Roman" w:eastAsia="Times New Roman" w:hAnsi="Times New Roman" w:cs="Times New Roman"/>
          <w:bCs/>
          <w:color w:val="000000"/>
          <w:sz w:val="28"/>
          <w:szCs w:val="28"/>
          <w:lang w:val="es-ES_tradnl" w:eastAsia="ar-SA"/>
        </w:rPr>
      </w:pPr>
      <w:r w:rsidRPr="002A7673">
        <w:rPr>
          <w:rFonts w:ascii="Times New Roman" w:eastAsia="Times New Roman" w:hAnsi="Times New Roman" w:cs="Times New Roman"/>
          <w:bCs/>
          <w:color w:val="000000"/>
          <w:sz w:val="28"/>
          <w:szCs w:val="28"/>
          <w:lang w:val="es-ES_tradnl" w:eastAsia="ar-SA"/>
        </w:rPr>
        <w:t>En este correo, la Dirección de Gestión Humana realiza varios escenarios y finalmente señala:</w:t>
      </w:r>
    </w:p>
    <w:p w14:paraId="5937C331" w14:textId="77777777" w:rsidR="002A7673" w:rsidRPr="002A7673" w:rsidRDefault="002A7673" w:rsidP="002A7673">
      <w:pPr>
        <w:suppressAutoHyphens/>
        <w:spacing w:after="0" w:line="480" w:lineRule="auto"/>
        <w:jc w:val="both"/>
        <w:rPr>
          <w:rFonts w:ascii="Times New Roman" w:eastAsia="Times New Roman" w:hAnsi="Times New Roman" w:cs="Times New Roman"/>
          <w:bCs/>
          <w:color w:val="000000"/>
          <w:sz w:val="28"/>
          <w:szCs w:val="28"/>
          <w:lang w:val="es-ES_tradnl" w:eastAsia="ar-SA"/>
        </w:rPr>
      </w:pPr>
      <w:r w:rsidRPr="002A7673">
        <w:rPr>
          <w:rFonts w:ascii="Times New Roman" w:eastAsia="Times New Roman" w:hAnsi="Times New Roman" w:cs="Times New Roman"/>
          <w:bCs/>
          <w:color w:val="000000"/>
          <w:sz w:val="28"/>
          <w:szCs w:val="28"/>
          <w:lang w:val="es-ES_tradnl" w:eastAsia="ar-SA"/>
        </w:rPr>
        <w:t xml:space="preserve">“(…) </w:t>
      </w:r>
    </w:p>
    <w:p w14:paraId="4B4812AE" w14:textId="77777777" w:rsidR="002A7673" w:rsidRPr="002A7673" w:rsidRDefault="002A7673" w:rsidP="002A7673">
      <w:pPr>
        <w:suppressAutoHyphens/>
        <w:spacing w:after="0" w:line="240" w:lineRule="auto"/>
        <w:ind w:left="360"/>
        <w:jc w:val="both"/>
        <w:rPr>
          <w:rFonts w:ascii="Times New Roman" w:eastAsia="Times New Roman" w:hAnsi="Times New Roman" w:cs="Times New Roman"/>
          <w:bCs/>
          <w:i/>
          <w:iCs/>
          <w:color w:val="000000"/>
          <w:sz w:val="28"/>
          <w:szCs w:val="28"/>
          <w:lang w:val="es-ES_tradnl" w:eastAsia="ar-SA"/>
        </w:rPr>
      </w:pPr>
      <w:r w:rsidRPr="002A7673">
        <w:rPr>
          <w:rFonts w:ascii="Times New Roman" w:eastAsia="Times New Roman" w:hAnsi="Times New Roman" w:cs="Times New Roman"/>
          <w:bCs/>
          <w:i/>
          <w:iCs/>
          <w:color w:val="000000"/>
          <w:sz w:val="28"/>
          <w:szCs w:val="28"/>
          <w:lang w:val="es-ES_tradnl" w:eastAsia="ar-SA"/>
        </w:rPr>
        <w:t>Descrito lo anterior, esta Dirección estima recomendable proyectar para el pago del 2022 tomando como referencia el escenario del promedio pagado entre los años 2015 y 2017 (₡ 3,437,020,385.84), el cual, se ajusta a la realidad institucional previo a la reforma y que además según las estimaciones realizadas resultaría suficiente para cubrir las necesidades en el 2022, siempre y cuando, no se modifique lo indicado por la Ley de Contingencia Fiscal que estipula el pago de los 8 años de auxilio de cesantía.”</w:t>
      </w:r>
    </w:p>
    <w:p w14:paraId="27017BEC" w14:textId="77777777" w:rsidR="002A7673" w:rsidRPr="002A7673" w:rsidRDefault="002A7673" w:rsidP="002A7673">
      <w:pPr>
        <w:suppressAutoHyphens/>
        <w:spacing w:after="0" w:line="240" w:lineRule="auto"/>
        <w:jc w:val="both"/>
        <w:rPr>
          <w:rFonts w:ascii="Times New Roman" w:eastAsia="Times New Roman" w:hAnsi="Times New Roman" w:cs="Times New Roman"/>
          <w:bCs/>
          <w:i/>
          <w:iCs/>
          <w:color w:val="000000"/>
          <w:sz w:val="28"/>
          <w:szCs w:val="28"/>
          <w:lang w:val="es-ES_tradnl" w:eastAsia="ar-SA"/>
        </w:rPr>
      </w:pPr>
    </w:p>
    <w:p w14:paraId="7EFBD6FC" w14:textId="77777777" w:rsidR="002A7673" w:rsidRPr="002A7673" w:rsidRDefault="002A7673" w:rsidP="002A7673">
      <w:pPr>
        <w:suppressAutoHyphens/>
        <w:spacing w:after="0" w:line="240" w:lineRule="auto"/>
        <w:jc w:val="both"/>
        <w:rPr>
          <w:rFonts w:ascii="Times New Roman" w:eastAsia="Times New Roman" w:hAnsi="Times New Roman" w:cs="Times New Roman"/>
          <w:bCs/>
          <w:i/>
          <w:iCs/>
          <w:color w:val="000000"/>
          <w:sz w:val="28"/>
          <w:szCs w:val="28"/>
          <w:lang w:val="es-ES_tradnl" w:eastAsia="ar-SA"/>
        </w:rPr>
      </w:pPr>
    </w:p>
    <w:p w14:paraId="1E7381FA"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color w:val="000000"/>
          <w:sz w:val="28"/>
          <w:szCs w:val="28"/>
          <w:lang w:val="es-ES_tradnl" w:eastAsia="ar-SA"/>
        </w:rPr>
      </w:pPr>
      <w:r w:rsidRPr="002A7673">
        <w:rPr>
          <w:rFonts w:ascii="Times New Roman" w:eastAsia="Times New Roman" w:hAnsi="Times New Roman" w:cs="Times New Roman"/>
          <w:bCs/>
          <w:color w:val="000000"/>
          <w:sz w:val="28"/>
          <w:szCs w:val="28"/>
          <w:lang w:val="es-ES_tradnl" w:eastAsia="ar-SA"/>
        </w:rPr>
        <w:t xml:space="preserve">No obstante, también es importante señalar que para el 2021 se formuló un presupuesto de ₡2.239,2 millones, mientras que para el 2020, en esta subpartida se ejecutó un total de ₡1.500 millones, por lo </w:t>
      </w:r>
      <w:proofErr w:type="gramStart"/>
      <w:r w:rsidRPr="002A7673">
        <w:rPr>
          <w:rFonts w:ascii="Times New Roman" w:eastAsia="Times New Roman" w:hAnsi="Times New Roman" w:cs="Times New Roman"/>
          <w:bCs/>
          <w:color w:val="000000"/>
          <w:sz w:val="28"/>
          <w:szCs w:val="28"/>
          <w:lang w:val="es-ES_tradnl" w:eastAsia="ar-SA"/>
        </w:rPr>
        <w:t>que</w:t>
      </w:r>
      <w:proofErr w:type="gramEnd"/>
      <w:r w:rsidRPr="002A7673">
        <w:rPr>
          <w:rFonts w:ascii="Times New Roman" w:eastAsia="Times New Roman" w:hAnsi="Times New Roman" w:cs="Times New Roman"/>
          <w:bCs/>
          <w:color w:val="000000"/>
          <w:sz w:val="28"/>
          <w:szCs w:val="28"/>
          <w:lang w:val="es-ES_tradnl" w:eastAsia="ar-SA"/>
        </w:rPr>
        <w:t xml:space="preserve"> de acuerdo con el criterio de los diferentes integrantes del Consejo Superior, se estima que una previsión de ₡3.437 millones para el 2022, podría resultar elevada, de acuerdo con la reciente realidad institucional. </w:t>
      </w:r>
    </w:p>
    <w:p w14:paraId="504E142F"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color w:val="000000"/>
          <w:sz w:val="28"/>
          <w:szCs w:val="28"/>
          <w:lang w:val="es-ES_tradnl" w:eastAsia="ar-SA"/>
        </w:rPr>
      </w:pPr>
      <w:r w:rsidRPr="002A7673">
        <w:rPr>
          <w:rFonts w:ascii="Times New Roman" w:eastAsia="Times New Roman" w:hAnsi="Times New Roman" w:cs="Times New Roman"/>
          <w:bCs/>
          <w:color w:val="000000"/>
          <w:sz w:val="28"/>
          <w:szCs w:val="28"/>
          <w:lang w:val="es-ES_tradnl" w:eastAsia="ar-SA"/>
        </w:rPr>
        <w:lastRenderedPageBreak/>
        <w:t>Por lo anterior, se estima prudente asignar solamente la mitad de la diferencia entre el monto ejecutado en el 2020 y el monto recomendado por la Dirección de Gestión Humana, por lo que, en definitiva, se propone formular un total de ₡2.400 millones para el 2022 en la subpartida 6.03.01 Prestaciones Legales.</w:t>
      </w:r>
    </w:p>
    <w:p w14:paraId="5E692A09"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Recursos para proyectos de la Comisión de Ciberseguridad</w:t>
      </w:r>
    </w:p>
    <w:p w14:paraId="037E88BE" w14:textId="77777777" w:rsidR="002A7673" w:rsidRPr="002A7673" w:rsidRDefault="002A7673" w:rsidP="002A7673">
      <w:pPr>
        <w:suppressAutoHyphens/>
        <w:spacing w:after="0" w:line="360" w:lineRule="auto"/>
        <w:ind w:firstLine="708"/>
        <w:jc w:val="both"/>
        <w:rPr>
          <w:rFonts w:ascii="Times New Roman" w:eastAsia="Times New Roman" w:hAnsi="Times New Roman" w:cs="Times New Roman"/>
          <w:bCs/>
          <w:color w:val="000000"/>
          <w:sz w:val="28"/>
          <w:szCs w:val="28"/>
          <w:lang w:val="es-ES_tradnl" w:eastAsia="ar-SA"/>
        </w:rPr>
      </w:pPr>
      <w:r w:rsidRPr="002A7673">
        <w:rPr>
          <w:rFonts w:ascii="Times New Roman" w:eastAsia="Times New Roman" w:hAnsi="Times New Roman" w:cs="Times New Roman"/>
          <w:bCs/>
          <w:color w:val="000000"/>
          <w:sz w:val="28"/>
          <w:szCs w:val="28"/>
          <w:lang w:val="es-ES_tradnl" w:eastAsia="ar-SA"/>
        </w:rPr>
        <w:t xml:space="preserve">Mediante informe 403-PLA-PP-2021 la Dirección de Planificación remitió al Consejo Superior el informe relacionado con el criterio sobre la perspectiva tecnológica para la puesta en marcha y ejecución de los proyectos de la Comisión de Ciberseguridad. Lo anterior en atención del acuerdo del Consejo Superior tomado en sesión 102-20 celebrada el 22 de octubre del 2020, artículo XXXIX.  </w:t>
      </w:r>
    </w:p>
    <w:bookmarkStart w:id="274" w:name="_MON_1681647003"/>
    <w:bookmarkEnd w:id="274"/>
    <w:p w14:paraId="2850A2F6" w14:textId="77777777" w:rsidR="002A7673" w:rsidRPr="002A7673" w:rsidRDefault="002A7673" w:rsidP="002A7673">
      <w:pPr>
        <w:suppressAutoHyphens/>
        <w:spacing w:after="0" w:line="360" w:lineRule="auto"/>
        <w:ind w:firstLine="708"/>
        <w:jc w:val="both"/>
        <w:rPr>
          <w:rFonts w:ascii="Times New Roman" w:eastAsia="Times New Roman" w:hAnsi="Times New Roman" w:cs="Times New Roman"/>
          <w:bCs/>
          <w:color w:val="000000"/>
          <w:sz w:val="28"/>
          <w:szCs w:val="28"/>
          <w:lang w:val="es-ES_tradnl" w:eastAsia="ar-SA"/>
        </w:rPr>
      </w:pPr>
      <w:r w:rsidRPr="002A7673">
        <w:rPr>
          <w:rFonts w:ascii="Times New Roman" w:eastAsia="Times New Roman" w:hAnsi="Times New Roman" w:cs="Times New Roman"/>
          <w:bCs/>
          <w:color w:val="000000"/>
          <w:sz w:val="28"/>
          <w:szCs w:val="28"/>
          <w:lang w:val="es-ES_tradnl" w:eastAsia="ar-SA"/>
        </w:rPr>
        <w:object w:dxaOrig="1508" w:dyaOrig="984" w14:anchorId="31DC1B41">
          <v:shape id="_x0000_i1181" type="#_x0000_t75" style="width:77.25pt;height:51.75pt" o:ole="">
            <v:imagedata r:id="rId427" o:title=""/>
          </v:shape>
          <o:OLEObject Type="Embed" ProgID="Word.Document.8" ShapeID="_x0000_i1181" DrawAspect="Icon" ObjectID="_1684067124" r:id="rId428">
            <o:FieldCodes>\s</o:FieldCodes>
          </o:OLEObject>
        </w:object>
      </w:r>
    </w:p>
    <w:p w14:paraId="38888B36" w14:textId="77777777" w:rsidR="002A7673" w:rsidRPr="002A7673" w:rsidRDefault="002A7673" w:rsidP="002A7673">
      <w:pPr>
        <w:suppressAutoHyphens/>
        <w:spacing w:after="0" w:line="360" w:lineRule="auto"/>
        <w:ind w:firstLine="708"/>
        <w:jc w:val="both"/>
        <w:rPr>
          <w:rFonts w:ascii="Times New Roman" w:eastAsia="Times New Roman" w:hAnsi="Times New Roman" w:cs="Times New Roman"/>
          <w:bCs/>
          <w:color w:val="000000"/>
          <w:sz w:val="28"/>
          <w:szCs w:val="28"/>
          <w:lang w:val="es-ES_tradnl" w:eastAsia="ar-SA"/>
        </w:rPr>
      </w:pPr>
      <w:r w:rsidRPr="002A7673">
        <w:rPr>
          <w:rFonts w:ascii="Times New Roman" w:eastAsia="Times New Roman" w:hAnsi="Times New Roman" w:cs="Times New Roman"/>
          <w:bCs/>
          <w:color w:val="000000"/>
          <w:sz w:val="28"/>
          <w:szCs w:val="28"/>
          <w:lang w:val="es-ES_tradnl" w:eastAsia="ar-SA"/>
        </w:rPr>
        <w:tab/>
        <w:t xml:space="preserve">En este informe se recomendaron varios escenarios, siendo que en el escenario C, se plantea la contratación de una empresa a nivel privado que brinde este servicio. Esto considerando las limitaciones que a nivel de presupuesto existen en cuanto a la creación de plazas nuevas. Para las estimaciones del servicio por medio de la contratación privada, se contó con la colaboración del Lic. </w:t>
      </w:r>
      <w:proofErr w:type="spellStart"/>
      <w:r w:rsidRPr="002A7673">
        <w:rPr>
          <w:rFonts w:ascii="Times New Roman" w:eastAsia="Times New Roman" w:hAnsi="Times New Roman" w:cs="Times New Roman"/>
          <w:bCs/>
          <w:color w:val="000000"/>
          <w:sz w:val="28"/>
          <w:szCs w:val="28"/>
          <w:lang w:val="es-ES_tradnl" w:eastAsia="ar-SA"/>
        </w:rPr>
        <w:t>Gezer</w:t>
      </w:r>
      <w:proofErr w:type="spellEnd"/>
      <w:r w:rsidRPr="002A7673">
        <w:rPr>
          <w:rFonts w:ascii="Times New Roman" w:eastAsia="Times New Roman" w:hAnsi="Times New Roman" w:cs="Times New Roman"/>
          <w:bCs/>
          <w:color w:val="000000"/>
          <w:sz w:val="28"/>
          <w:szCs w:val="28"/>
          <w:lang w:val="es-ES_tradnl" w:eastAsia="ar-SA"/>
        </w:rPr>
        <w:t xml:space="preserve"> Ramiro Molina Colomer, que solicitó las cotizaciones de dos empresas nacionales y de reconocido prestigio a nivel de servicios y desarrollos informáticos, y se determinó un costo total de ₡180.241.130 para el 2022, siendo finalmente este escenario el aprobado por el Consejo Superior.</w:t>
      </w:r>
    </w:p>
    <w:p w14:paraId="69517A45" w14:textId="77777777" w:rsidR="002A7673" w:rsidRPr="002A7673" w:rsidRDefault="002A7673" w:rsidP="002A7673">
      <w:pPr>
        <w:suppressAutoHyphens/>
        <w:spacing w:after="0" w:line="360" w:lineRule="auto"/>
        <w:ind w:firstLine="708"/>
        <w:jc w:val="both"/>
        <w:rPr>
          <w:rFonts w:ascii="Times New Roman" w:eastAsia="Times New Roman" w:hAnsi="Times New Roman" w:cs="Times New Roman"/>
          <w:bCs/>
          <w:color w:val="000000"/>
          <w:sz w:val="28"/>
          <w:szCs w:val="28"/>
          <w:lang w:val="es-ES_tradnl" w:eastAsia="ar-SA"/>
        </w:rPr>
      </w:pPr>
    </w:p>
    <w:p w14:paraId="75CC993B"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Ampliación del Contrato de Alquiler de Equipo de Cómputo</w:t>
      </w:r>
    </w:p>
    <w:p w14:paraId="451F696A"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lastRenderedPageBreak/>
        <w:t>En reunión de trabajo del pasado 24 de marzo, La Licda. Nacira Valverde</w:t>
      </w:r>
      <w:r w:rsidRPr="002A7673">
        <w:rPr>
          <w:rFonts w:ascii="Times New Roman" w:eastAsia="Times New Roman" w:hAnsi="Times New Roman" w:cs="Times New Roman"/>
          <w:bCs/>
          <w:color w:val="000000"/>
          <w:sz w:val="28"/>
          <w:szCs w:val="28"/>
          <w:shd w:val="clear" w:color="auto" w:fill="FFFFFF"/>
          <w:lang w:val="es-ES" w:eastAsia="es-CR"/>
        </w:rPr>
        <w:t xml:space="preserve">, Directora de Planificación informó </w:t>
      </w:r>
      <w:r w:rsidRPr="002A7673">
        <w:rPr>
          <w:rFonts w:ascii="Times New Roman" w:eastAsia="Times New Roman" w:hAnsi="Times New Roman" w:cs="Times New Roman"/>
          <w:bCs/>
          <w:sz w:val="28"/>
          <w:szCs w:val="28"/>
          <w:lang w:val="es-ES" w:eastAsia="es-CR"/>
        </w:rPr>
        <w:t xml:space="preserve">que mediante oficio CGTI-05-2021, del 15 de marzo 2021, la Master Kattia Morales Navarro en calidad de Secretaria de la Comisión Gerencial de Tecnologías, informó sobre </w:t>
      </w:r>
      <w:bookmarkStart w:id="275" w:name="_Hlk52455347"/>
      <w:r w:rsidRPr="002A7673">
        <w:rPr>
          <w:rFonts w:ascii="Times New Roman" w:eastAsia="Times New Roman" w:hAnsi="Times New Roman" w:cs="Times New Roman"/>
          <w:bCs/>
          <w:sz w:val="28"/>
          <w:szCs w:val="28"/>
          <w:lang w:val="es-ES" w:eastAsia="es-CR"/>
        </w:rPr>
        <w:t xml:space="preserve">el acuerdo tomado </w:t>
      </w:r>
      <w:bookmarkEnd w:id="275"/>
      <w:r w:rsidRPr="002A7673">
        <w:rPr>
          <w:rFonts w:ascii="Times New Roman" w:eastAsia="Times New Roman" w:hAnsi="Times New Roman" w:cs="Times New Roman"/>
          <w:bCs/>
          <w:sz w:val="28"/>
          <w:szCs w:val="28"/>
          <w:lang w:val="es-ES" w:eastAsia="es-CR"/>
        </w:rPr>
        <w:t>por esta Comisión en la sesión extraordinaria N°02-2021, celebrada el 16 de febrero 2021, en torno al oficio 339-DTI-2021 “</w:t>
      </w:r>
      <w:r w:rsidRPr="002A7673">
        <w:rPr>
          <w:rFonts w:ascii="Times New Roman" w:eastAsia="Times New Roman" w:hAnsi="Times New Roman" w:cs="Times New Roman"/>
          <w:b/>
          <w:bCs/>
          <w:i/>
          <w:iCs/>
          <w:sz w:val="28"/>
          <w:szCs w:val="28"/>
          <w:highlight w:val="lightGray"/>
          <w:lang w:val="es-ES" w:eastAsia="es-CR"/>
        </w:rPr>
        <w:t>ACTUALIZACIÓN DEL ANÁLISIS DEL LEASING COMO MODALIDAD DE INVERSIÓN EN EQUIPO DE CÓMPUTO PARA EL PODER JUDICIAL</w:t>
      </w:r>
      <w:r w:rsidRPr="002A7673">
        <w:rPr>
          <w:rFonts w:ascii="Times New Roman" w:eastAsia="Times New Roman" w:hAnsi="Times New Roman" w:cs="Times New Roman"/>
          <w:b/>
          <w:bCs/>
          <w:i/>
          <w:iCs/>
          <w:sz w:val="28"/>
          <w:szCs w:val="28"/>
          <w:lang w:val="es-ES" w:eastAsia="es-CR"/>
        </w:rPr>
        <w:t xml:space="preserve">.  </w:t>
      </w:r>
      <w:r w:rsidRPr="002A7673">
        <w:rPr>
          <w:rFonts w:ascii="Times New Roman" w:eastAsia="Times New Roman" w:hAnsi="Times New Roman" w:cs="Times New Roman"/>
          <w:bCs/>
          <w:sz w:val="28"/>
          <w:szCs w:val="28"/>
          <w:lang w:val="es-ES" w:eastAsia="es-CR"/>
        </w:rPr>
        <w:t>Como complemento la Dirección de Tecnología de la Información remitió el informe 697-DTI-2021.</w:t>
      </w:r>
    </w:p>
    <w:bookmarkStart w:id="276" w:name="_MON_1677496404"/>
    <w:bookmarkEnd w:id="276"/>
    <w:p w14:paraId="611BE072"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24"/>
          <w:szCs w:val="20"/>
          <w:lang w:val="es-ES_tradnl" w:eastAsia="ar-SA"/>
        </w:rPr>
      </w:pPr>
      <w:r w:rsidRPr="002A7673">
        <w:rPr>
          <w:rFonts w:ascii="Times New Roman" w:eastAsia="Times New Roman" w:hAnsi="Times New Roman" w:cs="Times New Roman"/>
          <w:b/>
          <w:bCs/>
          <w:sz w:val="24"/>
          <w:szCs w:val="20"/>
          <w:lang w:val="es-ES_tradnl" w:eastAsia="ar-SA"/>
        </w:rPr>
        <w:object w:dxaOrig="1508" w:dyaOrig="984" w14:anchorId="640E513F">
          <v:shape id="_x0000_i1182" type="#_x0000_t75" style="width:77.25pt;height:51.75pt" o:ole="">
            <v:imagedata r:id="rId429" o:title=""/>
          </v:shape>
          <o:OLEObject Type="Embed" ProgID="Word.Document.12" ShapeID="_x0000_i1182" DrawAspect="Icon" ObjectID="_1684067125" r:id="rId430">
            <o:FieldCodes>\s</o:FieldCodes>
          </o:OLEObject>
        </w:object>
      </w:r>
      <w:bookmarkStart w:id="277" w:name="_MON_1681656399"/>
      <w:bookmarkEnd w:id="277"/>
      <w:r w:rsidRPr="002A7673">
        <w:rPr>
          <w:rFonts w:ascii="Times New Roman" w:eastAsia="Times New Roman" w:hAnsi="Times New Roman" w:cs="Times New Roman"/>
          <w:sz w:val="28"/>
          <w:szCs w:val="28"/>
          <w:lang w:val="es-ES_tradnl" w:eastAsia="ar-SA"/>
        </w:rPr>
        <w:object w:dxaOrig="1508" w:dyaOrig="984" w14:anchorId="144FC66A">
          <v:shape id="_x0000_i1183" type="#_x0000_t75" style="width:77.25pt;height:51.75pt" o:ole="">
            <v:imagedata r:id="rId431" o:title=""/>
          </v:shape>
          <o:OLEObject Type="Embed" ProgID="Word.Document.12" ShapeID="_x0000_i1183" DrawAspect="Icon" ObjectID="_1684067126" r:id="rId432">
            <o:FieldCodes>\s</o:FieldCodes>
          </o:OLEObject>
        </w:object>
      </w:r>
    </w:p>
    <w:p w14:paraId="057E668F" w14:textId="77777777" w:rsidR="002A7673" w:rsidRPr="002A7673" w:rsidRDefault="002A7673" w:rsidP="002A7673">
      <w:pPr>
        <w:suppressAutoHyphens/>
        <w:spacing w:after="0" w:line="360" w:lineRule="auto"/>
        <w:rPr>
          <w:rFonts w:ascii="Times New Roman" w:eastAsia="Times New Roman" w:hAnsi="Times New Roman" w:cs="Times New Roman"/>
          <w:sz w:val="28"/>
          <w:szCs w:val="28"/>
          <w:lang w:val="es-ES_tradnl" w:eastAsia="ar-SA"/>
        </w:rPr>
      </w:pPr>
    </w:p>
    <w:p w14:paraId="5D313A10"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En este informe, se proponen varios escenarios, y finalmente el Consejo Superior en sesión del pasado jueves 29 de abril, acogió el escenario 1, según el cual, se propone adquirir la misma cantidad de equipos del contrato actual, conformado por 6.040 computadoras en total, de las cuales 4.337 (71%) son computadoras de escritorio y 1.703 (29%) son computadoras portátiles.  Para ello, se requiere </w:t>
      </w:r>
      <w:r w:rsidRPr="002A7673">
        <w:rPr>
          <w:rFonts w:ascii="Times New Roman" w:eastAsia="Times New Roman" w:hAnsi="Times New Roman" w:cs="Times New Roman"/>
          <w:b/>
          <w:bCs/>
          <w:sz w:val="28"/>
          <w:szCs w:val="28"/>
          <w:lang w:val="es-ES" w:eastAsia="es-CR"/>
        </w:rPr>
        <w:t xml:space="preserve">reservar </w:t>
      </w:r>
      <w:r w:rsidRPr="002A7673">
        <w:rPr>
          <w:rFonts w:ascii="Times New Roman" w:eastAsia="Times New Roman" w:hAnsi="Times New Roman" w:cs="Times New Roman"/>
          <w:bCs/>
          <w:sz w:val="28"/>
          <w:szCs w:val="28"/>
          <w:lang w:val="es-ES" w:eastAsia="es-CR"/>
        </w:rPr>
        <w:t xml:space="preserve">para el 2022, en la subpartida 1.01.03 Alquiler de Equipo de Cómputo, un monto de ₡403.713.750.  </w:t>
      </w:r>
      <w:r w:rsidRPr="002A7673">
        <w:rPr>
          <w:rFonts w:ascii="Times New Roman" w:eastAsia="Times New Roman" w:hAnsi="Times New Roman" w:cs="Times New Roman"/>
          <w:bCs/>
          <w:sz w:val="28"/>
          <w:szCs w:val="28"/>
          <w:lang w:val="es-ES" w:eastAsia="es-CR"/>
        </w:rPr>
        <w:lastRenderedPageBreak/>
        <w:t>Se adjunta correo electrónico remitido por la Dirección de Tecnología de la Información.</w:t>
      </w:r>
    </w:p>
    <w:p w14:paraId="448D67E8" w14:textId="77777777" w:rsidR="002A7673" w:rsidRPr="002A7673" w:rsidRDefault="002A7673" w:rsidP="002A7673">
      <w:pPr>
        <w:tabs>
          <w:tab w:val="left" w:pos="1415"/>
          <w:tab w:val="center" w:pos="4419"/>
        </w:tabs>
        <w:suppressAutoHyphens/>
        <w:spacing w:after="0" w:line="360" w:lineRule="auto"/>
        <w:jc w:val="center"/>
        <w:rPr>
          <w:rFonts w:ascii="Times New Roman" w:eastAsia="Times New Roman" w:hAnsi="Times New Roman" w:cs="Times New Roman"/>
          <w:b/>
          <w:sz w:val="28"/>
          <w:szCs w:val="28"/>
          <w:lang w:val="es-ES_tradnl" w:eastAsia="ar-SA"/>
        </w:rPr>
      </w:pPr>
      <w:r w:rsidRPr="002A7673">
        <w:rPr>
          <w:rFonts w:ascii="Times New Roman" w:eastAsia="Times New Roman" w:hAnsi="Times New Roman" w:cs="Times New Roman"/>
          <w:b/>
          <w:sz w:val="28"/>
          <w:szCs w:val="28"/>
          <w:lang w:val="es-ES_tradnl" w:eastAsia="ar-SA"/>
        </w:rPr>
        <w:object w:dxaOrig="1508" w:dyaOrig="984" w14:anchorId="537B92E5">
          <v:shape id="_x0000_i1184" type="#_x0000_t75" style="width:77.25pt;height:51.75pt" o:ole="">
            <v:imagedata r:id="rId433" o:title=""/>
          </v:shape>
          <o:OLEObject Type="Embed" ProgID="Package" ShapeID="_x0000_i1184" DrawAspect="Icon" ObjectID="_1684067127" r:id="rId434"/>
        </w:object>
      </w:r>
    </w:p>
    <w:p w14:paraId="7FD7FEED" w14:textId="77777777" w:rsidR="002A7673" w:rsidRPr="002A7673" w:rsidRDefault="002A7673" w:rsidP="002A7673">
      <w:pPr>
        <w:tabs>
          <w:tab w:val="left" w:pos="1415"/>
          <w:tab w:val="center" w:pos="4419"/>
        </w:tabs>
        <w:suppressAutoHyphens/>
        <w:spacing w:after="0" w:line="360" w:lineRule="auto"/>
        <w:jc w:val="center"/>
        <w:rPr>
          <w:rFonts w:ascii="Times New Roman" w:eastAsia="Times New Roman" w:hAnsi="Times New Roman" w:cs="Times New Roman"/>
          <w:b/>
          <w:sz w:val="28"/>
          <w:szCs w:val="28"/>
          <w:lang w:val="es-ES_tradnl" w:eastAsia="ar-SA"/>
        </w:rPr>
      </w:pPr>
    </w:p>
    <w:p w14:paraId="1C5BCD86"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Recursos para Póliza de Riesgos</w:t>
      </w:r>
    </w:p>
    <w:p w14:paraId="08E8583D"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La Corte Plena, en la sesión N° 2-2021 celebrada el 11 de enero del 2021, artículo XLI conoció el informe número 1909-PLA-PP-2020 de la Dirección de Planificación, relacionado con la propuesta de porcentaje de crecimiento al Presupuesto 2022, en donde se aprobó el escenario 2, según el cual, se acoge que el presupuesto máximo autorizado sea un 4% menos del que finalmente le quede aprobado para el 2021.</w:t>
      </w:r>
    </w:p>
    <w:p w14:paraId="548DC55F"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Lo anterior, implicó que en el caso de la póliza de riesgos del trabajo (Subpartida 1.06.01 Seguros) fuera necesario efectuar un recorte para el 2022 por un monto total de ₡94.021.561. No obstante, una vez analizadas las valoraciones realizadas por parte de la Dirección de Gestión Humana, el Consejo Superior considera conveniente mantener el mismo monto aprobado para el presupuesto del año 2021, es decir, no aplicar la reducción del menos 4%, conforme el acuerdo de Corte Plena.</w:t>
      </w:r>
    </w:p>
    <w:p w14:paraId="5DD9A39A"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lastRenderedPageBreak/>
        <w:t>Devolución del rebajo de las áreas de Construcciones, Seguridad y Vehículos</w:t>
      </w:r>
    </w:p>
    <w:p w14:paraId="01663FD6"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La Corte Plena, en la sesión N° 2-2021 celebrada el 11 de enero del 2021, artículo XLI conoció el informe número 1909-PLA-PP-2020 de la Dirección de Planificación, relacionado con la propuesta de porcentaje de crecimiento al Presupuesto 2022, en donde se aprobó el escenario 2, según el cual, se acoge que el presupuesto máximo autorizado sea un 4% menos del que finalmente le quede aprobado para el 2021.</w:t>
      </w:r>
    </w:p>
    <w:p w14:paraId="4AABB601"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
          <w:bCs/>
          <w:sz w:val="28"/>
          <w:szCs w:val="28"/>
          <w:lang w:val="es-ES" w:eastAsia="es-CR"/>
        </w:rPr>
      </w:pPr>
      <w:r w:rsidRPr="002A7673">
        <w:rPr>
          <w:rFonts w:ascii="Times New Roman" w:eastAsia="Times New Roman" w:hAnsi="Times New Roman" w:cs="Times New Roman"/>
          <w:bCs/>
          <w:sz w:val="28"/>
          <w:szCs w:val="28"/>
          <w:lang w:val="es-ES" w:eastAsia="es-CR"/>
        </w:rPr>
        <w:t xml:space="preserve">Lo anterior, implicó </w:t>
      </w:r>
      <w:proofErr w:type="gramStart"/>
      <w:r w:rsidRPr="002A7673">
        <w:rPr>
          <w:rFonts w:ascii="Times New Roman" w:eastAsia="Times New Roman" w:hAnsi="Times New Roman" w:cs="Times New Roman"/>
          <w:bCs/>
          <w:sz w:val="28"/>
          <w:szCs w:val="28"/>
          <w:lang w:val="es-ES" w:eastAsia="es-CR"/>
        </w:rPr>
        <w:t>que</w:t>
      </w:r>
      <w:proofErr w:type="gramEnd"/>
      <w:r w:rsidRPr="002A7673">
        <w:rPr>
          <w:rFonts w:ascii="Times New Roman" w:eastAsia="Times New Roman" w:hAnsi="Times New Roman" w:cs="Times New Roman"/>
          <w:bCs/>
          <w:sz w:val="28"/>
          <w:szCs w:val="28"/>
          <w:lang w:val="es-ES" w:eastAsia="es-CR"/>
        </w:rPr>
        <w:t xml:space="preserve"> en el caso de las áreas de construcciones, seguridad y vehículos, fuera necesario efectuar recortes para el 2022 por montos de ₡833.907.703, ₡23.690.450 y ₡ 106.557.675, respectivamente.</w:t>
      </w:r>
      <w:r w:rsidRPr="002A7673">
        <w:rPr>
          <w:rFonts w:ascii="Times New Roman" w:eastAsia="Times New Roman" w:hAnsi="Times New Roman" w:cs="Times New Roman"/>
          <w:b/>
          <w:bCs/>
          <w:sz w:val="28"/>
          <w:szCs w:val="28"/>
          <w:lang w:val="es-ES" w:eastAsia="es-CR"/>
        </w:rPr>
        <w:t xml:space="preserve"> </w:t>
      </w:r>
    </w:p>
    <w:p w14:paraId="38722639"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
          <w:bCs/>
          <w:sz w:val="28"/>
          <w:szCs w:val="28"/>
          <w:lang w:val="es-ES" w:eastAsia="es-CR"/>
        </w:rPr>
        <w:t xml:space="preserve"> </w:t>
      </w:r>
      <w:r w:rsidRPr="002A7673">
        <w:rPr>
          <w:rFonts w:ascii="Times New Roman" w:eastAsia="Times New Roman" w:hAnsi="Times New Roman" w:cs="Times New Roman"/>
          <w:bCs/>
          <w:sz w:val="28"/>
          <w:szCs w:val="28"/>
          <w:lang w:val="es-ES" w:eastAsia="es-CR"/>
        </w:rPr>
        <w:t xml:space="preserve">No obstante, una vez analizadas las valoraciones realizadas por parte de la Dirección Ejecutiva, el Consejo Superior considera conveniente mantener el mismo monto aprobado para el presupuesto del año 2021, es decir, no aplicar la reducción del menos 4%, conforme el acuerdo de Corte Plena. </w:t>
      </w:r>
    </w:p>
    <w:p w14:paraId="0E312031"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En los siguientes archivos se incluye la información suministrada por la Dirección Ejecutiva para asignar los recursos indicados. </w:t>
      </w:r>
    </w:p>
    <w:p w14:paraId="0DACB638" w14:textId="77777777" w:rsidR="002A7673" w:rsidRPr="002A7673" w:rsidRDefault="002A7673" w:rsidP="002A7673">
      <w:pPr>
        <w:suppressAutoHyphens/>
        <w:spacing w:after="0" w:line="360" w:lineRule="auto"/>
        <w:jc w:val="both"/>
        <w:rPr>
          <w:rFonts w:ascii="Times New Roman" w:eastAsia="Times New Roman" w:hAnsi="Times New Roman" w:cs="Times New Roman"/>
          <w:b/>
          <w:sz w:val="28"/>
          <w:szCs w:val="28"/>
          <w:lang w:val="es-ES" w:eastAsia="ar-SA"/>
        </w:rPr>
      </w:pPr>
      <w:r w:rsidRPr="002A7673">
        <w:rPr>
          <w:rFonts w:ascii="Times New Roman" w:eastAsia="Times New Roman" w:hAnsi="Times New Roman" w:cs="Times New Roman"/>
          <w:b/>
          <w:sz w:val="28"/>
          <w:szCs w:val="28"/>
          <w:lang w:val="es-ES" w:eastAsia="ar-SA"/>
        </w:rPr>
        <w:object w:dxaOrig="1508" w:dyaOrig="984" w14:anchorId="46BF327C">
          <v:shape id="_x0000_i1185" type="#_x0000_t75" style="width:77.25pt;height:51.75pt" o:ole="">
            <v:imagedata r:id="rId435" o:title=""/>
          </v:shape>
          <o:OLEObject Type="Embed" ProgID="AcroExch.Document.DC" ShapeID="_x0000_i1185" DrawAspect="Icon" ObjectID="_1684067128" r:id="rId436"/>
        </w:object>
      </w:r>
      <w:r w:rsidRPr="002A7673">
        <w:rPr>
          <w:rFonts w:ascii="Times New Roman" w:eastAsia="Times New Roman" w:hAnsi="Times New Roman" w:cs="Times New Roman"/>
          <w:b/>
          <w:sz w:val="28"/>
          <w:szCs w:val="28"/>
          <w:lang w:val="es-ES" w:eastAsia="ar-SA"/>
        </w:rPr>
        <w:object w:dxaOrig="1508" w:dyaOrig="984" w14:anchorId="300089FA">
          <v:shape id="_x0000_i1186" type="#_x0000_t75" style="width:77.25pt;height:51.75pt" o:ole="">
            <v:imagedata r:id="rId437" o:title=""/>
          </v:shape>
          <o:OLEObject Type="Embed" ProgID="Package" ShapeID="_x0000_i1186" DrawAspect="Icon" ObjectID="_1684067129" r:id="rId438"/>
        </w:object>
      </w:r>
      <w:r w:rsidRPr="002A7673">
        <w:rPr>
          <w:rFonts w:ascii="Times New Roman" w:eastAsia="Times New Roman" w:hAnsi="Times New Roman" w:cs="Times New Roman"/>
          <w:b/>
          <w:sz w:val="28"/>
          <w:szCs w:val="28"/>
          <w:lang w:val="es-ES" w:eastAsia="ar-SA"/>
        </w:rPr>
        <w:object w:dxaOrig="1508" w:dyaOrig="984" w14:anchorId="1FBA07E0">
          <v:shape id="_x0000_i1187" type="#_x0000_t75" style="width:77.25pt;height:51.75pt" o:ole="">
            <v:imagedata r:id="rId439" o:title=""/>
          </v:shape>
          <o:OLEObject Type="Embed" ProgID="Package" ShapeID="_x0000_i1187" DrawAspect="Icon" ObjectID="_1684067130" r:id="rId440"/>
        </w:object>
      </w:r>
    </w:p>
    <w:p w14:paraId="35D74196" w14:textId="77777777" w:rsidR="002A7673" w:rsidRPr="002A7673" w:rsidRDefault="002A7673" w:rsidP="002A7673">
      <w:pPr>
        <w:suppressAutoHyphens/>
        <w:spacing w:after="0" w:line="360" w:lineRule="auto"/>
        <w:jc w:val="both"/>
        <w:rPr>
          <w:rFonts w:ascii="Times New Roman" w:eastAsia="Times New Roman" w:hAnsi="Times New Roman" w:cs="Times New Roman"/>
          <w:b/>
          <w:sz w:val="28"/>
          <w:szCs w:val="28"/>
          <w:highlight w:val="cyan"/>
          <w:lang w:val="es-ES_tradnl" w:eastAsia="ar-SA"/>
        </w:rPr>
      </w:pPr>
    </w:p>
    <w:p w14:paraId="1DFBD6A9"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 xml:space="preserve"> Recursos para Indemnizaciones y Gastos Confidenciales</w:t>
      </w:r>
    </w:p>
    <w:p w14:paraId="6166C997"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La Corte Plena, en la sesión N° 2-2021 celebrada el 11 de enero del 2021, artículo XLI conoció el informe número 1909-PLA-PP-2020 de la Dirección de Planificación, relacionado con la propuesta de porcentaje de crecimiento al Presupuesto 2022, en donde se aprobó el escenario 2, según el cual, se acoge que el presupuesto máximo autorizado sea un 4% menos del que finalmente le quede aprobado para el 2021.</w:t>
      </w:r>
    </w:p>
    <w:p w14:paraId="3F508889"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Lo anterior, implicó que en algunos rubros institucionales se aplicaron rebajos, tal es el caso del presupuesto formulado para indemnizaciones y gastos confidenciales, en cuyos casos, se propusieron recortes a los montos formulados para el 2022 en comparación con el presupuesto aprobado para el 2021. En el primer caso, en el orden de ₡11.141.938, a nivel institucional. </w:t>
      </w:r>
    </w:p>
    <w:p w14:paraId="0F92D214"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ar-SA"/>
        </w:rPr>
      </w:pPr>
      <w:r w:rsidRPr="002A7673">
        <w:rPr>
          <w:rFonts w:ascii="Times New Roman" w:eastAsia="Times New Roman" w:hAnsi="Times New Roman" w:cs="Times New Roman"/>
          <w:bCs/>
          <w:sz w:val="28"/>
          <w:szCs w:val="28"/>
          <w:lang w:val="es-ES" w:eastAsia="es-CR"/>
        </w:rPr>
        <w:t xml:space="preserve">En el caso de Gastos Confidenciales, el O.I.J. está formulando para el 2022 un monto de ₡88.200.000, no obstante, de acuerdo con las estimaciones de este año, la Licda. Carolina Obando, Administradora del O.I.J. indicó que se están pagando a la fecha ₡38.382.125,17, lo que implica que se tenga un promedio mensual de </w:t>
      </w:r>
      <w:r w:rsidRPr="002A7673">
        <w:rPr>
          <w:rFonts w:ascii="Times New Roman" w:eastAsia="Times New Roman" w:hAnsi="Times New Roman" w:cs="Times New Roman"/>
          <w:bCs/>
          <w:sz w:val="28"/>
          <w:szCs w:val="28"/>
          <w:lang w:val="es-ES" w:eastAsia="es-CR"/>
        </w:rPr>
        <w:lastRenderedPageBreak/>
        <w:t xml:space="preserve">aproximadamente ₡10.000.000, por lo que se considera que la partida puede aumentar a ₡120.000.000 para el 2022.  Agregó como aspecto importante de considerar, que anteriormente se contaba con recursos ICD, sin embargo, a partir de este 2021 no es posible tener acceso a los mismos, debido a los recortes presupuestarios del que fueron objeto, por lo que solicita la posibilidad de incorporar para el 2022 el monto total indicado de ₡120 millones. </w:t>
      </w:r>
    </w:p>
    <w:p w14:paraId="0E9208BC"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Finalmente, en el caso del Programa 950 Servicio de Atención y Protección de Víctimas y Testigos, en virtud del acuerdo de Corte Plena, se tiene que inicialmente, en la previsión presupuestaria, se efectuó un recorte de ₡15.987.000. </w:t>
      </w:r>
    </w:p>
    <w:p w14:paraId="1365C202"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Una vez analizadas las valoraciones realizadas por parte del Consejo Superior, se considera conveniente en Gastos Confidenciales aprobar el monto de ₡120 millones solicitado por el OIJ y mantener el mismo monto aprobado para el presupuesto del año 2021 para el Programa 950 Servicio de Atención y Protección de Víctimas y Testigos.  </w:t>
      </w:r>
    </w:p>
    <w:p w14:paraId="41D0728F"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
          <w:bCs/>
          <w:sz w:val="28"/>
          <w:szCs w:val="28"/>
          <w:highlight w:val="cyan"/>
          <w:lang w:val="es-ES" w:eastAsia="es-CR"/>
        </w:rPr>
      </w:pPr>
      <w:r w:rsidRPr="002A7673">
        <w:rPr>
          <w:rFonts w:ascii="Times New Roman" w:eastAsia="Times New Roman" w:hAnsi="Times New Roman" w:cs="Times New Roman"/>
          <w:bCs/>
          <w:sz w:val="28"/>
          <w:szCs w:val="28"/>
          <w:lang w:val="es-ES" w:eastAsia="es-CR"/>
        </w:rPr>
        <w:t>En el caso de indemnizaciones, se considera apropiado también mantener el mismo monto aprobado en el 2021 a nivel institucional, por lo tanto, devolver el monto de ₡11.141.938, inicialmente recortado.</w:t>
      </w:r>
    </w:p>
    <w:p w14:paraId="74C7BBC0"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Aporte Estatal al Seguro de Salud de la CCSS de la Población Jubilada</w:t>
      </w:r>
    </w:p>
    <w:p w14:paraId="2D7AB2DB" w14:textId="77777777" w:rsidR="002A7673" w:rsidRPr="002A7673" w:rsidRDefault="002A7673" w:rsidP="002A7673">
      <w:pPr>
        <w:suppressAutoHyphens/>
        <w:spacing w:after="0" w:line="360" w:lineRule="auto"/>
        <w:ind w:firstLine="360"/>
        <w:jc w:val="both"/>
        <w:rPr>
          <w:rFonts w:ascii="Times New Roman" w:eastAsia="Times New Roman" w:hAnsi="Times New Roman" w:cs="Times New Roman"/>
          <w:sz w:val="28"/>
          <w:szCs w:val="28"/>
          <w:lang w:val="es-ES_tradnl" w:eastAsia="ar-SA"/>
        </w:rPr>
      </w:pPr>
    </w:p>
    <w:p w14:paraId="572C4A02" w14:textId="77777777" w:rsidR="002A7673" w:rsidRPr="002A7673" w:rsidRDefault="002A7673" w:rsidP="002A7673">
      <w:pPr>
        <w:suppressAutoHyphens/>
        <w:spacing w:after="0" w:line="360" w:lineRule="auto"/>
        <w:ind w:firstLine="360"/>
        <w:jc w:val="both"/>
        <w:rPr>
          <w:rFonts w:ascii="Times New Roman" w:eastAsia="Times New Roman" w:hAnsi="Times New Roman" w:cs="Times New Roman"/>
          <w:sz w:val="28"/>
          <w:szCs w:val="28"/>
          <w:lang w:val="es-ES_tradnl" w:eastAsia="ar-SA"/>
        </w:rPr>
      </w:pPr>
      <w:r w:rsidRPr="002A7673">
        <w:rPr>
          <w:rFonts w:ascii="Times New Roman" w:eastAsia="Times New Roman" w:hAnsi="Times New Roman" w:cs="Times New Roman"/>
          <w:sz w:val="28"/>
          <w:szCs w:val="28"/>
          <w:lang w:val="es-ES_tradnl" w:eastAsia="ar-SA"/>
        </w:rPr>
        <w:t>El Consejo Superior del Poder Judicial, en sesión ordinaria 37-2021, artículo XLII, conoció el informe 512-PLA-2021, referente al presupuesto de la Junta Administradora del Fondo de Jubilaciones y Pensiones del Poder Judicial.  Como parte del informe se indicó lo siguiente:</w:t>
      </w:r>
    </w:p>
    <w:p w14:paraId="59200F62" w14:textId="77777777" w:rsidR="002A7673" w:rsidRPr="002A7673" w:rsidRDefault="002A7673" w:rsidP="002A7673">
      <w:pPr>
        <w:suppressAutoHyphens/>
        <w:spacing w:after="0" w:line="360" w:lineRule="auto"/>
        <w:ind w:firstLine="360"/>
        <w:jc w:val="both"/>
        <w:rPr>
          <w:rFonts w:ascii="Times New Roman" w:eastAsia="Times New Roman" w:hAnsi="Times New Roman" w:cs="Times New Roman"/>
          <w:sz w:val="28"/>
          <w:szCs w:val="28"/>
          <w:lang w:val="es-ES_tradnl" w:eastAsia="ar-SA"/>
        </w:rPr>
      </w:pPr>
    </w:p>
    <w:p w14:paraId="3DFB0894" w14:textId="77777777" w:rsidR="002A7673" w:rsidRPr="002A7673" w:rsidRDefault="002A7673" w:rsidP="002A7673">
      <w:pPr>
        <w:suppressAutoHyphens/>
        <w:autoSpaceDE w:val="0"/>
        <w:autoSpaceDN w:val="0"/>
        <w:spacing w:after="0" w:line="240" w:lineRule="auto"/>
        <w:ind w:right="851" w:firstLine="360"/>
        <w:contextualSpacing/>
        <w:jc w:val="both"/>
        <w:rPr>
          <w:rFonts w:ascii="Times New Roman" w:eastAsia="Times New Roman" w:hAnsi="Times New Roman" w:cs="Times New Roman"/>
          <w:b/>
          <w:bCs/>
          <w:i/>
          <w:iCs/>
          <w:sz w:val="26"/>
          <w:szCs w:val="26"/>
          <w:lang w:val="es-ES_tradnl" w:eastAsia="es-CR"/>
        </w:rPr>
      </w:pPr>
      <w:r w:rsidRPr="002A7673">
        <w:rPr>
          <w:rFonts w:ascii="Times New Roman" w:eastAsia="Times New Roman" w:hAnsi="Times New Roman" w:cs="Times New Roman"/>
          <w:i/>
          <w:iCs/>
          <w:sz w:val="28"/>
          <w:szCs w:val="28"/>
          <w:lang w:val="es-ES_tradnl" w:eastAsia="ar-SA"/>
        </w:rPr>
        <w:t>“</w:t>
      </w:r>
      <w:r w:rsidRPr="002A7673">
        <w:rPr>
          <w:rFonts w:ascii="Times New Roman" w:eastAsia="Times New Roman" w:hAnsi="Times New Roman" w:cs="Times New Roman"/>
          <w:b/>
          <w:bCs/>
          <w:i/>
          <w:iCs/>
          <w:sz w:val="26"/>
          <w:szCs w:val="26"/>
          <w:lang w:val="es-ES_tradnl" w:eastAsia="es-CR"/>
        </w:rPr>
        <w:t>Aporte estatal a la CCSS sobre la planilla de las personas jubiladas</w:t>
      </w:r>
    </w:p>
    <w:p w14:paraId="6284F7C5" w14:textId="77777777" w:rsidR="002A7673" w:rsidRPr="002A7673" w:rsidRDefault="002A7673" w:rsidP="002A7673">
      <w:pPr>
        <w:suppressAutoHyphens/>
        <w:autoSpaceDE w:val="0"/>
        <w:autoSpaceDN w:val="0"/>
        <w:spacing w:after="0" w:line="240" w:lineRule="auto"/>
        <w:ind w:left="851" w:right="851" w:firstLine="709"/>
        <w:jc w:val="both"/>
        <w:rPr>
          <w:rFonts w:ascii="Times New Roman" w:eastAsia="Times New Roman" w:hAnsi="Times New Roman" w:cs="Times New Roman"/>
          <w:i/>
          <w:iCs/>
          <w:sz w:val="26"/>
          <w:szCs w:val="26"/>
          <w:lang w:val="es-ES_tradnl" w:eastAsia="es-CR"/>
        </w:rPr>
      </w:pPr>
    </w:p>
    <w:p w14:paraId="222230E3" w14:textId="77777777" w:rsidR="002A7673" w:rsidRPr="002A7673" w:rsidRDefault="002A7673" w:rsidP="002A7673">
      <w:pPr>
        <w:spacing w:before="120" w:after="120" w:line="240" w:lineRule="auto"/>
        <w:ind w:left="851" w:right="851" w:firstLine="709"/>
        <w:jc w:val="both"/>
        <w:rPr>
          <w:rFonts w:ascii="Times New Roman" w:eastAsia="Times New Roman" w:hAnsi="Times New Roman" w:cs="Times New Roman"/>
          <w:i/>
          <w:iCs/>
          <w:sz w:val="26"/>
          <w:szCs w:val="26"/>
          <w:lang w:val="es-ES_tradnl" w:eastAsia="es-CR"/>
        </w:rPr>
      </w:pPr>
      <w:r w:rsidRPr="002A7673">
        <w:rPr>
          <w:rFonts w:ascii="Times New Roman" w:eastAsia="Times New Roman" w:hAnsi="Times New Roman" w:cs="Times New Roman"/>
          <w:i/>
          <w:iCs/>
          <w:sz w:val="26"/>
          <w:szCs w:val="26"/>
          <w:lang w:val="es-ES_tradnl" w:eastAsia="es-CR"/>
        </w:rPr>
        <w:t>Es importante indicar que, se conversó con la Máster Ana Eugenia Romero Jenkins Directora Ejecutiva, sobre la procedencia de formular los recursos correspondientes al aporte estatal a la CCSS que es un 0,25% sobre la planilla de las personas jubiladas y que según estimación del Departamento Financiero Contable para el año 2022 es de ¢235.094.152, quien señaló que revisaría el tema con el Departamento Financiero Contable.</w:t>
      </w:r>
    </w:p>
    <w:p w14:paraId="14BA32A9" w14:textId="77777777" w:rsidR="002A7673" w:rsidRPr="002A7673" w:rsidRDefault="002A7673" w:rsidP="002A7673">
      <w:pPr>
        <w:spacing w:before="120" w:after="120" w:line="240" w:lineRule="auto"/>
        <w:ind w:left="851" w:right="851" w:firstLine="709"/>
        <w:jc w:val="both"/>
        <w:rPr>
          <w:rFonts w:ascii="Times New Roman" w:eastAsia="Times New Roman" w:hAnsi="Times New Roman" w:cs="Times New Roman"/>
          <w:i/>
          <w:iCs/>
          <w:sz w:val="26"/>
          <w:szCs w:val="26"/>
          <w:lang w:val="es-ES_tradnl" w:eastAsia="es-CR"/>
        </w:rPr>
      </w:pPr>
    </w:p>
    <w:p w14:paraId="463627BB" w14:textId="77777777" w:rsidR="002A7673" w:rsidRPr="002A7673" w:rsidRDefault="002A7673" w:rsidP="002A7673">
      <w:pPr>
        <w:spacing w:before="120" w:after="120" w:line="240" w:lineRule="auto"/>
        <w:ind w:left="851" w:right="851" w:firstLine="709"/>
        <w:jc w:val="both"/>
        <w:rPr>
          <w:rFonts w:ascii="Times New Roman" w:eastAsia="Times New Roman" w:hAnsi="Times New Roman" w:cs="Times New Roman"/>
          <w:i/>
          <w:iCs/>
          <w:sz w:val="26"/>
          <w:szCs w:val="26"/>
          <w:lang w:val="es-ES_tradnl" w:eastAsia="es-CR"/>
        </w:rPr>
      </w:pPr>
      <w:r w:rsidRPr="002A7673">
        <w:rPr>
          <w:rFonts w:ascii="Times New Roman" w:eastAsia="Times New Roman" w:hAnsi="Times New Roman" w:cs="Times New Roman"/>
          <w:i/>
          <w:iCs/>
          <w:sz w:val="26"/>
          <w:szCs w:val="26"/>
          <w:lang w:val="es-ES_tradnl" w:eastAsia="es-CR"/>
        </w:rPr>
        <w:t xml:space="preserve">En línea con lo anterior, se considera necesario y urgente contar con el criterio de la Dirección Jurídica, para determinar si procede la formulación de estos recursos y el programa presupuestario en el cual formularlos. Mientras se cuenta con el criterio, la Dirección de Planificación recomienda reservar como parte del presupuesto ordinario del Poder Judicial, en la subpartida 6.01.03 “Transferencias corrientes a instituciones descentralizadas no empresariales” el monto de ¢235.094.152, como parte del Programa 926 Dirección, Administración y otros Órganos de Apoyo.  </w:t>
      </w:r>
    </w:p>
    <w:p w14:paraId="269EFC77"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Al respecto, el Consejo Superior luego de la discusión realizada dispuso autorizar la incorporación como parte del presupuesto ordinario del Poder Judicial, en la subpartida 6.01.03 “Transferencias corrientes a instituciones descentralizadas no empresariales” el monto de ¢235.094.152, como parte del Programa 926 Dirección, Administración y otros Órganos de Apoyo, el aporte estatal a la CCSS que es un 0,25% </w:t>
      </w:r>
      <w:r w:rsidRPr="002A7673">
        <w:rPr>
          <w:rFonts w:ascii="Times New Roman" w:eastAsia="Times New Roman" w:hAnsi="Times New Roman" w:cs="Times New Roman"/>
          <w:bCs/>
          <w:sz w:val="28"/>
          <w:szCs w:val="28"/>
          <w:lang w:val="es-ES" w:eastAsia="es-CR"/>
        </w:rPr>
        <w:lastRenderedPageBreak/>
        <w:t>sobre la planilla de las personas jubiladas y pensionadas, a la espera de un criterio solicitado a la Dirección Jurídica.</w:t>
      </w:r>
    </w:p>
    <w:p w14:paraId="3C48184E"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 xml:space="preserve">Oficio 1417-DE-2021 de la Dirección Ejecutiva </w:t>
      </w:r>
    </w:p>
    <w:p w14:paraId="34D92F38" w14:textId="77777777" w:rsidR="002A7673" w:rsidRPr="002A7673" w:rsidRDefault="002A7673" w:rsidP="002A7673">
      <w:pPr>
        <w:suppressAutoHyphens/>
        <w:spacing w:after="21" w:line="240" w:lineRule="auto"/>
        <w:rPr>
          <w:rFonts w:ascii="Times New Roman" w:eastAsia="Times New Roman" w:hAnsi="Times New Roman" w:cs="Times New Roman"/>
          <w:sz w:val="20"/>
          <w:szCs w:val="20"/>
          <w:lang w:val="es-ES_tradnl" w:eastAsia="ar-SA"/>
        </w:rPr>
      </w:pPr>
    </w:p>
    <w:p w14:paraId="0AF54ABE"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El Consejo Superior en sesión extraordinaria N° 30-2021 celebrada el 16 de abril del año en curso, artículo IX, acordó entre otros:  </w:t>
      </w:r>
    </w:p>
    <w:p w14:paraId="7F4114DD" w14:textId="77777777" w:rsidR="002A7673" w:rsidRPr="002A7673" w:rsidRDefault="002A7673" w:rsidP="002A7673">
      <w:pPr>
        <w:suppressAutoHyphens/>
        <w:spacing w:after="5" w:line="271" w:lineRule="auto"/>
        <w:ind w:left="718" w:right="815" w:hanging="10"/>
        <w:jc w:val="both"/>
        <w:rPr>
          <w:rFonts w:ascii="Times New Roman" w:eastAsia="Times New Roman" w:hAnsi="Times New Roman" w:cs="Times New Roman"/>
          <w:i/>
          <w:sz w:val="28"/>
          <w:szCs w:val="28"/>
          <w:lang w:val="es-ES_tradnl" w:eastAsia="ar-SA"/>
        </w:rPr>
      </w:pPr>
      <w:proofErr w:type="gramStart"/>
      <w:r w:rsidRPr="002A7673">
        <w:rPr>
          <w:rFonts w:ascii="Times New Roman" w:eastAsia="Arial" w:hAnsi="Times New Roman" w:cs="Times New Roman"/>
          <w:b/>
          <w:i/>
          <w:sz w:val="28"/>
          <w:szCs w:val="28"/>
          <w:lang w:val="es-ES_tradnl" w:eastAsia="ar-SA"/>
        </w:rPr>
        <w:t>“ (</w:t>
      </w:r>
      <w:proofErr w:type="gramEnd"/>
      <w:r w:rsidRPr="002A7673">
        <w:rPr>
          <w:rFonts w:ascii="Times New Roman" w:eastAsia="Arial" w:hAnsi="Times New Roman" w:cs="Times New Roman"/>
          <w:b/>
          <w:i/>
          <w:sz w:val="28"/>
          <w:szCs w:val="28"/>
          <w:lang w:val="es-ES_tradnl" w:eastAsia="ar-SA"/>
        </w:rPr>
        <w:t>…)</w:t>
      </w:r>
      <w:r w:rsidRPr="002A7673">
        <w:rPr>
          <w:rFonts w:ascii="Times New Roman" w:eastAsia="Arial" w:hAnsi="Times New Roman" w:cs="Times New Roman"/>
          <w:i/>
          <w:sz w:val="28"/>
          <w:szCs w:val="28"/>
          <w:lang w:val="es-ES_tradnl" w:eastAsia="ar-SA"/>
        </w:rPr>
        <w:t xml:space="preserve"> </w:t>
      </w:r>
      <w:r w:rsidRPr="002A7673">
        <w:rPr>
          <w:rFonts w:ascii="Times New Roman" w:eastAsia="Arial" w:hAnsi="Times New Roman" w:cs="Times New Roman"/>
          <w:b/>
          <w:i/>
          <w:sz w:val="28"/>
          <w:szCs w:val="28"/>
          <w:u w:color="000000"/>
          <w:lang w:val="es-ES_tradnl" w:eastAsia="ar-SA"/>
        </w:rPr>
        <w:t>3.)</w:t>
      </w:r>
      <w:r w:rsidRPr="002A7673">
        <w:rPr>
          <w:rFonts w:ascii="Times New Roman" w:eastAsia="Arial" w:hAnsi="Times New Roman" w:cs="Times New Roman"/>
          <w:i/>
          <w:sz w:val="28"/>
          <w:szCs w:val="28"/>
          <w:u w:color="000000"/>
          <w:lang w:val="es-ES_tradnl" w:eastAsia="ar-SA"/>
        </w:rPr>
        <w:t xml:space="preserve"> Solicitar a la Dirección Ejecutiva </w:t>
      </w:r>
      <w:proofErr w:type="gramStart"/>
      <w:r w:rsidRPr="002A7673">
        <w:rPr>
          <w:rFonts w:ascii="Times New Roman" w:eastAsia="Arial" w:hAnsi="Times New Roman" w:cs="Times New Roman"/>
          <w:i/>
          <w:sz w:val="28"/>
          <w:szCs w:val="28"/>
          <w:u w:color="000000"/>
          <w:lang w:val="es-ES_tradnl" w:eastAsia="ar-SA"/>
        </w:rPr>
        <w:t>que</w:t>
      </w:r>
      <w:proofErr w:type="gramEnd"/>
      <w:r w:rsidRPr="002A7673">
        <w:rPr>
          <w:rFonts w:ascii="Times New Roman" w:eastAsia="Arial" w:hAnsi="Times New Roman" w:cs="Times New Roman"/>
          <w:i/>
          <w:sz w:val="28"/>
          <w:szCs w:val="28"/>
          <w:u w:color="000000"/>
          <w:lang w:val="es-ES_tradnl" w:eastAsia="ar-SA"/>
        </w:rPr>
        <w:t xml:space="preserve"> en coordinación con la Dirección de Tecnología de</w:t>
      </w:r>
      <w:r w:rsidRPr="002A7673">
        <w:rPr>
          <w:rFonts w:ascii="Times New Roman" w:eastAsia="Arial" w:hAnsi="Times New Roman" w:cs="Times New Roman"/>
          <w:i/>
          <w:sz w:val="28"/>
          <w:szCs w:val="28"/>
          <w:lang w:val="es-ES_tradnl" w:eastAsia="ar-SA"/>
        </w:rPr>
        <w:t xml:space="preserve"> </w:t>
      </w:r>
      <w:r w:rsidRPr="002A7673">
        <w:rPr>
          <w:rFonts w:ascii="Times New Roman" w:eastAsia="Arial" w:hAnsi="Times New Roman" w:cs="Times New Roman"/>
          <w:i/>
          <w:sz w:val="28"/>
          <w:szCs w:val="28"/>
          <w:u w:color="000000"/>
          <w:lang w:val="es-ES_tradnl" w:eastAsia="ar-SA"/>
        </w:rPr>
        <w:t>la Información, efectúen una revisión de la subpartida 10204 Servicio de</w:t>
      </w:r>
      <w:r w:rsidRPr="002A7673">
        <w:rPr>
          <w:rFonts w:ascii="Times New Roman" w:eastAsia="Arial" w:hAnsi="Times New Roman" w:cs="Times New Roman"/>
          <w:i/>
          <w:sz w:val="28"/>
          <w:szCs w:val="28"/>
          <w:lang w:val="es-ES_tradnl" w:eastAsia="ar-SA"/>
        </w:rPr>
        <w:t xml:space="preserve"> </w:t>
      </w:r>
      <w:r w:rsidRPr="002A7673">
        <w:rPr>
          <w:rFonts w:ascii="Times New Roman" w:eastAsia="Arial" w:hAnsi="Times New Roman" w:cs="Times New Roman"/>
          <w:i/>
          <w:sz w:val="28"/>
          <w:szCs w:val="28"/>
          <w:u w:color="000000"/>
          <w:lang w:val="es-ES_tradnl" w:eastAsia="ar-SA"/>
        </w:rPr>
        <w:t>Telecomunicaciones, con el propósito de establecer la posibilidad de mantener para el 2022</w:t>
      </w:r>
      <w:r w:rsidRPr="002A7673">
        <w:rPr>
          <w:rFonts w:ascii="Times New Roman" w:eastAsia="Arial" w:hAnsi="Times New Roman" w:cs="Times New Roman"/>
          <w:i/>
          <w:sz w:val="28"/>
          <w:szCs w:val="28"/>
          <w:lang w:val="es-ES_tradnl" w:eastAsia="ar-SA"/>
        </w:rPr>
        <w:t xml:space="preserve"> </w:t>
      </w:r>
      <w:r w:rsidRPr="002A7673">
        <w:rPr>
          <w:rFonts w:ascii="Times New Roman" w:eastAsia="Arial" w:hAnsi="Times New Roman" w:cs="Times New Roman"/>
          <w:i/>
          <w:sz w:val="28"/>
          <w:szCs w:val="28"/>
          <w:u w:color="000000"/>
          <w:lang w:val="es-ES_tradnl" w:eastAsia="ar-SA"/>
        </w:rPr>
        <w:t>el mismo monto aprobado para el 2021</w:t>
      </w:r>
      <w:r w:rsidRPr="002A7673">
        <w:rPr>
          <w:rFonts w:ascii="Times New Roman" w:eastAsia="Arial" w:hAnsi="Times New Roman" w:cs="Times New Roman"/>
          <w:i/>
          <w:sz w:val="28"/>
          <w:szCs w:val="28"/>
          <w:lang w:val="es-ES_tradnl" w:eastAsia="ar-SA"/>
        </w:rPr>
        <w:t>.”</w:t>
      </w:r>
    </w:p>
    <w:p w14:paraId="7ECA6B2D" w14:textId="77777777" w:rsidR="002A7673" w:rsidRPr="002A7673" w:rsidRDefault="002A7673" w:rsidP="002A7673">
      <w:pPr>
        <w:suppressAutoHyphens/>
        <w:spacing w:after="19" w:line="240" w:lineRule="auto"/>
        <w:ind w:left="713"/>
        <w:rPr>
          <w:rFonts w:ascii="Times New Roman" w:eastAsia="Times New Roman" w:hAnsi="Times New Roman" w:cs="Times New Roman"/>
          <w:sz w:val="20"/>
          <w:szCs w:val="20"/>
          <w:lang w:val="es-ES_tradnl" w:eastAsia="ar-SA"/>
        </w:rPr>
      </w:pPr>
      <w:r w:rsidRPr="002A7673">
        <w:rPr>
          <w:rFonts w:ascii="Times New Roman" w:eastAsia="Arial" w:hAnsi="Times New Roman" w:cs="Times New Roman"/>
          <w:sz w:val="24"/>
          <w:szCs w:val="20"/>
          <w:lang w:val="es-ES_tradnl" w:eastAsia="ar-SA"/>
        </w:rPr>
        <w:t xml:space="preserve"> </w:t>
      </w:r>
    </w:p>
    <w:p w14:paraId="367E9828"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En virtud de lo anterior, la Master Ana Romero Jenkins, Directora Ejecutiva, mediante oficio 1417-DE-2021 informa </w:t>
      </w:r>
      <w:proofErr w:type="gramStart"/>
      <w:r w:rsidRPr="002A7673">
        <w:rPr>
          <w:rFonts w:ascii="Times New Roman" w:eastAsia="Times New Roman" w:hAnsi="Times New Roman" w:cs="Times New Roman"/>
          <w:bCs/>
          <w:sz w:val="28"/>
          <w:szCs w:val="28"/>
          <w:lang w:val="es-ES" w:eastAsia="es-CR"/>
        </w:rPr>
        <w:t>que</w:t>
      </w:r>
      <w:proofErr w:type="gramEnd"/>
      <w:r w:rsidRPr="002A7673">
        <w:rPr>
          <w:rFonts w:ascii="Times New Roman" w:eastAsia="Times New Roman" w:hAnsi="Times New Roman" w:cs="Times New Roman"/>
          <w:bCs/>
          <w:sz w:val="28"/>
          <w:szCs w:val="28"/>
          <w:lang w:val="es-ES" w:eastAsia="es-CR"/>
        </w:rPr>
        <w:t xml:space="preserve"> como resultado del análisis efectuado, se tiene una propuesta de rebajo de ₡112.600.000 en la subpartida 10204 Servicio de Telecomunicaciones, concretamente en los siguientes proyectos: </w:t>
      </w:r>
    </w:p>
    <w:p w14:paraId="31A00548" w14:textId="77777777" w:rsidR="002A7673" w:rsidRPr="002A7673" w:rsidRDefault="002A7673" w:rsidP="002A7673">
      <w:pPr>
        <w:suppressAutoHyphens/>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br w:type="page"/>
      </w:r>
    </w:p>
    <w:p w14:paraId="62F77152" w14:textId="77777777" w:rsidR="002A7673" w:rsidRPr="002A7673" w:rsidRDefault="002A7673" w:rsidP="002A7673">
      <w:pPr>
        <w:suppressAutoHyphens/>
        <w:spacing w:after="0" w:line="240" w:lineRule="auto"/>
        <w:rPr>
          <w:rFonts w:ascii="Times New Roman" w:eastAsia="Times New Roman" w:hAnsi="Times New Roman" w:cs="Times New Roman"/>
          <w:sz w:val="20"/>
          <w:szCs w:val="20"/>
          <w:lang w:val="es-ES_tradnl" w:eastAsia="ar-SA"/>
        </w:rPr>
      </w:pPr>
    </w:p>
    <w:tbl>
      <w:tblPr>
        <w:tblStyle w:val="TableGrid1"/>
        <w:tblW w:w="9581" w:type="dxa"/>
        <w:tblInd w:w="3" w:type="dxa"/>
        <w:tblCellMar>
          <w:top w:w="26" w:type="dxa"/>
          <w:left w:w="28" w:type="dxa"/>
        </w:tblCellMar>
        <w:tblLook w:val="04A0" w:firstRow="1" w:lastRow="0" w:firstColumn="1" w:lastColumn="0" w:noHBand="0" w:noVBand="1"/>
      </w:tblPr>
      <w:tblGrid>
        <w:gridCol w:w="949"/>
        <w:gridCol w:w="953"/>
        <w:gridCol w:w="953"/>
        <w:gridCol w:w="1135"/>
        <w:gridCol w:w="953"/>
        <w:gridCol w:w="1143"/>
        <w:gridCol w:w="1096"/>
        <w:gridCol w:w="1302"/>
        <w:gridCol w:w="1097"/>
      </w:tblGrid>
      <w:tr w:rsidR="002A7673" w:rsidRPr="002A7673" w14:paraId="528EDD94" w14:textId="77777777" w:rsidTr="004F270D">
        <w:trPr>
          <w:trHeight w:val="233"/>
        </w:trPr>
        <w:tc>
          <w:tcPr>
            <w:tcW w:w="2854" w:type="dxa"/>
            <w:gridSpan w:val="3"/>
            <w:tcBorders>
              <w:top w:val="single" w:sz="3" w:space="0" w:color="000000"/>
              <w:left w:val="single" w:sz="3" w:space="0" w:color="000000"/>
              <w:bottom w:val="single" w:sz="6" w:space="0" w:color="000000"/>
              <w:right w:val="nil"/>
            </w:tcBorders>
          </w:tcPr>
          <w:p w14:paraId="49C352A5" w14:textId="77777777" w:rsidR="002A7673" w:rsidRPr="002A7673" w:rsidRDefault="002A7673" w:rsidP="002A7673">
            <w:pPr>
              <w:suppressAutoHyphens/>
              <w:ind w:left="1564"/>
              <w:rPr>
                <w:rFonts w:ascii="Times New Roman" w:hAnsi="Times New Roman"/>
                <w:lang w:val="es-ES_tradnl" w:eastAsia="ar-SA"/>
              </w:rPr>
            </w:pPr>
            <w:r w:rsidRPr="002A7673">
              <w:rPr>
                <w:rFonts w:ascii="Times New Roman" w:eastAsia="Arial" w:hAnsi="Times New Roman"/>
                <w:b/>
                <w:sz w:val="16"/>
                <w:lang w:val="es-ES_tradnl" w:eastAsia="ar-SA"/>
              </w:rPr>
              <w:t>Formulado</w:t>
            </w:r>
          </w:p>
        </w:tc>
        <w:tc>
          <w:tcPr>
            <w:tcW w:w="1135" w:type="dxa"/>
            <w:tcBorders>
              <w:top w:val="single" w:sz="3" w:space="0" w:color="000000"/>
              <w:left w:val="nil"/>
              <w:bottom w:val="single" w:sz="6" w:space="0" w:color="000000"/>
              <w:right w:val="single" w:sz="7" w:space="0" w:color="000000"/>
            </w:tcBorders>
          </w:tcPr>
          <w:p w14:paraId="65466772" w14:textId="77777777" w:rsidR="002A7673" w:rsidRPr="002A7673" w:rsidRDefault="002A7673" w:rsidP="002A7673">
            <w:pPr>
              <w:suppressAutoHyphens/>
              <w:rPr>
                <w:rFonts w:ascii="Times New Roman" w:hAnsi="Times New Roman"/>
                <w:lang w:val="es-ES_tradnl" w:eastAsia="ar-SA"/>
              </w:rPr>
            </w:pPr>
          </w:p>
        </w:tc>
        <w:tc>
          <w:tcPr>
            <w:tcW w:w="953" w:type="dxa"/>
            <w:tcBorders>
              <w:top w:val="single" w:sz="3" w:space="0" w:color="000000"/>
              <w:left w:val="single" w:sz="7" w:space="0" w:color="000000"/>
              <w:bottom w:val="single" w:sz="6" w:space="0" w:color="000000"/>
              <w:right w:val="nil"/>
            </w:tcBorders>
            <w:shd w:val="clear" w:color="auto" w:fill="F2F2F2"/>
          </w:tcPr>
          <w:p w14:paraId="58FB62A5" w14:textId="77777777" w:rsidR="002A7673" w:rsidRPr="002A7673" w:rsidRDefault="002A7673" w:rsidP="002A7673">
            <w:pPr>
              <w:suppressAutoHyphens/>
              <w:rPr>
                <w:rFonts w:ascii="Times New Roman" w:hAnsi="Times New Roman"/>
                <w:lang w:val="es-ES_tradnl" w:eastAsia="ar-SA"/>
              </w:rPr>
            </w:pPr>
          </w:p>
        </w:tc>
        <w:tc>
          <w:tcPr>
            <w:tcW w:w="3541" w:type="dxa"/>
            <w:gridSpan w:val="3"/>
            <w:tcBorders>
              <w:top w:val="single" w:sz="3" w:space="0" w:color="000000"/>
              <w:left w:val="nil"/>
              <w:bottom w:val="single" w:sz="6" w:space="0" w:color="000000"/>
              <w:right w:val="nil"/>
            </w:tcBorders>
            <w:shd w:val="clear" w:color="auto" w:fill="F2F2F2"/>
          </w:tcPr>
          <w:p w14:paraId="3F0432CD" w14:textId="77777777" w:rsidR="002A7673" w:rsidRPr="002A7673" w:rsidRDefault="002A7673" w:rsidP="002A7673">
            <w:pPr>
              <w:suppressAutoHyphens/>
              <w:ind w:left="114"/>
              <w:jc w:val="center"/>
              <w:rPr>
                <w:rFonts w:ascii="Times New Roman" w:hAnsi="Times New Roman"/>
                <w:lang w:val="es-ES_tradnl" w:eastAsia="ar-SA"/>
              </w:rPr>
            </w:pPr>
            <w:r w:rsidRPr="002A7673">
              <w:rPr>
                <w:rFonts w:ascii="Times New Roman" w:eastAsia="Arial" w:hAnsi="Times New Roman"/>
                <w:b/>
                <w:sz w:val="16"/>
                <w:lang w:val="es-ES_tradnl" w:eastAsia="ar-SA"/>
              </w:rPr>
              <w:t>Propuesta de Reducción</w:t>
            </w:r>
          </w:p>
        </w:tc>
        <w:tc>
          <w:tcPr>
            <w:tcW w:w="1097" w:type="dxa"/>
            <w:tcBorders>
              <w:top w:val="single" w:sz="3" w:space="0" w:color="000000"/>
              <w:left w:val="nil"/>
              <w:bottom w:val="single" w:sz="6" w:space="0" w:color="000000"/>
              <w:right w:val="single" w:sz="6" w:space="0" w:color="000000"/>
            </w:tcBorders>
            <w:shd w:val="clear" w:color="auto" w:fill="F2F2F2"/>
          </w:tcPr>
          <w:p w14:paraId="1F1DBAAA" w14:textId="77777777" w:rsidR="002A7673" w:rsidRPr="002A7673" w:rsidRDefault="002A7673" w:rsidP="002A7673">
            <w:pPr>
              <w:suppressAutoHyphens/>
              <w:rPr>
                <w:rFonts w:ascii="Times New Roman" w:hAnsi="Times New Roman"/>
                <w:lang w:val="es-ES_tradnl" w:eastAsia="ar-SA"/>
              </w:rPr>
            </w:pPr>
          </w:p>
        </w:tc>
      </w:tr>
      <w:tr w:rsidR="002A7673" w:rsidRPr="002A7673" w14:paraId="649910AA" w14:textId="77777777" w:rsidTr="004F270D">
        <w:trPr>
          <w:trHeight w:val="865"/>
        </w:trPr>
        <w:tc>
          <w:tcPr>
            <w:tcW w:w="949" w:type="dxa"/>
            <w:tcBorders>
              <w:top w:val="single" w:sz="6" w:space="0" w:color="000000"/>
              <w:left w:val="single" w:sz="3" w:space="0" w:color="000000"/>
              <w:bottom w:val="single" w:sz="6" w:space="0" w:color="000000"/>
              <w:right w:val="single" w:sz="6" w:space="0" w:color="000000"/>
            </w:tcBorders>
            <w:vAlign w:val="center"/>
          </w:tcPr>
          <w:p w14:paraId="4DD75E17" w14:textId="77777777" w:rsidR="002A7673" w:rsidRPr="002A7673" w:rsidRDefault="002A7673" w:rsidP="002A7673">
            <w:pPr>
              <w:suppressAutoHyphens/>
              <w:spacing w:after="25"/>
              <w:ind w:left="8"/>
              <w:jc w:val="both"/>
              <w:rPr>
                <w:rFonts w:ascii="Times New Roman" w:hAnsi="Times New Roman"/>
                <w:lang w:val="es-ES_tradnl" w:eastAsia="ar-SA"/>
              </w:rPr>
            </w:pPr>
            <w:r w:rsidRPr="002A7673">
              <w:rPr>
                <w:rFonts w:ascii="Times New Roman" w:eastAsia="Segoe UI" w:hAnsi="Times New Roman"/>
                <w:b/>
                <w:sz w:val="16"/>
                <w:lang w:val="es-ES_tradnl" w:eastAsia="ar-SA"/>
              </w:rPr>
              <w:t xml:space="preserve">Descripción </w:t>
            </w:r>
          </w:p>
          <w:p w14:paraId="5A4184B3" w14:textId="77777777" w:rsidR="002A7673" w:rsidRPr="002A7673" w:rsidRDefault="002A7673" w:rsidP="002A7673">
            <w:pPr>
              <w:suppressAutoHyphens/>
              <w:ind w:right="18"/>
              <w:jc w:val="center"/>
              <w:rPr>
                <w:rFonts w:ascii="Times New Roman" w:hAnsi="Times New Roman"/>
                <w:lang w:val="es-ES_tradnl" w:eastAsia="ar-SA"/>
              </w:rPr>
            </w:pPr>
            <w:r w:rsidRPr="002A7673">
              <w:rPr>
                <w:rFonts w:ascii="Times New Roman" w:eastAsia="Segoe UI" w:hAnsi="Times New Roman"/>
                <w:b/>
                <w:sz w:val="16"/>
                <w:lang w:val="es-ES_tradnl" w:eastAsia="ar-SA"/>
              </w:rPr>
              <w:t>Línea</w:t>
            </w:r>
          </w:p>
        </w:tc>
        <w:tc>
          <w:tcPr>
            <w:tcW w:w="953" w:type="dxa"/>
            <w:tcBorders>
              <w:top w:val="single" w:sz="6" w:space="0" w:color="000000"/>
              <w:left w:val="single" w:sz="6" w:space="0" w:color="000000"/>
              <w:bottom w:val="single" w:sz="6" w:space="0" w:color="000000"/>
              <w:right w:val="single" w:sz="6" w:space="0" w:color="000000"/>
            </w:tcBorders>
            <w:vAlign w:val="center"/>
          </w:tcPr>
          <w:p w14:paraId="1E8CB9E5" w14:textId="77777777" w:rsidR="002A7673" w:rsidRPr="002A7673" w:rsidRDefault="002A7673" w:rsidP="002A7673">
            <w:pPr>
              <w:suppressAutoHyphens/>
              <w:ind w:left="115"/>
              <w:rPr>
                <w:rFonts w:ascii="Times New Roman" w:hAnsi="Times New Roman"/>
                <w:lang w:val="es-ES_tradnl" w:eastAsia="ar-SA"/>
              </w:rPr>
            </w:pPr>
            <w:r w:rsidRPr="002A7673">
              <w:rPr>
                <w:rFonts w:ascii="Times New Roman" w:eastAsia="Segoe UI" w:hAnsi="Times New Roman"/>
                <w:b/>
                <w:sz w:val="16"/>
                <w:lang w:val="es-ES_tradnl" w:eastAsia="ar-SA"/>
              </w:rPr>
              <w:t>Cantidad</w:t>
            </w:r>
          </w:p>
        </w:tc>
        <w:tc>
          <w:tcPr>
            <w:tcW w:w="953" w:type="dxa"/>
            <w:tcBorders>
              <w:top w:val="single" w:sz="6" w:space="0" w:color="000000"/>
              <w:left w:val="single" w:sz="6" w:space="0" w:color="000000"/>
              <w:bottom w:val="single" w:sz="6" w:space="0" w:color="000000"/>
              <w:right w:val="single" w:sz="6" w:space="0" w:color="000000"/>
            </w:tcBorders>
            <w:vAlign w:val="center"/>
          </w:tcPr>
          <w:p w14:paraId="17C44B21" w14:textId="77777777" w:rsidR="002A7673" w:rsidRPr="002A7673" w:rsidRDefault="002A7673" w:rsidP="002A7673">
            <w:pPr>
              <w:suppressAutoHyphens/>
              <w:jc w:val="center"/>
              <w:rPr>
                <w:rFonts w:ascii="Times New Roman" w:hAnsi="Times New Roman"/>
                <w:lang w:val="es-ES_tradnl" w:eastAsia="ar-SA"/>
              </w:rPr>
            </w:pPr>
            <w:r w:rsidRPr="002A7673">
              <w:rPr>
                <w:rFonts w:ascii="Times New Roman" w:eastAsia="Segoe UI" w:hAnsi="Times New Roman"/>
                <w:b/>
                <w:sz w:val="16"/>
                <w:lang w:val="es-ES_tradnl" w:eastAsia="ar-SA"/>
              </w:rPr>
              <w:t>Precio Unitario</w:t>
            </w:r>
          </w:p>
        </w:tc>
        <w:tc>
          <w:tcPr>
            <w:tcW w:w="1135" w:type="dxa"/>
            <w:tcBorders>
              <w:top w:val="single" w:sz="6" w:space="0" w:color="000000"/>
              <w:left w:val="single" w:sz="6" w:space="0" w:color="000000"/>
              <w:bottom w:val="single" w:sz="6" w:space="0" w:color="000000"/>
              <w:right w:val="single" w:sz="7" w:space="0" w:color="000000"/>
            </w:tcBorders>
            <w:vAlign w:val="center"/>
          </w:tcPr>
          <w:p w14:paraId="6082E8A9" w14:textId="77777777" w:rsidR="002A7673" w:rsidRPr="002A7673" w:rsidRDefault="002A7673" w:rsidP="002A7673">
            <w:pPr>
              <w:suppressAutoHyphens/>
              <w:ind w:right="16"/>
              <w:jc w:val="center"/>
              <w:rPr>
                <w:rFonts w:ascii="Times New Roman" w:hAnsi="Times New Roman"/>
                <w:lang w:val="es-ES_tradnl" w:eastAsia="ar-SA"/>
              </w:rPr>
            </w:pPr>
            <w:r w:rsidRPr="002A7673">
              <w:rPr>
                <w:rFonts w:ascii="Times New Roman" w:eastAsia="Arial" w:hAnsi="Times New Roman"/>
                <w:b/>
                <w:sz w:val="16"/>
                <w:lang w:val="es-ES_tradnl" w:eastAsia="ar-SA"/>
              </w:rPr>
              <w:t>Total</w:t>
            </w:r>
          </w:p>
        </w:tc>
        <w:tc>
          <w:tcPr>
            <w:tcW w:w="953" w:type="dxa"/>
            <w:tcBorders>
              <w:top w:val="single" w:sz="6" w:space="0" w:color="000000"/>
              <w:left w:val="single" w:sz="7" w:space="0" w:color="000000"/>
              <w:bottom w:val="single" w:sz="6" w:space="0" w:color="000000"/>
              <w:right w:val="single" w:sz="7" w:space="0" w:color="000000"/>
            </w:tcBorders>
            <w:shd w:val="clear" w:color="auto" w:fill="F2F2F2"/>
            <w:vAlign w:val="center"/>
          </w:tcPr>
          <w:p w14:paraId="192473AA" w14:textId="77777777" w:rsidR="002A7673" w:rsidRPr="002A7673" w:rsidRDefault="002A7673" w:rsidP="002A7673">
            <w:pPr>
              <w:suppressAutoHyphens/>
              <w:ind w:left="115"/>
              <w:rPr>
                <w:rFonts w:ascii="Times New Roman" w:hAnsi="Times New Roman"/>
                <w:lang w:val="es-ES_tradnl" w:eastAsia="ar-SA"/>
              </w:rPr>
            </w:pPr>
            <w:r w:rsidRPr="002A7673">
              <w:rPr>
                <w:rFonts w:ascii="Times New Roman" w:eastAsia="Segoe UI" w:hAnsi="Times New Roman"/>
                <w:b/>
                <w:sz w:val="16"/>
                <w:lang w:val="es-ES_tradnl" w:eastAsia="ar-SA"/>
              </w:rPr>
              <w:t>Cantidad</w:t>
            </w:r>
          </w:p>
        </w:tc>
        <w:tc>
          <w:tcPr>
            <w:tcW w:w="1143" w:type="dxa"/>
            <w:tcBorders>
              <w:top w:val="single" w:sz="6" w:space="0" w:color="000000"/>
              <w:left w:val="single" w:sz="7" w:space="0" w:color="000000"/>
              <w:bottom w:val="single" w:sz="6" w:space="0" w:color="000000"/>
              <w:right w:val="single" w:sz="6" w:space="0" w:color="000000"/>
            </w:tcBorders>
            <w:shd w:val="clear" w:color="auto" w:fill="F2F2F2"/>
            <w:vAlign w:val="center"/>
          </w:tcPr>
          <w:p w14:paraId="2675F330" w14:textId="77777777" w:rsidR="002A7673" w:rsidRPr="002A7673" w:rsidRDefault="002A7673" w:rsidP="002A7673">
            <w:pPr>
              <w:suppressAutoHyphens/>
              <w:ind w:left="7"/>
              <w:jc w:val="center"/>
              <w:rPr>
                <w:rFonts w:ascii="Times New Roman" w:hAnsi="Times New Roman"/>
                <w:lang w:val="es-ES_tradnl" w:eastAsia="ar-SA"/>
              </w:rPr>
            </w:pPr>
            <w:r w:rsidRPr="002A7673">
              <w:rPr>
                <w:rFonts w:ascii="Times New Roman" w:eastAsia="Segoe UI" w:hAnsi="Times New Roman"/>
                <w:b/>
                <w:sz w:val="16"/>
                <w:lang w:val="es-ES_tradnl" w:eastAsia="ar-SA"/>
              </w:rPr>
              <w:t>Precio Unitario</w:t>
            </w:r>
          </w:p>
        </w:tc>
        <w:tc>
          <w:tcPr>
            <w:tcW w:w="1096"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15FF3548" w14:textId="77777777" w:rsidR="002A7673" w:rsidRPr="002A7673" w:rsidRDefault="002A7673" w:rsidP="002A7673">
            <w:pPr>
              <w:suppressAutoHyphens/>
              <w:ind w:right="24"/>
              <w:jc w:val="center"/>
              <w:rPr>
                <w:rFonts w:ascii="Times New Roman" w:hAnsi="Times New Roman"/>
                <w:lang w:val="es-ES_tradnl" w:eastAsia="ar-SA"/>
              </w:rPr>
            </w:pPr>
            <w:r w:rsidRPr="002A7673">
              <w:rPr>
                <w:rFonts w:ascii="Times New Roman" w:eastAsia="Arial" w:hAnsi="Times New Roman"/>
                <w:b/>
                <w:sz w:val="16"/>
                <w:lang w:val="es-ES_tradnl" w:eastAsia="ar-SA"/>
              </w:rPr>
              <w:t>Total</w:t>
            </w:r>
          </w:p>
        </w:tc>
        <w:tc>
          <w:tcPr>
            <w:tcW w:w="1302"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7AABD183" w14:textId="77777777" w:rsidR="002A7673" w:rsidRPr="002A7673" w:rsidRDefault="002A7673" w:rsidP="002A7673">
            <w:pPr>
              <w:suppressAutoHyphens/>
              <w:ind w:left="504" w:hanging="468"/>
              <w:rPr>
                <w:rFonts w:ascii="Times New Roman" w:hAnsi="Times New Roman"/>
                <w:lang w:val="es-ES_tradnl" w:eastAsia="ar-SA"/>
              </w:rPr>
            </w:pPr>
            <w:r w:rsidRPr="002A7673">
              <w:rPr>
                <w:rFonts w:ascii="Times New Roman" w:eastAsia="Arial" w:hAnsi="Times New Roman"/>
                <w:b/>
                <w:sz w:val="16"/>
                <w:lang w:val="es-ES_tradnl" w:eastAsia="ar-SA"/>
              </w:rPr>
              <w:t>Observación de DTI</w:t>
            </w:r>
          </w:p>
        </w:tc>
        <w:tc>
          <w:tcPr>
            <w:tcW w:w="1097"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2C917DEF" w14:textId="77777777" w:rsidR="002A7673" w:rsidRPr="002A7673" w:rsidRDefault="002A7673" w:rsidP="002A7673">
            <w:pPr>
              <w:suppressAutoHyphens/>
              <w:ind w:right="22"/>
              <w:jc w:val="center"/>
              <w:rPr>
                <w:rFonts w:ascii="Times New Roman" w:hAnsi="Times New Roman"/>
                <w:lang w:val="es-ES_tradnl" w:eastAsia="ar-SA"/>
              </w:rPr>
            </w:pPr>
            <w:r w:rsidRPr="002A7673">
              <w:rPr>
                <w:rFonts w:ascii="Times New Roman" w:eastAsia="Arial" w:hAnsi="Times New Roman"/>
                <w:b/>
                <w:sz w:val="16"/>
                <w:lang w:val="es-ES_tradnl" w:eastAsia="ar-SA"/>
              </w:rPr>
              <w:t xml:space="preserve">Diferencia </w:t>
            </w:r>
          </w:p>
        </w:tc>
      </w:tr>
      <w:tr w:rsidR="002A7673" w:rsidRPr="002A7673" w14:paraId="3A70B3F9" w14:textId="77777777" w:rsidTr="004F270D">
        <w:trPr>
          <w:trHeight w:val="6290"/>
        </w:trPr>
        <w:tc>
          <w:tcPr>
            <w:tcW w:w="949" w:type="dxa"/>
            <w:tcBorders>
              <w:top w:val="single" w:sz="6" w:space="0" w:color="000000"/>
              <w:left w:val="single" w:sz="3" w:space="0" w:color="000000"/>
              <w:bottom w:val="single" w:sz="6" w:space="0" w:color="000000"/>
              <w:right w:val="single" w:sz="6" w:space="0" w:color="000000"/>
            </w:tcBorders>
            <w:vAlign w:val="center"/>
          </w:tcPr>
          <w:p w14:paraId="5F21379A" w14:textId="77777777" w:rsidR="002A7673" w:rsidRPr="002A7673" w:rsidRDefault="002A7673" w:rsidP="002A7673">
            <w:pPr>
              <w:suppressAutoHyphens/>
              <w:spacing w:after="39"/>
              <w:rPr>
                <w:rFonts w:ascii="Times New Roman" w:hAnsi="Times New Roman"/>
                <w:lang w:val="es-ES_tradnl" w:eastAsia="ar-SA"/>
              </w:rPr>
            </w:pPr>
            <w:r w:rsidRPr="002A7673">
              <w:rPr>
                <w:rFonts w:ascii="Times New Roman" w:eastAsia="Segoe UI" w:hAnsi="Times New Roman"/>
                <w:b/>
                <w:sz w:val="16"/>
                <w:lang w:val="es-ES_tradnl" w:eastAsia="ar-SA"/>
              </w:rPr>
              <w:t xml:space="preserve">Proyecto </w:t>
            </w:r>
          </w:p>
          <w:p w14:paraId="185EF3BA" w14:textId="77777777" w:rsidR="002A7673" w:rsidRPr="002A7673" w:rsidRDefault="002A7673" w:rsidP="002A7673">
            <w:pPr>
              <w:suppressAutoHyphens/>
              <w:ind w:right="22"/>
              <w:jc w:val="both"/>
              <w:rPr>
                <w:rFonts w:ascii="Times New Roman" w:hAnsi="Times New Roman"/>
                <w:lang w:val="es-ES_tradnl" w:eastAsia="ar-SA"/>
              </w:rPr>
            </w:pPr>
            <w:r w:rsidRPr="002A7673">
              <w:rPr>
                <w:rFonts w:ascii="Times New Roman" w:eastAsia="Segoe UI" w:hAnsi="Times New Roman"/>
                <w:b/>
                <w:sz w:val="16"/>
                <w:lang w:val="es-ES_tradnl" w:eastAsia="ar-SA"/>
              </w:rPr>
              <w:t xml:space="preserve">del Nexus PJ </w:t>
            </w:r>
            <w:r w:rsidRPr="002A7673">
              <w:rPr>
                <w:rFonts w:ascii="Times New Roman" w:eastAsia="Segoe UI" w:hAnsi="Times New Roman"/>
                <w:sz w:val="16"/>
                <w:lang w:val="es-ES_tradnl" w:eastAsia="ar-SA"/>
              </w:rPr>
              <w:t xml:space="preserve">para la </w:t>
            </w:r>
            <w:proofErr w:type="spellStart"/>
            <w:r w:rsidRPr="002A7673">
              <w:rPr>
                <w:rFonts w:ascii="Times New Roman" w:eastAsia="Segoe UI" w:hAnsi="Times New Roman"/>
                <w:sz w:val="16"/>
                <w:lang w:val="es-ES_tradnl" w:eastAsia="ar-SA"/>
              </w:rPr>
              <w:t>implementac</w:t>
            </w:r>
            <w:proofErr w:type="spellEnd"/>
            <w:r w:rsidRPr="002A7673">
              <w:rPr>
                <w:rFonts w:ascii="Times New Roman" w:eastAsia="Segoe UI" w:hAnsi="Times New Roman"/>
                <w:sz w:val="16"/>
                <w:lang w:val="es-ES_tradnl" w:eastAsia="ar-SA"/>
              </w:rPr>
              <w:t xml:space="preserve"> </w:t>
            </w:r>
            <w:proofErr w:type="spellStart"/>
            <w:r w:rsidRPr="002A7673">
              <w:rPr>
                <w:rFonts w:ascii="Times New Roman" w:eastAsia="Segoe UI" w:hAnsi="Times New Roman"/>
                <w:sz w:val="16"/>
                <w:lang w:val="es-ES_tradnl" w:eastAsia="ar-SA"/>
              </w:rPr>
              <w:t>ión</w:t>
            </w:r>
            <w:proofErr w:type="spellEnd"/>
            <w:r w:rsidRPr="002A7673">
              <w:rPr>
                <w:rFonts w:ascii="Times New Roman" w:eastAsia="Segoe UI" w:hAnsi="Times New Roman"/>
                <w:sz w:val="16"/>
                <w:lang w:val="es-ES_tradnl" w:eastAsia="ar-SA"/>
              </w:rPr>
              <w:t xml:space="preserve"> de la consulta y acceso a la </w:t>
            </w:r>
            <w:proofErr w:type="spellStart"/>
            <w:r w:rsidRPr="002A7673">
              <w:rPr>
                <w:rFonts w:ascii="Times New Roman" w:eastAsia="Segoe UI" w:hAnsi="Times New Roman"/>
                <w:sz w:val="16"/>
                <w:lang w:val="es-ES_tradnl" w:eastAsia="ar-SA"/>
              </w:rPr>
              <w:t>jurisprudenci</w:t>
            </w:r>
            <w:proofErr w:type="spellEnd"/>
            <w:r w:rsidRPr="002A7673">
              <w:rPr>
                <w:rFonts w:ascii="Times New Roman" w:eastAsia="Segoe UI" w:hAnsi="Times New Roman"/>
                <w:sz w:val="16"/>
                <w:lang w:val="es-ES_tradnl" w:eastAsia="ar-SA"/>
              </w:rPr>
              <w:t xml:space="preserve"> a en audio y video por la oralidad</w:t>
            </w:r>
          </w:p>
        </w:tc>
        <w:tc>
          <w:tcPr>
            <w:tcW w:w="953" w:type="dxa"/>
            <w:tcBorders>
              <w:top w:val="single" w:sz="6" w:space="0" w:color="000000"/>
              <w:left w:val="single" w:sz="6" w:space="0" w:color="000000"/>
              <w:bottom w:val="single" w:sz="6" w:space="0" w:color="000000"/>
              <w:right w:val="single" w:sz="6" w:space="0" w:color="000000"/>
            </w:tcBorders>
            <w:vAlign w:val="center"/>
          </w:tcPr>
          <w:p w14:paraId="0DB8E5D0" w14:textId="77777777" w:rsidR="002A7673" w:rsidRPr="002A7673" w:rsidRDefault="002A7673" w:rsidP="002A7673">
            <w:pPr>
              <w:suppressAutoHyphens/>
              <w:ind w:right="30"/>
              <w:jc w:val="center"/>
              <w:rPr>
                <w:rFonts w:ascii="Times New Roman" w:hAnsi="Times New Roman"/>
                <w:lang w:val="es-ES_tradnl" w:eastAsia="ar-SA"/>
              </w:rPr>
            </w:pPr>
            <w:r w:rsidRPr="002A7673">
              <w:rPr>
                <w:rFonts w:ascii="Times New Roman" w:eastAsia="Segoe UI" w:hAnsi="Times New Roman"/>
                <w:sz w:val="16"/>
                <w:lang w:val="es-ES_tradnl" w:eastAsia="ar-SA"/>
              </w:rPr>
              <w:t>12</w:t>
            </w:r>
          </w:p>
        </w:tc>
        <w:tc>
          <w:tcPr>
            <w:tcW w:w="953" w:type="dxa"/>
            <w:tcBorders>
              <w:top w:val="single" w:sz="6" w:space="0" w:color="000000"/>
              <w:left w:val="single" w:sz="6" w:space="0" w:color="000000"/>
              <w:bottom w:val="single" w:sz="6" w:space="0" w:color="000000"/>
              <w:right w:val="single" w:sz="6" w:space="0" w:color="000000"/>
            </w:tcBorders>
            <w:vAlign w:val="center"/>
          </w:tcPr>
          <w:p w14:paraId="09551BBB" w14:textId="77777777" w:rsidR="002A7673" w:rsidRPr="002A7673" w:rsidRDefault="002A7673" w:rsidP="002A7673">
            <w:pPr>
              <w:suppressAutoHyphens/>
              <w:ind w:left="59"/>
              <w:rPr>
                <w:rFonts w:ascii="Times New Roman" w:hAnsi="Times New Roman"/>
                <w:lang w:val="es-ES_tradnl" w:eastAsia="ar-SA"/>
              </w:rPr>
            </w:pPr>
            <w:r w:rsidRPr="002A7673">
              <w:rPr>
                <w:rFonts w:ascii="Times New Roman" w:eastAsia="Segoe UI" w:hAnsi="Times New Roman"/>
                <w:sz w:val="16"/>
                <w:lang w:val="es-ES_tradnl" w:eastAsia="ar-SA"/>
              </w:rPr>
              <w:t>₡7 000 000</w:t>
            </w:r>
          </w:p>
        </w:tc>
        <w:tc>
          <w:tcPr>
            <w:tcW w:w="1135" w:type="dxa"/>
            <w:tcBorders>
              <w:top w:val="single" w:sz="6" w:space="0" w:color="000000"/>
              <w:left w:val="single" w:sz="6" w:space="0" w:color="000000"/>
              <w:bottom w:val="single" w:sz="6" w:space="0" w:color="000000"/>
              <w:right w:val="single" w:sz="7" w:space="0" w:color="000000"/>
            </w:tcBorders>
            <w:vAlign w:val="center"/>
          </w:tcPr>
          <w:p w14:paraId="21158D22" w14:textId="77777777" w:rsidR="002A7673" w:rsidRPr="002A7673" w:rsidRDefault="002A7673" w:rsidP="002A7673">
            <w:pPr>
              <w:suppressAutoHyphens/>
              <w:ind w:left="91"/>
              <w:rPr>
                <w:rFonts w:ascii="Times New Roman" w:hAnsi="Times New Roman"/>
                <w:lang w:val="es-ES_tradnl" w:eastAsia="ar-SA"/>
              </w:rPr>
            </w:pPr>
            <w:r w:rsidRPr="002A7673">
              <w:rPr>
                <w:rFonts w:ascii="Times New Roman" w:eastAsia="Arial" w:hAnsi="Times New Roman"/>
                <w:sz w:val="16"/>
                <w:lang w:val="es-ES_tradnl" w:eastAsia="ar-SA"/>
              </w:rPr>
              <w:t>₡84 000 000</w:t>
            </w:r>
          </w:p>
        </w:tc>
        <w:tc>
          <w:tcPr>
            <w:tcW w:w="953" w:type="dxa"/>
            <w:tcBorders>
              <w:top w:val="single" w:sz="6" w:space="0" w:color="000000"/>
              <w:left w:val="single" w:sz="7" w:space="0" w:color="000000"/>
              <w:bottom w:val="single" w:sz="6" w:space="0" w:color="000000"/>
              <w:right w:val="single" w:sz="7" w:space="0" w:color="000000"/>
            </w:tcBorders>
            <w:shd w:val="clear" w:color="auto" w:fill="F2F2F2"/>
            <w:vAlign w:val="center"/>
          </w:tcPr>
          <w:p w14:paraId="52D40DAB" w14:textId="77777777" w:rsidR="002A7673" w:rsidRPr="002A7673" w:rsidRDefault="002A7673" w:rsidP="002A7673">
            <w:pPr>
              <w:suppressAutoHyphens/>
              <w:ind w:right="30"/>
              <w:jc w:val="center"/>
              <w:rPr>
                <w:rFonts w:ascii="Times New Roman" w:hAnsi="Times New Roman"/>
                <w:lang w:val="es-ES_tradnl" w:eastAsia="ar-SA"/>
              </w:rPr>
            </w:pPr>
            <w:r w:rsidRPr="002A7673">
              <w:rPr>
                <w:rFonts w:ascii="Times New Roman" w:eastAsia="Segoe UI" w:hAnsi="Times New Roman"/>
                <w:sz w:val="16"/>
                <w:lang w:val="es-ES_tradnl" w:eastAsia="ar-SA"/>
              </w:rPr>
              <w:t>12</w:t>
            </w:r>
          </w:p>
        </w:tc>
        <w:tc>
          <w:tcPr>
            <w:tcW w:w="1143" w:type="dxa"/>
            <w:tcBorders>
              <w:top w:val="single" w:sz="6" w:space="0" w:color="000000"/>
              <w:left w:val="single" w:sz="7" w:space="0" w:color="000000"/>
              <w:bottom w:val="single" w:sz="6" w:space="0" w:color="000000"/>
              <w:right w:val="single" w:sz="6" w:space="0" w:color="000000"/>
            </w:tcBorders>
            <w:shd w:val="clear" w:color="auto" w:fill="F2F2F2"/>
            <w:vAlign w:val="center"/>
          </w:tcPr>
          <w:p w14:paraId="2C1D3B6E" w14:textId="77777777" w:rsidR="002A7673" w:rsidRPr="002A7673" w:rsidRDefault="002A7673" w:rsidP="002A7673">
            <w:pPr>
              <w:suppressAutoHyphens/>
              <w:ind w:left="52"/>
              <w:rPr>
                <w:rFonts w:ascii="Times New Roman" w:hAnsi="Times New Roman"/>
                <w:lang w:val="es-ES_tradnl" w:eastAsia="ar-SA"/>
              </w:rPr>
            </w:pPr>
            <w:r w:rsidRPr="002A7673">
              <w:rPr>
                <w:rFonts w:ascii="Times New Roman" w:eastAsia="Segoe UI" w:hAnsi="Times New Roman"/>
                <w:sz w:val="16"/>
                <w:lang w:val="es-ES_tradnl" w:eastAsia="ar-SA"/>
              </w:rPr>
              <w:t>₡7 000 000,00</w:t>
            </w:r>
          </w:p>
        </w:tc>
        <w:tc>
          <w:tcPr>
            <w:tcW w:w="1096"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787DAA6C" w14:textId="77777777" w:rsidR="002A7673" w:rsidRPr="002A7673" w:rsidRDefault="002A7673" w:rsidP="002A7673">
            <w:pPr>
              <w:suppressAutoHyphens/>
              <w:ind w:left="67"/>
              <w:rPr>
                <w:rFonts w:ascii="Times New Roman" w:hAnsi="Times New Roman"/>
                <w:lang w:val="es-ES_tradnl" w:eastAsia="ar-SA"/>
              </w:rPr>
            </w:pPr>
            <w:r w:rsidRPr="002A7673">
              <w:rPr>
                <w:rFonts w:ascii="Times New Roman" w:eastAsia="Arial" w:hAnsi="Times New Roman"/>
                <w:sz w:val="16"/>
                <w:lang w:val="es-ES_tradnl" w:eastAsia="ar-SA"/>
              </w:rPr>
              <w:t>₡84 000 000</w:t>
            </w:r>
          </w:p>
        </w:tc>
        <w:tc>
          <w:tcPr>
            <w:tcW w:w="1302"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07FFEBAC" w14:textId="77777777" w:rsidR="002A7673" w:rsidRPr="002A7673" w:rsidRDefault="002A7673" w:rsidP="002A7673">
            <w:pPr>
              <w:suppressAutoHyphens/>
              <w:ind w:left="4" w:right="24"/>
              <w:jc w:val="both"/>
              <w:rPr>
                <w:rFonts w:ascii="Times New Roman" w:hAnsi="Times New Roman"/>
                <w:lang w:val="es-ES_tradnl" w:eastAsia="ar-SA"/>
              </w:rPr>
            </w:pPr>
            <w:r w:rsidRPr="002A7673">
              <w:rPr>
                <w:rFonts w:ascii="Times New Roman" w:eastAsia="Arial" w:hAnsi="Times New Roman"/>
                <w:sz w:val="16"/>
                <w:lang w:val="es-ES_tradnl" w:eastAsia="ar-SA"/>
              </w:rPr>
              <w:t>El proyecto para implementar la consulta de la jurisprudencia en audio y video está en un 70% por lo que se tiene como meta cumplir con lo solicitado y en el año 2022 tener la nueva versión que incluya esta funcionalidad.  La puesta en producción de esta depende de tener el enlace de Internet exclusivo para el servicio por la capacidad estimada, por lo que se sugiere mantener si es interés institucional ofrecer dicho servicio.</w:t>
            </w:r>
          </w:p>
        </w:tc>
        <w:tc>
          <w:tcPr>
            <w:tcW w:w="1097" w:type="dxa"/>
            <w:tcBorders>
              <w:top w:val="single" w:sz="6" w:space="0" w:color="000000"/>
              <w:left w:val="single" w:sz="6" w:space="0" w:color="000000"/>
              <w:bottom w:val="single" w:sz="6" w:space="0" w:color="000000"/>
              <w:right w:val="single" w:sz="6" w:space="0" w:color="000000"/>
            </w:tcBorders>
            <w:shd w:val="clear" w:color="auto" w:fill="F2F2F2"/>
            <w:vAlign w:val="center"/>
          </w:tcPr>
          <w:p w14:paraId="0000D179" w14:textId="77777777" w:rsidR="002A7673" w:rsidRPr="002A7673" w:rsidRDefault="002A7673" w:rsidP="002A7673">
            <w:pPr>
              <w:suppressAutoHyphens/>
              <w:ind w:right="21"/>
              <w:jc w:val="center"/>
              <w:rPr>
                <w:rFonts w:ascii="Times New Roman" w:hAnsi="Times New Roman"/>
                <w:lang w:val="es-ES_tradnl" w:eastAsia="ar-SA"/>
              </w:rPr>
            </w:pPr>
            <w:r w:rsidRPr="002A7673">
              <w:rPr>
                <w:rFonts w:ascii="Times New Roman" w:eastAsia="Arial" w:hAnsi="Times New Roman"/>
                <w:sz w:val="16"/>
                <w:lang w:val="es-ES_tradnl" w:eastAsia="ar-SA"/>
              </w:rPr>
              <w:t>₡0</w:t>
            </w:r>
          </w:p>
        </w:tc>
      </w:tr>
    </w:tbl>
    <w:p w14:paraId="10B526F6" w14:textId="77777777" w:rsidR="002A7673" w:rsidRPr="002A7673" w:rsidRDefault="002A7673" w:rsidP="002A7673">
      <w:pPr>
        <w:suppressAutoHyphens/>
        <w:spacing w:after="0" w:line="240" w:lineRule="auto"/>
        <w:rPr>
          <w:rFonts w:ascii="Times New Roman" w:eastAsia="Times New Roman" w:hAnsi="Times New Roman" w:cs="Times New Roman"/>
          <w:sz w:val="20"/>
          <w:szCs w:val="20"/>
          <w:lang w:val="es-ES_tradnl" w:eastAsia="ar-SA"/>
        </w:rPr>
        <w:sectPr w:rsidR="002A7673" w:rsidRPr="002A7673">
          <w:headerReference w:type="even" r:id="rId441"/>
          <w:headerReference w:type="default" r:id="rId442"/>
          <w:headerReference w:type="first" r:id="rId443"/>
          <w:pgSz w:w="12240" w:h="15840"/>
          <w:pgMar w:top="2366" w:right="870" w:bottom="1488" w:left="1702" w:header="708" w:footer="720" w:gutter="0"/>
          <w:cols w:space="720"/>
        </w:sectPr>
      </w:pPr>
    </w:p>
    <w:p w14:paraId="10A461EB" w14:textId="77777777" w:rsidR="002A7673" w:rsidRPr="002A7673" w:rsidRDefault="002A7673" w:rsidP="002A7673">
      <w:pPr>
        <w:suppressAutoHyphens/>
        <w:spacing w:after="0" w:line="240" w:lineRule="auto"/>
        <w:ind w:left="-5" w:hanging="10"/>
        <w:rPr>
          <w:rFonts w:ascii="Times New Roman" w:eastAsia="Times New Roman" w:hAnsi="Times New Roman" w:cs="Times New Roman"/>
          <w:sz w:val="20"/>
          <w:szCs w:val="20"/>
          <w:lang w:val="es-ES_tradnl" w:eastAsia="ar-SA"/>
        </w:rPr>
      </w:pPr>
    </w:p>
    <w:tbl>
      <w:tblPr>
        <w:tblStyle w:val="TableGrid1"/>
        <w:tblW w:w="9695" w:type="dxa"/>
        <w:tblInd w:w="3" w:type="dxa"/>
        <w:tblCellMar>
          <w:top w:w="11" w:type="dxa"/>
          <w:left w:w="29" w:type="dxa"/>
          <w:bottom w:w="9" w:type="dxa"/>
        </w:tblCellMar>
        <w:tblLook w:val="04A0" w:firstRow="1" w:lastRow="0" w:firstColumn="1" w:lastColumn="0" w:noHBand="0" w:noVBand="1"/>
      </w:tblPr>
      <w:tblGrid>
        <w:gridCol w:w="988"/>
        <w:gridCol w:w="991"/>
        <w:gridCol w:w="991"/>
        <w:gridCol w:w="1181"/>
        <w:gridCol w:w="991"/>
        <w:gridCol w:w="1189"/>
        <w:gridCol w:w="1140"/>
        <w:gridCol w:w="1082"/>
        <w:gridCol w:w="1142"/>
      </w:tblGrid>
      <w:tr w:rsidR="002A7673" w:rsidRPr="002A7673" w14:paraId="18BF05B5" w14:textId="77777777" w:rsidTr="004F270D">
        <w:trPr>
          <w:trHeight w:val="736"/>
        </w:trPr>
        <w:tc>
          <w:tcPr>
            <w:tcW w:w="987" w:type="dxa"/>
            <w:tcBorders>
              <w:top w:val="double" w:sz="4" w:space="0" w:color="000000"/>
              <w:left w:val="single" w:sz="3" w:space="0" w:color="000000"/>
              <w:bottom w:val="nil"/>
              <w:right w:val="single" w:sz="7" w:space="0" w:color="000000"/>
            </w:tcBorders>
          </w:tcPr>
          <w:p w14:paraId="0D4D30D7" w14:textId="77777777" w:rsidR="002A7673" w:rsidRPr="002A7673" w:rsidRDefault="002A7673" w:rsidP="002A7673">
            <w:pPr>
              <w:suppressAutoHyphens/>
              <w:rPr>
                <w:rFonts w:ascii="Times New Roman" w:hAnsi="Times New Roman"/>
                <w:lang w:val="es-ES_tradnl" w:eastAsia="ar-SA"/>
              </w:rPr>
            </w:pPr>
          </w:p>
        </w:tc>
        <w:tc>
          <w:tcPr>
            <w:tcW w:w="991" w:type="dxa"/>
            <w:tcBorders>
              <w:top w:val="double" w:sz="4" w:space="0" w:color="000000"/>
              <w:left w:val="single" w:sz="7" w:space="0" w:color="000000"/>
              <w:bottom w:val="nil"/>
              <w:right w:val="single" w:sz="7" w:space="0" w:color="000000"/>
            </w:tcBorders>
          </w:tcPr>
          <w:p w14:paraId="655771FC" w14:textId="77777777" w:rsidR="002A7673" w:rsidRPr="002A7673" w:rsidRDefault="002A7673" w:rsidP="002A7673">
            <w:pPr>
              <w:suppressAutoHyphens/>
              <w:rPr>
                <w:rFonts w:ascii="Times New Roman" w:hAnsi="Times New Roman"/>
                <w:lang w:val="es-ES_tradnl" w:eastAsia="ar-SA"/>
              </w:rPr>
            </w:pPr>
          </w:p>
        </w:tc>
        <w:tc>
          <w:tcPr>
            <w:tcW w:w="991" w:type="dxa"/>
            <w:tcBorders>
              <w:top w:val="double" w:sz="4" w:space="0" w:color="000000"/>
              <w:left w:val="single" w:sz="7" w:space="0" w:color="000000"/>
              <w:bottom w:val="nil"/>
              <w:right w:val="single" w:sz="7" w:space="0" w:color="000000"/>
            </w:tcBorders>
          </w:tcPr>
          <w:p w14:paraId="66BCAE21" w14:textId="77777777" w:rsidR="002A7673" w:rsidRPr="002A7673" w:rsidRDefault="002A7673" w:rsidP="002A7673">
            <w:pPr>
              <w:suppressAutoHyphens/>
              <w:rPr>
                <w:rFonts w:ascii="Times New Roman" w:hAnsi="Times New Roman"/>
                <w:lang w:val="es-ES_tradnl" w:eastAsia="ar-SA"/>
              </w:rPr>
            </w:pPr>
          </w:p>
        </w:tc>
        <w:tc>
          <w:tcPr>
            <w:tcW w:w="1181" w:type="dxa"/>
            <w:tcBorders>
              <w:top w:val="double" w:sz="4" w:space="0" w:color="000000"/>
              <w:left w:val="single" w:sz="7" w:space="0" w:color="000000"/>
              <w:bottom w:val="nil"/>
              <w:right w:val="single" w:sz="7" w:space="0" w:color="000000"/>
            </w:tcBorders>
          </w:tcPr>
          <w:p w14:paraId="6F71232B" w14:textId="77777777" w:rsidR="002A7673" w:rsidRPr="002A7673" w:rsidRDefault="002A7673" w:rsidP="002A7673">
            <w:pPr>
              <w:suppressAutoHyphens/>
              <w:rPr>
                <w:rFonts w:ascii="Times New Roman" w:hAnsi="Times New Roman"/>
                <w:lang w:val="es-ES_tradnl" w:eastAsia="ar-SA"/>
              </w:rPr>
            </w:pPr>
          </w:p>
        </w:tc>
        <w:tc>
          <w:tcPr>
            <w:tcW w:w="991" w:type="dxa"/>
            <w:tcBorders>
              <w:top w:val="single" w:sz="3" w:space="0" w:color="000000"/>
              <w:left w:val="single" w:sz="7" w:space="0" w:color="000000"/>
              <w:bottom w:val="nil"/>
              <w:right w:val="single" w:sz="7" w:space="0" w:color="000000"/>
            </w:tcBorders>
            <w:shd w:val="clear" w:color="auto" w:fill="F2F2F2"/>
          </w:tcPr>
          <w:p w14:paraId="625F1A23" w14:textId="77777777" w:rsidR="002A7673" w:rsidRPr="002A7673" w:rsidRDefault="002A7673" w:rsidP="002A7673">
            <w:pPr>
              <w:suppressAutoHyphens/>
              <w:rPr>
                <w:rFonts w:ascii="Times New Roman" w:hAnsi="Times New Roman"/>
                <w:lang w:val="es-ES_tradnl" w:eastAsia="ar-SA"/>
              </w:rPr>
            </w:pPr>
          </w:p>
        </w:tc>
        <w:tc>
          <w:tcPr>
            <w:tcW w:w="1189" w:type="dxa"/>
            <w:tcBorders>
              <w:top w:val="double" w:sz="4" w:space="0" w:color="000000"/>
              <w:left w:val="single" w:sz="7" w:space="0" w:color="000000"/>
              <w:bottom w:val="nil"/>
              <w:right w:val="single" w:sz="7" w:space="0" w:color="000000"/>
            </w:tcBorders>
            <w:shd w:val="clear" w:color="auto" w:fill="F2F2F2"/>
          </w:tcPr>
          <w:p w14:paraId="757A91BE" w14:textId="77777777" w:rsidR="002A7673" w:rsidRPr="002A7673" w:rsidRDefault="002A7673" w:rsidP="002A7673">
            <w:pPr>
              <w:suppressAutoHyphens/>
              <w:rPr>
                <w:rFonts w:ascii="Times New Roman" w:hAnsi="Times New Roman"/>
                <w:lang w:val="es-ES_tradnl" w:eastAsia="ar-SA"/>
              </w:rPr>
            </w:pPr>
          </w:p>
        </w:tc>
        <w:tc>
          <w:tcPr>
            <w:tcW w:w="1140" w:type="dxa"/>
            <w:tcBorders>
              <w:top w:val="double" w:sz="4" w:space="0" w:color="000000"/>
              <w:left w:val="single" w:sz="7" w:space="0" w:color="000000"/>
              <w:bottom w:val="nil"/>
              <w:right w:val="single" w:sz="7" w:space="0" w:color="000000"/>
            </w:tcBorders>
            <w:shd w:val="clear" w:color="auto" w:fill="F2F2F2"/>
          </w:tcPr>
          <w:p w14:paraId="7A362ED7" w14:textId="77777777" w:rsidR="002A7673" w:rsidRPr="002A7673" w:rsidRDefault="002A7673" w:rsidP="002A7673">
            <w:pPr>
              <w:suppressAutoHyphens/>
              <w:rPr>
                <w:rFonts w:ascii="Times New Roman" w:hAnsi="Times New Roman"/>
                <w:lang w:val="es-ES_tradnl" w:eastAsia="ar-SA"/>
              </w:rPr>
            </w:pPr>
          </w:p>
        </w:tc>
        <w:tc>
          <w:tcPr>
            <w:tcW w:w="1082" w:type="dxa"/>
            <w:tcBorders>
              <w:top w:val="double" w:sz="4" w:space="0" w:color="000000"/>
              <w:left w:val="single" w:sz="7" w:space="0" w:color="000000"/>
              <w:bottom w:val="nil"/>
              <w:right w:val="single" w:sz="7" w:space="0" w:color="000000"/>
            </w:tcBorders>
            <w:shd w:val="clear" w:color="auto" w:fill="F2F2F2"/>
            <w:vAlign w:val="bottom"/>
          </w:tcPr>
          <w:p w14:paraId="0BAFE206" w14:textId="77777777" w:rsidR="002A7673" w:rsidRPr="002A7673" w:rsidRDefault="002A7673" w:rsidP="002A7673">
            <w:pPr>
              <w:suppressAutoHyphens/>
              <w:ind w:left="4"/>
              <w:jc w:val="both"/>
              <w:rPr>
                <w:rFonts w:ascii="Times New Roman" w:hAnsi="Times New Roman"/>
                <w:lang w:val="es-ES_tradnl" w:eastAsia="ar-SA"/>
              </w:rPr>
            </w:pPr>
            <w:r w:rsidRPr="002A7673">
              <w:rPr>
                <w:rFonts w:ascii="Times New Roman" w:eastAsia="Arial" w:hAnsi="Times New Roman"/>
                <w:sz w:val="17"/>
                <w:lang w:val="es-ES_tradnl" w:eastAsia="ar-SA"/>
              </w:rPr>
              <w:t>Consultado el proyecto de</w:t>
            </w:r>
          </w:p>
        </w:tc>
        <w:tc>
          <w:tcPr>
            <w:tcW w:w="1142" w:type="dxa"/>
            <w:tcBorders>
              <w:top w:val="single" w:sz="3" w:space="0" w:color="000000"/>
              <w:left w:val="single" w:sz="7" w:space="0" w:color="000000"/>
              <w:bottom w:val="nil"/>
              <w:right w:val="single" w:sz="7" w:space="0" w:color="000000"/>
            </w:tcBorders>
            <w:shd w:val="clear" w:color="auto" w:fill="F2F2F2"/>
          </w:tcPr>
          <w:p w14:paraId="757EB3A7" w14:textId="77777777" w:rsidR="002A7673" w:rsidRPr="002A7673" w:rsidRDefault="002A7673" w:rsidP="002A7673">
            <w:pPr>
              <w:suppressAutoHyphens/>
              <w:rPr>
                <w:rFonts w:ascii="Times New Roman" w:hAnsi="Times New Roman"/>
                <w:lang w:val="es-ES_tradnl" w:eastAsia="ar-SA"/>
              </w:rPr>
            </w:pPr>
          </w:p>
        </w:tc>
      </w:tr>
      <w:tr w:rsidR="002A7673" w:rsidRPr="002A7673" w14:paraId="19FC4E7E" w14:textId="77777777" w:rsidTr="004F270D">
        <w:trPr>
          <w:trHeight w:val="6952"/>
        </w:trPr>
        <w:tc>
          <w:tcPr>
            <w:tcW w:w="987" w:type="dxa"/>
            <w:tcBorders>
              <w:top w:val="nil"/>
              <w:left w:val="single" w:sz="3" w:space="0" w:color="000000"/>
              <w:bottom w:val="single" w:sz="7" w:space="0" w:color="000000"/>
              <w:right w:val="single" w:sz="7" w:space="0" w:color="000000"/>
            </w:tcBorders>
          </w:tcPr>
          <w:p w14:paraId="734AA3ED" w14:textId="77777777" w:rsidR="002A7673" w:rsidRPr="002A7673" w:rsidRDefault="002A7673" w:rsidP="002A7673">
            <w:pPr>
              <w:suppressAutoHyphens/>
              <w:spacing w:line="303" w:lineRule="auto"/>
              <w:jc w:val="both"/>
              <w:rPr>
                <w:rFonts w:ascii="Times New Roman" w:hAnsi="Times New Roman"/>
                <w:lang w:val="es-ES_tradnl" w:eastAsia="ar-SA"/>
              </w:rPr>
            </w:pPr>
            <w:r w:rsidRPr="002A7673">
              <w:rPr>
                <w:rFonts w:ascii="Times New Roman" w:eastAsia="Segoe UI" w:hAnsi="Times New Roman"/>
                <w:sz w:val="17"/>
                <w:lang w:val="es-ES_tradnl" w:eastAsia="ar-SA"/>
              </w:rPr>
              <w:t xml:space="preserve">Enlace entre </w:t>
            </w:r>
            <w:r w:rsidRPr="002A7673">
              <w:rPr>
                <w:rFonts w:ascii="Times New Roman" w:eastAsia="Segoe UI" w:hAnsi="Times New Roman"/>
                <w:b/>
                <w:sz w:val="17"/>
                <w:lang w:val="es-ES_tradnl" w:eastAsia="ar-SA"/>
              </w:rPr>
              <w:t>centros de</w:t>
            </w:r>
          </w:p>
          <w:p w14:paraId="117FBDA0" w14:textId="77777777" w:rsidR="002A7673" w:rsidRPr="002A7673" w:rsidRDefault="002A7673" w:rsidP="002A7673">
            <w:pPr>
              <w:suppressAutoHyphens/>
              <w:spacing w:after="5" w:line="298" w:lineRule="auto"/>
              <w:rPr>
                <w:rFonts w:ascii="Times New Roman" w:hAnsi="Times New Roman"/>
                <w:lang w:val="es-ES_tradnl" w:eastAsia="ar-SA"/>
              </w:rPr>
            </w:pPr>
            <w:r w:rsidRPr="002A7673">
              <w:rPr>
                <w:rFonts w:ascii="Times New Roman" w:eastAsia="Segoe UI" w:hAnsi="Times New Roman"/>
                <w:b/>
                <w:sz w:val="17"/>
                <w:lang w:val="es-ES_tradnl" w:eastAsia="ar-SA"/>
              </w:rPr>
              <w:t xml:space="preserve">datos </w:t>
            </w:r>
            <w:r w:rsidRPr="002A7673">
              <w:rPr>
                <w:rFonts w:ascii="Times New Roman" w:eastAsia="Segoe UI" w:hAnsi="Times New Roman"/>
                <w:sz w:val="17"/>
                <w:lang w:val="es-ES_tradnl" w:eastAsia="ar-SA"/>
              </w:rPr>
              <w:t>activos para activar</w:t>
            </w:r>
            <w:r w:rsidRPr="002A7673">
              <w:rPr>
                <w:rFonts w:ascii="Times New Roman" w:eastAsia="Segoe UI" w:hAnsi="Times New Roman"/>
                <w:sz w:val="17"/>
                <w:lang w:val="es-ES_tradnl" w:eastAsia="ar-SA"/>
              </w:rPr>
              <w:tab/>
              <w:t xml:space="preserve">el esquema </w:t>
            </w:r>
          </w:p>
          <w:p w14:paraId="6C9A66C8" w14:textId="77777777" w:rsidR="002A7673" w:rsidRPr="002A7673" w:rsidRDefault="002A7673" w:rsidP="002A7673">
            <w:pPr>
              <w:suppressAutoHyphens/>
              <w:spacing w:line="291" w:lineRule="auto"/>
              <w:ind w:right="25"/>
              <w:jc w:val="both"/>
              <w:rPr>
                <w:rFonts w:ascii="Times New Roman" w:hAnsi="Times New Roman"/>
                <w:lang w:val="es-ES_tradnl" w:eastAsia="ar-SA"/>
              </w:rPr>
            </w:pPr>
            <w:r w:rsidRPr="002A7673">
              <w:rPr>
                <w:rFonts w:ascii="Times New Roman" w:eastAsia="Segoe UI" w:hAnsi="Times New Roman"/>
                <w:sz w:val="17"/>
                <w:lang w:val="es-ES_tradnl" w:eastAsia="ar-SA"/>
              </w:rPr>
              <w:t xml:space="preserve">activo </w:t>
            </w:r>
            <w:proofErr w:type="spellStart"/>
            <w:r w:rsidRPr="002A7673">
              <w:rPr>
                <w:rFonts w:ascii="Times New Roman" w:eastAsia="Segoe UI" w:hAnsi="Times New Roman"/>
                <w:sz w:val="17"/>
                <w:lang w:val="es-ES_tradnl" w:eastAsia="ar-SA"/>
              </w:rPr>
              <w:t>activo</w:t>
            </w:r>
            <w:proofErr w:type="spellEnd"/>
            <w:r w:rsidRPr="002A7673">
              <w:rPr>
                <w:rFonts w:ascii="Times New Roman" w:eastAsia="Segoe UI" w:hAnsi="Times New Roman"/>
                <w:sz w:val="17"/>
                <w:lang w:val="es-ES_tradnl" w:eastAsia="ar-SA"/>
              </w:rPr>
              <w:t xml:space="preserve"> y servicios distribuidos entre </w:t>
            </w:r>
          </w:p>
          <w:p w14:paraId="7A6607AE" w14:textId="77777777" w:rsidR="002A7673" w:rsidRPr="002A7673" w:rsidRDefault="002A7673" w:rsidP="002A7673">
            <w:pPr>
              <w:suppressAutoHyphens/>
              <w:spacing w:after="9" w:line="294" w:lineRule="auto"/>
              <w:ind w:right="21"/>
              <w:jc w:val="both"/>
              <w:rPr>
                <w:rFonts w:ascii="Times New Roman" w:hAnsi="Times New Roman"/>
                <w:lang w:val="es-ES_tradnl" w:eastAsia="ar-SA"/>
              </w:rPr>
            </w:pPr>
            <w:r w:rsidRPr="002A7673">
              <w:rPr>
                <w:rFonts w:ascii="Times New Roman" w:eastAsia="Segoe UI" w:hAnsi="Times New Roman"/>
                <w:sz w:val="17"/>
                <w:lang w:val="es-ES_tradnl" w:eastAsia="ar-SA"/>
              </w:rPr>
              <w:t xml:space="preserve">ambos. Se requiere una conectividad de 10Gbps conforme al </w:t>
            </w:r>
            <w:proofErr w:type="spellStart"/>
            <w:r w:rsidRPr="002A7673">
              <w:rPr>
                <w:rFonts w:ascii="Times New Roman" w:eastAsia="Segoe UI" w:hAnsi="Times New Roman"/>
                <w:sz w:val="17"/>
                <w:lang w:val="es-ES_tradnl" w:eastAsia="ar-SA"/>
              </w:rPr>
              <w:t>requerimient</w:t>
            </w:r>
            <w:proofErr w:type="spellEnd"/>
            <w:r w:rsidRPr="002A7673">
              <w:rPr>
                <w:rFonts w:ascii="Times New Roman" w:eastAsia="Segoe UI" w:hAnsi="Times New Roman"/>
                <w:sz w:val="17"/>
                <w:lang w:val="es-ES_tradnl" w:eastAsia="ar-SA"/>
              </w:rPr>
              <w:t xml:space="preserve"> o establecido </w:t>
            </w:r>
          </w:p>
          <w:p w14:paraId="37419652" w14:textId="77777777" w:rsidR="002A7673" w:rsidRPr="002A7673" w:rsidRDefault="002A7673" w:rsidP="002A7673">
            <w:pPr>
              <w:suppressAutoHyphens/>
              <w:ind w:right="21"/>
              <w:jc w:val="both"/>
              <w:rPr>
                <w:rFonts w:ascii="Times New Roman" w:hAnsi="Times New Roman"/>
                <w:lang w:val="es-ES_tradnl" w:eastAsia="ar-SA"/>
              </w:rPr>
            </w:pPr>
            <w:r w:rsidRPr="002A7673">
              <w:rPr>
                <w:rFonts w:ascii="Times New Roman" w:eastAsia="Segoe UI" w:hAnsi="Times New Roman"/>
                <w:sz w:val="17"/>
                <w:lang w:val="es-ES_tradnl" w:eastAsia="ar-SA"/>
              </w:rPr>
              <w:t>por</w:t>
            </w:r>
            <w:r w:rsidRPr="002A7673">
              <w:rPr>
                <w:rFonts w:ascii="Times New Roman" w:eastAsia="Segoe UI" w:hAnsi="Times New Roman"/>
                <w:sz w:val="17"/>
                <w:lang w:val="es-ES_tradnl" w:eastAsia="ar-SA"/>
              </w:rPr>
              <w:tab/>
              <w:t xml:space="preserve">la </w:t>
            </w:r>
            <w:proofErr w:type="spellStart"/>
            <w:r w:rsidRPr="002A7673">
              <w:rPr>
                <w:rFonts w:ascii="Times New Roman" w:eastAsia="Segoe UI" w:hAnsi="Times New Roman"/>
                <w:sz w:val="17"/>
                <w:lang w:val="es-ES_tradnl" w:eastAsia="ar-SA"/>
              </w:rPr>
              <w:t>infraestructu</w:t>
            </w:r>
            <w:proofErr w:type="spellEnd"/>
            <w:r w:rsidRPr="002A7673">
              <w:rPr>
                <w:rFonts w:ascii="Times New Roman" w:eastAsia="Segoe UI" w:hAnsi="Times New Roman"/>
                <w:sz w:val="17"/>
                <w:lang w:val="es-ES_tradnl" w:eastAsia="ar-SA"/>
              </w:rPr>
              <w:t xml:space="preserve"> </w:t>
            </w:r>
            <w:proofErr w:type="spellStart"/>
            <w:r w:rsidRPr="002A7673">
              <w:rPr>
                <w:rFonts w:ascii="Times New Roman" w:eastAsia="Segoe UI" w:hAnsi="Times New Roman"/>
                <w:sz w:val="17"/>
                <w:lang w:val="es-ES_tradnl" w:eastAsia="ar-SA"/>
              </w:rPr>
              <w:t>ra</w:t>
            </w:r>
            <w:proofErr w:type="spellEnd"/>
            <w:r w:rsidRPr="002A7673">
              <w:rPr>
                <w:rFonts w:ascii="Times New Roman" w:eastAsia="Segoe UI" w:hAnsi="Times New Roman"/>
                <w:sz w:val="17"/>
                <w:lang w:val="es-ES_tradnl" w:eastAsia="ar-SA"/>
              </w:rPr>
              <w:tab/>
              <w:t>de servidores.</w:t>
            </w:r>
          </w:p>
        </w:tc>
        <w:tc>
          <w:tcPr>
            <w:tcW w:w="991" w:type="dxa"/>
            <w:tcBorders>
              <w:top w:val="nil"/>
              <w:left w:val="single" w:sz="7" w:space="0" w:color="000000"/>
              <w:bottom w:val="single" w:sz="7" w:space="0" w:color="000000"/>
              <w:right w:val="single" w:sz="7" w:space="0" w:color="000000"/>
            </w:tcBorders>
          </w:tcPr>
          <w:p w14:paraId="6A30A838" w14:textId="77777777" w:rsidR="002A7673" w:rsidRPr="002A7673" w:rsidRDefault="002A7673" w:rsidP="002A7673">
            <w:pPr>
              <w:suppressAutoHyphens/>
              <w:ind w:right="31"/>
              <w:jc w:val="center"/>
              <w:rPr>
                <w:rFonts w:ascii="Times New Roman" w:hAnsi="Times New Roman"/>
                <w:lang w:val="es-ES_tradnl" w:eastAsia="ar-SA"/>
              </w:rPr>
            </w:pPr>
            <w:r w:rsidRPr="002A7673">
              <w:rPr>
                <w:rFonts w:ascii="Times New Roman" w:eastAsia="Segoe UI" w:hAnsi="Times New Roman"/>
                <w:sz w:val="17"/>
                <w:lang w:val="es-ES_tradnl" w:eastAsia="ar-SA"/>
              </w:rPr>
              <w:t>12</w:t>
            </w:r>
          </w:p>
        </w:tc>
        <w:tc>
          <w:tcPr>
            <w:tcW w:w="991" w:type="dxa"/>
            <w:tcBorders>
              <w:top w:val="nil"/>
              <w:left w:val="single" w:sz="7" w:space="0" w:color="000000"/>
              <w:bottom w:val="single" w:sz="7" w:space="0" w:color="000000"/>
              <w:right w:val="single" w:sz="7" w:space="0" w:color="000000"/>
            </w:tcBorders>
          </w:tcPr>
          <w:p w14:paraId="67B263C7" w14:textId="77777777" w:rsidR="002A7673" w:rsidRPr="002A7673" w:rsidRDefault="002A7673" w:rsidP="002A7673">
            <w:pPr>
              <w:suppressAutoHyphens/>
              <w:ind w:left="21"/>
              <w:jc w:val="both"/>
              <w:rPr>
                <w:rFonts w:ascii="Times New Roman" w:hAnsi="Times New Roman"/>
                <w:lang w:val="es-ES_tradnl" w:eastAsia="ar-SA"/>
              </w:rPr>
            </w:pPr>
            <w:r w:rsidRPr="002A7673">
              <w:rPr>
                <w:rFonts w:ascii="Times New Roman" w:eastAsia="Segoe UI" w:hAnsi="Times New Roman"/>
                <w:sz w:val="17"/>
                <w:lang w:val="es-ES_tradnl" w:eastAsia="ar-SA"/>
              </w:rPr>
              <w:t>₡10 000 000</w:t>
            </w:r>
          </w:p>
        </w:tc>
        <w:tc>
          <w:tcPr>
            <w:tcW w:w="1181" w:type="dxa"/>
            <w:tcBorders>
              <w:top w:val="nil"/>
              <w:left w:val="single" w:sz="7" w:space="0" w:color="000000"/>
              <w:bottom w:val="single" w:sz="7" w:space="0" w:color="000000"/>
              <w:right w:val="single" w:sz="7" w:space="0" w:color="000000"/>
            </w:tcBorders>
          </w:tcPr>
          <w:p w14:paraId="41AAB7AA" w14:textId="77777777" w:rsidR="002A7673" w:rsidRPr="002A7673" w:rsidRDefault="002A7673" w:rsidP="002A7673">
            <w:pPr>
              <w:suppressAutoHyphens/>
              <w:ind w:left="95"/>
              <w:rPr>
                <w:rFonts w:ascii="Times New Roman" w:hAnsi="Times New Roman"/>
                <w:lang w:val="es-ES_tradnl" w:eastAsia="ar-SA"/>
              </w:rPr>
            </w:pPr>
            <w:r w:rsidRPr="002A7673">
              <w:rPr>
                <w:rFonts w:ascii="Times New Roman" w:eastAsia="Arial" w:hAnsi="Times New Roman"/>
                <w:sz w:val="17"/>
                <w:lang w:val="es-ES_tradnl" w:eastAsia="ar-SA"/>
              </w:rPr>
              <w:t>₡120 000 000</w:t>
            </w:r>
          </w:p>
        </w:tc>
        <w:tc>
          <w:tcPr>
            <w:tcW w:w="991" w:type="dxa"/>
            <w:tcBorders>
              <w:top w:val="nil"/>
              <w:left w:val="single" w:sz="7" w:space="0" w:color="000000"/>
              <w:bottom w:val="single" w:sz="7" w:space="0" w:color="000000"/>
              <w:right w:val="single" w:sz="7" w:space="0" w:color="000000"/>
            </w:tcBorders>
            <w:shd w:val="clear" w:color="auto" w:fill="F2F2F2"/>
          </w:tcPr>
          <w:p w14:paraId="4D54BD96" w14:textId="77777777" w:rsidR="002A7673" w:rsidRPr="002A7673" w:rsidRDefault="002A7673" w:rsidP="002A7673">
            <w:pPr>
              <w:suppressAutoHyphens/>
              <w:ind w:right="20"/>
              <w:jc w:val="center"/>
              <w:rPr>
                <w:rFonts w:ascii="Times New Roman" w:hAnsi="Times New Roman"/>
                <w:lang w:val="es-ES_tradnl" w:eastAsia="ar-SA"/>
              </w:rPr>
            </w:pPr>
            <w:r w:rsidRPr="002A7673">
              <w:rPr>
                <w:rFonts w:ascii="Times New Roman" w:eastAsia="Arial" w:hAnsi="Times New Roman"/>
                <w:sz w:val="17"/>
                <w:lang w:val="es-ES_tradnl" w:eastAsia="ar-SA"/>
              </w:rPr>
              <w:t>8</w:t>
            </w:r>
          </w:p>
        </w:tc>
        <w:tc>
          <w:tcPr>
            <w:tcW w:w="1189" w:type="dxa"/>
            <w:tcBorders>
              <w:top w:val="nil"/>
              <w:left w:val="single" w:sz="7" w:space="0" w:color="000000"/>
              <w:bottom w:val="single" w:sz="7" w:space="0" w:color="000000"/>
              <w:right w:val="single" w:sz="7" w:space="0" w:color="000000"/>
            </w:tcBorders>
            <w:shd w:val="clear" w:color="auto" w:fill="F2F2F2"/>
          </w:tcPr>
          <w:p w14:paraId="46FA129C" w14:textId="77777777" w:rsidR="002A7673" w:rsidRPr="002A7673" w:rsidRDefault="002A7673" w:rsidP="002A7673">
            <w:pPr>
              <w:suppressAutoHyphens/>
              <w:ind w:left="120"/>
              <w:rPr>
                <w:rFonts w:ascii="Times New Roman" w:hAnsi="Times New Roman"/>
                <w:lang w:val="es-ES_tradnl" w:eastAsia="ar-SA"/>
              </w:rPr>
            </w:pPr>
            <w:r w:rsidRPr="002A7673">
              <w:rPr>
                <w:rFonts w:ascii="Times New Roman" w:eastAsia="Segoe UI" w:hAnsi="Times New Roman"/>
                <w:sz w:val="17"/>
                <w:lang w:val="es-ES_tradnl" w:eastAsia="ar-SA"/>
              </w:rPr>
              <w:t>₡10 000 000</w:t>
            </w:r>
          </w:p>
        </w:tc>
        <w:tc>
          <w:tcPr>
            <w:tcW w:w="1140" w:type="dxa"/>
            <w:tcBorders>
              <w:top w:val="nil"/>
              <w:left w:val="single" w:sz="7" w:space="0" w:color="000000"/>
              <w:bottom w:val="single" w:sz="7" w:space="0" w:color="000000"/>
              <w:right w:val="single" w:sz="7" w:space="0" w:color="000000"/>
            </w:tcBorders>
            <w:shd w:val="clear" w:color="auto" w:fill="F2F2F2"/>
          </w:tcPr>
          <w:p w14:paraId="02A8D2D4" w14:textId="77777777" w:rsidR="002A7673" w:rsidRPr="002A7673" w:rsidRDefault="002A7673" w:rsidP="002A7673">
            <w:pPr>
              <w:suppressAutoHyphens/>
              <w:ind w:left="95"/>
              <w:rPr>
                <w:rFonts w:ascii="Times New Roman" w:hAnsi="Times New Roman"/>
                <w:lang w:val="es-ES_tradnl" w:eastAsia="ar-SA"/>
              </w:rPr>
            </w:pPr>
            <w:r w:rsidRPr="002A7673">
              <w:rPr>
                <w:rFonts w:ascii="Times New Roman" w:eastAsia="Segoe UI" w:hAnsi="Times New Roman"/>
                <w:sz w:val="17"/>
                <w:lang w:val="es-ES_tradnl" w:eastAsia="ar-SA"/>
              </w:rPr>
              <w:t>₡80 000 000</w:t>
            </w:r>
          </w:p>
        </w:tc>
        <w:tc>
          <w:tcPr>
            <w:tcW w:w="1082" w:type="dxa"/>
            <w:tcBorders>
              <w:top w:val="nil"/>
              <w:left w:val="single" w:sz="7" w:space="0" w:color="000000"/>
              <w:bottom w:val="single" w:sz="7" w:space="0" w:color="000000"/>
              <w:right w:val="single" w:sz="7" w:space="0" w:color="000000"/>
            </w:tcBorders>
            <w:shd w:val="clear" w:color="auto" w:fill="F2F2F2"/>
          </w:tcPr>
          <w:p w14:paraId="21ACAE90" w14:textId="77777777" w:rsidR="002A7673" w:rsidRPr="002A7673" w:rsidRDefault="002A7673" w:rsidP="002A7673">
            <w:pPr>
              <w:suppressAutoHyphens/>
              <w:spacing w:line="268" w:lineRule="auto"/>
              <w:ind w:left="4" w:right="16"/>
              <w:jc w:val="both"/>
              <w:rPr>
                <w:rFonts w:ascii="Times New Roman" w:hAnsi="Times New Roman"/>
                <w:lang w:val="es-ES_tradnl" w:eastAsia="ar-SA"/>
              </w:rPr>
            </w:pPr>
            <w:r w:rsidRPr="002A7673">
              <w:rPr>
                <w:rFonts w:ascii="Times New Roman" w:eastAsia="Arial" w:hAnsi="Times New Roman"/>
                <w:sz w:val="17"/>
                <w:lang w:val="es-ES_tradnl" w:eastAsia="ar-SA"/>
              </w:rPr>
              <w:t>la activación del Data Center en</w:t>
            </w:r>
          </w:p>
          <w:p w14:paraId="78B18FD8" w14:textId="77777777" w:rsidR="002A7673" w:rsidRPr="002A7673" w:rsidRDefault="002A7673" w:rsidP="002A7673">
            <w:pPr>
              <w:suppressAutoHyphens/>
              <w:spacing w:after="2"/>
              <w:ind w:left="4"/>
              <w:rPr>
                <w:rFonts w:ascii="Times New Roman" w:hAnsi="Times New Roman"/>
                <w:lang w:val="es-ES_tradnl" w:eastAsia="ar-SA"/>
              </w:rPr>
            </w:pPr>
            <w:r w:rsidRPr="002A7673">
              <w:rPr>
                <w:rFonts w:ascii="Times New Roman" w:eastAsia="Arial" w:hAnsi="Times New Roman"/>
                <w:sz w:val="17"/>
                <w:lang w:val="es-ES_tradnl" w:eastAsia="ar-SA"/>
              </w:rPr>
              <w:t xml:space="preserve">esquema </w:t>
            </w:r>
          </w:p>
          <w:p w14:paraId="4EE857E4" w14:textId="77777777" w:rsidR="002A7673" w:rsidRPr="002A7673" w:rsidRDefault="002A7673" w:rsidP="002A7673">
            <w:pPr>
              <w:suppressAutoHyphens/>
              <w:spacing w:line="265" w:lineRule="auto"/>
              <w:ind w:left="4" w:right="16"/>
              <w:jc w:val="both"/>
              <w:rPr>
                <w:rFonts w:ascii="Times New Roman" w:hAnsi="Times New Roman"/>
                <w:lang w:val="es-ES_tradnl" w:eastAsia="ar-SA"/>
              </w:rPr>
            </w:pPr>
            <w:r w:rsidRPr="002A7673">
              <w:rPr>
                <w:rFonts w:ascii="Times New Roman" w:eastAsia="Arial" w:hAnsi="Times New Roman"/>
                <w:sz w:val="17"/>
                <w:lang w:val="es-ES_tradnl" w:eastAsia="ar-SA"/>
              </w:rPr>
              <w:t>Activo-Activo, está</w:t>
            </w:r>
            <w:r w:rsidRPr="002A7673">
              <w:rPr>
                <w:rFonts w:ascii="Times New Roman" w:eastAsia="Arial" w:hAnsi="Times New Roman"/>
                <w:sz w:val="17"/>
                <w:lang w:val="es-ES_tradnl" w:eastAsia="ar-SA"/>
              </w:rPr>
              <w:tab/>
              <w:t xml:space="preserve">en estudio de mercado.  Esta </w:t>
            </w:r>
          </w:p>
          <w:p w14:paraId="42809A92" w14:textId="77777777" w:rsidR="002A7673" w:rsidRPr="002A7673" w:rsidRDefault="002A7673" w:rsidP="002A7673">
            <w:pPr>
              <w:suppressAutoHyphens/>
              <w:spacing w:after="2"/>
              <w:ind w:left="4"/>
              <w:rPr>
                <w:rFonts w:ascii="Times New Roman" w:hAnsi="Times New Roman"/>
                <w:lang w:val="es-ES_tradnl" w:eastAsia="ar-SA"/>
              </w:rPr>
            </w:pPr>
            <w:r w:rsidRPr="002A7673">
              <w:rPr>
                <w:rFonts w:ascii="Times New Roman" w:eastAsia="Arial" w:hAnsi="Times New Roman"/>
                <w:sz w:val="17"/>
                <w:lang w:val="es-ES_tradnl" w:eastAsia="ar-SA"/>
              </w:rPr>
              <w:t xml:space="preserve">necesidad </w:t>
            </w:r>
          </w:p>
          <w:p w14:paraId="5AB6BD96" w14:textId="77777777" w:rsidR="002A7673" w:rsidRPr="002A7673" w:rsidRDefault="002A7673" w:rsidP="002A7673">
            <w:pPr>
              <w:suppressAutoHyphens/>
              <w:spacing w:line="268" w:lineRule="auto"/>
              <w:ind w:left="4" w:right="24"/>
              <w:jc w:val="both"/>
              <w:rPr>
                <w:rFonts w:ascii="Times New Roman" w:hAnsi="Times New Roman"/>
                <w:lang w:val="es-ES_tradnl" w:eastAsia="ar-SA"/>
              </w:rPr>
            </w:pPr>
            <w:r w:rsidRPr="002A7673">
              <w:rPr>
                <w:rFonts w:ascii="Times New Roman" w:eastAsia="Arial" w:hAnsi="Times New Roman"/>
                <w:sz w:val="17"/>
                <w:lang w:val="es-ES_tradnl" w:eastAsia="ar-SA"/>
              </w:rPr>
              <w:t>obedece a tener una solución a la</w:t>
            </w:r>
          </w:p>
          <w:p w14:paraId="2F940892" w14:textId="77777777" w:rsidR="002A7673" w:rsidRPr="002A7673" w:rsidRDefault="002A7673" w:rsidP="002A7673">
            <w:pPr>
              <w:suppressAutoHyphens/>
              <w:spacing w:after="2"/>
              <w:ind w:left="4"/>
              <w:rPr>
                <w:rFonts w:ascii="Times New Roman" w:hAnsi="Times New Roman"/>
                <w:lang w:val="es-ES_tradnl" w:eastAsia="ar-SA"/>
              </w:rPr>
            </w:pPr>
            <w:r w:rsidRPr="002A7673">
              <w:rPr>
                <w:rFonts w:ascii="Times New Roman" w:eastAsia="Arial" w:hAnsi="Times New Roman"/>
                <w:sz w:val="17"/>
                <w:lang w:val="es-ES_tradnl" w:eastAsia="ar-SA"/>
              </w:rPr>
              <w:t xml:space="preserve">continuidad </w:t>
            </w:r>
          </w:p>
          <w:p w14:paraId="5D19A427" w14:textId="77777777" w:rsidR="002A7673" w:rsidRPr="002A7673" w:rsidRDefault="002A7673" w:rsidP="002A7673">
            <w:pPr>
              <w:tabs>
                <w:tab w:val="right" w:pos="1053"/>
              </w:tabs>
              <w:suppressAutoHyphens/>
              <w:spacing w:after="7"/>
              <w:rPr>
                <w:rFonts w:ascii="Times New Roman" w:hAnsi="Times New Roman"/>
                <w:lang w:val="es-ES_tradnl" w:eastAsia="ar-SA"/>
              </w:rPr>
            </w:pPr>
            <w:r w:rsidRPr="002A7673">
              <w:rPr>
                <w:rFonts w:ascii="Times New Roman" w:eastAsia="Arial" w:hAnsi="Times New Roman"/>
                <w:sz w:val="17"/>
                <w:lang w:val="es-ES_tradnl" w:eastAsia="ar-SA"/>
              </w:rPr>
              <w:t>en</w:t>
            </w:r>
            <w:r w:rsidRPr="002A7673">
              <w:rPr>
                <w:rFonts w:ascii="Times New Roman" w:eastAsia="Arial" w:hAnsi="Times New Roman"/>
                <w:sz w:val="17"/>
                <w:lang w:val="es-ES_tradnl" w:eastAsia="ar-SA"/>
              </w:rPr>
              <w:tab/>
              <w:t>los</w:t>
            </w:r>
          </w:p>
          <w:p w14:paraId="3BBB4136" w14:textId="77777777" w:rsidR="002A7673" w:rsidRPr="002A7673" w:rsidRDefault="002A7673" w:rsidP="002A7673">
            <w:pPr>
              <w:suppressAutoHyphens/>
              <w:spacing w:after="553" w:line="261" w:lineRule="auto"/>
              <w:ind w:left="4"/>
              <w:rPr>
                <w:rFonts w:ascii="Times New Roman" w:hAnsi="Times New Roman"/>
                <w:lang w:val="es-ES_tradnl" w:eastAsia="ar-SA"/>
              </w:rPr>
            </w:pPr>
            <w:r w:rsidRPr="002A7673">
              <w:rPr>
                <w:rFonts w:ascii="Times New Roman" w:eastAsia="Arial" w:hAnsi="Times New Roman"/>
                <w:sz w:val="17"/>
                <w:lang w:val="es-ES_tradnl" w:eastAsia="ar-SA"/>
              </w:rPr>
              <w:t>servicios tecnológicos centralizados.</w:t>
            </w:r>
          </w:p>
          <w:p w14:paraId="19C194AE" w14:textId="77777777" w:rsidR="002A7673" w:rsidRPr="002A7673" w:rsidRDefault="002A7673" w:rsidP="002A7673">
            <w:pPr>
              <w:suppressAutoHyphens/>
              <w:spacing w:line="268" w:lineRule="auto"/>
              <w:ind w:left="4" w:right="24"/>
              <w:jc w:val="both"/>
              <w:rPr>
                <w:rFonts w:ascii="Times New Roman" w:hAnsi="Times New Roman"/>
                <w:lang w:val="es-ES_tradnl" w:eastAsia="ar-SA"/>
              </w:rPr>
            </w:pPr>
            <w:r w:rsidRPr="002A7673">
              <w:rPr>
                <w:rFonts w:ascii="Times New Roman" w:eastAsia="Arial" w:hAnsi="Times New Roman"/>
                <w:sz w:val="17"/>
                <w:lang w:val="es-ES_tradnl" w:eastAsia="ar-SA"/>
              </w:rPr>
              <w:t>En este sentido se rebaja 4 meses de lo</w:t>
            </w:r>
          </w:p>
          <w:p w14:paraId="32718571" w14:textId="77777777" w:rsidR="002A7673" w:rsidRPr="002A7673" w:rsidRDefault="002A7673" w:rsidP="002A7673">
            <w:pPr>
              <w:suppressAutoHyphens/>
              <w:spacing w:after="1"/>
              <w:ind w:left="4"/>
              <w:rPr>
                <w:rFonts w:ascii="Times New Roman" w:hAnsi="Times New Roman"/>
                <w:lang w:val="es-ES_tradnl" w:eastAsia="ar-SA"/>
              </w:rPr>
            </w:pPr>
            <w:r w:rsidRPr="002A7673">
              <w:rPr>
                <w:rFonts w:ascii="Times New Roman" w:eastAsia="Arial" w:hAnsi="Times New Roman"/>
                <w:sz w:val="17"/>
                <w:lang w:val="es-ES_tradnl" w:eastAsia="ar-SA"/>
              </w:rPr>
              <w:t xml:space="preserve">estimado </w:t>
            </w:r>
          </w:p>
          <w:p w14:paraId="48191CA9" w14:textId="77777777" w:rsidR="002A7673" w:rsidRPr="002A7673" w:rsidRDefault="002A7673" w:rsidP="002A7673">
            <w:pPr>
              <w:tabs>
                <w:tab w:val="center" w:pos="547"/>
                <w:tab w:val="right" w:pos="1053"/>
              </w:tabs>
              <w:suppressAutoHyphens/>
              <w:spacing w:after="7"/>
              <w:rPr>
                <w:rFonts w:ascii="Times New Roman" w:hAnsi="Times New Roman"/>
                <w:lang w:val="es-ES_tradnl" w:eastAsia="ar-SA"/>
              </w:rPr>
            </w:pPr>
            <w:r w:rsidRPr="002A7673">
              <w:rPr>
                <w:rFonts w:ascii="Times New Roman" w:eastAsia="Arial" w:hAnsi="Times New Roman"/>
                <w:sz w:val="17"/>
                <w:lang w:val="es-ES_tradnl" w:eastAsia="ar-SA"/>
              </w:rPr>
              <w:t>para</w:t>
            </w:r>
            <w:r w:rsidRPr="002A7673">
              <w:rPr>
                <w:rFonts w:ascii="Times New Roman" w:eastAsia="Arial" w:hAnsi="Times New Roman"/>
                <w:sz w:val="17"/>
                <w:lang w:val="es-ES_tradnl" w:eastAsia="ar-SA"/>
              </w:rPr>
              <w:tab/>
              <w:t>el</w:t>
            </w:r>
            <w:r w:rsidRPr="002A7673">
              <w:rPr>
                <w:rFonts w:ascii="Times New Roman" w:eastAsia="Arial" w:hAnsi="Times New Roman"/>
                <w:sz w:val="17"/>
                <w:lang w:val="es-ES_tradnl" w:eastAsia="ar-SA"/>
              </w:rPr>
              <w:tab/>
              <w:t>año</w:t>
            </w:r>
          </w:p>
          <w:p w14:paraId="066D6CB8" w14:textId="77777777" w:rsidR="002A7673" w:rsidRPr="002A7673" w:rsidRDefault="002A7673" w:rsidP="002A7673">
            <w:pPr>
              <w:suppressAutoHyphens/>
              <w:spacing w:line="261" w:lineRule="auto"/>
              <w:ind w:left="4"/>
              <w:rPr>
                <w:rFonts w:ascii="Times New Roman" w:hAnsi="Times New Roman"/>
                <w:lang w:val="es-ES_tradnl" w:eastAsia="ar-SA"/>
              </w:rPr>
            </w:pPr>
            <w:proofErr w:type="gramStart"/>
            <w:r w:rsidRPr="002A7673">
              <w:rPr>
                <w:rFonts w:ascii="Times New Roman" w:eastAsia="Arial" w:hAnsi="Times New Roman"/>
                <w:sz w:val="17"/>
                <w:lang w:val="es-ES_tradnl" w:eastAsia="ar-SA"/>
              </w:rPr>
              <w:t>2022,  proyectando</w:t>
            </w:r>
            <w:proofErr w:type="gramEnd"/>
            <w:r w:rsidRPr="002A7673">
              <w:rPr>
                <w:rFonts w:ascii="Times New Roman" w:eastAsia="Arial" w:hAnsi="Times New Roman"/>
                <w:sz w:val="17"/>
                <w:lang w:val="es-ES_tradnl" w:eastAsia="ar-SA"/>
              </w:rPr>
              <w:t xml:space="preserve"> su </w:t>
            </w:r>
            <w:proofErr w:type="spellStart"/>
            <w:r w:rsidRPr="002A7673">
              <w:rPr>
                <w:rFonts w:ascii="Times New Roman" w:eastAsia="Arial" w:hAnsi="Times New Roman"/>
                <w:sz w:val="17"/>
                <w:lang w:val="es-ES_tradnl" w:eastAsia="ar-SA"/>
              </w:rPr>
              <w:t>implementaci</w:t>
            </w:r>
            <w:proofErr w:type="spellEnd"/>
          </w:p>
          <w:p w14:paraId="2EF082D8" w14:textId="77777777" w:rsidR="002A7673" w:rsidRPr="002A7673" w:rsidRDefault="002A7673" w:rsidP="002A7673">
            <w:pPr>
              <w:suppressAutoHyphens/>
              <w:ind w:left="4"/>
              <w:rPr>
                <w:rFonts w:ascii="Times New Roman" w:hAnsi="Times New Roman"/>
                <w:lang w:val="es-ES_tradnl" w:eastAsia="ar-SA"/>
              </w:rPr>
            </w:pPr>
            <w:proofErr w:type="spellStart"/>
            <w:r w:rsidRPr="002A7673">
              <w:rPr>
                <w:rFonts w:ascii="Times New Roman" w:eastAsia="Arial" w:hAnsi="Times New Roman"/>
                <w:sz w:val="17"/>
                <w:lang w:val="es-ES_tradnl" w:eastAsia="ar-SA"/>
              </w:rPr>
              <w:t>ón</w:t>
            </w:r>
            <w:proofErr w:type="spellEnd"/>
            <w:r w:rsidRPr="002A7673">
              <w:rPr>
                <w:rFonts w:ascii="Times New Roman" w:eastAsia="Arial" w:hAnsi="Times New Roman"/>
                <w:sz w:val="17"/>
                <w:lang w:val="es-ES_tradnl" w:eastAsia="ar-SA"/>
              </w:rPr>
              <w:t xml:space="preserve"> a partir del mes</w:t>
            </w:r>
            <w:r w:rsidRPr="002A7673">
              <w:rPr>
                <w:rFonts w:ascii="Times New Roman" w:eastAsia="Arial" w:hAnsi="Times New Roman"/>
                <w:sz w:val="17"/>
                <w:lang w:val="es-ES_tradnl" w:eastAsia="ar-SA"/>
              </w:rPr>
              <w:tab/>
              <w:t>de mayo.</w:t>
            </w:r>
          </w:p>
        </w:tc>
        <w:tc>
          <w:tcPr>
            <w:tcW w:w="1142" w:type="dxa"/>
            <w:tcBorders>
              <w:top w:val="nil"/>
              <w:left w:val="single" w:sz="7" w:space="0" w:color="000000"/>
              <w:bottom w:val="single" w:sz="7" w:space="0" w:color="000000"/>
              <w:right w:val="single" w:sz="7" w:space="0" w:color="000000"/>
            </w:tcBorders>
            <w:shd w:val="clear" w:color="auto" w:fill="F2F2F2"/>
          </w:tcPr>
          <w:p w14:paraId="5BD8748E" w14:textId="77777777" w:rsidR="002A7673" w:rsidRPr="002A7673" w:rsidRDefault="002A7673" w:rsidP="002A7673">
            <w:pPr>
              <w:suppressAutoHyphens/>
              <w:ind w:left="70"/>
              <w:rPr>
                <w:rFonts w:ascii="Times New Roman" w:hAnsi="Times New Roman"/>
                <w:lang w:val="es-ES_tradnl" w:eastAsia="ar-SA"/>
              </w:rPr>
            </w:pPr>
            <w:r w:rsidRPr="002A7673">
              <w:rPr>
                <w:rFonts w:ascii="Times New Roman" w:eastAsia="Arial" w:hAnsi="Times New Roman"/>
                <w:sz w:val="17"/>
                <w:lang w:val="es-ES_tradnl" w:eastAsia="ar-SA"/>
              </w:rPr>
              <w:t>₡40 000 000</w:t>
            </w:r>
          </w:p>
        </w:tc>
      </w:tr>
    </w:tbl>
    <w:p w14:paraId="7F5C089E" w14:textId="77777777" w:rsidR="002A7673" w:rsidRPr="002A7673" w:rsidRDefault="002A7673" w:rsidP="002A7673">
      <w:pPr>
        <w:suppressAutoHyphens/>
        <w:spacing w:after="0" w:line="240" w:lineRule="auto"/>
        <w:rPr>
          <w:rFonts w:ascii="Times New Roman" w:eastAsia="Times New Roman" w:hAnsi="Times New Roman" w:cs="Times New Roman"/>
          <w:sz w:val="20"/>
          <w:szCs w:val="20"/>
          <w:lang w:val="es-ES_tradnl" w:eastAsia="ar-SA"/>
        </w:rPr>
      </w:pPr>
      <w:r w:rsidRPr="002A7673">
        <w:rPr>
          <w:rFonts w:ascii="Times New Roman" w:eastAsia="Arial" w:hAnsi="Times New Roman" w:cs="Times New Roman"/>
          <w:sz w:val="24"/>
          <w:szCs w:val="20"/>
          <w:lang w:val="es-ES_tradnl" w:eastAsia="ar-SA"/>
        </w:rPr>
        <w:t xml:space="preserve"> </w:t>
      </w:r>
    </w:p>
    <w:p w14:paraId="08C3953B" w14:textId="77777777" w:rsidR="002A7673" w:rsidRPr="002A7673" w:rsidRDefault="002A7673" w:rsidP="002A7673">
      <w:pPr>
        <w:suppressAutoHyphens/>
        <w:spacing w:after="0" w:line="240" w:lineRule="auto"/>
        <w:ind w:left="-5" w:right="721" w:hanging="10"/>
        <w:rPr>
          <w:rFonts w:ascii="Times New Roman" w:eastAsia="Times New Roman" w:hAnsi="Times New Roman" w:cs="Times New Roman"/>
          <w:sz w:val="20"/>
          <w:szCs w:val="20"/>
          <w:lang w:val="es-ES_tradnl" w:eastAsia="ar-SA"/>
        </w:rPr>
      </w:pPr>
    </w:p>
    <w:tbl>
      <w:tblPr>
        <w:tblStyle w:val="TableGrid1"/>
        <w:tblW w:w="9601" w:type="dxa"/>
        <w:tblInd w:w="3" w:type="dxa"/>
        <w:tblCellMar>
          <w:left w:w="29" w:type="dxa"/>
        </w:tblCellMar>
        <w:tblLook w:val="04A0" w:firstRow="1" w:lastRow="0" w:firstColumn="1" w:lastColumn="0" w:noHBand="0" w:noVBand="1"/>
      </w:tblPr>
      <w:tblGrid>
        <w:gridCol w:w="977"/>
        <w:gridCol w:w="982"/>
        <w:gridCol w:w="982"/>
        <w:gridCol w:w="1170"/>
        <w:gridCol w:w="981"/>
        <w:gridCol w:w="1178"/>
        <w:gridCol w:w="1129"/>
        <w:gridCol w:w="1071"/>
        <w:gridCol w:w="1131"/>
      </w:tblGrid>
      <w:tr w:rsidR="002A7673" w:rsidRPr="002A7673" w14:paraId="42284710" w14:textId="77777777" w:rsidTr="004F270D">
        <w:trPr>
          <w:trHeight w:val="6558"/>
        </w:trPr>
        <w:tc>
          <w:tcPr>
            <w:tcW w:w="977" w:type="dxa"/>
            <w:tcBorders>
              <w:top w:val="double" w:sz="4" w:space="0" w:color="000000"/>
              <w:left w:val="single" w:sz="3" w:space="0" w:color="000000"/>
              <w:bottom w:val="single" w:sz="7" w:space="0" w:color="000000"/>
              <w:right w:val="single" w:sz="7" w:space="0" w:color="000000"/>
            </w:tcBorders>
            <w:vAlign w:val="center"/>
          </w:tcPr>
          <w:p w14:paraId="5240A76A" w14:textId="77777777" w:rsidR="002A7673" w:rsidRPr="002A7673" w:rsidRDefault="002A7673" w:rsidP="002A7673">
            <w:pPr>
              <w:suppressAutoHyphens/>
              <w:spacing w:line="299" w:lineRule="auto"/>
              <w:rPr>
                <w:rFonts w:ascii="Times New Roman" w:hAnsi="Times New Roman"/>
                <w:lang w:val="es-ES_tradnl" w:eastAsia="ar-SA"/>
              </w:rPr>
            </w:pPr>
            <w:r w:rsidRPr="002A7673">
              <w:rPr>
                <w:rFonts w:ascii="Times New Roman" w:eastAsia="Segoe UI" w:hAnsi="Times New Roman"/>
                <w:sz w:val="16"/>
                <w:lang w:val="es-ES_tradnl" w:eastAsia="ar-SA"/>
              </w:rPr>
              <w:lastRenderedPageBreak/>
              <w:t>Para</w:t>
            </w:r>
            <w:r w:rsidRPr="002A7673">
              <w:rPr>
                <w:rFonts w:ascii="Times New Roman" w:eastAsia="Segoe UI" w:hAnsi="Times New Roman"/>
                <w:sz w:val="16"/>
                <w:lang w:val="es-ES_tradnl" w:eastAsia="ar-SA"/>
              </w:rPr>
              <w:tab/>
              <w:t>dar contenido al nuevo contrato de enlaces</w:t>
            </w:r>
            <w:r w:rsidRPr="002A7673">
              <w:rPr>
                <w:rFonts w:ascii="Times New Roman" w:eastAsia="Segoe UI" w:hAnsi="Times New Roman"/>
                <w:sz w:val="16"/>
                <w:lang w:val="es-ES_tradnl" w:eastAsia="ar-SA"/>
              </w:rPr>
              <w:tab/>
              <w:t>de Internet por</w:t>
            </w:r>
          </w:p>
          <w:p w14:paraId="15636314" w14:textId="77777777" w:rsidR="002A7673" w:rsidRPr="002A7673" w:rsidRDefault="002A7673" w:rsidP="002A7673">
            <w:pPr>
              <w:suppressAutoHyphens/>
              <w:spacing w:after="9" w:line="293" w:lineRule="auto"/>
              <w:rPr>
                <w:rFonts w:ascii="Times New Roman" w:hAnsi="Times New Roman"/>
                <w:lang w:val="es-ES_tradnl" w:eastAsia="ar-SA"/>
              </w:rPr>
            </w:pPr>
            <w:r w:rsidRPr="002A7673">
              <w:rPr>
                <w:rFonts w:ascii="Times New Roman" w:eastAsia="Segoe UI" w:hAnsi="Times New Roman"/>
                <w:sz w:val="16"/>
                <w:lang w:val="es-ES_tradnl" w:eastAsia="ar-SA"/>
              </w:rPr>
              <w:t>servicios nuevos redundantes y ampliación de</w:t>
            </w:r>
            <w:r w:rsidRPr="002A7673">
              <w:rPr>
                <w:rFonts w:ascii="Times New Roman" w:eastAsia="Segoe UI" w:hAnsi="Times New Roman"/>
                <w:sz w:val="16"/>
                <w:lang w:val="es-ES_tradnl" w:eastAsia="ar-SA"/>
              </w:rPr>
              <w:tab/>
              <w:t xml:space="preserve">los servicios </w:t>
            </w:r>
          </w:p>
          <w:p w14:paraId="20DCBA61" w14:textId="77777777" w:rsidR="002A7673" w:rsidRPr="002A7673" w:rsidRDefault="002A7673" w:rsidP="002A7673">
            <w:pPr>
              <w:suppressAutoHyphens/>
              <w:spacing w:line="303" w:lineRule="auto"/>
              <w:ind w:right="21"/>
              <w:jc w:val="both"/>
              <w:rPr>
                <w:rFonts w:ascii="Times New Roman" w:hAnsi="Times New Roman"/>
                <w:lang w:val="es-ES_tradnl" w:eastAsia="ar-SA"/>
              </w:rPr>
            </w:pPr>
            <w:r w:rsidRPr="002A7673">
              <w:rPr>
                <w:rFonts w:ascii="Times New Roman" w:eastAsia="Segoe UI" w:hAnsi="Times New Roman"/>
                <w:sz w:val="16"/>
                <w:lang w:val="es-ES_tradnl" w:eastAsia="ar-SA"/>
              </w:rPr>
              <w:t xml:space="preserve">actuales por la demanda de servicios en la nube: </w:t>
            </w:r>
          </w:p>
          <w:p w14:paraId="4EE6D2FC" w14:textId="77777777" w:rsidR="002A7673" w:rsidRPr="002A7673" w:rsidRDefault="002A7673" w:rsidP="002A7673">
            <w:pPr>
              <w:suppressAutoHyphens/>
              <w:ind w:right="21"/>
              <w:jc w:val="both"/>
              <w:rPr>
                <w:rFonts w:ascii="Times New Roman" w:hAnsi="Times New Roman"/>
                <w:lang w:val="es-ES_tradnl" w:eastAsia="ar-SA"/>
              </w:rPr>
            </w:pPr>
            <w:r w:rsidRPr="002A7673">
              <w:rPr>
                <w:rFonts w:ascii="Times New Roman" w:eastAsia="Segoe UI" w:hAnsi="Times New Roman"/>
                <w:sz w:val="16"/>
                <w:lang w:val="es-ES_tradnl" w:eastAsia="ar-SA"/>
              </w:rPr>
              <w:t xml:space="preserve">correo </w:t>
            </w:r>
            <w:proofErr w:type="gramStart"/>
            <w:r w:rsidRPr="002A7673">
              <w:rPr>
                <w:rFonts w:ascii="Times New Roman" w:eastAsia="Segoe UI" w:hAnsi="Times New Roman"/>
                <w:sz w:val="16"/>
                <w:lang w:val="es-ES_tradnl" w:eastAsia="ar-SA"/>
              </w:rPr>
              <w:t xml:space="preserve">electrónico,   </w:t>
            </w:r>
            <w:proofErr w:type="gramEnd"/>
            <w:r w:rsidRPr="002A7673">
              <w:rPr>
                <w:rFonts w:ascii="Times New Roman" w:eastAsia="Segoe UI" w:hAnsi="Times New Roman"/>
                <w:sz w:val="16"/>
                <w:lang w:val="es-ES_tradnl" w:eastAsia="ar-SA"/>
              </w:rPr>
              <w:t xml:space="preserve">nueva solución de Gestión para brindar </w:t>
            </w:r>
            <w:proofErr w:type="spellStart"/>
            <w:r w:rsidRPr="002A7673">
              <w:rPr>
                <w:rFonts w:ascii="Times New Roman" w:eastAsia="Segoe UI" w:hAnsi="Times New Roman"/>
                <w:sz w:val="16"/>
                <w:lang w:val="es-ES_tradnl" w:eastAsia="ar-SA"/>
              </w:rPr>
              <w:t>funcionalida</w:t>
            </w:r>
            <w:proofErr w:type="spellEnd"/>
            <w:r w:rsidRPr="002A7673">
              <w:rPr>
                <w:rFonts w:ascii="Times New Roman" w:eastAsia="Segoe UI" w:hAnsi="Times New Roman"/>
                <w:sz w:val="16"/>
                <w:lang w:val="es-ES_tradnl" w:eastAsia="ar-SA"/>
              </w:rPr>
              <w:t xml:space="preserve"> d par</w:t>
            </w:r>
          </w:p>
        </w:tc>
        <w:tc>
          <w:tcPr>
            <w:tcW w:w="982" w:type="dxa"/>
            <w:tcBorders>
              <w:top w:val="double" w:sz="4" w:space="0" w:color="000000"/>
              <w:left w:val="single" w:sz="7" w:space="0" w:color="000000"/>
              <w:bottom w:val="single" w:sz="7" w:space="0" w:color="000000"/>
              <w:right w:val="single" w:sz="7" w:space="0" w:color="000000"/>
            </w:tcBorders>
            <w:vAlign w:val="center"/>
          </w:tcPr>
          <w:p w14:paraId="0838ECC9" w14:textId="77777777" w:rsidR="002A7673" w:rsidRPr="002A7673" w:rsidRDefault="002A7673" w:rsidP="002A7673">
            <w:pPr>
              <w:suppressAutoHyphens/>
              <w:ind w:right="30"/>
              <w:jc w:val="center"/>
              <w:rPr>
                <w:rFonts w:ascii="Times New Roman" w:hAnsi="Times New Roman"/>
                <w:lang w:val="es-ES_tradnl" w:eastAsia="ar-SA"/>
              </w:rPr>
            </w:pPr>
            <w:r w:rsidRPr="002A7673">
              <w:rPr>
                <w:rFonts w:ascii="Times New Roman" w:eastAsia="Segoe UI" w:hAnsi="Times New Roman"/>
                <w:sz w:val="16"/>
                <w:lang w:val="es-ES_tradnl" w:eastAsia="ar-SA"/>
              </w:rPr>
              <w:t>12</w:t>
            </w:r>
          </w:p>
        </w:tc>
        <w:tc>
          <w:tcPr>
            <w:tcW w:w="982" w:type="dxa"/>
            <w:tcBorders>
              <w:top w:val="double" w:sz="4" w:space="0" w:color="000000"/>
              <w:left w:val="single" w:sz="7" w:space="0" w:color="000000"/>
              <w:bottom w:val="single" w:sz="7" w:space="0" w:color="000000"/>
              <w:right w:val="single" w:sz="7" w:space="0" w:color="000000"/>
            </w:tcBorders>
            <w:vAlign w:val="center"/>
          </w:tcPr>
          <w:p w14:paraId="0AE08954" w14:textId="77777777" w:rsidR="002A7673" w:rsidRPr="002A7673" w:rsidRDefault="002A7673" w:rsidP="002A7673">
            <w:pPr>
              <w:suppressAutoHyphens/>
              <w:ind w:left="61"/>
              <w:rPr>
                <w:rFonts w:ascii="Times New Roman" w:hAnsi="Times New Roman"/>
                <w:lang w:val="es-ES_tradnl" w:eastAsia="ar-SA"/>
              </w:rPr>
            </w:pPr>
            <w:r w:rsidRPr="002A7673">
              <w:rPr>
                <w:rFonts w:ascii="Times New Roman" w:eastAsia="Segoe UI" w:hAnsi="Times New Roman"/>
                <w:sz w:val="16"/>
                <w:lang w:val="es-ES_tradnl" w:eastAsia="ar-SA"/>
              </w:rPr>
              <w:t>₡7 000 000</w:t>
            </w:r>
          </w:p>
        </w:tc>
        <w:tc>
          <w:tcPr>
            <w:tcW w:w="1170" w:type="dxa"/>
            <w:tcBorders>
              <w:top w:val="double" w:sz="4" w:space="0" w:color="000000"/>
              <w:left w:val="single" w:sz="7" w:space="0" w:color="000000"/>
              <w:bottom w:val="single" w:sz="7" w:space="0" w:color="000000"/>
              <w:right w:val="single" w:sz="7" w:space="0" w:color="000000"/>
            </w:tcBorders>
            <w:vAlign w:val="center"/>
          </w:tcPr>
          <w:p w14:paraId="630118BB" w14:textId="77777777" w:rsidR="002A7673" w:rsidRPr="002A7673" w:rsidRDefault="002A7673" w:rsidP="002A7673">
            <w:pPr>
              <w:suppressAutoHyphens/>
              <w:ind w:left="94"/>
              <w:rPr>
                <w:rFonts w:ascii="Times New Roman" w:hAnsi="Times New Roman"/>
                <w:lang w:val="es-ES_tradnl" w:eastAsia="ar-SA"/>
              </w:rPr>
            </w:pPr>
            <w:r w:rsidRPr="002A7673">
              <w:rPr>
                <w:rFonts w:ascii="Times New Roman" w:eastAsia="Arial" w:hAnsi="Times New Roman"/>
                <w:sz w:val="16"/>
                <w:lang w:val="es-ES_tradnl" w:eastAsia="ar-SA"/>
              </w:rPr>
              <w:t>₡84 000 000</w:t>
            </w:r>
          </w:p>
        </w:tc>
        <w:tc>
          <w:tcPr>
            <w:tcW w:w="981" w:type="dxa"/>
            <w:tcBorders>
              <w:top w:val="single" w:sz="3" w:space="0" w:color="000000"/>
              <w:left w:val="single" w:sz="7" w:space="0" w:color="000000"/>
              <w:bottom w:val="single" w:sz="7" w:space="0" w:color="000000"/>
              <w:right w:val="single" w:sz="7" w:space="0" w:color="000000"/>
            </w:tcBorders>
            <w:shd w:val="clear" w:color="auto" w:fill="F2F2F2"/>
            <w:vAlign w:val="center"/>
          </w:tcPr>
          <w:p w14:paraId="3C1EA722" w14:textId="77777777" w:rsidR="002A7673" w:rsidRPr="002A7673" w:rsidRDefault="002A7673" w:rsidP="002A7673">
            <w:pPr>
              <w:suppressAutoHyphens/>
              <w:ind w:right="27"/>
              <w:jc w:val="center"/>
              <w:rPr>
                <w:rFonts w:ascii="Times New Roman" w:hAnsi="Times New Roman"/>
                <w:lang w:val="es-ES_tradnl" w:eastAsia="ar-SA"/>
              </w:rPr>
            </w:pPr>
            <w:r w:rsidRPr="002A7673">
              <w:rPr>
                <w:rFonts w:ascii="Times New Roman" w:eastAsia="Arial" w:hAnsi="Times New Roman"/>
                <w:sz w:val="16"/>
                <w:lang w:val="es-ES_tradnl" w:eastAsia="ar-SA"/>
              </w:rPr>
              <w:t>12</w:t>
            </w:r>
          </w:p>
        </w:tc>
        <w:tc>
          <w:tcPr>
            <w:tcW w:w="1178" w:type="dxa"/>
            <w:tcBorders>
              <w:top w:val="double" w:sz="4" w:space="0" w:color="000000"/>
              <w:left w:val="single" w:sz="7" w:space="0" w:color="000000"/>
              <w:bottom w:val="single" w:sz="7" w:space="0" w:color="000000"/>
              <w:right w:val="single" w:sz="7" w:space="0" w:color="000000"/>
            </w:tcBorders>
            <w:shd w:val="clear" w:color="auto" w:fill="F2F2F2"/>
            <w:vAlign w:val="center"/>
          </w:tcPr>
          <w:p w14:paraId="7EFE9E16" w14:textId="77777777" w:rsidR="002A7673" w:rsidRPr="002A7673" w:rsidRDefault="002A7673" w:rsidP="002A7673">
            <w:pPr>
              <w:suppressAutoHyphens/>
              <w:ind w:right="32"/>
              <w:jc w:val="center"/>
              <w:rPr>
                <w:rFonts w:ascii="Times New Roman" w:hAnsi="Times New Roman"/>
                <w:lang w:val="es-ES_tradnl" w:eastAsia="ar-SA"/>
              </w:rPr>
            </w:pPr>
            <w:r w:rsidRPr="002A7673">
              <w:rPr>
                <w:rFonts w:ascii="Times New Roman" w:eastAsia="Segoe UI" w:hAnsi="Times New Roman"/>
                <w:sz w:val="16"/>
                <w:lang w:val="es-ES_tradnl" w:eastAsia="ar-SA"/>
              </w:rPr>
              <w:t>₡3 500 000</w:t>
            </w:r>
          </w:p>
        </w:tc>
        <w:tc>
          <w:tcPr>
            <w:tcW w:w="1129" w:type="dxa"/>
            <w:tcBorders>
              <w:top w:val="double" w:sz="4" w:space="0" w:color="000000"/>
              <w:left w:val="single" w:sz="7" w:space="0" w:color="000000"/>
              <w:bottom w:val="single" w:sz="7" w:space="0" w:color="000000"/>
              <w:right w:val="single" w:sz="7" w:space="0" w:color="000000"/>
            </w:tcBorders>
            <w:shd w:val="clear" w:color="auto" w:fill="F2F2F2"/>
            <w:vAlign w:val="center"/>
          </w:tcPr>
          <w:p w14:paraId="0903B0ED" w14:textId="77777777" w:rsidR="002A7673" w:rsidRPr="002A7673" w:rsidRDefault="002A7673" w:rsidP="002A7673">
            <w:pPr>
              <w:suppressAutoHyphens/>
              <w:ind w:left="94"/>
              <w:rPr>
                <w:rFonts w:ascii="Times New Roman" w:hAnsi="Times New Roman"/>
                <w:lang w:val="es-ES_tradnl" w:eastAsia="ar-SA"/>
              </w:rPr>
            </w:pPr>
            <w:r w:rsidRPr="002A7673">
              <w:rPr>
                <w:rFonts w:ascii="Times New Roman" w:eastAsia="Segoe UI" w:hAnsi="Times New Roman"/>
                <w:sz w:val="16"/>
                <w:lang w:val="es-ES_tradnl" w:eastAsia="ar-SA"/>
              </w:rPr>
              <w:t>₡42 000 000</w:t>
            </w:r>
          </w:p>
        </w:tc>
        <w:tc>
          <w:tcPr>
            <w:tcW w:w="1071" w:type="dxa"/>
            <w:tcBorders>
              <w:top w:val="double" w:sz="4" w:space="0" w:color="000000"/>
              <w:left w:val="single" w:sz="7" w:space="0" w:color="000000"/>
              <w:bottom w:val="single" w:sz="7" w:space="0" w:color="000000"/>
              <w:right w:val="single" w:sz="7" w:space="0" w:color="000000"/>
            </w:tcBorders>
            <w:shd w:val="clear" w:color="auto" w:fill="F2F2F2"/>
            <w:vAlign w:val="center"/>
          </w:tcPr>
          <w:p w14:paraId="6DA71C2F" w14:textId="77777777" w:rsidR="002A7673" w:rsidRPr="002A7673" w:rsidRDefault="002A7673" w:rsidP="002A7673">
            <w:pPr>
              <w:suppressAutoHyphens/>
              <w:ind w:left="4" w:right="28"/>
              <w:jc w:val="both"/>
              <w:rPr>
                <w:rFonts w:ascii="Times New Roman" w:hAnsi="Times New Roman"/>
                <w:lang w:val="es-ES_tradnl" w:eastAsia="ar-SA"/>
              </w:rPr>
            </w:pPr>
            <w:r w:rsidRPr="002A7673">
              <w:rPr>
                <w:rFonts w:ascii="Times New Roman" w:eastAsia="Arial" w:hAnsi="Times New Roman"/>
                <w:sz w:val="16"/>
                <w:lang w:val="es-ES_tradnl" w:eastAsia="ar-SA"/>
              </w:rPr>
              <w:t xml:space="preserve">El contrato nuevo se adjudicó en marzo de este año 2021 por lo que se ajusta lo formulado al precio adjudicado.  </w:t>
            </w:r>
            <w:proofErr w:type="spellStart"/>
            <w:r w:rsidRPr="002A7673">
              <w:rPr>
                <w:rFonts w:ascii="Times New Roman" w:eastAsia="Arial" w:hAnsi="Times New Roman"/>
                <w:sz w:val="16"/>
                <w:lang w:val="es-ES_tradnl" w:eastAsia="ar-SA"/>
              </w:rPr>
              <w:t>Adicionalment</w:t>
            </w:r>
            <w:proofErr w:type="spellEnd"/>
            <w:r w:rsidRPr="002A7673">
              <w:rPr>
                <w:rFonts w:ascii="Times New Roman" w:eastAsia="Arial" w:hAnsi="Times New Roman"/>
                <w:sz w:val="16"/>
                <w:lang w:val="es-ES_tradnl" w:eastAsia="ar-SA"/>
              </w:rPr>
              <w:t xml:space="preserve"> </w:t>
            </w:r>
            <w:proofErr w:type="gramStart"/>
            <w:r w:rsidRPr="002A7673">
              <w:rPr>
                <w:rFonts w:ascii="Times New Roman" w:eastAsia="Arial" w:hAnsi="Times New Roman"/>
                <w:sz w:val="16"/>
                <w:lang w:val="es-ES_tradnl" w:eastAsia="ar-SA"/>
              </w:rPr>
              <w:t>e,  se</w:t>
            </w:r>
            <w:proofErr w:type="gramEnd"/>
            <w:r w:rsidRPr="002A7673">
              <w:rPr>
                <w:rFonts w:ascii="Times New Roman" w:eastAsia="Arial" w:hAnsi="Times New Roman"/>
                <w:sz w:val="16"/>
                <w:lang w:val="es-ES_tradnl" w:eastAsia="ar-SA"/>
              </w:rPr>
              <w:t xml:space="preserve"> ajusta lo estimado en aumento en capacidades. Esta necesidad es de sostenibilidad.</w:t>
            </w:r>
          </w:p>
        </w:tc>
        <w:tc>
          <w:tcPr>
            <w:tcW w:w="1131" w:type="dxa"/>
            <w:tcBorders>
              <w:top w:val="single" w:sz="3" w:space="0" w:color="000000"/>
              <w:left w:val="single" w:sz="7" w:space="0" w:color="000000"/>
              <w:bottom w:val="single" w:sz="7" w:space="0" w:color="000000"/>
              <w:right w:val="single" w:sz="7" w:space="0" w:color="000000"/>
            </w:tcBorders>
            <w:shd w:val="clear" w:color="auto" w:fill="F2F2F2"/>
            <w:vAlign w:val="center"/>
          </w:tcPr>
          <w:p w14:paraId="3EF117BB" w14:textId="77777777" w:rsidR="002A7673" w:rsidRPr="002A7673" w:rsidRDefault="002A7673" w:rsidP="002A7673">
            <w:pPr>
              <w:suppressAutoHyphens/>
              <w:ind w:left="69"/>
              <w:rPr>
                <w:rFonts w:ascii="Times New Roman" w:hAnsi="Times New Roman"/>
                <w:lang w:val="es-ES_tradnl" w:eastAsia="ar-SA"/>
              </w:rPr>
            </w:pPr>
            <w:r w:rsidRPr="002A7673">
              <w:rPr>
                <w:rFonts w:ascii="Times New Roman" w:eastAsia="Arial" w:hAnsi="Times New Roman"/>
                <w:sz w:val="16"/>
                <w:lang w:val="es-ES_tradnl" w:eastAsia="ar-SA"/>
              </w:rPr>
              <w:t>₡42 000 000</w:t>
            </w:r>
          </w:p>
        </w:tc>
      </w:tr>
    </w:tbl>
    <w:p w14:paraId="1E3AFA65" w14:textId="77777777" w:rsidR="002A7673" w:rsidRPr="002A7673" w:rsidRDefault="002A7673" w:rsidP="002A7673">
      <w:pPr>
        <w:suppressAutoHyphens/>
        <w:spacing w:after="0" w:line="240" w:lineRule="auto"/>
        <w:ind w:left="-5" w:hanging="10"/>
        <w:rPr>
          <w:rFonts w:ascii="Times New Roman" w:eastAsia="Times New Roman" w:hAnsi="Times New Roman" w:cs="Times New Roman"/>
          <w:sz w:val="20"/>
          <w:szCs w:val="20"/>
          <w:lang w:val="es-ES_tradnl" w:eastAsia="ar-SA"/>
        </w:rPr>
      </w:pPr>
      <w:r w:rsidRPr="002A7673">
        <w:rPr>
          <w:rFonts w:ascii="Times New Roman" w:eastAsia="Arial" w:hAnsi="Times New Roman" w:cs="Times New Roman"/>
          <w:sz w:val="18"/>
          <w:szCs w:val="20"/>
          <w:lang w:val="es-ES_tradnl" w:eastAsia="ar-SA"/>
        </w:rPr>
        <w:t xml:space="preserve"> </w:t>
      </w:r>
    </w:p>
    <w:tbl>
      <w:tblPr>
        <w:tblStyle w:val="TableGrid1"/>
        <w:tblW w:w="9627" w:type="dxa"/>
        <w:tblInd w:w="3" w:type="dxa"/>
        <w:tblCellMar>
          <w:top w:w="82" w:type="dxa"/>
          <w:left w:w="29" w:type="dxa"/>
          <w:bottom w:w="26" w:type="dxa"/>
        </w:tblCellMar>
        <w:tblLook w:val="04A0" w:firstRow="1" w:lastRow="0" w:firstColumn="1" w:lastColumn="0" w:noHBand="0" w:noVBand="1"/>
      </w:tblPr>
      <w:tblGrid>
        <w:gridCol w:w="981"/>
        <w:gridCol w:w="984"/>
        <w:gridCol w:w="984"/>
        <w:gridCol w:w="1173"/>
        <w:gridCol w:w="984"/>
        <w:gridCol w:w="1181"/>
        <w:gridCol w:w="1132"/>
        <w:gridCol w:w="1074"/>
        <w:gridCol w:w="1134"/>
      </w:tblGrid>
      <w:tr w:rsidR="002A7673" w:rsidRPr="002A7673" w14:paraId="7669BEA1" w14:textId="77777777" w:rsidTr="004F270D">
        <w:trPr>
          <w:trHeight w:val="5518"/>
        </w:trPr>
        <w:tc>
          <w:tcPr>
            <w:tcW w:w="980" w:type="dxa"/>
            <w:tcBorders>
              <w:top w:val="double" w:sz="4" w:space="0" w:color="000000"/>
              <w:left w:val="single" w:sz="3" w:space="0" w:color="000000"/>
              <w:bottom w:val="single" w:sz="6" w:space="0" w:color="000000"/>
              <w:right w:val="single" w:sz="7" w:space="0" w:color="000000"/>
            </w:tcBorders>
          </w:tcPr>
          <w:p w14:paraId="57A4B667" w14:textId="77777777" w:rsidR="002A7673" w:rsidRPr="002A7673" w:rsidRDefault="002A7673" w:rsidP="002A7673">
            <w:pPr>
              <w:suppressAutoHyphens/>
              <w:spacing w:line="303" w:lineRule="auto"/>
              <w:ind w:right="21"/>
              <w:jc w:val="both"/>
              <w:rPr>
                <w:rFonts w:ascii="Times New Roman" w:hAnsi="Times New Roman"/>
                <w:lang w:val="es-ES_tradnl" w:eastAsia="ar-SA"/>
              </w:rPr>
            </w:pPr>
            <w:r w:rsidRPr="002A7673">
              <w:rPr>
                <w:rFonts w:ascii="Times New Roman" w:eastAsia="Segoe UI" w:hAnsi="Times New Roman"/>
                <w:sz w:val="16"/>
                <w:lang w:val="es-ES_tradnl" w:eastAsia="ar-SA"/>
              </w:rPr>
              <w:t>Para dar contenido al aumento de</w:t>
            </w:r>
          </w:p>
          <w:p w14:paraId="64F672B8" w14:textId="77777777" w:rsidR="002A7673" w:rsidRPr="002A7673" w:rsidRDefault="002A7673" w:rsidP="002A7673">
            <w:pPr>
              <w:suppressAutoHyphens/>
              <w:spacing w:after="40"/>
              <w:rPr>
                <w:rFonts w:ascii="Times New Roman" w:hAnsi="Times New Roman"/>
                <w:lang w:val="es-ES_tradnl" w:eastAsia="ar-SA"/>
              </w:rPr>
            </w:pPr>
            <w:r w:rsidRPr="002A7673">
              <w:rPr>
                <w:rFonts w:ascii="Times New Roman" w:eastAsia="Segoe UI" w:hAnsi="Times New Roman"/>
                <w:sz w:val="16"/>
                <w:lang w:val="es-ES_tradnl" w:eastAsia="ar-SA"/>
              </w:rPr>
              <w:t xml:space="preserve">capacidad </w:t>
            </w:r>
          </w:p>
          <w:p w14:paraId="5D9BECDC" w14:textId="77777777" w:rsidR="002A7673" w:rsidRPr="002A7673" w:rsidRDefault="002A7673" w:rsidP="002A7673">
            <w:pPr>
              <w:tabs>
                <w:tab w:val="right" w:pos="951"/>
              </w:tabs>
              <w:suppressAutoHyphens/>
              <w:spacing w:after="25"/>
              <w:rPr>
                <w:rFonts w:ascii="Times New Roman" w:hAnsi="Times New Roman"/>
                <w:lang w:val="es-ES_tradnl" w:eastAsia="ar-SA"/>
              </w:rPr>
            </w:pPr>
            <w:r w:rsidRPr="002A7673">
              <w:rPr>
                <w:rFonts w:ascii="Times New Roman" w:eastAsia="Segoe UI" w:hAnsi="Times New Roman"/>
                <w:sz w:val="16"/>
                <w:lang w:val="es-ES_tradnl" w:eastAsia="ar-SA"/>
              </w:rPr>
              <w:t>de</w:t>
            </w:r>
            <w:r w:rsidRPr="002A7673">
              <w:rPr>
                <w:rFonts w:ascii="Times New Roman" w:eastAsia="Segoe UI" w:hAnsi="Times New Roman"/>
                <w:sz w:val="16"/>
                <w:lang w:val="es-ES_tradnl" w:eastAsia="ar-SA"/>
              </w:rPr>
              <w:tab/>
              <w:t>30</w:t>
            </w:r>
          </w:p>
          <w:p w14:paraId="41DAA2F7" w14:textId="77777777" w:rsidR="002A7673" w:rsidRPr="002A7673" w:rsidRDefault="002A7673" w:rsidP="002A7673">
            <w:pPr>
              <w:suppressAutoHyphens/>
              <w:spacing w:after="14" w:line="287" w:lineRule="auto"/>
              <w:rPr>
                <w:rFonts w:ascii="Times New Roman" w:hAnsi="Times New Roman"/>
                <w:lang w:val="es-ES_tradnl" w:eastAsia="ar-SA"/>
              </w:rPr>
            </w:pPr>
            <w:r w:rsidRPr="002A7673">
              <w:rPr>
                <w:rFonts w:ascii="Times New Roman" w:eastAsia="Segoe UI" w:hAnsi="Times New Roman"/>
                <w:sz w:val="16"/>
                <w:lang w:val="es-ES_tradnl" w:eastAsia="ar-SA"/>
              </w:rPr>
              <w:t xml:space="preserve">enlaces principales </w:t>
            </w:r>
          </w:p>
          <w:p w14:paraId="7BAABEE9" w14:textId="77777777" w:rsidR="002A7673" w:rsidRPr="002A7673" w:rsidRDefault="002A7673" w:rsidP="002A7673">
            <w:pPr>
              <w:suppressAutoHyphens/>
              <w:spacing w:after="7" w:line="295" w:lineRule="auto"/>
              <w:ind w:right="21"/>
              <w:jc w:val="both"/>
              <w:rPr>
                <w:rFonts w:ascii="Times New Roman" w:hAnsi="Times New Roman"/>
                <w:lang w:val="es-ES_tradnl" w:eastAsia="ar-SA"/>
              </w:rPr>
            </w:pPr>
            <w:r w:rsidRPr="002A7673">
              <w:rPr>
                <w:rFonts w:ascii="Times New Roman" w:eastAsia="Segoe UI" w:hAnsi="Times New Roman"/>
                <w:sz w:val="16"/>
                <w:lang w:val="es-ES_tradnl" w:eastAsia="ar-SA"/>
              </w:rPr>
              <w:t xml:space="preserve">por los 12 meses del año por el aumento de la </w:t>
            </w:r>
            <w:proofErr w:type="spellStart"/>
            <w:r w:rsidRPr="002A7673">
              <w:rPr>
                <w:rFonts w:ascii="Times New Roman" w:eastAsia="Segoe UI" w:hAnsi="Times New Roman"/>
                <w:sz w:val="16"/>
                <w:lang w:val="es-ES_tradnl" w:eastAsia="ar-SA"/>
              </w:rPr>
              <w:t>centralizació</w:t>
            </w:r>
            <w:proofErr w:type="spellEnd"/>
            <w:r w:rsidRPr="002A7673">
              <w:rPr>
                <w:rFonts w:ascii="Times New Roman" w:eastAsia="Segoe UI" w:hAnsi="Times New Roman"/>
                <w:sz w:val="16"/>
                <w:lang w:val="es-ES_tradnl" w:eastAsia="ar-SA"/>
              </w:rPr>
              <w:t xml:space="preserve"> n</w:t>
            </w:r>
            <w:r w:rsidRPr="002A7673">
              <w:rPr>
                <w:rFonts w:ascii="Times New Roman" w:eastAsia="Segoe UI" w:hAnsi="Times New Roman"/>
                <w:sz w:val="16"/>
                <w:lang w:val="es-ES_tradnl" w:eastAsia="ar-SA"/>
              </w:rPr>
              <w:tab/>
              <w:t xml:space="preserve">de servicios y crecimiento de consumos </w:t>
            </w:r>
          </w:p>
          <w:p w14:paraId="606AE109" w14:textId="77777777" w:rsidR="002A7673" w:rsidRPr="002A7673" w:rsidRDefault="002A7673" w:rsidP="002A7673">
            <w:pPr>
              <w:suppressAutoHyphens/>
              <w:ind w:right="21"/>
              <w:jc w:val="both"/>
              <w:rPr>
                <w:rFonts w:ascii="Times New Roman" w:hAnsi="Times New Roman"/>
                <w:lang w:val="es-ES_tradnl" w:eastAsia="ar-SA"/>
              </w:rPr>
            </w:pPr>
            <w:r w:rsidRPr="002A7673">
              <w:rPr>
                <w:rFonts w:ascii="Times New Roman" w:eastAsia="Segoe UI" w:hAnsi="Times New Roman"/>
                <w:sz w:val="16"/>
                <w:lang w:val="es-ES_tradnl" w:eastAsia="ar-SA"/>
              </w:rPr>
              <w:t>de</w:t>
            </w:r>
            <w:r w:rsidRPr="002A7673">
              <w:rPr>
                <w:rFonts w:ascii="Times New Roman" w:eastAsia="Segoe UI" w:hAnsi="Times New Roman"/>
                <w:sz w:val="16"/>
                <w:lang w:val="es-ES_tradnl" w:eastAsia="ar-SA"/>
              </w:rPr>
              <w:tab/>
              <w:t xml:space="preserve">los servicios de </w:t>
            </w:r>
            <w:proofErr w:type="spellStart"/>
            <w:r w:rsidRPr="002A7673">
              <w:rPr>
                <w:rFonts w:ascii="Times New Roman" w:eastAsia="Segoe UI" w:hAnsi="Times New Roman"/>
                <w:sz w:val="16"/>
                <w:lang w:val="es-ES_tradnl" w:eastAsia="ar-SA"/>
              </w:rPr>
              <w:t>telecomunic</w:t>
            </w:r>
            <w:proofErr w:type="spellEnd"/>
          </w:p>
        </w:tc>
        <w:tc>
          <w:tcPr>
            <w:tcW w:w="984" w:type="dxa"/>
            <w:tcBorders>
              <w:top w:val="double" w:sz="4" w:space="0" w:color="000000"/>
              <w:left w:val="single" w:sz="7" w:space="0" w:color="000000"/>
              <w:bottom w:val="single" w:sz="6" w:space="0" w:color="000000"/>
              <w:right w:val="single" w:sz="7" w:space="0" w:color="000000"/>
            </w:tcBorders>
            <w:vAlign w:val="center"/>
          </w:tcPr>
          <w:p w14:paraId="7F4801CA" w14:textId="77777777" w:rsidR="002A7673" w:rsidRPr="002A7673" w:rsidRDefault="002A7673" w:rsidP="002A7673">
            <w:pPr>
              <w:suppressAutoHyphens/>
              <w:ind w:right="22"/>
              <w:jc w:val="center"/>
              <w:rPr>
                <w:rFonts w:ascii="Times New Roman" w:hAnsi="Times New Roman"/>
                <w:lang w:val="es-ES_tradnl" w:eastAsia="ar-SA"/>
              </w:rPr>
            </w:pPr>
            <w:r w:rsidRPr="002A7673">
              <w:rPr>
                <w:rFonts w:ascii="Times New Roman" w:eastAsia="Segoe UI" w:hAnsi="Times New Roman"/>
                <w:sz w:val="16"/>
                <w:lang w:val="es-ES_tradnl" w:eastAsia="ar-SA"/>
              </w:rPr>
              <w:t>360</w:t>
            </w:r>
          </w:p>
        </w:tc>
        <w:tc>
          <w:tcPr>
            <w:tcW w:w="984" w:type="dxa"/>
            <w:tcBorders>
              <w:top w:val="double" w:sz="4" w:space="0" w:color="000000"/>
              <w:left w:val="single" w:sz="7" w:space="0" w:color="000000"/>
              <w:bottom w:val="single" w:sz="6" w:space="0" w:color="000000"/>
              <w:right w:val="single" w:sz="7" w:space="0" w:color="000000"/>
            </w:tcBorders>
            <w:vAlign w:val="center"/>
          </w:tcPr>
          <w:p w14:paraId="08799554" w14:textId="77777777" w:rsidR="002A7673" w:rsidRPr="002A7673" w:rsidRDefault="002A7673" w:rsidP="002A7673">
            <w:pPr>
              <w:suppressAutoHyphens/>
              <w:ind w:left="45"/>
              <w:jc w:val="both"/>
              <w:rPr>
                <w:rFonts w:ascii="Times New Roman" w:hAnsi="Times New Roman"/>
                <w:lang w:val="es-ES_tradnl" w:eastAsia="ar-SA"/>
              </w:rPr>
            </w:pPr>
            <w:r w:rsidRPr="002A7673">
              <w:rPr>
                <w:rFonts w:ascii="Times New Roman" w:eastAsia="Segoe UI" w:hAnsi="Times New Roman"/>
                <w:sz w:val="16"/>
                <w:lang w:val="es-ES_tradnl" w:eastAsia="ar-SA"/>
              </w:rPr>
              <w:t>₡170 000,00</w:t>
            </w:r>
          </w:p>
        </w:tc>
        <w:tc>
          <w:tcPr>
            <w:tcW w:w="1173" w:type="dxa"/>
            <w:tcBorders>
              <w:top w:val="double" w:sz="4" w:space="0" w:color="000000"/>
              <w:left w:val="single" w:sz="7" w:space="0" w:color="000000"/>
              <w:bottom w:val="single" w:sz="6" w:space="0" w:color="000000"/>
              <w:right w:val="single" w:sz="7" w:space="0" w:color="000000"/>
            </w:tcBorders>
            <w:vAlign w:val="center"/>
          </w:tcPr>
          <w:p w14:paraId="3B625D35" w14:textId="77777777" w:rsidR="002A7673" w:rsidRPr="002A7673" w:rsidRDefault="002A7673" w:rsidP="002A7673">
            <w:pPr>
              <w:suppressAutoHyphens/>
              <w:ind w:right="24"/>
              <w:jc w:val="right"/>
              <w:rPr>
                <w:rFonts w:ascii="Times New Roman" w:hAnsi="Times New Roman"/>
                <w:lang w:val="es-ES_tradnl" w:eastAsia="ar-SA"/>
              </w:rPr>
            </w:pPr>
            <w:r w:rsidRPr="002A7673">
              <w:rPr>
                <w:rFonts w:ascii="Times New Roman" w:eastAsia="Arial" w:hAnsi="Times New Roman"/>
                <w:sz w:val="16"/>
                <w:lang w:val="es-ES_tradnl" w:eastAsia="ar-SA"/>
              </w:rPr>
              <w:t>₡61 200 000</w:t>
            </w:r>
          </w:p>
        </w:tc>
        <w:tc>
          <w:tcPr>
            <w:tcW w:w="984" w:type="dxa"/>
            <w:tcBorders>
              <w:top w:val="single" w:sz="3" w:space="0" w:color="000000"/>
              <w:left w:val="single" w:sz="7" w:space="0" w:color="000000"/>
              <w:bottom w:val="single" w:sz="6" w:space="0" w:color="000000"/>
              <w:right w:val="single" w:sz="7" w:space="0" w:color="000000"/>
            </w:tcBorders>
            <w:shd w:val="clear" w:color="auto" w:fill="F2F2F2"/>
            <w:vAlign w:val="center"/>
          </w:tcPr>
          <w:p w14:paraId="479E7BBE" w14:textId="77777777" w:rsidR="002A7673" w:rsidRPr="002A7673" w:rsidRDefault="002A7673" w:rsidP="002A7673">
            <w:pPr>
              <w:suppressAutoHyphens/>
              <w:ind w:right="20"/>
              <w:jc w:val="center"/>
              <w:rPr>
                <w:rFonts w:ascii="Times New Roman" w:hAnsi="Times New Roman"/>
                <w:lang w:val="es-ES_tradnl" w:eastAsia="ar-SA"/>
              </w:rPr>
            </w:pPr>
            <w:r w:rsidRPr="002A7673">
              <w:rPr>
                <w:rFonts w:ascii="Times New Roman" w:eastAsia="Arial" w:hAnsi="Times New Roman"/>
                <w:sz w:val="16"/>
                <w:lang w:val="es-ES_tradnl" w:eastAsia="ar-SA"/>
              </w:rPr>
              <w:t>180</w:t>
            </w:r>
          </w:p>
        </w:tc>
        <w:tc>
          <w:tcPr>
            <w:tcW w:w="1181" w:type="dxa"/>
            <w:tcBorders>
              <w:top w:val="double" w:sz="4" w:space="0" w:color="000000"/>
              <w:left w:val="single" w:sz="7" w:space="0" w:color="000000"/>
              <w:bottom w:val="single" w:sz="6" w:space="0" w:color="000000"/>
              <w:right w:val="single" w:sz="7" w:space="0" w:color="000000"/>
            </w:tcBorders>
            <w:shd w:val="clear" w:color="auto" w:fill="F2F2F2"/>
            <w:vAlign w:val="center"/>
          </w:tcPr>
          <w:p w14:paraId="25FDF86C" w14:textId="77777777" w:rsidR="002A7673" w:rsidRPr="002A7673" w:rsidRDefault="002A7673" w:rsidP="002A7673">
            <w:pPr>
              <w:suppressAutoHyphens/>
              <w:ind w:left="119"/>
              <w:rPr>
                <w:rFonts w:ascii="Times New Roman" w:hAnsi="Times New Roman"/>
                <w:lang w:val="es-ES_tradnl" w:eastAsia="ar-SA"/>
              </w:rPr>
            </w:pPr>
            <w:r w:rsidRPr="002A7673">
              <w:rPr>
                <w:rFonts w:ascii="Times New Roman" w:eastAsia="Segoe UI" w:hAnsi="Times New Roman"/>
                <w:sz w:val="16"/>
                <w:lang w:val="es-ES_tradnl" w:eastAsia="ar-SA"/>
              </w:rPr>
              <w:t>₡170 000,00</w:t>
            </w:r>
          </w:p>
        </w:tc>
        <w:tc>
          <w:tcPr>
            <w:tcW w:w="1132" w:type="dxa"/>
            <w:tcBorders>
              <w:top w:val="double" w:sz="4" w:space="0" w:color="000000"/>
              <w:left w:val="single" w:sz="7" w:space="0" w:color="000000"/>
              <w:bottom w:val="single" w:sz="6" w:space="0" w:color="000000"/>
              <w:right w:val="single" w:sz="7" w:space="0" w:color="000000"/>
            </w:tcBorders>
            <w:shd w:val="clear" w:color="auto" w:fill="F2F2F2"/>
            <w:vAlign w:val="center"/>
          </w:tcPr>
          <w:p w14:paraId="1B301D41" w14:textId="77777777" w:rsidR="002A7673" w:rsidRPr="002A7673" w:rsidRDefault="002A7673" w:rsidP="002A7673">
            <w:pPr>
              <w:suppressAutoHyphens/>
              <w:ind w:left="70"/>
              <w:rPr>
                <w:rFonts w:ascii="Times New Roman" w:hAnsi="Times New Roman"/>
                <w:lang w:val="es-ES_tradnl" w:eastAsia="ar-SA"/>
              </w:rPr>
            </w:pPr>
            <w:r w:rsidRPr="002A7673">
              <w:rPr>
                <w:rFonts w:ascii="Times New Roman" w:eastAsia="Arial" w:hAnsi="Times New Roman"/>
                <w:sz w:val="16"/>
                <w:lang w:val="es-ES_tradnl" w:eastAsia="ar-SA"/>
              </w:rPr>
              <w:t>₡30 600 000</w:t>
            </w:r>
          </w:p>
        </w:tc>
        <w:tc>
          <w:tcPr>
            <w:tcW w:w="1074" w:type="dxa"/>
            <w:tcBorders>
              <w:top w:val="double" w:sz="4" w:space="0" w:color="000000"/>
              <w:left w:val="single" w:sz="7" w:space="0" w:color="000000"/>
              <w:bottom w:val="single" w:sz="6" w:space="0" w:color="000000"/>
              <w:right w:val="single" w:sz="7" w:space="0" w:color="000000"/>
            </w:tcBorders>
            <w:shd w:val="clear" w:color="auto" w:fill="F2F2F2"/>
            <w:vAlign w:val="bottom"/>
          </w:tcPr>
          <w:p w14:paraId="1FDF0E2C" w14:textId="77777777" w:rsidR="002A7673" w:rsidRPr="002A7673" w:rsidRDefault="002A7673" w:rsidP="002A7673">
            <w:pPr>
              <w:suppressAutoHyphens/>
              <w:ind w:left="4"/>
              <w:rPr>
                <w:rFonts w:ascii="Times New Roman" w:hAnsi="Times New Roman"/>
                <w:lang w:val="es-ES_tradnl" w:eastAsia="ar-SA"/>
              </w:rPr>
            </w:pPr>
            <w:r w:rsidRPr="002A7673">
              <w:rPr>
                <w:rFonts w:ascii="Times New Roman" w:eastAsia="Arial" w:hAnsi="Times New Roman"/>
                <w:sz w:val="16"/>
                <w:lang w:val="es-ES_tradnl" w:eastAsia="ar-SA"/>
              </w:rPr>
              <w:t>Este monto sería necesario para atender cambios de capacidades en enlaces o nuevas necesidades no planificadas.  Lo cual se rebaja dejando como máximo 15 enlaces en lugar de 30.   Esta necesidad es de sostenibilidad.</w:t>
            </w:r>
          </w:p>
        </w:tc>
        <w:tc>
          <w:tcPr>
            <w:tcW w:w="1134" w:type="dxa"/>
            <w:tcBorders>
              <w:top w:val="single" w:sz="3" w:space="0" w:color="000000"/>
              <w:left w:val="single" w:sz="7" w:space="0" w:color="000000"/>
              <w:bottom w:val="single" w:sz="6" w:space="0" w:color="000000"/>
              <w:right w:val="single" w:sz="7" w:space="0" w:color="000000"/>
            </w:tcBorders>
            <w:shd w:val="clear" w:color="auto" w:fill="F2F2F2"/>
            <w:vAlign w:val="center"/>
          </w:tcPr>
          <w:p w14:paraId="4B2F735E" w14:textId="77777777" w:rsidR="002A7673" w:rsidRPr="002A7673" w:rsidRDefault="002A7673" w:rsidP="002A7673">
            <w:pPr>
              <w:suppressAutoHyphens/>
              <w:ind w:left="70"/>
              <w:rPr>
                <w:rFonts w:ascii="Times New Roman" w:hAnsi="Times New Roman"/>
                <w:lang w:val="es-ES_tradnl" w:eastAsia="ar-SA"/>
              </w:rPr>
            </w:pPr>
            <w:r w:rsidRPr="002A7673">
              <w:rPr>
                <w:rFonts w:ascii="Times New Roman" w:eastAsia="Arial" w:hAnsi="Times New Roman"/>
                <w:sz w:val="16"/>
                <w:lang w:val="es-ES_tradnl" w:eastAsia="ar-SA"/>
              </w:rPr>
              <w:t>₡30 600 000</w:t>
            </w:r>
          </w:p>
        </w:tc>
      </w:tr>
    </w:tbl>
    <w:p w14:paraId="51C30C64" w14:textId="77777777" w:rsidR="002A7673" w:rsidRPr="002A7673" w:rsidRDefault="002A7673" w:rsidP="002A7673">
      <w:pPr>
        <w:suppressAutoHyphens/>
        <w:spacing w:after="10" w:line="271" w:lineRule="auto"/>
        <w:ind w:left="-5" w:right="821" w:hanging="10"/>
        <w:jc w:val="both"/>
        <w:rPr>
          <w:rFonts w:ascii="Times New Roman" w:eastAsia="Arial" w:hAnsi="Times New Roman" w:cs="Times New Roman"/>
          <w:sz w:val="24"/>
          <w:szCs w:val="20"/>
          <w:lang w:val="es-ES_tradnl" w:eastAsia="ar-SA"/>
        </w:rPr>
      </w:pPr>
      <w:r w:rsidRPr="002A7673">
        <w:rPr>
          <w:rFonts w:ascii="Times New Roman" w:eastAsia="Arial" w:hAnsi="Times New Roman" w:cs="Times New Roman"/>
          <w:sz w:val="24"/>
          <w:szCs w:val="20"/>
          <w:lang w:val="es-ES_tradnl" w:eastAsia="ar-SA"/>
        </w:rPr>
        <w:t xml:space="preserve">” </w:t>
      </w:r>
    </w:p>
    <w:p w14:paraId="42BF335E" w14:textId="77777777" w:rsidR="002A7673" w:rsidRPr="002A7673" w:rsidRDefault="002A7673" w:rsidP="002A7673">
      <w:pPr>
        <w:suppressAutoHyphens/>
        <w:spacing w:after="10" w:line="271" w:lineRule="auto"/>
        <w:ind w:left="-5" w:right="821" w:hanging="10"/>
        <w:jc w:val="both"/>
        <w:rPr>
          <w:rFonts w:ascii="Times New Roman" w:eastAsia="Times New Roman" w:hAnsi="Times New Roman" w:cs="Times New Roman"/>
          <w:sz w:val="20"/>
          <w:szCs w:val="20"/>
          <w:lang w:val="es-ES_tradnl" w:eastAsia="ar-SA"/>
        </w:rPr>
      </w:pPr>
    </w:p>
    <w:p w14:paraId="3C226B39"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Finalmente, el Consejo Superior aprobó la propuesta de rebajo de ₡112.600.000 en la subpartida 10204 Servicio de Telecomunicaciones.</w:t>
      </w:r>
    </w:p>
    <w:p w14:paraId="0F784DE4"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 xml:space="preserve">Oficio 1481-DE-2021 de la Dirección Ejecutiva con el resultado de la revisión de la formulación presupuestaria de mascarillas para el 2022  </w:t>
      </w:r>
    </w:p>
    <w:p w14:paraId="1550D1B0"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Tal como se expuso en el artículo III de esta sesión del Consejo Superior (35-2021),</w:t>
      </w:r>
      <w:r w:rsidRPr="002A7673">
        <w:rPr>
          <w:rFonts w:ascii="Times New Roman" w:eastAsia="Times New Roman" w:hAnsi="Times New Roman" w:cs="Times New Roman"/>
          <w:bCs/>
          <w:sz w:val="28"/>
          <w:szCs w:val="28"/>
          <w:lang w:val="es-ES" w:eastAsia="es-ES"/>
        </w:rPr>
        <w:t xml:space="preserve"> la</w:t>
      </w:r>
      <w:r w:rsidRPr="002A7673">
        <w:rPr>
          <w:rFonts w:ascii="Times New Roman" w:eastAsia="Times New Roman" w:hAnsi="Times New Roman" w:cs="Times New Roman"/>
          <w:bCs/>
          <w:sz w:val="28"/>
          <w:szCs w:val="28"/>
          <w:lang w:val="es-ES" w:eastAsia="es-CR"/>
        </w:rPr>
        <w:t xml:space="preserve"> Dirección de Planificación presentó la estimación de requerimientos para el 2022 en las Subpartidas 20102 Productos Farmacéuticos y Medicinales, 29905 Útiles y Materiales de Limpieza y 29906 Útiles y Materiales de Resguardo y Seguridad.  Al respecto el Consejo Superior dispuso, entre otros, lo siguiente:</w:t>
      </w:r>
    </w:p>
    <w:p w14:paraId="588906B5" w14:textId="77777777" w:rsidR="002A7673" w:rsidRPr="002A7673" w:rsidRDefault="002A7673" w:rsidP="002A7673">
      <w:pPr>
        <w:spacing w:before="120" w:after="120" w:line="240" w:lineRule="auto"/>
        <w:ind w:left="851" w:right="851" w:firstLine="709"/>
        <w:jc w:val="both"/>
        <w:rPr>
          <w:rFonts w:ascii="Times New Roman" w:eastAsia="Calibri" w:hAnsi="Times New Roman" w:cs="Times New Roman"/>
          <w:i/>
          <w:iCs/>
          <w:sz w:val="26"/>
          <w:szCs w:val="26"/>
          <w:lang w:val="es-ES_tradnl" w:eastAsia="ar-SA"/>
        </w:rPr>
      </w:pPr>
      <w:r w:rsidRPr="002A7673">
        <w:rPr>
          <w:rFonts w:ascii="Times New Roman" w:eastAsia="Calibri" w:hAnsi="Times New Roman" w:cs="Times New Roman"/>
          <w:i/>
          <w:iCs/>
          <w:sz w:val="26"/>
          <w:szCs w:val="26"/>
          <w:lang w:val="es-ES_tradnl" w:eastAsia="ar-SA"/>
        </w:rPr>
        <w:t>“(...) 2) La Dirección Ejecutiva hará una revisión del tipo de mascarillas N95 solicitadas en la formulación presupuestaria 2022, de acuerdo con el catálogo de artículos COVID que se elaboró a nivel institucional e informará lo que corresponda a la Dirección de Planificación. (…)”.</w:t>
      </w:r>
    </w:p>
    <w:p w14:paraId="1BD32952"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En relación con lo anterior, la Dirección Ejecutiva mediante oficio 1481-DE-2021, remitió el resultado de la revisión que se llevó a cabo reunión con la licenciada Ingrid Moya Aguilar, Jefa del Departamento de Proveeduría con respecto a los suministros relacionados con artículos de protección personal </w:t>
      </w:r>
      <w:r w:rsidRPr="002A7673">
        <w:rPr>
          <w:rFonts w:ascii="Times New Roman" w:eastAsia="Times New Roman" w:hAnsi="Times New Roman" w:cs="Times New Roman"/>
          <w:bCs/>
          <w:sz w:val="28"/>
          <w:szCs w:val="28"/>
          <w:lang w:val="es-ES" w:eastAsia="es-CR"/>
        </w:rPr>
        <w:lastRenderedPageBreak/>
        <w:t>formulados para el año 2022, que corresponden a mascarillas de diferentes tipos.</w:t>
      </w:r>
    </w:p>
    <w:p w14:paraId="0EE4E0EB" w14:textId="77777777" w:rsidR="002A7673" w:rsidRPr="002A7673" w:rsidRDefault="002A7673" w:rsidP="00EF57CF">
      <w:pPr>
        <w:pStyle w:val="AAgestin0"/>
        <w:jc w:val="center"/>
      </w:pPr>
      <w:r w:rsidRPr="002A7673">
        <w:object w:dxaOrig="1508" w:dyaOrig="984" w14:anchorId="3ECCDDDD">
          <v:shape id="_x0000_i1188" type="#_x0000_t75" style="width:77.25pt;height:51.75pt" o:ole="">
            <v:imagedata r:id="rId444" o:title=""/>
          </v:shape>
          <o:OLEObject Type="Embed" ProgID="AcroExch.Document.DC" ShapeID="_x0000_i1188" DrawAspect="Icon" ObjectID="_1684067131" r:id="rId445"/>
        </w:object>
      </w:r>
    </w:p>
    <w:p w14:paraId="7D955EB3"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En el citado oficio se indica que producto de esta revisión, por medio de correos de fecha 4 de mayo de 2021, el licenciado </w:t>
      </w:r>
      <w:proofErr w:type="spellStart"/>
      <w:r w:rsidRPr="002A7673">
        <w:rPr>
          <w:rFonts w:ascii="Times New Roman" w:eastAsia="Times New Roman" w:hAnsi="Times New Roman" w:cs="Times New Roman"/>
          <w:bCs/>
          <w:sz w:val="28"/>
          <w:szCs w:val="28"/>
          <w:lang w:val="es-ES" w:eastAsia="es-CR"/>
        </w:rPr>
        <w:t>Wesly</w:t>
      </w:r>
      <w:proofErr w:type="spellEnd"/>
      <w:r w:rsidRPr="002A7673">
        <w:rPr>
          <w:rFonts w:ascii="Times New Roman" w:eastAsia="Times New Roman" w:hAnsi="Times New Roman" w:cs="Times New Roman"/>
          <w:bCs/>
          <w:sz w:val="28"/>
          <w:szCs w:val="28"/>
          <w:lang w:val="es-ES" w:eastAsia="es-CR"/>
        </w:rPr>
        <w:t xml:space="preserve"> Barrientos Bermúdez, Profesional 1 del Proceso de Administración de Bienes del Departamento de Proveeduría, solicitó al Departamento de Planificación el ajuste en los siguientes artículos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3260"/>
        <w:gridCol w:w="3402"/>
      </w:tblGrid>
      <w:tr w:rsidR="002A7673" w:rsidRPr="002A7673" w14:paraId="22B91389" w14:textId="77777777" w:rsidTr="004F270D">
        <w:trPr>
          <w:trHeight w:val="112"/>
          <w:jc w:val="center"/>
        </w:trPr>
        <w:tc>
          <w:tcPr>
            <w:tcW w:w="1413" w:type="dxa"/>
          </w:tcPr>
          <w:p w14:paraId="665EF63B"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4"/>
                <w:szCs w:val="24"/>
                <w:lang w:val="es-ES_tradnl" w:eastAsia="ar-SA"/>
              </w:rPr>
            </w:pPr>
            <w:r w:rsidRPr="002A7673">
              <w:rPr>
                <w:rFonts w:ascii="Times New Roman" w:eastAsia="Times New Roman" w:hAnsi="Times New Roman" w:cs="Times New Roman"/>
                <w:b/>
                <w:bCs/>
                <w:color w:val="000000"/>
                <w:sz w:val="24"/>
                <w:szCs w:val="24"/>
                <w:lang w:val="es-ES_tradnl" w:eastAsia="ar-SA"/>
              </w:rPr>
              <w:t xml:space="preserve">Artículo </w:t>
            </w:r>
          </w:p>
        </w:tc>
        <w:tc>
          <w:tcPr>
            <w:tcW w:w="3260" w:type="dxa"/>
          </w:tcPr>
          <w:p w14:paraId="6419235A"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4"/>
                <w:szCs w:val="24"/>
                <w:lang w:val="es-ES_tradnl" w:eastAsia="ar-SA"/>
              </w:rPr>
            </w:pPr>
            <w:r w:rsidRPr="002A7673">
              <w:rPr>
                <w:rFonts w:ascii="Times New Roman" w:eastAsia="Times New Roman" w:hAnsi="Times New Roman" w:cs="Times New Roman"/>
                <w:b/>
                <w:bCs/>
                <w:color w:val="000000"/>
                <w:sz w:val="24"/>
                <w:szCs w:val="24"/>
                <w:lang w:val="es-ES_tradnl" w:eastAsia="ar-SA"/>
              </w:rPr>
              <w:t xml:space="preserve">Descripción </w:t>
            </w:r>
          </w:p>
        </w:tc>
        <w:tc>
          <w:tcPr>
            <w:tcW w:w="3402" w:type="dxa"/>
          </w:tcPr>
          <w:p w14:paraId="336E1F71"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4"/>
                <w:szCs w:val="24"/>
                <w:lang w:val="es-ES_tradnl" w:eastAsia="ar-SA"/>
              </w:rPr>
            </w:pPr>
            <w:r w:rsidRPr="002A7673">
              <w:rPr>
                <w:rFonts w:ascii="Times New Roman" w:eastAsia="Times New Roman" w:hAnsi="Times New Roman" w:cs="Times New Roman"/>
                <w:b/>
                <w:bCs/>
                <w:color w:val="000000"/>
                <w:sz w:val="24"/>
                <w:szCs w:val="24"/>
                <w:lang w:val="es-ES_tradnl" w:eastAsia="ar-SA"/>
              </w:rPr>
              <w:t xml:space="preserve">Precio ajustado </w:t>
            </w:r>
          </w:p>
        </w:tc>
      </w:tr>
      <w:tr w:rsidR="002A7673" w:rsidRPr="002A7673" w14:paraId="5FC58FA0" w14:textId="77777777" w:rsidTr="004F270D">
        <w:trPr>
          <w:trHeight w:val="250"/>
          <w:jc w:val="center"/>
        </w:trPr>
        <w:tc>
          <w:tcPr>
            <w:tcW w:w="1413" w:type="dxa"/>
          </w:tcPr>
          <w:p w14:paraId="312F2E4F"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4"/>
                <w:szCs w:val="24"/>
                <w:lang w:val="es-ES_tradnl" w:eastAsia="ar-SA"/>
              </w:rPr>
            </w:pPr>
            <w:r w:rsidRPr="002A7673">
              <w:rPr>
                <w:rFonts w:ascii="Times New Roman" w:eastAsia="Times New Roman" w:hAnsi="Times New Roman" w:cs="Times New Roman"/>
                <w:color w:val="000000"/>
                <w:sz w:val="24"/>
                <w:szCs w:val="24"/>
                <w:lang w:val="es-ES_tradnl" w:eastAsia="ar-SA"/>
              </w:rPr>
              <w:t xml:space="preserve">21292 </w:t>
            </w:r>
          </w:p>
        </w:tc>
        <w:tc>
          <w:tcPr>
            <w:tcW w:w="3260" w:type="dxa"/>
          </w:tcPr>
          <w:p w14:paraId="7A1067BC"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4"/>
                <w:szCs w:val="24"/>
                <w:lang w:val="es-ES_tradnl" w:eastAsia="ar-SA"/>
              </w:rPr>
            </w:pPr>
            <w:r w:rsidRPr="002A7673">
              <w:rPr>
                <w:rFonts w:ascii="Times New Roman" w:eastAsia="Times New Roman" w:hAnsi="Times New Roman" w:cs="Times New Roman"/>
                <w:color w:val="000000"/>
                <w:sz w:val="24"/>
                <w:szCs w:val="24"/>
                <w:lang w:val="es-ES_tradnl" w:eastAsia="ar-SA"/>
              </w:rPr>
              <w:t xml:space="preserve">Mascarilla quirúrgica caja con 50 unidades </w:t>
            </w:r>
          </w:p>
        </w:tc>
        <w:tc>
          <w:tcPr>
            <w:tcW w:w="3402" w:type="dxa"/>
          </w:tcPr>
          <w:p w14:paraId="62688BBC"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4"/>
                <w:szCs w:val="24"/>
                <w:lang w:val="es-ES_tradnl" w:eastAsia="ar-SA"/>
              </w:rPr>
            </w:pPr>
            <w:r w:rsidRPr="002A7673">
              <w:rPr>
                <w:rFonts w:ascii="Times New Roman" w:eastAsia="Times New Roman" w:hAnsi="Times New Roman" w:cs="Times New Roman"/>
                <w:color w:val="000000"/>
                <w:sz w:val="24"/>
                <w:szCs w:val="24"/>
                <w:lang w:val="es-ES_tradnl" w:eastAsia="ar-SA"/>
              </w:rPr>
              <w:t xml:space="preserve">13.000 colones por caja. </w:t>
            </w:r>
          </w:p>
        </w:tc>
      </w:tr>
      <w:tr w:rsidR="002A7673" w:rsidRPr="002A7673" w14:paraId="66FCDCEE" w14:textId="77777777" w:rsidTr="004F270D">
        <w:trPr>
          <w:trHeight w:val="250"/>
          <w:jc w:val="center"/>
        </w:trPr>
        <w:tc>
          <w:tcPr>
            <w:tcW w:w="1413" w:type="dxa"/>
          </w:tcPr>
          <w:p w14:paraId="3923CF48"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4"/>
                <w:szCs w:val="24"/>
                <w:lang w:val="es-ES_tradnl" w:eastAsia="ar-SA"/>
              </w:rPr>
            </w:pPr>
            <w:r w:rsidRPr="002A7673">
              <w:rPr>
                <w:rFonts w:ascii="Times New Roman" w:eastAsia="Times New Roman" w:hAnsi="Times New Roman" w:cs="Times New Roman"/>
                <w:color w:val="000000"/>
                <w:sz w:val="24"/>
                <w:szCs w:val="24"/>
                <w:lang w:val="es-ES_tradnl" w:eastAsia="ar-SA"/>
              </w:rPr>
              <w:t xml:space="preserve">21197 </w:t>
            </w:r>
          </w:p>
        </w:tc>
        <w:tc>
          <w:tcPr>
            <w:tcW w:w="3260" w:type="dxa"/>
          </w:tcPr>
          <w:p w14:paraId="2DD3D50C"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4"/>
                <w:szCs w:val="24"/>
                <w:lang w:val="es-ES_tradnl" w:eastAsia="ar-SA"/>
              </w:rPr>
            </w:pPr>
            <w:r w:rsidRPr="002A7673">
              <w:rPr>
                <w:rFonts w:ascii="Times New Roman" w:eastAsia="Times New Roman" w:hAnsi="Times New Roman" w:cs="Times New Roman"/>
                <w:color w:val="000000"/>
                <w:sz w:val="24"/>
                <w:szCs w:val="24"/>
                <w:lang w:val="es-ES_tradnl" w:eastAsia="ar-SA"/>
              </w:rPr>
              <w:t xml:space="preserve">Mascarilla N95 </w:t>
            </w:r>
          </w:p>
        </w:tc>
        <w:tc>
          <w:tcPr>
            <w:tcW w:w="3402" w:type="dxa"/>
          </w:tcPr>
          <w:p w14:paraId="32A109AC" w14:textId="77777777" w:rsidR="002A7673" w:rsidRPr="002A7673" w:rsidRDefault="002A7673" w:rsidP="002A7673">
            <w:pPr>
              <w:suppressAutoHyphens/>
              <w:autoSpaceDE w:val="0"/>
              <w:autoSpaceDN w:val="0"/>
              <w:adjustRightInd w:val="0"/>
              <w:spacing w:after="0" w:line="240" w:lineRule="auto"/>
              <w:rPr>
                <w:rFonts w:ascii="Times New Roman" w:eastAsia="Times New Roman" w:hAnsi="Times New Roman" w:cs="Times New Roman"/>
                <w:color w:val="000000"/>
                <w:sz w:val="24"/>
                <w:szCs w:val="24"/>
                <w:lang w:val="es-ES_tradnl" w:eastAsia="ar-SA"/>
              </w:rPr>
            </w:pPr>
            <w:r w:rsidRPr="002A7673">
              <w:rPr>
                <w:rFonts w:ascii="Times New Roman" w:eastAsia="Times New Roman" w:hAnsi="Times New Roman" w:cs="Times New Roman"/>
                <w:color w:val="000000"/>
                <w:sz w:val="24"/>
                <w:szCs w:val="24"/>
                <w:lang w:val="es-ES_tradnl" w:eastAsia="ar-SA"/>
              </w:rPr>
              <w:t xml:space="preserve">800.00 colones por unidad. </w:t>
            </w:r>
          </w:p>
        </w:tc>
      </w:tr>
    </w:tbl>
    <w:p w14:paraId="0DB48150" w14:textId="77777777" w:rsidR="002A7673" w:rsidRPr="002A7673" w:rsidRDefault="002A7673" w:rsidP="002A7673">
      <w:pPr>
        <w:suppressAutoHyphens/>
        <w:rPr>
          <w:rFonts w:ascii="Times New Roman" w:eastAsia="Times New Roman" w:hAnsi="Times New Roman" w:cs="Times New Roman"/>
          <w:b/>
          <w:sz w:val="28"/>
          <w:szCs w:val="28"/>
          <w:lang w:val="es-ES_tradnl" w:eastAsia="ar-SA"/>
        </w:rPr>
      </w:pPr>
    </w:p>
    <w:p w14:paraId="60D18E49" w14:textId="77777777" w:rsidR="002A7673" w:rsidRPr="002A7673" w:rsidRDefault="002A7673" w:rsidP="002A7673">
      <w:pPr>
        <w:suppressAutoHyphens/>
        <w:ind w:left="720"/>
        <w:jc w:val="center"/>
        <w:rPr>
          <w:rFonts w:ascii="Times New Roman" w:eastAsia="Times New Roman" w:hAnsi="Times New Roman" w:cs="Times New Roman"/>
          <w:bCs/>
          <w:sz w:val="28"/>
          <w:szCs w:val="28"/>
          <w:lang w:val="es-ES" w:eastAsia="ar-SA"/>
        </w:rPr>
      </w:pPr>
      <w:r w:rsidRPr="002A7673">
        <w:rPr>
          <w:rFonts w:ascii="Times New Roman" w:eastAsia="Times New Roman" w:hAnsi="Times New Roman" w:cs="Times New Roman"/>
          <w:bCs/>
          <w:sz w:val="28"/>
          <w:szCs w:val="28"/>
          <w:lang w:val="es-ES" w:eastAsia="ar-SA"/>
        </w:rPr>
        <w:t>-0-</w:t>
      </w:r>
    </w:p>
    <w:p w14:paraId="624C7782"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Por lo anterior, es importante señalar que si bien en el artículo III de esta sesión, se consignó que la Subpartida 29906 Útiles y Materiales de Resguardo y Seguridad, presentó un aumento de ₡168,6 millones para el 2022, con un aumento del 27,46%, se tiene </w:t>
      </w:r>
      <w:proofErr w:type="gramStart"/>
      <w:r w:rsidRPr="002A7673">
        <w:rPr>
          <w:rFonts w:ascii="Times New Roman" w:eastAsia="Times New Roman" w:hAnsi="Times New Roman" w:cs="Times New Roman"/>
          <w:bCs/>
          <w:sz w:val="28"/>
          <w:szCs w:val="28"/>
          <w:lang w:val="es-ES" w:eastAsia="es-CR"/>
        </w:rPr>
        <w:t>que</w:t>
      </w:r>
      <w:proofErr w:type="gramEnd"/>
      <w:r w:rsidRPr="002A7673">
        <w:rPr>
          <w:rFonts w:ascii="Times New Roman" w:eastAsia="Times New Roman" w:hAnsi="Times New Roman" w:cs="Times New Roman"/>
          <w:bCs/>
          <w:sz w:val="28"/>
          <w:szCs w:val="28"/>
          <w:lang w:val="es-ES" w:eastAsia="es-CR"/>
        </w:rPr>
        <w:t xml:space="preserve"> una vez realizados los ajustes correspondientes, derivados de la revisión efectuada por la Dirección Ejecutiva, el comportamiento final es el siguiente:</w:t>
      </w:r>
    </w:p>
    <w:p w14:paraId="2A91B322" w14:textId="77777777" w:rsidR="002A7673" w:rsidRPr="002A7673" w:rsidRDefault="002A7673" w:rsidP="002A7673">
      <w:pPr>
        <w:spacing w:after="0" w:line="240" w:lineRule="auto"/>
        <w:jc w:val="center"/>
        <w:textAlignment w:val="baseline"/>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lastRenderedPageBreak/>
        <w:t>Comportamiento Histórico de la Subpartida 29906 Útiles y Materiales de Resguardo y Seguridad, Periodo 2021-2022</w:t>
      </w:r>
    </w:p>
    <w:p w14:paraId="3291F153" w14:textId="77777777" w:rsidR="002A7673" w:rsidRPr="002A7673" w:rsidRDefault="002A7673" w:rsidP="002A7673">
      <w:pPr>
        <w:suppressAutoHyphens/>
        <w:spacing w:after="0" w:line="240" w:lineRule="auto"/>
        <w:rPr>
          <w:rFonts w:ascii="Times New Roman" w:eastAsia="Times New Roman" w:hAnsi="Times New Roman" w:cs="Times New Roman"/>
          <w:b/>
          <w:sz w:val="24"/>
          <w:szCs w:val="24"/>
          <w:lang w:val="es-ES_tradnl" w:eastAsia="ar-SA"/>
        </w:rPr>
      </w:pPr>
      <w:r w:rsidRPr="002A7673">
        <w:rPr>
          <w:rFonts w:ascii="Times New Roman" w:eastAsia="Times New Roman" w:hAnsi="Times New Roman" w:cs="Times New Roman"/>
          <w:noProof/>
          <w:sz w:val="20"/>
          <w:szCs w:val="20"/>
          <w:lang w:val="es-ES_tradnl" w:eastAsia="ar-SA"/>
        </w:rPr>
        <w:drawing>
          <wp:inline distT="0" distB="0" distL="0" distR="0" wp14:anchorId="7BB87AA3" wp14:editId="6F45AD22">
            <wp:extent cx="5619750" cy="457200"/>
            <wp:effectExtent l="0" t="0" r="0" b="0"/>
            <wp:docPr id="4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619750" cy="457200"/>
                    </a:xfrm>
                    <a:prstGeom prst="rect">
                      <a:avLst/>
                    </a:prstGeom>
                    <a:noFill/>
                    <a:ln>
                      <a:noFill/>
                    </a:ln>
                  </pic:spPr>
                </pic:pic>
              </a:graphicData>
            </a:graphic>
          </wp:inline>
        </w:drawing>
      </w:r>
    </w:p>
    <w:p w14:paraId="23E3CC0E" w14:textId="77777777" w:rsidR="002A7673" w:rsidRPr="002A7673" w:rsidRDefault="002A7673" w:rsidP="002A7673">
      <w:pPr>
        <w:suppressAutoHyphens/>
        <w:spacing w:after="0" w:line="240" w:lineRule="auto"/>
        <w:rPr>
          <w:rFonts w:ascii="Times New Roman" w:eastAsia="Times New Roman" w:hAnsi="Times New Roman" w:cs="Times New Roman"/>
          <w:sz w:val="16"/>
          <w:szCs w:val="24"/>
          <w:lang w:val="es-ES_tradnl" w:eastAsia="ar-SA"/>
        </w:rPr>
      </w:pPr>
      <w:r w:rsidRPr="002A7673">
        <w:rPr>
          <w:rFonts w:ascii="Times New Roman" w:eastAsia="Times New Roman" w:hAnsi="Times New Roman" w:cs="Times New Roman"/>
          <w:b/>
          <w:bCs/>
          <w:sz w:val="16"/>
          <w:szCs w:val="24"/>
          <w:lang w:val="es-ES_tradnl" w:eastAsia="ar-SA"/>
        </w:rPr>
        <w:t xml:space="preserve">    Fuente:</w:t>
      </w:r>
      <w:r w:rsidRPr="002A7673">
        <w:rPr>
          <w:rFonts w:ascii="Times New Roman" w:eastAsia="Times New Roman" w:hAnsi="Times New Roman" w:cs="Times New Roman"/>
          <w:sz w:val="16"/>
          <w:szCs w:val="24"/>
          <w:lang w:val="es-ES_tradnl" w:eastAsia="ar-SA"/>
        </w:rPr>
        <w:t xml:space="preserve"> Sistema SIGA-PJ.</w:t>
      </w:r>
    </w:p>
    <w:p w14:paraId="7517F2D3" w14:textId="77777777" w:rsidR="002A7673" w:rsidRPr="002A7673" w:rsidRDefault="002A7673" w:rsidP="002A7673">
      <w:pPr>
        <w:suppressAutoHyphens/>
        <w:rPr>
          <w:rFonts w:ascii="Times New Roman" w:eastAsia="Times New Roman" w:hAnsi="Times New Roman" w:cs="Times New Roman"/>
          <w:bCs/>
          <w:sz w:val="28"/>
          <w:szCs w:val="28"/>
          <w:lang w:val="es-ES_tradnl" w:eastAsia="ar-SA"/>
        </w:rPr>
      </w:pPr>
    </w:p>
    <w:p w14:paraId="32CB7C45" w14:textId="77777777" w:rsidR="002A7673" w:rsidRPr="002A7673" w:rsidRDefault="002A7673" w:rsidP="002A7673">
      <w:pPr>
        <w:suppressAutoHyphens/>
        <w:spacing w:after="0" w:line="480" w:lineRule="auto"/>
        <w:ind w:firstLine="708"/>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A nivel de Programa Presupuestario, a </w:t>
      </w:r>
      <w:proofErr w:type="gramStart"/>
      <w:r w:rsidRPr="002A7673">
        <w:rPr>
          <w:rFonts w:ascii="Times New Roman" w:eastAsia="Times New Roman" w:hAnsi="Times New Roman" w:cs="Times New Roman"/>
          <w:bCs/>
          <w:sz w:val="28"/>
          <w:szCs w:val="28"/>
          <w:lang w:val="es-ES_tradnl" w:eastAsia="ar-SA"/>
        </w:rPr>
        <w:t>continuación</w:t>
      </w:r>
      <w:proofErr w:type="gramEnd"/>
      <w:r w:rsidRPr="002A7673">
        <w:rPr>
          <w:rFonts w:ascii="Times New Roman" w:eastAsia="Times New Roman" w:hAnsi="Times New Roman" w:cs="Times New Roman"/>
          <w:bCs/>
          <w:sz w:val="28"/>
          <w:szCs w:val="28"/>
          <w:lang w:val="es-ES_tradnl" w:eastAsia="ar-SA"/>
        </w:rPr>
        <w:t xml:space="preserve"> se aprecia su distribución:</w:t>
      </w:r>
    </w:p>
    <w:p w14:paraId="436B2108" w14:textId="77777777" w:rsidR="002A7673" w:rsidRPr="002A7673" w:rsidRDefault="002A7673" w:rsidP="002A7673">
      <w:pPr>
        <w:spacing w:after="0" w:line="240" w:lineRule="auto"/>
        <w:jc w:val="center"/>
        <w:textAlignment w:val="baseline"/>
        <w:rPr>
          <w:rFonts w:ascii="Times New Roman" w:eastAsia="Times New Roman" w:hAnsi="Times New Roman" w:cs="Times New Roman"/>
          <w:sz w:val="24"/>
          <w:szCs w:val="24"/>
          <w:lang w:eastAsia="es-CR"/>
        </w:rPr>
      </w:pPr>
    </w:p>
    <w:p w14:paraId="7FDF120F" w14:textId="77777777" w:rsidR="002A7673" w:rsidRPr="002A7673" w:rsidRDefault="002A7673" w:rsidP="002A7673">
      <w:pPr>
        <w:spacing w:after="0" w:line="240" w:lineRule="auto"/>
        <w:jc w:val="center"/>
        <w:textAlignment w:val="baseline"/>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Formulación Presupuestaria por Programa Presupuestario</w:t>
      </w:r>
    </w:p>
    <w:p w14:paraId="2BC4C7B4" w14:textId="77777777" w:rsidR="002A7673" w:rsidRPr="002A7673" w:rsidRDefault="002A7673" w:rsidP="002A7673">
      <w:pPr>
        <w:spacing w:after="0" w:line="240" w:lineRule="auto"/>
        <w:jc w:val="center"/>
        <w:textAlignment w:val="baseline"/>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 xml:space="preserve">Subpartida 29906 Útiles y Materiales de Resguardo y Seguridad, </w:t>
      </w:r>
    </w:p>
    <w:p w14:paraId="372E20C7" w14:textId="77777777" w:rsidR="002A7673" w:rsidRPr="002A7673" w:rsidRDefault="002A7673" w:rsidP="002A7673">
      <w:pPr>
        <w:spacing w:after="0" w:line="240" w:lineRule="auto"/>
        <w:jc w:val="center"/>
        <w:textAlignment w:val="baseline"/>
        <w:rPr>
          <w:rFonts w:ascii="Times New Roman" w:eastAsia="Times New Roman" w:hAnsi="Times New Roman" w:cs="Times New Roman"/>
          <w:b/>
          <w:bCs/>
          <w:sz w:val="24"/>
          <w:szCs w:val="24"/>
          <w:lang w:eastAsia="es-CR"/>
        </w:rPr>
      </w:pPr>
      <w:r w:rsidRPr="002A7673">
        <w:rPr>
          <w:rFonts w:ascii="Times New Roman" w:eastAsia="Times New Roman" w:hAnsi="Times New Roman" w:cs="Times New Roman"/>
          <w:b/>
          <w:bCs/>
          <w:sz w:val="24"/>
          <w:szCs w:val="24"/>
          <w:lang w:eastAsia="es-CR"/>
        </w:rPr>
        <w:t>Periodo 2021-2022</w:t>
      </w:r>
    </w:p>
    <w:p w14:paraId="7FAC4AB4" w14:textId="77777777" w:rsidR="002A7673" w:rsidRPr="002A7673" w:rsidRDefault="002A7673" w:rsidP="002A7673">
      <w:pPr>
        <w:suppressAutoHyphens/>
        <w:spacing w:after="0" w:line="480" w:lineRule="auto"/>
        <w:jc w:val="both"/>
        <w:rPr>
          <w:rFonts w:ascii="Times New Roman" w:eastAsia="Times New Roman" w:hAnsi="Times New Roman" w:cs="Times New Roman"/>
          <w:b/>
          <w:sz w:val="28"/>
          <w:szCs w:val="28"/>
          <w:lang w:val="es-ES_tradnl" w:eastAsia="ar-SA"/>
        </w:rPr>
      </w:pPr>
      <w:r w:rsidRPr="002A7673">
        <w:rPr>
          <w:rFonts w:ascii="Times New Roman" w:eastAsia="Times New Roman" w:hAnsi="Times New Roman" w:cs="Times New Roman"/>
          <w:noProof/>
          <w:sz w:val="20"/>
          <w:szCs w:val="20"/>
          <w:lang w:val="es-ES_tradnl" w:eastAsia="ar-SA"/>
        </w:rPr>
        <w:drawing>
          <wp:inline distT="0" distB="0" distL="0" distR="0" wp14:anchorId="5F0FDD2C" wp14:editId="7EA4C981">
            <wp:extent cx="5619750" cy="1362075"/>
            <wp:effectExtent l="0" t="0" r="0" b="0"/>
            <wp:docPr id="40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619750" cy="1362075"/>
                    </a:xfrm>
                    <a:prstGeom prst="rect">
                      <a:avLst/>
                    </a:prstGeom>
                    <a:noFill/>
                    <a:ln>
                      <a:noFill/>
                    </a:ln>
                  </pic:spPr>
                </pic:pic>
              </a:graphicData>
            </a:graphic>
          </wp:inline>
        </w:drawing>
      </w:r>
    </w:p>
    <w:p w14:paraId="0FBAE87C"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El crecimiento que se presenta en los programas presupuestarios en la subpartida 29906 Útiles y Materiales de Resguardo y Seguridad muestra que para el 2022 aún se continuará con las medidas sanitarias producto de la pandemia del Covid-19, lo que incrementa la compra de trajes descartables completos, guantes, mascarillas y caretas, como medida de protección.  Si bien en el caso del OIJ se aprecia una disminución, esto obedece al ajuste en los precios del artículo mascarilla N-95, como se explicó con anterioridad. </w:t>
      </w:r>
    </w:p>
    <w:p w14:paraId="107591BA"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
          <w:bCs/>
          <w:sz w:val="28"/>
          <w:szCs w:val="28"/>
          <w:lang w:val="es-ES" w:eastAsia="es-CR"/>
        </w:rPr>
      </w:pPr>
      <w:r w:rsidRPr="002A7673">
        <w:rPr>
          <w:rFonts w:ascii="Times New Roman" w:eastAsia="Times New Roman" w:hAnsi="Times New Roman" w:cs="Times New Roman"/>
          <w:bCs/>
          <w:sz w:val="28"/>
          <w:szCs w:val="28"/>
          <w:lang w:val="es-ES" w:eastAsia="es-CR"/>
        </w:rPr>
        <w:t>Finalmente, a continuación, se presenta el detalle por Centro de Responsabilidad del total de recursos asociados a esta subpartida para el 2022:</w:t>
      </w:r>
    </w:p>
    <w:p w14:paraId="09643449" w14:textId="77777777" w:rsidR="002A7673" w:rsidRPr="002A7673" w:rsidRDefault="002A7673" w:rsidP="002A7673">
      <w:pPr>
        <w:suppressAutoHyphens/>
        <w:jc w:val="center"/>
        <w:rPr>
          <w:rFonts w:ascii="Times New Roman" w:eastAsia="Times New Roman" w:hAnsi="Times New Roman" w:cs="Times New Roman"/>
          <w:b/>
          <w:sz w:val="28"/>
          <w:szCs w:val="28"/>
          <w:lang w:val="es-ES_tradnl" w:eastAsia="ar-SA"/>
        </w:rPr>
      </w:pPr>
      <w:r w:rsidRPr="002A7673">
        <w:rPr>
          <w:rFonts w:ascii="Times New Roman" w:eastAsia="Times New Roman" w:hAnsi="Times New Roman" w:cs="Times New Roman"/>
          <w:noProof/>
          <w:sz w:val="20"/>
          <w:szCs w:val="20"/>
          <w:lang w:val="es-ES_tradnl" w:eastAsia="ar-SA"/>
        </w:rPr>
        <w:lastRenderedPageBreak/>
        <w:drawing>
          <wp:inline distT="0" distB="0" distL="0" distR="0" wp14:anchorId="12D368FB" wp14:editId="536F1643">
            <wp:extent cx="4808380" cy="5673725"/>
            <wp:effectExtent l="0" t="0" r="0" b="3175"/>
            <wp:docPr id="40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809658" cy="5675233"/>
                    </a:xfrm>
                    <a:prstGeom prst="rect">
                      <a:avLst/>
                    </a:prstGeom>
                    <a:noFill/>
                    <a:ln>
                      <a:noFill/>
                    </a:ln>
                  </pic:spPr>
                </pic:pic>
              </a:graphicData>
            </a:graphic>
          </wp:inline>
        </w:drawing>
      </w:r>
    </w:p>
    <w:p w14:paraId="64369255" w14:textId="77777777" w:rsidR="002A7673" w:rsidRPr="002A7673" w:rsidRDefault="002A7673" w:rsidP="002A7673">
      <w:pPr>
        <w:suppressAutoHyphens/>
        <w:spacing w:after="0" w:line="480" w:lineRule="auto"/>
        <w:jc w:val="both"/>
        <w:rPr>
          <w:rFonts w:ascii="Times New Roman" w:eastAsia="Times New Roman" w:hAnsi="Times New Roman" w:cs="Times New Roman"/>
          <w:b/>
          <w:sz w:val="28"/>
          <w:szCs w:val="28"/>
          <w:lang w:val="es-ES_tradnl" w:eastAsia="ar-SA"/>
        </w:rPr>
      </w:pPr>
    </w:p>
    <w:p w14:paraId="1C98C177"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Necesidades de Leyes Especiales</w:t>
      </w:r>
    </w:p>
    <w:p w14:paraId="2B42AC00"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Como parte del análisis efectuado por el Consejo Superior en la reunión de trabajo de este 23 de abril, dada la dificultad de los últimos años para incorporar recursos adicionales a la solicitud de presupuesto ordinario que se envía por el Poder Judicial al Ministerio de Hacienda. Se hace necesario y fundamental, </w:t>
      </w:r>
      <w:r w:rsidRPr="002A7673">
        <w:rPr>
          <w:rFonts w:ascii="Times New Roman" w:eastAsia="Times New Roman" w:hAnsi="Times New Roman" w:cs="Times New Roman"/>
          <w:bCs/>
          <w:sz w:val="28"/>
          <w:szCs w:val="28"/>
          <w:lang w:val="es-ES_tradnl" w:eastAsia="ar-SA"/>
        </w:rPr>
        <w:lastRenderedPageBreak/>
        <w:t xml:space="preserve">revisar el contenido de las necesidades fundamentales que se requieren para su implementación y valorando la posibilidad, de asignar recursos, partiendo del límite presupuestario indicado por el Ministerio de Hacienda en bienes </w:t>
      </w:r>
      <w:proofErr w:type="gramStart"/>
      <w:r w:rsidRPr="002A7673">
        <w:rPr>
          <w:rFonts w:ascii="Times New Roman" w:eastAsia="Times New Roman" w:hAnsi="Times New Roman" w:cs="Times New Roman"/>
          <w:bCs/>
          <w:sz w:val="28"/>
          <w:szCs w:val="28"/>
          <w:lang w:val="es-ES_tradnl" w:eastAsia="ar-SA"/>
        </w:rPr>
        <w:t>de  capital</w:t>
      </w:r>
      <w:proofErr w:type="gramEnd"/>
      <w:r w:rsidRPr="002A7673">
        <w:rPr>
          <w:rFonts w:ascii="Times New Roman" w:eastAsia="Times New Roman" w:hAnsi="Times New Roman" w:cs="Times New Roman"/>
          <w:bCs/>
          <w:sz w:val="28"/>
          <w:szCs w:val="28"/>
          <w:lang w:val="es-ES_tradnl" w:eastAsia="ar-SA"/>
        </w:rPr>
        <w:t>, se analizan  y priorizan  los recursos solicitados:</w:t>
      </w:r>
    </w:p>
    <w:p w14:paraId="37CD5790"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sz w:val="20"/>
          <w:szCs w:val="20"/>
          <w:lang w:val="es-ES_tradnl" w:eastAsia="ar-SA"/>
        </w:rPr>
      </w:pPr>
    </w:p>
    <w:p w14:paraId="5BA507CD" w14:textId="77777777" w:rsidR="002A7673" w:rsidRPr="002A7673" w:rsidRDefault="002A7673" w:rsidP="00F962B6">
      <w:pPr>
        <w:numPr>
          <w:ilvl w:val="0"/>
          <w:numId w:val="96"/>
        </w:numPr>
        <w:suppressAutoHyphens/>
        <w:spacing w:after="0" w:line="480" w:lineRule="auto"/>
        <w:ind w:left="0" w:firstLine="0"/>
        <w:jc w:val="both"/>
        <w:rPr>
          <w:rFonts w:ascii="Times New Roman" w:eastAsia="Times New Roman" w:hAnsi="Times New Roman" w:cs="Times New Roman"/>
          <w:b/>
          <w:sz w:val="28"/>
          <w:szCs w:val="28"/>
          <w:highlight w:val="lightGray"/>
          <w:lang w:val="es-ES" w:eastAsia="es-CR"/>
        </w:rPr>
      </w:pPr>
      <w:r w:rsidRPr="002A7673">
        <w:rPr>
          <w:rFonts w:ascii="Times New Roman" w:eastAsia="Times New Roman" w:hAnsi="Times New Roman" w:cs="Times New Roman"/>
          <w:b/>
          <w:sz w:val="28"/>
          <w:szCs w:val="28"/>
          <w:highlight w:val="lightGray"/>
          <w:lang w:val="es-ES" w:eastAsia="es-CR"/>
        </w:rPr>
        <w:t xml:space="preserve">Ley de Crimen Organizado </w:t>
      </w:r>
    </w:p>
    <w:p w14:paraId="6529312A"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Los recursos requeridos para esta ley son sumamente importantes para atender el flagelo de la delincuencia organizada en este país, sin embargo, a la fecha ha sido imposible que la Asamblea Legislativa le asigne recursos al Poder Judicial para atender esta necesidad. Por tanto, realizando un esfuerzo </w:t>
      </w:r>
      <w:proofErr w:type="gramStart"/>
      <w:r w:rsidRPr="002A7673">
        <w:rPr>
          <w:rFonts w:ascii="Times New Roman" w:eastAsia="Times New Roman" w:hAnsi="Times New Roman" w:cs="Times New Roman"/>
          <w:bCs/>
          <w:sz w:val="28"/>
          <w:szCs w:val="28"/>
          <w:lang w:val="es-ES" w:eastAsia="es-CR"/>
        </w:rPr>
        <w:t>institucional ,</w:t>
      </w:r>
      <w:proofErr w:type="gramEnd"/>
      <w:r w:rsidRPr="002A7673">
        <w:rPr>
          <w:rFonts w:ascii="Times New Roman" w:eastAsia="Times New Roman" w:hAnsi="Times New Roman" w:cs="Times New Roman"/>
          <w:bCs/>
          <w:sz w:val="28"/>
          <w:szCs w:val="28"/>
          <w:lang w:val="es-ES" w:eastAsia="es-CR"/>
        </w:rPr>
        <w:t xml:space="preserve"> se están incluyendo los recursos al presupuestario ordinario para atender las necesidades primarias en infraestructura.  En relación con este tema, mediante oficio 1413-DE-2021 de este 29 de abril de 2021, la Dirección Ejecutiva informó que según la reunión sostenida con la Subdirectora Ejecutiva, Máster Dinorah Alvarez Acosta, se remite los montos actualizados de los proyectos de remodelación de los Tribunales de Justicia de San José, con motivo de la implementación de la Ley Especializada contra la Delincuencia Organizada, estos proyectos son paralelos pero requeridos según los requerimientos y necesidades externadas por los entes técnicos y oficinas que participan en dicha implementación. </w:t>
      </w:r>
    </w:p>
    <w:p w14:paraId="78501576" w14:textId="77777777" w:rsidR="002A7673" w:rsidRPr="002A7673" w:rsidRDefault="002A7673" w:rsidP="002A7673">
      <w:pPr>
        <w:suppressAutoHyphens/>
        <w:spacing w:after="0" w:line="480" w:lineRule="auto"/>
        <w:ind w:left="57"/>
        <w:jc w:val="both"/>
        <w:rPr>
          <w:rFonts w:ascii="Times New Roman" w:eastAsia="Times New Roman" w:hAnsi="Times New Roman" w:cs="Times New Roman"/>
          <w:b/>
          <w:bCs/>
          <w:i/>
          <w:iCs/>
          <w:sz w:val="28"/>
          <w:szCs w:val="28"/>
          <w:lang w:val="es-ES_tradnl" w:eastAsia="ar-SA"/>
        </w:rPr>
      </w:pPr>
      <w:r w:rsidRPr="002A7673">
        <w:rPr>
          <w:rFonts w:ascii="Times New Roman" w:eastAsia="Times New Roman" w:hAnsi="Times New Roman" w:cs="Times New Roman"/>
          <w:b/>
          <w:bCs/>
          <w:i/>
          <w:iCs/>
          <w:sz w:val="28"/>
          <w:szCs w:val="28"/>
          <w:lang w:val="es-ES_tradnl" w:eastAsia="ar-SA"/>
        </w:rPr>
        <w:lastRenderedPageBreak/>
        <w:t xml:space="preserve">“(…) </w:t>
      </w:r>
    </w:p>
    <w:p w14:paraId="33543DB7" w14:textId="77777777" w:rsidR="002A7673" w:rsidRPr="002A7673" w:rsidRDefault="002A7673" w:rsidP="00F962B6">
      <w:pPr>
        <w:widowControl w:val="0"/>
        <w:numPr>
          <w:ilvl w:val="0"/>
          <w:numId w:val="95"/>
        </w:numPr>
        <w:suppressAutoHyphens/>
        <w:autoSpaceDE w:val="0"/>
        <w:autoSpaceDN w:val="0"/>
        <w:adjustRightInd w:val="0"/>
        <w:spacing w:after="0" w:line="480" w:lineRule="auto"/>
        <w:ind w:left="57"/>
        <w:jc w:val="both"/>
        <w:rPr>
          <w:rFonts w:ascii="Times New Roman" w:eastAsia="Times New Roman" w:hAnsi="Times New Roman" w:cs="Times New Roman"/>
          <w:b/>
          <w:bCs/>
          <w:i/>
          <w:iCs/>
          <w:sz w:val="28"/>
          <w:szCs w:val="28"/>
          <w:lang w:eastAsia="ar-SA"/>
        </w:rPr>
      </w:pPr>
      <w:r w:rsidRPr="002A7673">
        <w:rPr>
          <w:rFonts w:ascii="Times New Roman" w:eastAsia="Times New Roman" w:hAnsi="Times New Roman" w:cs="Times New Roman"/>
          <w:b/>
          <w:bCs/>
          <w:i/>
          <w:iCs/>
          <w:sz w:val="28"/>
          <w:szCs w:val="28"/>
          <w:lang w:eastAsia="ar-SA"/>
        </w:rPr>
        <w:t>Requerimiento de presupuesto</w:t>
      </w:r>
    </w:p>
    <w:p w14:paraId="41D0540C" w14:textId="77777777" w:rsidR="002A7673" w:rsidRPr="002A7673" w:rsidRDefault="002A7673" w:rsidP="002A7673">
      <w:pPr>
        <w:spacing w:before="120" w:after="120" w:line="240" w:lineRule="auto"/>
        <w:ind w:left="851" w:right="851" w:firstLine="709"/>
        <w:jc w:val="both"/>
        <w:rPr>
          <w:rFonts w:ascii="Times New Roman" w:eastAsia="Times New Roman" w:hAnsi="Times New Roman" w:cs="Times New Roman"/>
          <w:i/>
          <w:iCs/>
          <w:sz w:val="26"/>
          <w:szCs w:val="26"/>
          <w:lang w:val="es-ES_tradnl" w:eastAsia="ar-SA"/>
        </w:rPr>
      </w:pPr>
      <w:r w:rsidRPr="002A7673">
        <w:rPr>
          <w:rFonts w:ascii="Times New Roman" w:eastAsia="Times New Roman" w:hAnsi="Times New Roman" w:cs="Times New Roman"/>
          <w:i/>
          <w:iCs/>
          <w:sz w:val="26"/>
          <w:szCs w:val="26"/>
          <w:lang w:val="es-ES_tradnl" w:eastAsia="ar-SA"/>
        </w:rPr>
        <w:t>Se presenta en la siguiente tabla el presupuesto por proyecto para los años 2022 y 2023, el cual tienen estrecha relación con el cronograma elaborado de contratación y ejecución. Los montos fueron actualizados al 27 de abril, y considera la variación de precios por el Tipo de Cambio (TC) y el Impuesto al Valor Agregado (IVA).</w:t>
      </w:r>
    </w:p>
    <w:p w14:paraId="70351D88" w14:textId="77777777" w:rsidR="002A7673" w:rsidRPr="002A7673" w:rsidRDefault="002A7673" w:rsidP="002A7673">
      <w:pPr>
        <w:suppressAutoHyphens/>
        <w:spacing w:after="0" w:line="240" w:lineRule="auto"/>
        <w:ind w:left="1068"/>
        <w:rPr>
          <w:rFonts w:ascii="Times New Roman" w:eastAsia="Times New Roman" w:hAnsi="Times New Roman" w:cs="Times New Roman"/>
          <w:i/>
          <w:iCs/>
          <w:sz w:val="20"/>
          <w:szCs w:val="20"/>
          <w:lang w:val="es-ES_tradnl" w:eastAsia="ar-SA"/>
        </w:rPr>
      </w:pPr>
    </w:p>
    <w:tbl>
      <w:tblPr>
        <w:tblW w:w="8506" w:type="dxa"/>
        <w:jc w:val="center"/>
        <w:tblCellMar>
          <w:left w:w="70" w:type="dxa"/>
          <w:right w:w="70" w:type="dxa"/>
        </w:tblCellMar>
        <w:tblLook w:val="04A0" w:firstRow="1" w:lastRow="0" w:firstColumn="1" w:lastColumn="0" w:noHBand="0" w:noVBand="1"/>
      </w:tblPr>
      <w:tblGrid>
        <w:gridCol w:w="3695"/>
        <w:gridCol w:w="2543"/>
        <w:gridCol w:w="2268"/>
      </w:tblGrid>
      <w:tr w:rsidR="002A7673" w:rsidRPr="002A7673" w14:paraId="0ED9D434" w14:textId="77777777" w:rsidTr="004F270D">
        <w:trPr>
          <w:trHeight w:val="300"/>
          <w:jc w:val="center"/>
        </w:trPr>
        <w:tc>
          <w:tcPr>
            <w:tcW w:w="3695" w:type="dxa"/>
            <w:vMerge w:val="restart"/>
            <w:tcBorders>
              <w:top w:val="single" w:sz="4" w:space="0" w:color="auto"/>
              <w:left w:val="single" w:sz="4" w:space="0" w:color="auto"/>
              <w:bottom w:val="single" w:sz="4" w:space="0" w:color="auto"/>
              <w:right w:val="single" w:sz="4" w:space="0" w:color="auto"/>
            </w:tcBorders>
            <w:shd w:val="clear" w:color="000000" w:fill="305496"/>
            <w:vAlign w:val="center"/>
            <w:hideMark/>
          </w:tcPr>
          <w:p w14:paraId="40BAEE0E" w14:textId="77777777" w:rsidR="002A7673" w:rsidRPr="002A7673" w:rsidRDefault="002A7673" w:rsidP="002A7673">
            <w:pPr>
              <w:suppressAutoHyphens/>
              <w:spacing w:after="0" w:line="240" w:lineRule="auto"/>
              <w:jc w:val="center"/>
              <w:rPr>
                <w:rFonts w:ascii="Times New Roman" w:eastAsia="Times New Roman" w:hAnsi="Times New Roman" w:cs="Times New Roman"/>
                <w:b/>
                <w:bCs/>
                <w:i/>
                <w:iCs/>
                <w:color w:val="FFFFFF"/>
                <w:sz w:val="20"/>
                <w:szCs w:val="20"/>
                <w:lang w:val="es-ES_tradnl" w:eastAsia="es-CR"/>
              </w:rPr>
            </w:pPr>
            <w:r w:rsidRPr="002A7673">
              <w:rPr>
                <w:rFonts w:ascii="Times New Roman" w:eastAsia="Times New Roman" w:hAnsi="Times New Roman" w:cs="Times New Roman"/>
                <w:b/>
                <w:bCs/>
                <w:i/>
                <w:iCs/>
                <w:color w:val="FFFFFF"/>
                <w:sz w:val="20"/>
                <w:szCs w:val="20"/>
                <w:lang w:val="es-ES_tradnl" w:eastAsia="es-CR"/>
              </w:rPr>
              <w:t>PRESUPUESTO</w:t>
            </w:r>
          </w:p>
        </w:tc>
        <w:tc>
          <w:tcPr>
            <w:tcW w:w="4811" w:type="dxa"/>
            <w:gridSpan w:val="2"/>
            <w:tcBorders>
              <w:top w:val="single" w:sz="4" w:space="0" w:color="auto"/>
              <w:left w:val="nil"/>
              <w:bottom w:val="single" w:sz="4" w:space="0" w:color="auto"/>
              <w:right w:val="single" w:sz="4" w:space="0" w:color="auto"/>
            </w:tcBorders>
            <w:shd w:val="clear" w:color="000000" w:fill="305496"/>
            <w:vAlign w:val="center"/>
            <w:hideMark/>
          </w:tcPr>
          <w:p w14:paraId="5E4B6E78" w14:textId="77777777" w:rsidR="002A7673" w:rsidRPr="002A7673" w:rsidRDefault="002A7673" w:rsidP="002A7673">
            <w:pPr>
              <w:suppressAutoHyphens/>
              <w:spacing w:after="0" w:line="240" w:lineRule="auto"/>
              <w:jc w:val="center"/>
              <w:rPr>
                <w:rFonts w:ascii="Times New Roman" w:eastAsia="Times New Roman" w:hAnsi="Times New Roman" w:cs="Times New Roman"/>
                <w:b/>
                <w:bCs/>
                <w:i/>
                <w:iCs/>
                <w:color w:val="FFFFFF"/>
                <w:sz w:val="20"/>
                <w:szCs w:val="20"/>
                <w:lang w:val="es-ES_tradnl" w:eastAsia="es-CR"/>
              </w:rPr>
            </w:pPr>
            <w:r w:rsidRPr="002A7673">
              <w:rPr>
                <w:rFonts w:ascii="Times New Roman" w:eastAsia="Times New Roman" w:hAnsi="Times New Roman" w:cs="Times New Roman"/>
                <w:b/>
                <w:bCs/>
                <w:i/>
                <w:iCs/>
                <w:color w:val="FFFFFF"/>
                <w:sz w:val="20"/>
                <w:szCs w:val="20"/>
                <w:lang w:val="es-ES_tradnl" w:eastAsia="es-CR"/>
              </w:rPr>
              <w:t>MONTO al 27 de abril</w:t>
            </w:r>
          </w:p>
        </w:tc>
      </w:tr>
      <w:tr w:rsidR="002A7673" w:rsidRPr="002A7673" w14:paraId="75DF7B7D" w14:textId="77777777" w:rsidTr="004F270D">
        <w:trPr>
          <w:trHeight w:val="300"/>
          <w:jc w:val="center"/>
        </w:trPr>
        <w:tc>
          <w:tcPr>
            <w:tcW w:w="3695" w:type="dxa"/>
            <w:vMerge/>
            <w:tcBorders>
              <w:top w:val="single" w:sz="4" w:space="0" w:color="auto"/>
              <w:left w:val="single" w:sz="4" w:space="0" w:color="auto"/>
              <w:bottom w:val="single" w:sz="4" w:space="0" w:color="auto"/>
              <w:right w:val="single" w:sz="4" w:space="0" w:color="auto"/>
            </w:tcBorders>
            <w:vAlign w:val="center"/>
            <w:hideMark/>
          </w:tcPr>
          <w:p w14:paraId="55AE83DD" w14:textId="77777777" w:rsidR="002A7673" w:rsidRPr="002A7673" w:rsidRDefault="002A7673" w:rsidP="002A7673">
            <w:pPr>
              <w:suppressAutoHyphens/>
              <w:spacing w:after="0" w:line="240" w:lineRule="auto"/>
              <w:rPr>
                <w:rFonts w:ascii="Times New Roman" w:eastAsia="Times New Roman" w:hAnsi="Times New Roman" w:cs="Times New Roman"/>
                <w:b/>
                <w:bCs/>
                <w:i/>
                <w:iCs/>
                <w:color w:val="FFFFFF"/>
                <w:sz w:val="20"/>
                <w:szCs w:val="20"/>
                <w:lang w:val="es-ES_tradnl" w:eastAsia="es-CR"/>
              </w:rPr>
            </w:pPr>
          </w:p>
        </w:tc>
        <w:tc>
          <w:tcPr>
            <w:tcW w:w="2543" w:type="dxa"/>
            <w:tcBorders>
              <w:top w:val="nil"/>
              <w:left w:val="nil"/>
              <w:bottom w:val="single" w:sz="4" w:space="0" w:color="auto"/>
              <w:right w:val="single" w:sz="4" w:space="0" w:color="auto"/>
            </w:tcBorders>
            <w:shd w:val="clear" w:color="000000" w:fill="305496"/>
            <w:vAlign w:val="center"/>
            <w:hideMark/>
          </w:tcPr>
          <w:p w14:paraId="23059F3C" w14:textId="77777777" w:rsidR="002A7673" w:rsidRPr="002A7673" w:rsidRDefault="002A7673" w:rsidP="002A7673">
            <w:pPr>
              <w:suppressAutoHyphens/>
              <w:spacing w:after="0" w:line="240" w:lineRule="auto"/>
              <w:jc w:val="center"/>
              <w:rPr>
                <w:rFonts w:ascii="Times New Roman" w:eastAsia="Times New Roman" w:hAnsi="Times New Roman" w:cs="Times New Roman"/>
                <w:b/>
                <w:bCs/>
                <w:i/>
                <w:iCs/>
                <w:color w:val="FFFFFF"/>
                <w:sz w:val="20"/>
                <w:szCs w:val="20"/>
                <w:lang w:val="es-ES_tradnl" w:eastAsia="es-CR"/>
              </w:rPr>
            </w:pPr>
            <w:r w:rsidRPr="002A7673">
              <w:rPr>
                <w:rFonts w:ascii="Times New Roman" w:eastAsia="Times New Roman" w:hAnsi="Times New Roman" w:cs="Times New Roman"/>
                <w:b/>
                <w:bCs/>
                <w:i/>
                <w:iCs/>
                <w:color w:val="FFFFFF"/>
                <w:sz w:val="20"/>
                <w:szCs w:val="20"/>
                <w:lang w:val="es-ES_tradnl" w:eastAsia="es-CR"/>
              </w:rPr>
              <w:t>Programa 926</w:t>
            </w:r>
          </w:p>
        </w:tc>
        <w:tc>
          <w:tcPr>
            <w:tcW w:w="2268" w:type="dxa"/>
            <w:tcBorders>
              <w:top w:val="nil"/>
              <w:left w:val="nil"/>
              <w:bottom w:val="single" w:sz="4" w:space="0" w:color="auto"/>
              <w:right w:val="single" w:sz="4" w:space="0" w:color="auto"/>
            </w:tcBorders>
            <w:shd w:val="clear" w:color="000000" w:fill="305496"/>
            <w:vAlign w:val="center"/>
            <w:hideMark/>
          </w:tcPr>
          <w:p w14:paraId="29BA947E" w14:textId="77777777" w:rsidR="002A7673" w:rsidRPr="002A7673" w:rsidRDefault="002A7673" w:rsidP="002A7673">
            <w:pPr>
              <w:suppressAutoHyphens/>
              <w:spacing w:after="0" w:line="240" w:lineRule="auto"/>
              <w:jc w:val="center"/>
              <w:rPr>
                <w:rFonts w:ascii="Times New Roman" w:eastAsia="Times New Roman" w:hAnsi="Times New Roman" w:cs="Times New Roman"/>
                <w:b/>
                <w:bCs/>
                <w:i/>
                <w:iCs/>
                <w:color w:val="FFFFFF"/>
                <w:sz w:val="20"/>
                <w:szCs w:val="20"/>
                <w:lang w:val="es-ES_tradnl" w:eastAsia="es-CR"/>
              </w:rPr>
            </w:pPr>
            <w:r w:rsidRPr="002A7673">
              <w:rPr>
                <w:rFonts w:ascii="Times New Roman" w:eastAsia="Times New Roman" w:hAnsi="Times New Roman" w:cs="Times New Roman"/>
                <w:b/>
                <w:bCs/>
                <w:i/>
                <w:iCs/>
                <w:color w:val="FFFFFF"/>
                <w:sz w:val="20"/>
                <w:szCs w:val="20"/>
                <w:lang w:val="es-ES_tradnl" w:eastAsia="es-CR"/>
              </w:rPr>
              <w:t>Programa 927</w:t>
            </w:r>
          </w:p>
        </w:tc>
      </w:tr>
      <w:tr w:rsidR="002A7673" w:rsidRPr="002A7673" w14:paraId="43FBCD9F" w14:textId="77777777" w:rsidTr="004F270D">
        <w:trPr>
          <w:trHeight w:val="653"/>
          <w:jc w:val="center"/>
        </w:trPr>
        <w:tc>
          <w:tcPr>
            <w:tcW w:w="3695" w:type="dxa"/>
            <w:tcBorders>
              <w:top w:val="nil"/>
              <w:left w:val="single" w:sz="4" w:space="0" w:color="auto"/>
              <w:bottom w:val="single" w:sz="4" w:space="0" w:color="auto"/>
              <w:right w:val="single" w:sz="4" w:space="0" w:color="auto"/>
            </w:tcBorders>
            <w:shd w:val="clear" w:color="auto" w:fill="auto"/>
            <w:vAlign w:val="center"/>
            <w:hideMark/>
          </w:tcPr>
          <w:p w14:paraId="199162D3" w14:textId="77777777" w:rsidR="002A7673" w:rsidRPr="002A7673" w:rsidRDefault="002A7673" w:rsidP="002A7673">
            <w:pPr>
              <w:suppressAutoHyphens/>
              <w:spacing w:after="0" w:line="240" w:lineRule="auto"/>
              <w:jc w:val="both"/>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REMODELACION CRIMEN ORGANIZADO, MEZANINE Y 3ER PISO TRIBUNALES ICJSJ</w:t>
            </w:r>
          </w:p>
        </w:tc>
        <w:tc>
          <w:tcPr>
            <w:tcW w:w="2543" w:type="dxa"/>
            <w:tcBorders>
              <w:top w:val="nil"/>
              <w:left w:val="nil"/>
              <w:bottom w:val="single" w:sz="4" w:space="0" w:color="auto"/>
              <w:right w:val="single" w:sz="4" w:space="0" w:color="auto"/>
            </w:tcBorders>
            <w:shd w:val="clear" w:color="auto" w:fill="auto"/>
            <w:noWrap/>
            <w:vAlign w:val="center"/>
            <w:hideMark/>
          </w:tcPr>
          <w:p w14:paraId="7988E83B"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w:t>
            </w:r>
          </w:p>
        </w:tc>
        <w:tc>
          <w:tcPr>
            <w:tcW w:w="2268" w:type="dxa"/>
            <w:tcBorders>
              <w:top w:val="nil"/>
              <w:left w:val="nil"/>
              <w:bottom w:val="single" w:sz="4" w:space="0" w:color="auto"/>
              <w:right w:val="single" w:sz="4" w:space="0" w:color="auto"/>
            </w:tcBorders>
            <w:shd w:val="clear" w:color="auto" w:fill="auto"/>
            <w:noWrap/>
            <w:vAlign w:val="center"/>
            <w:hideMark/>
          </w:tcPr>
          <w:p w14:paraId="14420663"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 xml:space="preserve"> ₡531 569 372,95 </w:t>
            </w:r>
          </w:p>
        </w:tc>
      </w:tr>
      <w:tr w:rsidR="002A7673" w:rsidRPr="002A7673" w14:paraId="503C8E2C" w14:textId="77777777" w:rsidTr="004F270D">
        <w:trPr>
          <w:trHeight w:val="846"/>
          <w:jc w:val="center"/>
        </w:trPr>
        <w:tc>
          <w:tcPr>
            <w:tcW w:w="3695" w:type="dxa"/>
            <w:tcBorders>
              <w:top w:val="nil"/>
              <w:left w:val="single" w:sz="4" w:space="0" w:color="auto"/>
              <w:bottom w:val="single" w:sz="4" w:space="0" w:color="auto"/>
              <w:right w:val="single" w:sz="4" w:space="0" w:color="auto"/>
            </w:tcBorders>
            <w:shd w:val="clear" w:color="auto" w:fill="auto"/>
            <w:vAlign w:val="center"/>
            <w:hideMark/>
          </w:tcPr>
          <w:p w14:paraId="2E0C1572" w14:textId="77777777" w:rsidR="002A7673" w:rsidRPr="002A7673" w:rsidRDefault="002A7673" w:rsidP="002A7673">
            <w:pPr>
              <w:suppressAutoHyphens/>
              <w:spacing w:after="0" w:line="240" w:lineRule="auto"/>
              <w:jc w:val="both"/>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PRESUPUESTO CERRAMIENTO DE BALCONES CON PARASOLES DE SEGURIDAD TRIBUNALES DE JUSTICIA SAN JOSE</w:t>
            </w:r>
          </w:p>
        </w:tc>
        <w:tc>
          <w:tcPr>
            <w:tcW w:w="2543" w:type="dxa"/>
            <w:tcBorders>
              <w:top w:val="nil"/>
              <w:left w:val="nil"/>
              <w:bottom w:val="single" w:sz="4" w:space="0" w:color="auto"/>
              <w:right w:val="single" w:sz="4" w:space="0" w:color="auto"/>
            </w:tcBorders>
            <w:shd w:val="clear" w:color="auto" w:fill="auto"/>
            <w:noWrap/>
            <w:vAlign w:val="center"/>
            <w:hideMark/>
          </w:tcPr>
          <w:p w14:paraId="209F713C"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w:t>
            </w:r>
          </w:p>
        </w:tc>
        <w:tc>
          <w:tcPr>
            <w:tcW w:w="2268" w:type="dxa"/>
            <w:tcBorders>
              <w:top w:val="nil"/>
              <w:left w:val="nil"/>
              <w:bottom w:val="single" w:sz="4" w:space="0" w:color="auto"/>
              <w:right w:val="single" w:sz="4" w:space="0" w:color="auto"/>
            </w:tcBorders>
            <w:shd w:val="clear" w:color="auto" w:fill="auto"/>
            <w:noWrap/>
            <w:vAlign w:val="center"/>
            <w:hideMark/>
          </w:tcPr>
          <w:p w14:paraId="1FC7D4D4"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 xml:space="preserve"> ₡206 056 901,40 </w:t>
            </w:r>
          </w:p>
        </w:tc>
      </w:tr>
      <w:tr w:rsidR="002A7673" w:rsidRPr="002A7673" w14:paraId="32D32EA6" w14:textId="77777777" w:rsidTr="004F270D">
        <w:trPr>
          <w:trHeight w:val="546"/>
          <w:jc w:val="center"/>
        </w:trPr>
        <w:tc>
          <w:tcPr>
            <w:tcW w:w="3695" w:type="dxa"/>
            <w:tcBorders>
              <w:top w:val="nil"/>
              <w:left w:val="single" w:sz="4" w:space="0" w:color="auto"/>
              <w:bottom w:val="single" w:sz="4" w:space="0" w:color="auto"/>
              <w:right w:val="single" w:sz="4" w:space="0" w:color="auto"/>
            </w:tcBorders>
            <w:shd w:val="clear" w:color="auto" w:fill="auto"/>
            <w:vAlign w:val="center"/>
            <w:hideMark/>
          </w:tcPr>
          <w:p w14:paraId="3E2720ED" w14:textId="77777777" w:rsidR="002A7673" w:rsidRPr="002A7673" w:rsidRDefault="002A7673" w:rsidP="002A7673">
            <w:pPr>
              <w:suppressAutoHyphens/>
              <w:spacing w:after="0" w:line="240" w:lineRule="auto"/>
              <w:jc w:val="both"/>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PRESUPUESTO CASETA DE SEGURIDAD DELINCUENCIA ORGANIZADA TRIBUNALES DE JUSTICIA SAN JOSE</w:t>
            </w:r>
          </w:p>
        </w:tc>
        <w:tc>
          <w:tcPr>
            <w:tcW w:w="2543" w:type="dxa"/>
            <w:tcBorders>
              <w:top w:val="nil"/>
              <w:left w:val="nil"/>
              <w:bottom w:val="single" w:sz="4" w:space="0" w:color="auto"/>
              <w:right w:val="single" w:sz="4" w:space="0" w:color="auto"/>
            </w:tcBorders>
            <w:shd w:val="clear" w:color="auto" w:fill="auto"/>
            <w:noWrap/>
            <w:vAlign w:val="center"/>
            <w:hideMark/>
          </w:tcPr>
          <w:p w14:paraId="7E26EFFF"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 xml:space="preserve"> ₡114 501 936,96 </w:t>
            </w:r>
          </w:p>
        </w:tc>
        <w:tc>
          <w:tcPr>
            <w:tcW w:w="2268" w:type="dxa"/>
            <w:tcBorders>
              <w:top w:val="nil"/>
              <w:left w:val="nil"/>
              <w:bottom w:val="single" w:sz="4" w:space="0" w:color="auto"/>
              <w:right w:val="single" w:sz="4" w:space="0" w:color="auto"/>
            </w:tcBorders>
            <w:shd w:val="clear" w:color="auto" w:fill="auto"/>
            <w:noWrap/>
            <w:vAlign w:val="center"/>
            <w:hideMark/>
          </w:tcPr>
          <w:p w14:paraId="36D209EA"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w:t>
            </w:r>
          </w:p>
        </w:tc>
      </w:tr>
      <w:tr w:rsidR="002A7673" w:rsidRPr="002A7673" w14:paraId="6C9137F4" w14:textId="77777777" w:rsidTr="004F270D">
        <w:trPr>
          <w:trHeight w:val="127"/>
          <w:jc w:val="center"/>
        </w:trPr>
        <w:tc>
          <w:tcPr>
            <w:tcW w:w="3695" w:type="dxa"/>
            <w:tcBorders>
              <w:top w:val="nil"/>
              <w:left w:val="nil"/>
              <w:bottom w:val="nil"/>
              <w:right w:val="nil"/>
            </w:tcBorders>
            <w:shd w:val="clear" w:color="auto" w:fill="auto"/>
            <w:noWrap/>
            <w:vAlign w:val="bottom"/>
            <w:hideMark/>
          </w:tcPr>
          <w:p w14:paraId="6AB16B92"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p>
        </w:tc>
        <w:tc>
          <w:tcPr>
            <w:tcW w:w="2543" w:type="dxa"/>
            <w:tcBorders>
              <w:top w:val="nil"/>
              <w:left w:val="nil"/>
              <w:bottom w:val="nil"/>
              <w:right w:val="nil"/>
            </w:tcBorders>
            <w:shd w:val="clear" w:color="auto" w:fill="auto"/>
            <w:noWrap/>
            <w:vAlign w:val="bottom"/>
            <w:hideMark/>
          </w:tcPr>
          <w:p w14:paraId="3378B501" w14:textId="77777777" w:rsidR="002A7673" w:rsidRPr="002A7673" w:rsidRDefault="002A7673" w:rsidP="002A7673">
            <w:pPr>
              <w:suppressAutoHyphens/>
              <w:spacing w:after="0" w:line="240" w:lineRule="auto"/>
              <w:rPr>
                <w:rFonts w:ascii="Times New Roman" w:eastAsia="Times New Roman" w:hAnsi="Times New Roman" w:cs="Times New Roman"/>
                <w:i/>
                <w:iCs/>
                <w:sz w:val="20"/>
                <w:szCs w:val="20"/>
                <w:lang w:val="es-ES_tradnl" w:eastAsia="es-CR"/>
              </w:rPr>
            </w:pPr>
          </w:p>
        </w:tc>
        <w:tc>
          <w:tcPr>
            <w:tcW w:w="2268" w:type="dxa"/>
            <w:tcBorders>
              <w:top w:val="nil"/>
              <w:left w:val="nil"/>
              <w:bottom w:val="nil"/>
              <w:right w:val="nil"/>
            </w:tcBorders>
            <w:shd w:val="clear" w:color="auto" w:fill="auto"/>
            <w:noWrap/>
            <w:vAlign w:val="bottom"/>
            <w:hideMark/>
          </w:tcPr>
          <w:p w14:paraId="38C4AF98" w14:textId="77777777" w:rsidR="002A7673" w:rsidRPr="002A7673" w:rsidRDefault="002A7673" w:rsidP="002A7673">
            <w:pPr>
              <w:suppressAutoHyphens/>
              <w:spacing w:after="0" w:line="240" w:lineRule="auto"/>
              <w:rPr>
                <w:rFonts w:ascii="Times New Roman" w:eastAsia="Times New Roman" w:hAnsi="Times New Roman" w:cs="Times New Roman"/>
                <w:i/>
                <w:iCs/>
                <w:sz w:val="20"/>
                <w:szCs w:val="20"/>
                <w:lang w:val="es-ES_tradnl" w:eastAsia="es-CR"/>
              </w:rPr>
            </w:pPr>
          </w:p>
        </w:tc>
      </w:tr>
      <w:tr w:rsidR="002A7673" w:rsidRPr="002A7673" w14:paraId="556A6AE9" w14:textId="77777777" w:rsidTr="004F270D">
        <w:trPr>
          <w:trHeight w:val="300"/>
          <w:jc w:val="center"/>
        </w:trPr>
        <w:tc>
          <w:tcPr>
            <w:tcW w:w="36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1C6E66" w14:textId="77777777" w:rsidR="002A7673" w:rsidRPr="002A7673" w:rsidRDefault="002A7673" w:rsidP="002A7673">
            <w:pPr>
              <w:suppressAutoHyphens/>
              <w:spacing w:after="0" w:line="240" w:lineRule="auto"/>
              <w:jc w:val="center"/>
              <w:rPr>
                <w:rFonts w:ascii="Times New Roman" w:eastAsia="Times New Roman" w:hAnsi="Times New Roman" w:cs="Times New Roman"/>
                <w:b/>
                <w:bCs/>
                <w:i/>
                <w:iCs/>
                <w:sz w:val="20"/>
                <w:szCs w:val="20"/>
                <w:lang w:val="es-ES_tradnl" w:eastAsia="es-CR"/>
              </w:rPr>
            </w:pPr>
            <w:r w:rsidRPr="002A7673">
              <w:rPr>
                <w:rFonts w:ascii="Times New Roman" w:eastAsia="Times New Roman" w:hAnsi="Times New Roman" w:cs="Times New Roman"/>
                <w:b/>
                <w:bCs/>
                <w:i/>
                <w:iCs/>
                <w:sz w:val="20"/>
                <w:szCs w:val="20"/>
                <w:lang w:val="es-ES_tradnl" w:eastAsia="es-CR"/>
              </w:rPr>
              <w:t>Monto 2022</w:t>
            </w:r>
          </w:p>
        </w:tc>
        <w:tc>
          <w:tcPr>
            <w:tcW w:w="2543" w:type="dxa"/>
            <w:tcBorders>
              <w:top w:val="single" w:sz="4" w:space="0" w:color="auto"/>
              <w:left w:val="nil"/>
              <w:bottom w:val="single" w:sz="4" w:space="0" w:color="auto"/>
              <w:right w:val="single" w:sz="4" w:space="0" w:color="auto"/>
            </w:tcBorders>
            <w:shd w:val="clear" w:color="auto" w:fill="auto"/>
            <w:noWrap/>
            <w:vAlign w:val="bottom"/>
            <w:hideMark/>
          </w:tcPr>
          <w:p w14:paraId="4FC4021D"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₡68 701 162,18</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2D92022E"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₡442 575 764,61</w:t>
            </w:r>
          </w:p>
        </w:tc>
      </w:tr>
      <w:tr w:rsidR="002A7673" w:rsidRPr="002A7673" w14:paraId="0C8B3787" w14:textId="77777777" w:rsidTr="004F270D">
        <w:trPr>
          <w:trHeight w:val="300"/>
          <w:jc w:val="center"/>
        </w:trPr>
        <w:tc>
          <w:tcPr>
            <w:tcW w:w="3695" w:type="dxa"/>
            <w:tcBorders>
              <w:top w:val="nil"/>
              <w:left w:val="single" w:sz="4" w:space="0" w:color="auto"/>
              <w:bottom w:val="single" w:sz="4" w:space="0" w:color="auto"/>
              <w:right w:val="single" w:sz="4" w:space="0" w:color="auto"/>
            </w:tcBorders>
            <w:shd w:val="clear" w:color="auto" w:fill="auto"/>
            <w:vAlign w:val="center"/>
            <w:hideMark/>
          </w:tcPr>
          <w:p w14:paraId="6E94626E" w14:textId="77777777" w:rsidR="002A7673" w:rsidRPr="002A7673" w:rsidRDefault="002A7673" w:rsidP="002A7673">
            <w:pPr>
              <w:suppressAutoHyphens/>
              <w:spacing w:after="0" w:line="240" w:lineRule="auto"/>
              <w:jc w:val="center"/>
              <w:rPr>
                <w:rFonts w:ascii="Times New Roman" w:eastAsia="Times New Roman" w:hAnsi="Times New Roman" w:cs="Times New Roman"/>
                <w:b/>
                <w:bCs/>
                <w:i/>
                <w:iCs/>
                <w:sz w:val="20"/>
                <w:szCs w:val="20"/>
                <w:lang w:val="es-ES_tradnl" w:eastAsia="es-CR"/>
              </w:rPr>
            </w:pPr>
            <w:r w:rsidRPr="002A7673">
              <w:rPr>
                <w:rFonts w:ascii="Times New Roman" w:eastAsia="Times New Roman" w:hAnsi="Times New Roman" w:cs="Times New Roman"/>
                <w:b/>
                <w:bCs/>
                <w:i/>
                <w:iCs/>
                <w:sz w:val="20"/>
                <w:szCs w:val="20"/>
                <w:lang w:val="es-ES_tradnl" w:eastAsia="es-CR"/>
              </w:rPr>
              <w:t>Monto 2023</w:t>
            </w:r>
          </w:p>
        </w:tc>
        <w:tc>
          <w:tcPr>
            <w:tcW w:w="2543" w:type="dxa"/>
            <w:tcBorders>
              <w:top w:val="nil"/>
              <w:left w:val="nil"/>
              <w:bottom w:val="single" w:sz="4" w:space="0" w:color="auto"/>
              <w:right w:val="single" w:sz="4" w:space="0" w:color="auto"/>
            </w:tcBorders>
            <w:shd w:val="clear" w:color="auto" w:fill="auto"/>
            <w:noWrap/>
            <w:vAlign w:val="bottom"/>
            <w:hideMark/>
          </w:tcPr>
          <w:p w14:paraId="4D91047B"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₡45 800 774,78</w:t>
            </w:r>
          </w:p>
        </w:tc>
        <w:tc>
          <w:tcPr>
            <w:tcW w:w="2268" w:type="dxa"/>
            <w:tcBorders>
              <w:top w:val="nil"/>
              <w:left w:val="nil"/>
              <w:bottom w:val="single" w:sz="4" w:space="0" w:color="auto"/>
              <w:right w:val="single" w:sz="4" w:space="0" w:color="auto"/>
            </w:tcBorders>
            <w:shd w:val="clear" w:color="auto" w:fill="auto"/>
            <w:noWrap/>
            <w:vAlign w:val="bottom"/>
            <w:hideMark/>
          </w:tcPr>
          <w:p w14:paraId="4F65B986" w14:textId="77777777" w:rsidR="002A7673" w:rsidRPr="002A7673" w:rsidRDefault="002A7673" w:rsidP="002A7673">
            <w:pPr>
              <w:suppressAutoHyphens/>
              <w:spacing w:after="0" w:line="240" w:lineRule="auto"/>
              <w:jc w:val="center"/>
              <w:rPr>
                <w:rFonts w:ascii="Times New Roman" w:eastAsia="Times New Roman" w:hAnsi="Times New Roman" w:cs="Times New Roman"/>
                <w:i/>
                <w:iCs/>
                <w:sz w:val="20"/>
                <w:szCs w:val="20"/>
                <w:lang w:val="es-ES_tradnl" w:eastAsia="es-CR"/>
              </w:rPr>
            </w:pPr>
            <w:r w:rsidRPr="002A7673">
              <w:rPr>
                <w:rFonts w:ascii="Times New Roman" w:eastAsia="Times New Roman" w:hAnsi="Times New Roman" w:cs="Times New Roman"/>
                <w:i/>
                <w:iCs/>
                <w:sz w:val="20"/>
                <w:szCs w:val="20"/>
                <w:lang w:val="es-ES_tradnl" w:eastAsia="es-CR"/>
              </w:rPr>
              <w:t>₡295 050 509,74</w:t>
            </w:r>
          </w:p>
        </w:tc>
      </w:tr>
    </w:tbl>
    <w:p w14:paraId="53DDF475" w14:textId="77777777" w:rsidR="002A7673" w:rsidRPr="002A7673" w:rsidRDefault="002A7673" w:rsidP="002A7673">
      <w:pPr>
        <w:suppressAutoHyphens/>
        <w:spacing w:after="0" w:line="480" w:lineRule="auto"/>
        <w:jc w:val="both"/>
        <w:rPr>
          <w:rFonts w:ascii="Times New Roman" w:eastAsia="Times New Roman" w:hAnsi="Times New Roman" w:cs="Times New Roman"/>
          <w:bCs/>
          <w:sz w:val="28"/>
          <w:szCs w:val="28"/>
          <w:lang w:val="es-ES" w:eastAsia="es-CR"/>
        </w:rPr>
      </w:pPr>
    </w:p>
    <w:p w14:paraId="04F8121C" w14:textId="77777777" w:rsidR="002A7673" w:rsidRPr="002A7673" w:rsidRDefault="002A7673" w:rsidP="002A7673">
      <w:pPr>
        <w:suppressAutoHyphens/>
        <w:spacing w:after="0"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El monto requerido para el 2022, asciende a la suma de ₡511.276.926,79. Cabe indicar que, debido a la duración del proyecto en su ejecución (5 meses), esta continuará durante el año 2023, por lo que, de adjudicarse el proyecto durante el 2022, se debe disponer del contenido para honrar el contrato convenido el siguiente año.” (…)”</w:t>
      </w:r>
    </w:p>
    <w:p w14:paraId="3BDB7B56" w14:textId="77777777" w:rsidR="002A7673" w:rsidRPr="002A7673" w:rsidRDefault="002A7673" w:rsidP="00F962B6">
      <w:pPr>
        <w:numPr>
          <w:ilvl w:val="0"/>
          <w:numId w:val="96"/>
        </w:numPr>
        <w:suppressAutoHyphens/>
        <w:spacing w:after="0" w:line="480" w:lineRule="auto"/>
        <w:ind w:left="0" w:firstLine="0"/>
        <w:jc w:val="both"/>
        <w:rPr>
          <w:rFonts w:ascii="Times New Roman" w:eastAsia="Times New Roman" w:hAnsi="Times New Roman" w:cs="Times New Roman"/>
          <w:b/>
          <w:sz w:val="28"/>
          <w:szCs w:val="28"/>
          <w:highlight w:val="lightGray"/>
          <w:lang w:val="es-ES" w:eastAsia="es-CR"/>
        </w:rPr>
      </w:pPr>
      <w:r w:rsidRPr="002A7673">
        <w:rPr>
          <w:rFonts w:ascii="Times New Roman" w:eastAsia="Times New Roman" w:hAnsi="Times New Roman" w:cs="Times New Roman"/>
          <w:b/>
          <w:sz w:val="28"/>
          <w:szCs w:val="28"/>
          <w:highlight w:val="lightGray"/>
          <w:lang w:val="es-ES" w:eastAsia="es-CR"/>
        </w:rPr>
        <w:t xml:space="preserve">Ley de Bienestar Animal </w:t>
      </w:r>
    </w:p>
    <w:p w14:paraId="6E1770CD"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lastRenderedPageBreak/>
        <w:t xml:space="preserve">De acuerdo con la posibilidad de asignar recursos en bienes de capital, según las necesidades propuestas en su momento por el Organismo de Investigación Judicial, se incluyen: </w:t>
      </w:r>
    </w:p>
    <w:p w14:paraId="144F4B28" w14:textId="77777777" w:rsidR="002A7673" w:rsidRPr="002A7673" w:rsidRDefault="002A7673" w:rsidP="002A7673">
      <w:pPr>
        <w:spacing w:before="120" w:after="120" w:line="240" w:lineRule="auto"/>
        <w:ind w:left="851" w:right="851" w:firstLine="709"/>
        <w:jc w:val="both"/>
        <w:rPr>
          <w:rFonts w:ascii="Times New Roman" w:eastAsia="Times New Roman" w:hAnsi="Times New Roman" w:cs="Times New Roman"/>
          <w:i/>
          <w:iCs/>
          <w:sz w:val="26"/>
          <w:szCs w:val="26"/>
          <w:lang w:val="es-ES_tradnl" w:eastAsia="ar-SA"/>
        </w:rPr>
      </w:pPr>
      <w:r w:rsidRPr="002A7673">
        <w:rPr>
          <w:rFonts w:ascii="Times New Roman" w:eastAsia="Times New Roman" w:hAnsi="Times New Roman" w:cs="Times New Roman"/>
          <w:i/>
          <w:iCs/>
          <w:sz w:val="26"/>
          <w:szCs w:val="26"/>
          <w:lang w:val="es-ES_tradnl" w:eastAsia="ar-SA"/>
        </w:rPr>
        <w:t>“Para analizar las distintas pruebas, será necesaria la adquisición de un </w:t>
      </w:r>
      <w:r w:rsidRPr="002A7673">
        <w:rPr>
          <w:rFonts w:ascii="Times New Roman" w:eastAsia="Times New Roman" w:hAnsi="Times New Roman" w:cs="Times New Roman"/>
          <w:b/>
          <w:i/>
          <w:iCs/>
          <w:sz w:val="26"/>
          <w:szCs w:val="26"/>
          <w:lang w:val="es-ES_tradnl" w:eastAsia="ar-SA"/>
        </w:rPr>
        <w:t>cromatógrafo de gases</w:t>
      </w:r>
      <w:r w:rsidRPr="002A7673">
        <w:rPr>
          <w:rFonts w:ascii="Times New Roman" w:eastAsia="Times New Roman" w:hAnsi="Times New Roman" w:cs="Times New Roman"/>
          <w:i/>
          <w:iCs/>
          <w:sz w:val="26"/>
          <w:szCs w:val="26"/>
          <w:lang w:val="es-ES_tradnl" w:eastAsia="ar-SA"/>
        </w:rPr>
        <w:t xml:space="preserve"> para no frenar los flujos de trabajo actuales en análisis de drogas y otras sustancias que habitualmente son estudiadas con dicho equipo, según criterio de Don Mauricio Chacón Hernández, jefe del Departamento de Ciencias Forenses, además se consideró que el equipo será de gran utilidad en otras investigaciones.</w:t>
      </w:r>
    </w:p>
    <w:p w14:paraId="4102F98D" w14:textId="77777777" w:rsidR="002A7673" w:rsidRPr="002A7673" w:rsidRDefault="002A7673" w:rsidP="002A7673">
      <w:pPr>
        <w:spacing w:before="120" w:after="120" w:line="240" w:lineRule="auto"/>
        <w:ind w:left="851" w:right="851" w:firstLine="709"/>
        <w:jc w:val="both"/>
        <w:rPr>
          <w:rFonts w:ascii="Times New Roman" w:eastAsia="Times New Roman" w:hAnsi="Times New Roman" w:cs="Times New Roman"/>
          <w:i/>
          <w:iCs/>
          <w:sz w:val="26"/>
          <w:szCs w:val="26"/>
          <w:lang w:val="es-ES_tradnl" w:eastAsia="ar-SA"/>
        </w:rPr>
      </w:pPr>
      <w:r w:rsidRPr="002A7673">
        <w:rPr>
          <w:rFonts w:ascii="Times New Roman" w:eastAsia="Times New Roman" w:hAnsi="Times New Roman" w:cs="Times New Roman"/>
          <w:i/>
          <w:iCs/>
          <w:sz w:val="26"/>
          <w:szCs w:val="26"/>
          <w:lang w:val="es-ES_tradnl" w:eastAsia="ar-SA"/>
        </w:rPr>
        <w:t>Se requiere un </w:t>
      </w:r>
      <w:r w:rsidRPr="002A7673">
        <w:rPr>
          <w:rFonts w:ascii="Times New Roman" w:eastAsia="Times New Roman" w:hAnsi="Times New Roman" w:cs="Times New Roman"/>
          <w:b/>
          <w:i/>
          <w:iCs/>
          <w:sz w:val="26"/>
          <w:szCs w:val="26"/>
          <w:lang w:val="es-ES_tradnl" w:eastAsia="ar-SA"/>
        </w:rPr>
        <w:t>Microscopio de Comparación</w:t>
      </w:r>
      <w:r w:rsidRPr="002A7673">
        <w:rPr>
          <w:rFonts w:ascii="Times New Roman" w:eastAsia="Times New Roman" w:hAnsi="Times New Roman" w:cs="Times New Roman"/>
          <w:i/>
          <w:iCs/>
          <w:sz w:val="26"/>
          <w:szCs w:val="26"/>
          <w:lang w:val="es-ES_tradnl" w:eastAsia="ar-SA"/>
        </w:rPr>
        <w:t> específicamente para el análisis balístico que eventualmente se le debe realizar a un animal que recibe uno o varios impactos de bala (una vez extraído el elemento balístico por parte de un profesional en veterinaria o alguien con la competencia).  Según lo indicado por el señor Chacón Hernández, jefe del Departamento, se requiere por cuanto los casos de balística derivados de homicidios, sicariato y otros tienen colapsada la Unidad y sería imposible atender adicionalmente lo relacionado con bienestar animal (particularmente el asunto de lesiones con arma de fuego).”</w:t>
      </w:r>
    </w:p>
    <w:p w14:paraId="2A2C5CA8"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En virtud de lo anterior, se propone incluir la suma de ¢113.200.000.00 para cubrir al menos las dos necesidades expuestas. </w:t>
      </w:r>
    </w:p>
    <w:p w14:paraId="02EB68FC" w14:textId="77777777" w:rsidR="002A7673" w:rsidRPr="002A7673" w:rsidRDefault="002A7673" w:rsidP="00F962B6">
      <w:pPr>
        <w:numPr>
          <w:ilvl w:val="0"/>
          <w:numId w:val="96"/>
        </w:numPr>
        <w:suppressAutoHyphens/>
        <w:spacing w:after="0" w:line="480" w:lineRule="auto"/>
        <w:ind w:left="0" w:firstLine="0"/>
        <w:jc w:val="both"/>
        <w:rPr>
          <w:rFonts w:ascii="Times New Roman" w:eastAsia="Times New Roman" w:hAnsi="Times New Roman" w:cs="Times New Roman"/>
          <w:b/>
          <w:sz w:val="28"/>
          <w:szCs w:val="28"/>
          <w:highlight w:val="lightGray"/>
          <w:lang w:val="es-ES" w:eastAsia="es-CR"/>
        </w:rPr>
      </w:pPr>
      <w:r w:rsidRPr="002A7673">
        <w:rPr>
          <w:rFonts w:ascii="Times New Roman" w:eastAsia="Times New Roman" w:hAnsi="Times New Roman" w:cs="Times New Roman"/>
          <w:b/>
          <w:sz w:val="28"/>
          <w:szCs w:val="28"/>
          <w:highlight w:val="lightGray"/>
          <w:lang w:val="es-ES" w:eastAsia="es-CR"/>
        </w:rPr>
        <w:t xml:space="preserve">Reforma al Código Procesal Agrario </w:t>
      </w:r>
    </w:p>
    <w:p w14:paraId="1C2737C2" w14:textId="77777777" w:rsidR="002A7673" w:rsidRPr="002A7673" w:rsidRDefault="002A7673" w:rsidP="002A7673">
      <w:pPr>
        <w:suppressAutoHyphens/>
        <w:spacing w:after="0"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Para acercar el servicio a las personas ciudadanas y atender la necesidad de las personas juzgadoras de movilizarse en las diferentes zonas que se atienden en el país, se asigna la suma de ¢156.976.758, para la adquisición de vehículos, </w:t>
      </w:r>
      <w:proofErr w:type="spellStart"/>
      <w:r w:rsidRPr="002A7673">
        <w:rPr>
          <w:rFonts w:ascii="Times New Roman" w:eastAsia="Times New Roman" w:hAnsi="Times New Roman" w:cs="Times New Roman"/>
          <w:bCs/>
          <w:sz w:val="28"/>
          <w:szCs w:val="28"/>
          <w:lang w:val="es-ES" w:eastAsia="es-CR"/>
        </w:rPr>
        <w:t>wintcher</w:t>
      </w:r>
      <w:proofErr w:type="spellEnd"/>
      <w:r w:rsidRPr="002A7673">
        <w:rPr>
          <w:rFonts w:ascii="Times New Roman" w:eastAsia="Times New Roman" w:hAnsi="Times New Roman" w:cs="Times New Roman"/>
          <w:bCs/>
          <w:sz w:val="28"/>
          <w:szCs w:val="28"/>
          <w:lang w:val="es-ES" w:eastAsia="es-CR"/>
        </w:rPr>
        <w:t xml:space="preserve">, entre otras necesidades, tal como se aprecia a continuación: </w:t>
      </w:r>
    </w:p>
    <w:p w14:paraId="2792C766" w14:textId="77777777" w:rsidR="002A7673" w:rsidRPr="002A7673" w:rsidRDefault="002A7673" w:rsidP="002A7673">
      <w:pPr>
        <w:suppressAutoHyphens/>
        <w:spacing w:after="0" w:line="480" w:lineRule="auto"/>
        <w:jc w:val="both"/>
        <w:rPr>
          <w:rFonts w:ascii="Times New Roman" w:eastAsia="Times New Roman" w:hAnsi="Times New Roman" w:cs="Times New Roman"/>
          <w:bCs/>
          <w:color w:val="000000"/>
          <w:sz w:val="28"/>
          <w:szCs w:val="28"/>
          <w:lang w:val="es-ES_tradnl" w:eastAsia="ar-SA"/>
        </w:rPr>
      </w:pPr>
      <w:r w:rsidRPr="002A7673">
        <w:rPr>
          <w:rFonts w:ascii="Times New Roman" w:eastAsia="Times New Roman" w:hAnsi="Times New Roman" w:cs="Times New Roman"/>
          <w:noProof/>
          <w:sz w:val="20"/>
          <w:szCs w:val="20"/>
          <w:lang w:val="es-ES_tradnl" w:eastAsia="ar-SA"/>
        </w:rPr>
        <w:lastRenderedPageBreak/>
        <w:drawing>
          <wp:inline distT="0" distB="0" distL="0" distR="0" wp14:anchorId="67B5E134" wp14:editId="478D7210">
            <wp:extent cx="5476875" cy="3314700"/>
            <wp:effectExtent l="0" t="0" r="0" b="0"/>
            <wp:docPr id="40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76875" cy="3314700"/>
                    </a:xfrm>
                    <a:prstGeom prst="rect">
                      <a:avLst/>
                    </a:prstGeom>
                    <a:noFill/>
                    <a:ln>
                      <a:noFill/>
                    </a:ln>
                  </pic:spPr>
                </pic:pic>
              </a:graphicData>
            </a:graphic>
          </wp:inline>
        </w:drawing>
      </w:r>
    </w:p>
    <w:p w14:paraId="44F86E32" w14:textId="77777777" w:rsidR="002A7673" w:rsidRPr="002A7673" w:rsidRDefault="002A7673" w:rsidP="00F962B6">
      <w:pPr>
        <w:numPr>
          <w:ilvl w:val="0"/>
          <w:numId w:val="96"/>
        </w:numPr>
        <w:suppressAutoHyphens/>
        <w:spacing w:before="100" w:beforeAutospacing="1" w:after="100" w:afterAutospacing="1" w:line="480" w:lineRule="auto"/>
        <w:ind w:left="0" w:firstLine="0"/>
        <w:jc w:val="both"/>
        <w:rPr>
          <w:rFonts w:ascii="Times New Roman" w:eastAsia="Times New Roman" w:hAnsi="Times New Roman" w:cs="Times New Roman"/>
          <w:b/>
          <w:sz w:val="28"/>
          <w:szCs w:val="28"/>
          <w:highlight w:val="lightGray"/>
          <w:lang w:val="es-ES" w:eastAsia="es-CR"/>
        </w:rPr>
      </w:pPr>
      <w:r w:rsidRPr="002A7673">
        <w:rPr>
          <w:rFonts w:ascii="Times New Roman" w:eastAsia="Times New Roman" w:hAnsi="Times New Roman" w:cs="Times New Roman"/>
          <w:b/>
          <w:sz w:val="28"/>
          <w:szCs w:val="28"/>
          <w:highlight w:val="lightGray"/>
          <w:lang w:val="es-ES" w:eastAsia="es-CR"/>
        </w:rPr>
        <w:t>Reforma al Código Procesal de Familia</w:t>
      </w:r>
    </w:p>
    <w:p w14:paraId="09A83B59"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En reunión de trabajo del pasado 23 de abril, la licenciada Nacira Valverde Bermúdez,</w:t>
      </w:r>
      <w:r w:rsidRPr="002A7673">
        <w:rPr>
          <w:rFonts w:ascii="Times New Roman" w:eastAsia="Times New Roman" w:hAnsi="Times New Roman" w:cs="Times New Roman"/>
          <w:bCs/>
          <w:color w:val="000000"/>
          <w:sz w:val="28"/>
          <w:szCs w:val="28"/>
          <w:shd w:val="clear" w:color="auto" w:fill="FFFFFF"/>
          <w:lang w:val="es-ES" w:eastAsia="es-CR"/>
        </w:rPr>
        <w:t xml:space="preserve"> </w:t>
      </w:r>
      <w:r w:rsidRPr="002A7673">
        <w:rPr>
          <w:rFonts w:ascii="Times New Roman" w:eastAsia="Times New Roman" w:hAnsi="Times New Roman" w:cs="Times New Roman"/>
          <w:bCs/>
          <w:sz w:val="28"/>
          <w:szCs w:val="28"/>
          <w:lang w:val="es-ES" w:eastAsia="es-CR"/>
        </w:rPr>
        <w:t xml:space="preserve">Directora de Planificación indicó que mediante oficio EJ-DIR-029-2021, la Licda. Rebeca Guardia Morales, en calidad de Directora de la Escuela Judicial, remitió la estimación realizada por la Escuela Judicial en conjunto con la persona Gestora de la Reforma Procesal de Familia, tendiente a solventar necesidades de capacitación durante 2022, previo a la </w:t>
      </w:r>
      <w:proofErr w:type="gramStart"/>
      <w:r w:rsidRPr="002A7673">
        <w:rPr>
          <w:rFonts w:ascii="Times New Roman" w:eastAsia="Times New Roman" w:hAnsi="Times New Roman" w:cs="Times New Roman"/>
          <w:bCs/>
          <w:sz w:val="28"/>
          <w:szCs w:val="28"/>
          <w:lang w:val="es-ES" w:eastAsia="es-CR"/>
        </w:rPr>
        <w:t>entrada en vigencia</w:t>
      </w:r>
      <w:proofErr w:type="gramEnd"/>
      <w:r w:rsidRPr="002A7673">
        <w:rPr>
          <w:rFonts w:ascii="Times New Roman" w:eastAsia="Times New Roman" w:hAnsi="Times New Roman" w:cs="Times New Roman"/>
          <w:bCs/>
          <w:sz w:val="28"/>
          <w:szCs w:val="28"/>
          <w:lang w:val="es-ES" w:eastAsia="es-CR"/>
        </w:rPr>
        <w:t xml:space="preserve"> de esta reforma.  </w:t>
      </w:r>
    </w:p>
    <w:p w14:paraId="15F98E3D"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En total se proponen 213 grupos, una participación de 4260 personas, 60 días hábiles presenciales y 70 días hábiles virtuales, 40 semanas de permisos </w:t>
      </w:r>
      <w:r w:rsidRPr="002A7673">
        <w:rPr>
          <w:rFonts w:ascii="Times New Roman" w:eastAsia="Times New Roman" w:hAnsi="Times New Roman" w:cs="Times New Roman"/>
          <w:bCs/>
          <w:sz w:val="28"/>
          <w:szCs w:val="28"/>
          <w:lang w:val="es-ES" w:eastAsia="es-CR"/>
        </w:rPr>
        <w:lastRenderedPageBreak/>
        <w:t>con goce de salario para actividades de diseño y 60 semanas de permisos con goce de salario para actividades de ejecución, de acuerdo con el detalle que se aprecia en el archivo adjunto:</w:t>
      </w:r>
    </w:p>
    <w:p w14:paraId="21D289E3" w14:textId="77777777" w:rsidR="002A7673" w:rsidRPr="002A7673" w:rsidRDefault="002A7673" w:rsidP="002A7673">
      <w:pPr>
        <w:suppressAutoHyphens/>
        <w:spacing w:after="0" w:line="480" w:lineRule="auto"/>
        <w:ind w:firstLine="708"/>
        <w:jc w:val="center"/>
        <w:rPr>
          <w:rFonts w:ascii="Times New Roman" w:eastAsia="Times New Roman" w:hAnsi="Times New Roman" w:cs="Times New Roman"/>
          <w:sz w:val="20"/>
          <w:szCs w:val="20"/>
          <w:lang w:val="es-ES_tradnl" w:eastAsia="ar-SA"/>
        </w:rPr>
      </w:pPr>
      <w:r w:rsidRPr="002A7673">
        <w:rPr>
          <w:rFonts w:ascii="Times New Roman" w:eastAsia="Times New Roman" w:hAnsi="Times New Roman" w:cs="Times New Roman"/>
          <w:sz w:val="20"/>
          <w:szCs w:val="20"/>
          <w:lang w:val="es-ES_tradnl" w:eastAsia="ar-SA"/>
        </w:rPr>
        <w:object w:dxaOrig="1508" w:dyaOrig="984" w14:anchorId="546837AF">
          <v:shape id="_x0000_i1189" type="#_x0000_t75" style="width:77.25pt;height:51.75pt" o:ole="">
            <v:imagedata r:id="rId154" o:title=""/>
          </v:shape>
          <o:OLEObject Type="Embed" ProgID="AcroExch.Document.DC" ShapeID="_x0000_i1189" DrawAspect="Icon" ObjectID="_1684067132" r:id="rId450"/>
        </w:object>
      </w:r>
    </w:p>
    <w:p w14:paraId="25008722"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Finalmente, la Escuela Judicial en su oficio indica:   </w:t>
      </w:r>
    </w:p>
    <w:p w14:paraId="204CE9A3"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i/>
          <w:iCs/>
          <w:sz w:val="28"/>
          <w:szCs w:val="28"/>
          <w:lang w:val="es-ES" w:eastAsia="es-CR"/>
        </w:rPr>
      </w:pPr>
      <w:r w:rsidRPr="002A7673">
        <w:rPr>
          <w:rFonts w:ascii="Times New Roman" w:eastAsia="Times New Roman" w:hAnsi="Times New Roman" w:cs="Times New Roman"/>
          <w:bCs/>
          <w:i/>
          <w:iCs/>
          <w:sz w:val="28"/>
          <w:szCs w:val="28"/>
          <w:lang w:val="es-ES" w:eastAsia="es-CR"/>
        </w:rPr>
        <w:t xml:space="preserve">“(…) Es importante detallar, </w:t>
      </w:r>
      <w:proofErr w:type="gramStart"/>
      <w:r w:rsidRPr="002A7673">
        <w:rPr>
          <w:rFonts w:ascii="Times New Roman" w:eastAsia="Times New Roman" w:hAnsi="Times New Roman" w:cs="Times New Roman"/>
          <w:bCs/>
          <w:i/>
          <w:iCs/>
          <w:sz w:val="28"/>
          <w:szCs w:val="28"/>
          <w:lang w:val="es-ES" w:eastAsia="es-CR"/>
        </w:rPr>
        <w:t>que</w:t>
      </w:r>
      <w:proofErr w:type="gramEnd"/>
      <w:r w:rsidRPr="002A7673">
        <w:rPr>
          <w:rFonts w:ascii="Times New Roman" w:eastAsia="Times New Roman" w:hAnsi="Times New Roman" w:cs="Times New Roman"/>
          <w:bCs/>
          <w:i/>
          <w:iCs/>
          <w:sz w:val="28"/>
          <w:szCs w:val="28"/>
          <w:lang w:val="es-ES" w:eastAsia="es-CR"/>
        </w:rPr>
        <w:t xml:space="preserve"> a efectos presupuestarios, solamente se contempla el rubro correspondiente a suplencia de las personas facilitadoras, para los procesos de diseño y ejecución. Dado que se ha determinado </w:t>
      </w:r>
      <w:proofErr w:type="gramStart"/>
      <w:r w:rsidRPr="002A7673">
        <w:rPr>
          <w:rFonts w:ascii="Times New Roman" w:eastAsia="Times New Roman" w:hAnsi="Times New Roman" w:cs="Times New Roman"/>
          <w:bCs/>
          <w:i/>
          <w:iCs/>
          <w:sz w:val="28"/>
          <w:szCs w:val="28"/>
          <w:lang w:val="es-ES" w:eastAsia="es-CR"/>
        </w:rPr>
        <w:t>que</w:t>
      </w:r>
      <w:proofErr w:type="gramEnd"/>
      <w:r w:rsidRPr="002A7673">
        <w:rPr>
          <w:rFonts w:ascii="Times New Roman" w:eastAsia="Times New Roman" w:hAnsi="Times New Roman" w:cs="Times New Roman"/>
          <w:bCs/>
          <w:i/>
          <w:iCs/>
          <w:sz w:val="28"/>
          <w:szCs w:val="28"/>
          <w:lang w:val="es-ES" w:eastAsia="es-CR"/>
        </w:rPr>
        <w:t xml:space="preserve"> por un asunto de conveniencia y ahorro institucional, las capacitaciones previstas se realicen por medios tecnológicos, utilizando la plataforma MOODLE y el sistema de </w:t>
      </w:r>
      <w:proofErr w:type="spellStart"/>
      <w:r w:rsidRPr="002A7673">
        <w:rPr>
          <w:rFonts w:ascii="Times New Roman" w:eastAsia="Times New Roman" w:hAnsi="Times New Roman" w:cs="Times New Roman"/>
          <w:bCs/>
          <w:i/>
          <w:iCs/>
          <w:sz w:val="28"/>
          <w:szCs w:val="28"/>
          <w:lang w:val="es-ES" w:eastAsia="es-CR"/>
        </w:rPr>
        <w:t>vídeoconferencia</w:t>
      </w:r>
      <w:proofErr w:type="spellEnd"/>
      <w:r w:rsidRPr="002A7673">
        <w:rPr>
          <w:rFonts w:ascii="Times New Roman" w:eastAsia="Times New Roman" w:hAnsi="Times New Roman" w:cs="Times New Roman"/>
          <w:bCs/>
          <w:i/>
          <w:iCs/>
          <w:sz w:val="28"/>
          <w:szCs w:val="28"/>
          <w:lang w:val="es-ES" w:eastAsia="es-CR"/>
        </w:rPr>
        <w:t xml:space="preserve"> TEAMS. Es en ese sentido que las 100 semanas (25 meses) estimadas para diseños y ejecución, se calculan tomando como base el salario promediado de un Juez o jueza 4 de la República </w:t>
      </w:r>
      <w:proofErr w:type="gramStart"/>
      <w:r w:rsidRPr="002A7673">
        <w:rPr>
          <w:rFonts w:ascii="Times New Roman" w:eastAsia="Times New Roman" w:hAnsi="Times New Roman" w:cs="Times New Roman"/>
          <w:bCs/>
          <w:i/>
          <w:iCs/>
          <w:sz w:val="28"/>
          <w:szCs w:val="28"/>
          <w:lang w:val="es-ES" w:eastAsia="es-CR"/>
        </w:rPr>
        <w:t>al día de hoy</w:t>
      </w:r>
      <w:proofErr w:type="gramEnd"/>
      <w:r w:rsidRPr="002A7673">
        <w:rPr>
          <w:rFonts w:ascii="Times New Roman" w:eastAsia="Times New Roman" w:hAnsi="Times New Roman" w:cs="Times New Roman"/>
          <w:bCs/>
          <w:i/>
          <w:iCs/>
          <w:sz w:val="28"/>
          <w:szCs w:val="28"/>
          <w:lang w:val="es-ES" w:eastAsia="es-CR"/>
        </w:rPr>
        <w:t xml:space="preserve"> (3 370 000 colones) representaría un total de 84 250 000 (ochenta y cuatro millones, doscientos cincuenta mil colones”.</w:t>
      </w:r>
    </w:p>
    <w:p w14:paraId="41ABD43A" w14:textId="77777777" w:rsidR="002A7673" w:rsidRPr="002A7673" w:rsidRDefault="002A7673" w:rsidP="002A7673">
      <w:pPr>
        <w:suppressAutoHyphens/>
        <w:spacing w:before="100" w:beforeAutospacing="1" w:after="100" w:afterAutospacing="1" w:line="480" w:lineRule="auto"/>
        <w:jc w:val="center"/>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-0-</w:t>
      </w:r>
    </w:p>
    <w:p w14:paraId="77F98FE1"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lastRenderedPageBreak/>
        <w:t xml:space="preserve">Al respecto, es importante señalar que el proceso de formación de las personas juzgadoras y personal técnico respecto al nuevo Código Procesal de Familia, Ley 9747 que entra en vigencia el próximo 1 de octubre 2022, es vital para la Institución máxime el cambio a nivel procesal que implica, dado que es la primera vez que la jurisdicción cuenta con una norma procesal propia y que plantea un procedimiento nuevo, oral, por audiencias con participación activa de la Defensa Pública, con la introducción por la Ley de nuevos tipos procesales, cambios de competencias materiales y la posible creación incluso de Juzgados por Ministerio de Ley; y siendo que la Ley 9747 impacta tanto la materia de Familia como Pensiones Alimentarias y Violencia Doméstica; es fundamental contar con el personal debidamente capacitado para su aplicación.  </w:t>
      </w:r>
    </w:p>
    <w:p w14:paraId="3C11B0A3"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A nivel presupuestario, inicialmente en la formulación para el 2020 y 2021 la capacitación de la Jurisdicción se estimó en ₡1,200,000,000.00 (para distribuir en 2 años).  Sin embargo, ante la falta de incorporación de presupuesto por parte del Ministerio de Hacienda y dada la ampliación en la vacancia de </w:t>
      </w:r>
      <w:proofErr w:type="gramStart"/>
      <w:r w:rsidRPr="002A7673">
        <w:rPr>
          <w:rFonts w:ascii="Times New Roman" w:eastAsia="Times New Roman" w:hAnsi="Times New Roman" w:cs="Times New Roman"/>
          <w:bCs/>
          <w:sz w:val="28"/>
          <w:szCs w:val="28"/>
          <w:lang w:val="es-ES" w:eastAsia="es-CR"/>
        </w:rPr>
        <w:t>entrada en vigencia</w:t>
      </w:r>
      <w:proofErr w:type="gramEnd"/>
      <w:r w:rsidRPr="002A7673">
        <w:rPr>
          <w:rFonts w:ascii="Times New Roman" w:eastAsia="Times New Roman" w:hAnsi="Times New Roman" w:cs="Times New Roman"/>
          <w:bCs/>
          <w:sz w:val="28"/>
          <w:szCs w:val="28"/>
          <w:lang w:val="es-ES" w:eastAsia="es-CR"/>
        </w:rPr>
        <w:t xml:space="preserve"> de la Ley aprobada por la Asamblea Legislativa (Ley 9904), el proceso de capacitación tuvo que ser asumido en 2020 y 2021 por la Escuela Judicial dentro de su presupuesto ordinario. </w:t>
      </w:r>
    </w:p>
    <w:p w14:paraId="0DB22779"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lastRenderedPageBreak/>
        <w:t xml:space="preserve">Como se desprende del oficio de la Escuela Judicial, para 2022 </w:t>
      </w:r>
      <w:proofErr w:type="gramStart"/>
      <w:r w:rsidRPr="002A7673">
        <w:rPr>
          <w:rFonts w:ascii="Times New Roman" w:eastAsia="Times New Roman" w:hAnsi="Times New Roman" w:cs="Times New Roman"/>
          <w:bCs/>
          <w:sz w:val="28"/>
          <w:szCs w:val="28"/>
          <w:lang w:val="es-ES" w:eastAsia="es-CR"/>
        </w:rPr>
        <w:t>se  estimó</w:t>
      </w:r>
      <w:proofErr w:type="gramEnd"/>
      <w:r w:rsidRPr="002A7673">
        <w:rPr>
          <w:rFonts w:ascii="Times New Roman" w:eastAsia="Times New Roman" w:hAnsi="Times New Roman" w:cs="Times New Roman"/>
          <w:bCs/>
          <w:sz w:val="28"/>
          <w:szCs w:val="28"/>
          <w:lang w:val="es-ES" w:eastAsia="es-CR"/>
        </w:rPr>
        <w:t xml:space="preserve"> su requerimiento presupuestario en ₡84,250,000.00; para el pago de suplencias tanto para la etapa de diseño como de ejecución (oficio EJ-DIR-029-2021). </w:t>
      </w:r>
    </w:p>
    <w:p w14:paraId="06A100A9" w14:textId="77777777" w:rsidR="002A7673" w:rsidRPr="002A7673" w:rsidRDefault="002A7673" w:rsidP="002A7673">
      <w:pPr>
        <w:suppressAutoHyphens/>
        <w:spacing w:after="0" w:line="480" w:lineRule="auto"/>
        <w:jc w:val="both"/>
        <w:rPr>
          <w:rFonts w:ascii="Times New Roman" w:eastAsia="Times New Roman" w:hAnsi="Times New Roman" w:cs="Times New Roman"/>
          <w:b/>
          <w:sz w:val="28"/>
          <w:szCs w:val="28"/>
          <w:lang w:val="es-ES_tradnl" w:eastAsia="ar-SA"/>
        </w:rPr>
      </w:pPr>
    </w:p>
    <w:p w14:paraId="69A3139B" w14:textId="77777777" w:rsidR="002A7673" w:rsidRPr="002A7673" w:rsidRDefault="002A7673" w:rsidP="002A7673">
      <w:pPr>
        <w:suppressAutoHyphens/>
        <w:spacing w:after="0" w:line="480" w:lineRule="auto"/>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
          <w:sz w:val="28"/>
          <w:szCs w:val="28"/>
          <w:lang w:val="es-ES_tradnl" w:eastAsia="ar-SA"/>
        </w:rPr>
        <w:t xml:space="preserve">En síntesis, en virtud de las necesidades instituciones para el impulso de las leyes especiales, se </w:t>
      </w:r>
      <w:proofErr w:type="gramStart"/>
      <w:r w:rsidRPr="002A7673">
        <w:rPr>
          <w:rFonts w:ascii="Times New Roman" w:eastAsia="Times New Roman" w:hAnsi="Times New Roman" w:cs="Times New Roman"/>
          <w:b/>
          <w:sz w:val="28"/>
          <w:szCs w:val="28"/>
          <w:lang w:val="es-ES_tradnl" w:eastAsia="ar-SA"/>
        </w:rPr>
        <w:t>dispuso</w:t>
      </w:r>
      <w:proofErr w:type="gramEnd"/>
      <w:r w:rsidRPr="002A7673">
        <w:rPr>
          <w:rFonts w:ascii="Times New Roman" w:eastAsia="Times New Roman" w:hAnsi="Times New Roman" w:cs="Times New Roman"/>
          <w:b/>
          <w:sz w:val="28"/>
          <w:szCs w:val="28"/>
          <w:lang w:val="es-ES_tradnl" w:eastAsia="ar-SA"/>
        </w:rPr>
        <w:t xml:space="preserve"> incorporar como parte del presupuesto ordinario un monto total de ¢865.703.685:</w:t>
      </w:r>
    </w:p>
    <w:tbl>
      <w:tblPr>
        <w:tblW w:w="9072" w:type="dxa"/>
        <w:jc w:val="center"/>
        <w:tblCellMar>
          <w:left w:w="70" w:type="dxa"/>
          <w:right w:w="70" w:type="dxa"/>
        </w:tblCellMar>
        <w:tblLook w:val="04A0" w:firstRow="1" w:lastRow="0" w:firstColumn="1" w:lastColumn="0" w:noHBand="0" w:noVBand="1"/>
      </w:tblPr>
      <w:tblGrid>
        <w:gridCol w:w="2977"/>
        <w:gridCol w:w="1984"/>
        <w:gridCol w:w="2126"/>
        <w:gridCol w:w="1985"/>
      </w:tblGrid>
      <w:tr w:rsidR="002A7673" w:rsidRPr="002A7673" w14:paraId="40CF838D" w14:textId="77777777" w:rsidTr="004F270D">
        <w:trPr>
          <w:trHeight w:val="290"/>
          <w:jc w:val="center"/>
        </w:trPr>
        <w:tc>
          <w:tcPr>
            <w:tcW w:w="2977" w:type="dxa"/>
            <w:tcBorders>
              <w:top w:val="nil"/>
              <w:left w:val="nil"/>
              <w:bottom w:val="nil"/>
              <w:right w:val="nil"/>
            </w:tcBorders>
            <w:shd w:val="clear" w:color="auto" w:fill="auto"/>
            <w:noWrap/>
            <w:vAlign w:val="bottom"/>
            <w:hideMark/>
          </w:tcPr>
          <w:p w14:paraId="303414B3"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20"/>
                <w:szCs w:val="20"/>
                <w:lang w:val="es-ES_tradnl" w:eastAsia="es-CR"/>
              </w:rPr>
            </w:pPr>
            <w:r w:rsidRPr="002A7673">
              <w:rPr>
                <w:rFonts w:ascii="Times New Roman" w:eastAsia="Times New Roman" w:hAnsi="Times New Roman" w:cs="Times New Roman"/>
                <w:b/>
                <w:bCs/>
                <w:sz w:val="20"/>
                <w:szCs w:val="20"/>
                <w:lang w:val="es-ES_tradnl" w:eastAsia="es-CR"/>
              </w:rPr>
              <w:t>CONCEPTO / NECESIDAD</w:t>
            </w:r>
          </w:p>
        </w:tc>
        <w:tc>
          <w:tcPr>
            <w:tcW w:w="1984" w:type="dxa"/>
            <w:tcBorders>
              <w:top w:val="nil"/>
              <w:left w:val="nil"/>
              <w:bottom w:val="nil"/>
              <w:right w:val="nil"/>
            </w:tcBorders>
            <w:shd w:val="clear" w:color="auto" w:fill="auto"/>
            <w:noWrap/>
            <w:vAlign w:val="bottom"/>
            <w:hideMark/>
          </w:tcPr>
          <w:p w14:paraId="590AE660" w14:textId="77777777" w:rsidR="002A7673" w:rsidRPr="002A7673" w:rsidRDefault="002A7673" w:rsidP="002A7673">
            <w:pPr>
              <w:suppressAutoHyphens/>
              <w:spacing w:after="0" w:line="240" w:lineRule="auto"/>
              <w:jc w:val="center"/>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GASTO CORRIENTE</w:t>
            </w:r>
          </w:p>
        </w:tc>
        <w:tc>
          <w:tcPr>
            <w:tcW w:w="2126" w:type="dxa"/>
            <w:tcBorders>
              <w:top w:val="nil"/>
              <w:left w:val="nil"/>
              <w:bottom w:val="nil"/>
              <w:right w:val="nil"/>
            </w:tcBorders>
            <w:shd w:val="clear" w:color="auto" w:fill="auto"/>
            <w:noWrap/>
            <w:vAlign w:val="bottom"/>
            <w:hideMark/>
          </w:tcPr>
          <w:p w14:paraId="1234D86E" w14:textId="77777777" w:rsidR="002A7673" w:rsidRPr="002A7673" w:rsidRDefault="002A7673" w:rsidP="002A7673">
            <w:pPr>
              <w:suppressAutoHyphens/>
              <w:spacing w:after="0" w:line="240" w:lineRule="auto"/>
              <w:jc w:val="center"/>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GASTO CAPITAL</w:t>
            </w:r>
          </w:p>
        </w:tc>
        <w:tc>
          <w:tcPr>
            <w:tcW w:w="1985" w:type="dxa"/>
            <w:tcBorders>
              <w:top w:val="nil"/>
              <w:left w:val="nil"/>
              <w:bottom w:val="nil"/>
              <w:right w:val="nil"/>
            </w:tcBorders>
            <w:shd w:val="clear" w:color="auto" w:fill="auto"/>
            <w:noWrap/>
            <w:vAlign w:val="bottom"/>
            <w:hideMark/>
          </w:tcPr>
          <w:p w14:paraId="105FA87D" w14:textId="77777777" w:rsidR="002A7673" w:rsidRPr="002A7673" w:rsidRDefault="002A7673" w:rsidP="002A7673">
            <w:pPr>
              <w:suppressAutoHyphens/>
              <w:spacing w:after="0" w:line="240" w:lineRule="auto"/>
              <w:jc w:val="center"/>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TOTAL</w:t>
            </w:r>
          </w:p>
        </w:tc>
      </w:tr>
      <w:tr w:rsidR="002A7673" w:rsidRPr="002A7673" w14:paraId="5214B847" w14:textId="77777777" w:rsidTr="004F270D">
        <w:trPr>
          <w:trHeight w:val="290"/>
          <w:jc w:val="center"/>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67E47" w14:textId="77777777" w:rsidR="002A7673" w:rsidRPr="002A7673" w:rsidRDefault="002A7673" w:rsidP="002A7673">
            <w:pPr>
              <w:suppressAutoHyphens/>
              <w:spacing w:after="0" w:line="240" w:lineRule="auto"/>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bCs/>
                <w:color w:val="000000"/>
                <w:sz w:val="20"/>
                <w:szCs w:val="20"/>
                <w:lang w:val="es-ES_tradnl" w:eastAsia="es-CR"/>
              </w:rPr>
              <w:t xml:space="preserve">Capacitación Ley Reforma Procesal de Familia </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525763A0"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color w:val="000000"/>
                <w:sz w:val="20"/>
                <w:szCs w:val="20"/>
                <w:lang w:val="es-ES_tradnl" w:eastAsia="es-CR"/>
              </w:rPr>
              <w:t xml:space="preserve">84 250 000,00 </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7D95D873"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789DA01F"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color w:val="000000"/>
                <w:sz w:val="20"/>
                <w:szCs w:val="20"/>
                <w:lang w:val="es-ES_tradnl" w:eastAsia="es-CR"/>
              </w:rPr>
              <w:t xml:space="preserve">84 250 000,00 </w:t>
            </w:r>
          </w:p>
        </w:tc>
      </w:tr>
      <w:tr w:rsidR="002A7673" w:rsidRPr="002A7673" w14:paraId="265EB3A9" w14:textId="77777777" w:rsidTr="004F270D">
        <w:trPr>
          <w:trHeight w:val="290"/>
          <w:jc w:val="center"/>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7FEE4EBC" w14:textId="77777777" w:rsidR="002A7673" w:rsidRPr="002A7673" w:rsidRDefault="002A7673" w:rsidP="002A7673">
            <w:pPr>
              <w:suppressAutoHyphens/>
              <w:spacing w:after="0" w:line="240" w:lineRule="auto"/>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bCs/>
                <w:color w:val="000000"/>
                <w:sz w:val="20"/>
                <w:szCs w:val="20"/>
                <w:lang w:val="es-ES_tradnl" w:eastAsia="es-CR"/>
              </w:rPr>
              <w:t xml:space="preserve">Vehículos para Reforma Procesal Agraria </w:t>
            </w:r>
          </w:p>
        </w:tc>
        <w:tc>
          <w:tcPr>
            <w:tcW w:w="1984" w:type="dxa"/>
            <w:tcBorders>
              <w:top w:val="nil"/>
              <w:left w:val="nil"/>
              <w:bottom w:val="single" w:sz="4" w:space="0" w:color="auto"/>
              <w:right w:val="single" w:sz="4" w:space="0" w:color="auto"/>
            </w:tcBorders>
            <w:shd w:val="clear" w:color="auto" w:fill="auto"/>
            <w:noWrap/>
            <w:vAlign w:val="center"/>
            <w:hideMark/>
          </w:tcPr>
          <w:p w14:paraId="744F856B"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color w:val="000000"/>
                <w:sz w:val="20"/>
                <w:szCs w:val="20"/>
                <w:lang w:val="es-ES_tradnl" w:eastAsia="es-CR"/>
              </w:rPr>
              <w:t xml:space="preserve">13 323 258,00 </w:t>
            </w:r>
          </w:p>
        </w:tc>
        <w:tc>
          <w:tcPr>
            <w:tcW w:w="2126" w:type="dxa"/>
            <w:tcBorders>
              <w:top w:val="nil"/>
              <w:left w:val="nil"/>
              <w:bottom w:val="single" w:sz="4" w:space="0" w:color="auto"/>
              <w:right w:val="single" w:sz="4" w:space="0" w:color="auto"/>
            </w:tcBorders>
            <w:shd w:val="clear" w:color="auto" w:fill="auto"/>
            <w:noWrap/>
            <w:vAlign w:val="center"/>
            <w:hideMark/>
          </w:tcPr>
          <w:p w14:paraId="29BE5548"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color w:val="000000"/>
                <w:sz w:val="20"/>
                <w:szCs w:val="20"/>
                <w:lang w:val="es-ES_tradnl" w:eastAsia="es-CR"/>
              </w:rPr>
              <w:t xml:space="preserve">143 653 500,00 </w:t>
            </w:r>
          </w:p>
        </w:tc>
        <w:tc>
          <w:tcPr>
            <w:tcW w:w="1985" w:type="dxa"/>
            <w:tcBorders>
              <w:top w:val="nil"/>
              <w:left w:val="nil"/>
              <w:bottom w:val="single" w:sz="4" w:space="0" w:color="auto"/>
              <w:right w:val="single" w:sz="4" w:space="0" w:color="auto"/>
            </w:tcBorders>
            <w:shd w:val="clear" w:color="auto" w:fill="auto"/>
            <w:noWrap/>
            <w:vAlign w:val="center"/>
            <w:hideMark/>
          </w:tcPr>
          <w:p w14:paraId="05DA64EE"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color w:val="000000"/>
                <w:sz w:val="20"/>
                <w:szCs w:val="20"/>
                <w:lang w:val="es-ES_tradnl" w:eastAsia="es-CR"/>
              </w:rPr>
              <w:t xml:space="preserve">156 976 758,00 </w:t>
            </w:r>
          </w:p>
        </w:tc>
      </w:tr>
      <w:tr w:rsidR="002A7673" w:rsidRPr="002A7673" w14:paraId="5002F30A" w14:textId="77777777" w:rsidTr="004F270D">
        <w:trPr>
          <w:trHeight w:val="290"/>
          <w:jc w:val="center"/>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1A1F32E3" w14:textId="77777777" w:rsidR="002A7673" w:rsidRPr="002A7673" w:rsidRDefault="002A7673" w:rsidP="002A7673">
            <w:pPr>
              <w:suppressAutoHyphens/>
              <w:spacing w:after="0" w:line="240" w:lineRule="auto"/>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bCs/>
                <w:color w:val="000000"/>
                <w:sz w:val="20"/>
                <w:szCs w:val="20"/>
                <w:lang w:val="es-ES_tradnl" w:eastAsia="es-CR"/>
              </w:rPr>
              <w:t>Equipos para Ley Bienestar de los Animales</w:t>
            </w:r>
          </w:p>
        </w:tc>
        <w:tc>
          <w:tcPr>
            <w:tcW w:w="1984" w:type="dxa"/>
            <w:tcBorders>
              <w:top w:val="nil"/>
              <w:left w:val="nil"/>
              <w:bottom w:val="single" w:sz="4" w:space="0" w:color="auto"/>
              <w:right w:val="single" w:sz="4" w:space="0" w:color="auto"/>
            </w:tcBorders>
            <w:shd w:val="clear" w:color="auto" w:fill="auto"/>
            <w:noWrap/>
            <w:vAlign w:val="center"/>
            <w:hideMark/>
          </w:tcPr>
          <w:p w14:paraId="39EFF5CC"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   </w:t>
            </w:r>
          </w:p>
        </w:tc>
        <w:tc>
          <w:tcPr>
            <w:tcW w:w="2126" w:type="dxa"/>
            <w:tcBorders>
              <w:top w:val="nil"/>
              <w:left w:val="nil"/>
              <w:bottom w:val="single" w:sz="4" w:space="0" w:color="auto"/>
              <w:right w:val="single" w:sz="4" w:space="0" w:color="auto"/>
            </w:tcBorders>
            <w:shd w:val="clear" w:color="auto" w:fill="auto"/>
            <w:noWrap/>
            <w:vAlign w:val="center"/>
            <w:hideMark/>
          </w:tcPr>
          <w:p w14:paraId="45B569F4"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color w:val="000000"/>
                <w:sz w:val="20"/>
                <w:szCs w:val="20"/>
                <w:lang w:val="es-ES_tradnl" w:eastAsia="es-CR"/>
              </w:rPr>
              <w:t xml:space="preserve">113 200 000,00 </w:t>
            </w:r>
          </w:p>
        </w:tc>
        <w:tc>
          <w:tcPr>
            <w:tcW w:w="1985" w:type="dxa"/>
            <w:tcBorders>
              <w:top w:val="nil"/>
              <w:left w:val="nil"/>
              <w:bottom w:val="single" w:sz="4" w:space="0" w:color="auto"/>
              <w:right w:val="single" w:sz="4" w:space="0" w:color="auto"/>
            </w:tcBorders>
            <w:shd w:val="clear" w:color="auto" w:fill="auto"/>
            <w:noWrap/>
            <w:vAlign w:val="center"/>
            <w:hideMark/>
          </w:tcPr>
          <w:p w14:paraId="5BAE7D1F"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color w:val="000000"/>
                <w:sz w:val="20"/>
                <w:szCs w:val="20"/>
                <w:lang w:val="es-ES_tradnl" w:eastAsia="es-CR"/>
              </w:rPr>
              <w:t xml:space="preserve">113 200 000,00 </w:t>
            </w:r>
          </w:p>
        </w:tc>
      </w:tr>
      <w:tr w:rsidR="002A7673" w:rsidRPr="002A7673" w14:paraId="387E156B" w14:textId="77777777" w:rsidTr="004F270D">
        <w:trPr>
          <w:trHeight w:val="290"/>
          <w:jc w:val="center"/>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1C32AC3D" w14:textId="77777777" w:rsidR="002A7673" w:rsidRPr="002A7673" w:rsidRDefault="002A7673" w:rsidP="002A7673">
            <w:pPr>
              <w:suppressAutoHyphens/>
              <w:spacing w:after="0" w:line="240" w:lineRule="auto"/>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bCs/>
                <w:color w:val="000000"/>
                <w:sz w:val="20"/>
                <w:szCs w:val="20"/>
                <w:lang w:val="es-ES_tradnl" w:eastAsia="es-CR"/>
              </w:rPr>
              <w:t xml:space="preserve">Remodelación de espacio físico para Ley Delincuencia Organizada </w:t>
            </w:r>
          </w:p>
        </w:tc>
        <w:tc>
          <w:tcPr>
            <w:tcW w:w="1984" w:type="dxa"/>
            <w:tcBorders>
              <w:top w:val="nil"/>
              <w:left w:val="nil"/>
              <w:bottom w:val="single" w:sz="4" w:space="0" w:color="auto"/>
              <w:right w:val="single" w:sz="4" w:space="0" w:color="auto"/>
            </w:tcBorders>
            <w:shd w:val="clear" w:color="auto" w:fill="auto"/>
            <w:noWrap/>
            <w:vAlign w:val="center"/>
            <w:hideMark/>
          </w:tcPr>
          <w:p w14:paraId="5F065F53"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   </w:t>
            </w:r>
          </w:p>
        </w:tc>
        <w:tc>
          <w:tcPr>
            <w:tcW w:w="2126" w:type="dxa"/>
            <w:tcBorders>
              <w:top w:val="nil"/>
              <w:left w:val="nil"/>
              <w:bottom w:val="single" w:sz="4" w:space="0" w:color="auto"/>
              <w:right w:val="single" w:sz="4" w:space="0" w:color="auto"/>
            </w:tcBorders>
            <w:shd w:val="clear" w:color="auto" w:fill="auto"/>
            <w:noWrap/>
            <w:vAlign w:val="center"/>
            <w:hideMark/>
          </w:tcPr>
          <w:p w14:paraId="1283D1B7"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color w:val="000000"/>
                <w:sz w:val="20"/>
                <w:szCs w:val="20"/>
                <w:lang w:val="es-ES_tradnl" w:eastAsia="es-CR"/>
              </w:rPr>
              <w:t xml:space="preserve">511 276 927,00 </w:t>
            </w:r>
          </w:p>
        </w:tc>
        <w:tc>
          <w:tcPr>
            <w:tcW w:w="1985" w:type="dxa"/>
            <w:tcBorders>
              <w:top w:val="nil"/>
              <w:left w:val="nil"/>
              <w:bottom w:val="single" w:sz="4" w:space="0" w:color="auto"/>
              <w:right w:val="single" w:sz="4" w:space="0" w:color="auto"/>
            </w:tcBorders>
            <w:shd w:val="clear" w:color="auto" w:fill="auto"/>
            <w:noWrap/>
            <w:vAlign w:val="center"/>
            <w:hideMark/>
          </w:tcPr>
          <w:p w14:paraId="661115CC"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color w:val="000000"/>
                <w:sz w:val="20"/>
                <w:szCs w:val="20"/>
                <w:lang w:val="es-ES_tradnl" w:eastAsia="es-CR"/>
              </w:rPr>
              <w:t xml:space="preserve">511 276 927,00 </w:t>
            </w:r>
          </w:p>
        </w:tc>
      </w:tr>
      <w:tr w:rsidR="002A7673" w:rsidRPr="002A7673" w14:paraId="30DDEE66" w14:textId="77777777" w:rsidTr="004F270D">
        <w:trPr>
          <w:trHeight w:val="290"/>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58086956" w14:textId="77777777" w:rsidR="002A7673" w:rsidRPr="002A7673" w:rsidRDefault="002A7673" w:rsidP="002A7673">
            <w:pPr>
              <w:suppressAutoHyphens/>
              <w:spacing w:after="0" w:line="240" w:lineRule="auto"/>
              <w:rPr>
                <w:rFonts w:ascii="Times New Roman" w:eastAsia="Times New Roman" w:hAnsi="Times New Roman" w:cs="Times New Roman"/>
                <w:b/>
                <w:bCs/>
                <w:sz w:val="20"/>
                <w:szCs w:val="20"/>
                <w:lang w:val="es-ES_tradnl" w:eastAsia="es-CR"/>
              </w:rPr>
            </w:pPr>
            <w:r w:rsidRPr="002A7673">
              <w:rPr>
                <w:rFonts w:ascii="Times New Roman" w:eastAsia="Times New Roman" w:hAnsi="Times New Roman" w:cs="Times New Roman"/>
                <w:b/>
                <w:bCs/>
                <w:sz w:val="20"/>
                <w:szCs w:val="20"/>
                <w:lang w:val="es-ES_tradnl" w:eastAsia="es-CR"/>
              </w:rPr>
              <w:t>TOTALES</w:t>
            </w:r>
          </w:p>
        </w:tc>
        <w:tc>
          <w:tcPr>
            <w:tcW w:w="1984" w:type="dxa"/>
            <w:tcBorders>
              <w:top w:val="nil"/>
              <w:left w:val="nil"/>
              <w:bottom w:val="single" w:sz="4" w:space="0" w:color="auto"/>
              <w:right w:val="single" w:sz="4" w:space="0" w:color="auto"/>
            </w:tcBorders>
            <w:shd w:val="clear" w:color="auto" w:fill="auto"/>
            <w:noWrap/>
            <w:vAlign w:val="center"/>
            <w:hideMark/>
          </w:tcPr>
          <w:p w14:paraId="55BDDC50" w14:textId="77777777" w:rsidR="002A7673" w:rsidRPr="002A7673" w:rsidRDefault="002A7673" w:rsidP="002A7673">
            <w:pPr>
              <w:suppressAutoHyphens/>
              <w:spacing w:after="0" w:line="240" w:lineRule="auto"/>
              <w:jc w:val="right"/>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b/>
                <w:bCs/>
                <w:color w:val="000000"/>
                <w:sz w:val="20"/>
                <w:szCs w:val="20"/>
                <w:lang w:val="es-ES_tradnl" w:eastAsia="es-CR"/>
              </w:rPr>
              <w:t xml:space="preserve">97 573 258,00 </w:t>
            </w:r>
          </w:p>
        </w:tc>
        <w:tc>
          <w:tcPr>
            <w:tcW w:w="2126" w:type="dxa"/>
            <w:tcBorders>
              <w:top w:val="nil"/>
              <w:left w:val="nil"/>
              <w:bottom w:val="single" w:sz="4" w:space="0" w:color="auto"/>
              <w:right w:val="single" w:sz="4" w:space="0" w:color="auto"/>
            </w:tcBorders>
            <w:shd w:val="clear" w:color="auto" w:fill="auto"/>
            <w:noWrap/>
            <w:vAlign w:val="center"/>
            <w:hideMark/>
          </w:tcPr>
          <w:p w14:paraId="6FB9BB42" w14:textId="77777777" w:rsidR="002A7673" w:rsidRPr="002A7673" w:rsidRDefault="002A7673" w:rsidP="002A7673">
            <w:pPr>
              <w:suppressAutoHyphens/>
              <w:spacing w:after="0" w:line="240" w:lineRule="auto"/>
              <w:jc w:val="right"/>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b/>
                <w:bCs/>
                <w:color w:val="000000"/>
                <w:sz w:val="20"/>
                <w:szCs w:val="20"/>
                <w:lang w:val="es-ES_tradnl" w:eastAsia="es-CR"/>
              </w:rPr>
              <w:t xml:space="preserve">768 130 427,00 </w:t>
            </w:r>
          </w:p>
        </w:tc>
        <w:tc>
          <w:tcPr>
            <w:tcW w:w="1985" w:type="dxa"/>
            <w:tcBorders>
              <w:top w:val="nil"/>
              <w:left w:val="nil"/>
              <w:bottom w:val="single" w:sz="4" w:space="0" w:color="auto"/>
              <w:right w:val="single" w:sz="4" w:space="0" w:color="auto"/>
            </w:tcBorders>
            <w:shd w:val="clear" w:color="auto" w:fill="auto"/>
            <w:noWrap/>
            <w:vAlign w:val="center"/>
            <w:hideMark/>
          </w:tcPr>
          <w:p w14:paraId="4351B6C8" w14:textId="77777777" w:rsidR="002A7673" w:rsidRPr="002A7673" w:rsidRDefault="002A7673" w:rsidP="002A7673">
            <w:pPr>
              <w:suppressAutoHyphens/>
              <w:spacing w:after="0" w:line="240" w:lineRule="auto"/>
              <w:jc w:val="right"/>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 xml:space="preserve">       </w:t>
            </w:r>
            <w:r w:rsidRPr="002A7673">
              <w:rPr>
                <w:rFonts w:ascii="Times New Roman" w:eastAsia="Times New Roman" w:hAnsi="Times New Roman" w:cs="Times New Roman"/>
                <w:b/>
                <w:sz w:val="28"/>
                <w:szCs w:val="28"/>
                <w:lang w:val="es-ES_tradnl" w:eastAsia="ar-SA"/>
              </w:rPr>
              <w:t>¢</w:t>
            </w:r>
            <w:r w:rsidRPr="002A7673">
              <w:rPr>
                <w:rFonts w:ascii="Times New Roman" w:eastAsia="Times New Roman" w:hAnsi="Times New Roman" w:cs="Times New Roman"/>
                <w:b/>
                <w:bCs/>
                <w:color w:val="000000"/>
                <w:sz w:val="20"/>
                <w:szCs w:val="20"/>
                <w:lang w:val="es-ES_tradnl" w:eastAsia="es-CR"/>
              </w:rPr>
              <w:t xml:space="preserve">865 703 685,00 </w:t>
            </w:r>
          </w:p>
        </w:tc>
      </w:tr>
    </w:tbl>
    <w:p w14:paraId="4D0F8D6E" w14:textId="77777777" w:rsidR="002A7673" w:rsidRPr="002A7673" w:rsidRDefault="002A7673" w:rsidP="002A7673">
      <w:pPr>
        <w:suppressAutoHyphens/>
        <w:spacing w:after="0" w:line="360" w:lineRule="auto"/>
        <w:jc w:val="both"/>
        <w:rPr>
          <w:rFonts w:ascii="Times New Roman" w:eastAsia="Times New Roman" w:hAnsi="Times New Roman" w:cs="Times New Roman"/>
          <w:b/>
          <w:sz w:val="28"/>
          <w:szCs w:val="28"/>
          <w:highlight w:val="cyan"/>
          <w:lang w:val="es-ES_tradnl" w:eastAsia="ar-SA"/>
        </w:rPr>
      </w:pPr>
    </w:p>
    <w:p w14:paraId="68B18EA6"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Recursos para Fideicomiso</w:t>
      </w:r>
    </w:p>
    <w:p w14:paraId="7EBA6066"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En la sesión de Consejo Superior 21-2021 del pasado 16 de marzo, artículo XVI, se consignó que en reunión de trabajo del Consejo Superior del pasado 5 de marzo la licenciada Nacira Valverde Bermúdez, Directora de Planificación presentó el Anteproyecto de Presupuesto y el Plan Anual Operativo 2022 correspondiente al Área de Construcciones.</w:t>
      </w:r>
    </w:p>
    <w:p w14:paraId="4F11310D"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lastRenderedPageBreak/>
        <w:t xml:space="preserve">En este informe de anteproyecto, se indicó </w:t>
      </w:r>
      <w:proofErr w:type="gramStart"/>
      <w:r w:rsidRPr="002A7673">
        <w:rPr>
          <w:rFonts w:ascii="Times New Roman" w:eastAsia="Times New Roman" w:hAnsi="Times New Roman" w:cs="Times New Roman"/>
          <w:bCs/>
          <w:sz w:val="28"/>
          <w:szCs w:val="28"/>
          <w:lang w:val="es-ES" w:eastAsia="es-CR"/>
        </w:rPr>
        <w:t>que</w:t>
      </w:r>
      <w:proofErr w:type="gramEnd"/>
      <w:r w:rsidRPr="002A7673">
        <w:rPr>
          <w:rFonts w:ascii="Times New Roman" w:eastAsia="Times New Roman" w:hAnsi="Times New Roman" w:cs="Times New Roman"/>
          <w:bCs/>
          <w:sz w:val="28"/>
          <w:szCs w:val="28"/>
          <w:lang w:val="es-ES" w:eastAsia="es-CR"/>
        </w:rPr>
        <w:t xml:space="preserve"> en relación con los Fondos para el Fideicomiso, la Dirección Ejecutiva mediante oficio 276-DE-2021 del 27 de enero de 2021, dirigido a la Comisión de Construcciones indicó lo siguiente: </w:t>
      </w:r>
    </w:p>
    <w:p w14:paraId="61938D46"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Calibri" w:hAnsi="Times New Roman" w:cs="Times New Roman"/>
          <w:bCs/>
          <w:i/>
          <w:iCs/>
          <w:sz w:val="28"/>
          <w:szCs w:val="28"/>
          <w:lang w:val="es-ES"/>
        </w:rPr>
      </w:pPr>
      <w:r w:rsidRPr="002A7673">
        <w:rPr>
          <w:rFonts w:ascii="Times New Roman" w:eastAsia="Calibri" w:hAnsi="Times New Roman" w:cs="Times New Roman"/>
          <w:bCs/>
          <w:i/>
          <w:iCs/>
          <w:sz w:val="28"/>
          <w:szCs w:val="28"/>
          <w:lang w:val="es-ES"/>
        </w:rPr>
        <w:t>“…De acuerdo con el oficio 60-TR-2021 del 13 de enero del 2021 dirigido a la Comisión de Construcciones, suscrito por la Dirección de Planificación y producto del impacto que ocasionó la atención de los compromisos no devengados del ejercicio presupuestario 2021, se hizo necesario replantear y ajustar proyectos contemplados en el anteproyecto de presupuesto de construcciones.</w:t>
      </w:r>
    </w:p>
    <w:p w14:paraId="749F9031"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Calibri" w:hAnsi="Times New Roman" w:cs="Times New Roman"/>
          <w:bCs/>
          <w:i/>
          <w:iCs/>
          <w:sz w:val="28"/>
          <w:szCs w:val="28"/>
          <w:lang w:val="es-ES"/>
        </w:rPr>
      </w:pPr>
      <w:r w:rsidRPr="002A7673">
        <w:rPr>
          <w:rFonts w:ascii="Times New Roman" w:eastAsia="Calibri" w:hAnsi="Times New Roman" w:cs="Times New Roman"/>
          <w:bCs/>
          <w:i/>
          <w:iCs/>
          <w:sz w:val="28"/>
          <w:szCs w:val="28"/>
          <w:lang w:val="es-ES"/>
        </w:rPr>
        <w:t>Aunado a lo anterior, se suma el acuerdo tomado por Corte Plena el pasado 11 de enero en curso, en el que aprobó que para el Anteproyecto de Presupuesto del 2022 se debe formular un 4% menos del monto aprobado para el presupuesto del 2021, motivo por el cual se hizo necesario realizar ajustes y reorientar algunos proyectos. Por tal motivo, me permito adjuntar archivo en el que se marcan las líneas que presentan cambios, así como un apartado en el que se extrajo solo los proyectos ajustados.</w:t>
      </w:r>
    </w:p>
    <w:p w14:paraId="286B98DF"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Calibri" w:hAnsi="Times New Roman" w:cs="Times New Roman"/>
          <w:bCs/>
          <w:i/>
          <w:iCs/>
          <w:sz w:val="28"/>
          <w:szCs w:val="28"/>
          <w:lang w:val="es-ES"/>
        </w:rPr>
      </w:pPr>
      <w:r w:rsidRPr="002A7673">
        <w:rPr>
          <w:rFonts w:ascii="Times New Roman" w:eastAsia="Calibri" w:hAnsi="Times New Roman" w:cs="Times New Roman"/>
          <w:bCs/>
          <w:i/>
          <w:iCs/>
          <w:sz w:val="28"/>
          <w:szCs w:val="28"/>
          <w:lang w:val="es-ES"/>
        </w:rPr>
        <w:t xml:space="preserve">Conforme el análisis realizado y en ocasión del avance de los planos constructivos del proyecto de la torre anexa de los Tribunales de Justicia de </w:t>
      </w:r>
      <w:r w:rsidRPr="002A7673">
        <w:rPr>
          <w:rFonts w:ascii="Times New Roman" w:eastAsia="Calibri" w:hAnsi="Times New Roman" w:cs="Times New Roman"/>
          <w:bCs/>
          <w:i/>
          <w:iCs/>
          <w:sz w:val="28"/>
          <w:szCs w:val="28"/>
          <w:lang w:val="es-ES"/>
        </w:rPr>
        <w:lastRenderedPageBreak/>
        <w:t>San Ramón, se contemplaron los recursos del Fideicomiso para concluir esta obra...”</w:t>
      </w:r>
    </w:p>
    <w:p w14:paraId="42D45A3C"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
          <w:bCs/>
          <w:sz w:val="28"/>
          <w:szCs w:val="28"/>
          <w:highlight w:val="cyan"/>
          <w:lang w:val="es-ES" w:eastAsia="es-CR"/>
        </w:rPr>
      </w:pPr>
      <w:r w:rsidRPr="002A7673">
        <w:rPr>
          <w:rFonts w:ascii="Times New Roman" w:eastAsia="Times New Roman" w:hAnsi="Times New Roman" w:cs="Times New Roman"/>
          <w:bCs/>
          <w:sz w:val="28"/>
          <w:szCs w:val="28"/>
          <w:lang w:val="es-ES" w:eastAsia="es-CR"/>
        </w:rPr>
        <w:t>Finalmente se advirtió que, por lo antes expuesto, para el 2022 el Área de Construcciones no estaría incluyendo recursos para financiar fideicomiso.</w:t>
      </w:r>
    </w:p>
    <w:p w14:paraId="6796849D" w14:textId="77777777" w:rsidR="002A7673" w:rsidRPr="002A7673" w:rsidRDefault="002A7673" w:rsidP="002A7673">
      <w:pPr>
        <w:spacing w:after="0" w:line="360" w:lineRule="auto"/>
        <w:ind w:left="720"/>
        <w:jc w:val="center"/>
        <w:rPr>
          <w:rFonts w:ascii="Times New Roman" w:eastAsia="Times New Roman" w:hAnsi="Times New Roman" w:cs="Times New Roman"/>
          <w:bCs/>
          <w:sz w:val="28"/>
          <w:szCs w:val="28"/>
          <w:lang w:val="es-ES" w:eastAsia="ar-SA"/>
        </w:rPr>
      </w:pPr>
      <w:r w:rsidRPr="002A7673">
        <w:rPr>
          <w:rFonts w:ascii="Times New Roman" w:eastAsia="Times New Roman" w:hAnsi="Times New Roman" w:cs="Times New Roman"/>
          <w:bCs/>
          <w:sz w:val="28"/>
          <w:szCs w:val="28"/>
          <w:lang w:val="es-ES" w:eastAsia="ar-SA"/>
        </w:rPr>
        <w:t>-0-</w:t>
      </w:r>
    </w:p>
    <w:p w14:paraId="146A6C8E"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color w:val="000000"/>
          <w:sz w:val="28"/>
          <w:szCs w:val="28"/>
          <w:lang w:val="es-ES" w:eastAsia="es-CR"/>
        </w:rPr>
      </w:pPr>
      <w:r w:rsidRPr="002A7673">
        <w:rPr>
          <w:rFonts w:ascii="Times New Roman" w:eastAsia="Times New Roman" w:hAnsi="Times New Roman" w:cs="Times New Roman"/>
          <w:bCs/>
          <w:sz w:val="28"/>
          <w:szCs w:val="28"/>
          <w:lang w:val="es-ES" w:eastAsia="es-CR"/>
        </w:rPr>
        <w:t>Posteriormente, en la sesión de Consejo Superior 30-2021 del pasado 16 de abril, artículo IV, se consignó que en reunión de trabajo del Consejo Superior del pasado 24 de marzo, La Licda. Nacira Valverde</w:t>
      </w:r>
      <w:r w:rsidRPr="002A7673">
        <w:rPr>
          <w:rFonts w:ascii="Times New Roman" w:eastAsia="Times New Roman" w:hAnsi="Times New Roman" w:cs="Times New Roman"/>
          <w:bCs/>
          <w:color w:val="000000"/>
          <w:sz w:val="28"/>
          <w:szCs w:val="28"/>
          <w:shd w:val="clear" w:color="auto" w:fill="FFFFFF"/>
          <w:lang w:val="es-ES" w:eastAsia="es-CR"/>
        </w:rPr>
        <w:t xml:space="preserve">, Directora de Planificación informó que en el artículo XVI de la sesión 21-2021 del Consejo Superior Presupuesto 2022, del pasado 12 de marzo, al conocerse el </w:t>
      </w:r>
      <w:r w:rsidRPr="002A7673">
        <w:rPr>
          <w:rFonts w:ascii="Times New Roman" w:eastAsia="Times New Roman" w:hAnsi="Times New Roman" w:cs="Times New Roman"/>
          <w:bCs/>
          <w:color w:val="000000"/>
          <w:sz w:val="28"/>
          <w:szCs w:val="28"/>
          <w:lang w:val="es-ES" w:eastAsia="es-CR"/>
        </w:rPr>
        <w:t>Anteproyecto de Presupuesto y el Plan Anual Operativo 2022 correspondiente al Área de Construcciones, se dispuso, entre otros, lo siguiente:</w:t>
      </w:r>
    </w:p>
    <w:p w14:paraId="51D33E2E" w14:textId="77777777" w:rsidR="002A7673" w:rsidRPr="002A7673" w:rsidRDefault="002A7673" w:rsidP="002A7673">
      <w:pPr>
        <w:spacing w:before="120" w:after="120" w:line="240" w:lineRule="auto"/>
        <w:ind w:left="851" w:right="851" w:firstLine="709"/>
        <w:jc w:val="both"/>
        <w:rPr>
          <w:rFonts w:ascii="Times New Roman" w:eastAsia="Times New Roman" w:hAnsi="Times New Roman" w:cs="Times New Roman"/>
          <w:i/>
          <w:iCs/>
          <w:sz w:val="40"/>
          <w:szCs w:val="40"/>
          <w:lang w:val="es-ES_tradnl" w:eastAsia="ar-SA"/>
        </w:rPr>
      </w:pPr>
      <w:bookmarkStart w:id="278" w:name="_MailOriginal"/>
      <w:r w:rsidRPr="002A7673">
        <w:rPr>
          <w:rFonts w:ascii="Times New Roman" w:eastAsia="Times New Roman" w:hAnsi="Times New Roman" w:cs="Times New Roman"/>
          <w:b/>
          <w:bCs/>
          <w:i/>
          <w:iCs/>
          <w:sz w:val="26"/>
          <w:szCs w:val="26"/>
          <w:lang w:val="es-ES_tradnl" w:eastAsia="ar-SA"/>
        </w:rPr>
        <w:t>“Se acordó</w:t>
      </w:r>
      <w:r w:rsidRPr="002A7673">
        <w:rPr>
          <w:rFonts w:ascii="Times New Roman" w:eastAsia="Times New Roman" w:hAnsi="Times New Roman" w:cs="Times New Roman"/>
          <w:i/>
          <w:iCs/>
          <w:sz w:val="26"/>
          <w:szCs w:val="26"/>
          <w:lang w:val="es-ES_tradnl" w:eastAsia="ar-SA"/>
        </w:rPr>
        <w:t xml:space="preserve">: (…)  4) Con respecto a los recursos solicitados por la Administración Regional de Puntarenas como requerimientos operativos adicionales por la suma de ¢1.584.959.249, se </w:t>
      </w:r>
      <w:proofErr w:type="gramStart"/>
      <w:r w:rsidRPr="002A7673">
        <w:rPr>
          <w:rFonts w:ascii="Times New Roman" w:eastAsia="Times New Roman" w:hAnsi="Times New Roman" w:cs="Times New Roman"/>
          <w:i/>
          <w:iCs/>
          <w:sz w:val="26"/>
          <w:szCs w:val="26"/>
          <w:lang w:val="es-ES_tradnl" w:eastAsia="ar-SA"/>
        </w:rPr>
        <w:t>dispone</w:t>
      </w:r>
      <w:proofErr w:type="gramEnd"/>
      <w:r w:rsidRPr="002A7673">
        <w:rPr>
          <w:rFonts w:ascii="Times New Roman" w:eastAsia="Times New Roman" w:hAnsi="Times New Roman" w:cs="Times New Roman"/>
          <w:i/>
          <w:iCs/>
          <w:sz w:val="26"/>
          <w:szCs w:val="26"/>
          <w:lang w:val="es-ES_tradnl" w:eastAsia="ar-SA"/>
        </w:rPr>
        <w:t xml:space="preserve"> solicitar a la Dirección Ejecutiva un escenario alternativo que permita incorporar este requerimiento como parte del presupuesto del Área de Construcciones.</w:t>
      </w:r>
      <w:bookmarkEnd w:id="278"/>
    </w:p>
    <w:p w14:paraId="30054633"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shd w:val="clear" w:color="auto" w:fill="FFFFFF"/>
          <w:lang w:val="es-ES" w:eastAsia="es-CR"/>
        </w:rPr>
      </w:pPr>
      <w:r w:rsidRPr="002A7673">
        <w:rPr>
          <w:rFonts w:ascii="Times New Roman" w:eastAsia="Times New Roman" w:hAnsi="Times New Roman" w:cs="Times New Roman"/>
          <w:bCs/>
          <w:sz w:val="28"/>
          <w:szCs w:val="28"/>
          <w:shd w:val="clear" w:color="auto" w:fill="FFFFFF"/>
          <w:lang w:val="es-ES" w:eastAsia="es-CR"/>
        </w:rPr>
        <w:t xml:space="preserve">También se indicó </w:t>
      </w:r>
      <w:proofErr w:type="gramStart"/>
      <w:r w:rsidRPr="002A7673">
        <w:rPr>
          <w:rFonts w:ascii="Times New Roman" w:eastAsia="Times New Roman" w:hAnsi="Times New Roman" w:cs="Times New Roman"/>
          <w:bCs/>
          <w:sz w:val="28"/>
          <w:szCs w:val="28"/>
          <w:shd w:val="clear" w:color="auto" w:fill="FFFFFF"/>
          <w:lang w:val="es-ES" w:eastAsia="es-CR"/>
        </w:rPr>
        <w:t>que</w:t>
      </w:r>
      <w:proofErr w:type="gramEnd"/>
      <w:r w:rsidRPr="002A7673">
        <w:rPr>
          <w:rFonts w:ascii="Times New Roman" w:eastAsia="Times New Roman" w:hAnsi="Times New Roman" w:cs="Times New Roman"/>
          <w:bCs/>
          <w:sz w:val="28"/>
          <w:szCs w:val="28"/>
          <w:shd w:val="clear" w:color="auto" w:fill="FFFFFF"/>
          <w:lang w:val="es-ES" w:eastAsia="es-CR"/>
        </w:rPr>
        <w:t xml:space="preserve"> mediante correo electrónico de este 24 de marzo, la Dirección Ejecutiva remitió el oficio 962-DE-2021, en el cual se presentan tres posibles escenarios, que contemplan disponer de parte o la totalidad de los </w:t>
      </w:r>
      <w:r w:rsidRPr="002A7673">
        <w:rPr>
          <w:rFonts w:ascii="Times New Roman" w:eastAsia="Times New Roman" w:hAnsi="Times New Roman" w:cs="Times New Roman"/>
          <w:bCs/>
          <w:sz w:val="28"/>
          <w:szCs w:val="28"/>
          <w:shd w:val="clear" w:color="auto" w:fill="FFFFFF"/>
          <w:lang w:val="es-ES" w:eastAsia="es-CR"/>
        </w:rPr>
        <w:lastRenderedPageBreak/>
        <w:t>recursos, incorporarlos al proyecto de presupuesto 2022 y trasladarlos al Fideicomiso, para destinarlos al proyecto de Tribunales de Puntarenas.</w:t>
      </w:r>
    </w:p>
    <w:p w14:paraId="5562E40C" w14:textId="77777777" w:rsidR="002A7673" w:rsidRPr="002A7673" w:rsidRDefault="002A7673" w:rsidP="002A7673">
      <w:pPr>
        <w:shd w:val="clear" w:color="auto" w:fill="FFFFFF"/>
        <w:suppressAutoHyphens/>
        <w:autoSpaceDE w:val="0"/>
        <w:autoSpaceDN w:val="0"/>
        <w:spacing w:after="0" w:line="480" w:lineRule="auto"/>
        <w:ind w:firstLine="708"/>
        <w:jc w:val="center"/>
        <w:rPr>
          <w:rFonts w:ascii="Times New Roman" w:eastAsia="Times New Roman" w:hAnsi="Times New Roman" w:cs="Times New Roman"/>
          <w:color w:val="000000"/>
          <w:sz w:val="28"/>
          <w:szCs w:val="28"/>
          <w:shd w:val="clear" w:color="auto" w:fill="FFFFFF"/>
          <w:lang w:val="es-ES_tradnl" w:eastAsia="ar-SA"/>
        </w:rPr>
      </w:pPr>
      <w:r w:rsidRPr="002A7673">
        <w:rPr>
          <w:rFonts w:ascii="Times New Roman" w:eastAsia="Times New Roman" w:hAnsi="Times New Roman" w:cs="Times New Roman"/>
          <w:color w:val="000000"/>
          <w:sz w:val="28"/>
          <w:szCs w:val="28"/>
          <w:shd w:val="clear" w:color="auto" w:fill="FFFFFF"/>
          <w:lang w:val="es-ES_tradnl" w:eastAsia="ar-SA"/>
        </w:rPr>
        <w:object w:dxaOrig="1508" w:dyaOrig="984" w14:anchorId="3D2D0A98">
          <v:shape id="_x0000_i1190" type="#_x0000_t75" style="width:77.25pt;height:51.75pt" o:ole="">
            <v:imagedata r:id="rId451" o:title=""/>
          </v:shape>
          <o:OLEObject Type="Embed" ProgID="AcroExch.Document.DC" ShapeID="_x0000_i1190" DrawAspect="Icon" ObjectID="_1684067133" r:id="rId452"/>
        </w:object>
      </w:r>
    </w:p>
    <w:p w14:paraId="4DD3922D" w14:textId="77777777" w:rsidR="002A7673" w:rsidRPr="002A7673" w:rsidRDefault="002A7673" w:rsidP="002A7673">
      <w:pPr>
        <w:suppressAutoHyphens/>
        <w:spacing w:after="0" w:line="360" w:lineRule="auto"/>
        <w:ind w:firstLine="708"/>
        <w:jc w:val="both"/>
        <w:rPr>
          <w:rFonts w:ascii="Times New Roman" w:eastAsia="Times New Roman" w:hAnsi="Times New Roman" w:cs="Times New Roman"/>
          <w:sz w:val="28"/>
          <w:szCs w:val="28"/>
          <w:lang w:val="es-ES_tradnl" w:eastAsia="ar-SA"/>
        </w:rPr>
      </w:pPr>
      <w:r w:rsidRPr="002A7673">
        <w:rPr>
          <w:rFonts w:ascii="Times New Roman" w:eastAsia="Times New Roman" w:hAnsi="Times New Roman" w:cs="Times New Roman"/>
          <w:sz w:val="28"/>
          <w:szCs w:val="28"/>
          <w:lang w:val="es-ES_tradnl" w:eastAsia="ar-SA"/>
        </w:rPr>
        <w:t xml:space="preserve">Al respecto se acordó: </w:t>
      </w:r>
    </w:p>
    <w:p w14:paraId="489B9ED1" w14:textId="77777777" w:rsidR="002A7673" w:rsidRPr="002A7673" w:rsidRDefault="002A7673" w:rsidP="002A7673">
      <w:pPr>
        <w:suppressAutoHyphens/>
        <w:spacing w:after="0" w:line="360" w:lineRule="auto"/>
        <w:ind w:firstLine="708"/>
        <w:jc w:val="both"/>
        <w:rPr>
          <w:rFonts w:ascii="Times New Roman" w:eastAsia="Times New Roman" w:hAnsi="Times New Roman" w:cs="Times New Roman"/>
          <w:sz w:val="28"/>
          <w:szCs w:val="28"/>
          <w:lang w:val="es-ES_tradnl" w:eastAsia="ar-SA"/>
        </w:rPr>
      </w:pPr>
      <w:r w:rsidRPr="002A7673">
        <w:rPr>
          <w:rFonts w:ascii="Times New Roman" w:eastAsia="Times New Roman" w:hAnsi="Times New Roman" w:cs="Times New Roman"/>
          <w:i/>
          <w:iCs/>
          <w:sz w:val="28"/>
          <w:szCs w:val="28"/>
          <w:lang w:val="es-ES_tradnl" w:eastAsia="ar-SA"/>
        </w:rPr>
        <w:t>“Tomar nota del oficio presentado por la Dirección Ejecutiva y quedar a la espera de la comunicación que emitirá el Ministerio de Hacienda, para valorar la posibilidad de incorporar o no en el presupuesto 2022 las sumas propuestas por la Dirección Ejecutiva, las cuales se dirigirán al Fideicomiso Inmobiliario PJ-BCR 2015, específicamente para disminuir la cuota de arrendamiento operativo.  De prosperar la propuesta, los recursos se incluirán en el presupuesto de la Comisión de Construcciones.”</w:t>
      </w:r>
    </w:p>
    <w:p w14:paraId="152882EF"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En virtud de lo indicado con anterioridad, en la sesión del Consejo Superior 35-2021 de este viernes 30 de abril, analizadas las posibilidades presupuestarias institucionales, se dispuso reforzar la subpartida 7.01.07 Fondos en Fideicomiso para Gasto de Capital, en la suma de ₡2.124.097.660, para dirigirlos al Fideicomiso de construcción de obra del nuevo edificio de Puntarenas y con ello, disminuir la carga financiera de este proyecto para el Poder Judicial, monto distribuido por Programa de la siguiente manera:</w:t>
      </w:r>
    </w:p>
    <w:p w14:paraId="4E33B77B"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lastRenderedPageBreak/>
        <w:t xml:space="preserve">Este monto se distribuyó proporcionalmente entre los diferentes programas institucionales, a partir del criterio suministrado por la Dirección Ejecutiva. </w:t>
      </w:r>
    </w:p>
    <w:p w14:paraId="3112CD6A"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Oficio PJ-DGH-0184-2021 de la Dirección de Gestión Humana</w:t>
      </w:r>
    </w:p>
    <w:p w14:paraId="395F2C48"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Adicionalmente, se informa que mediante correo electrónico del pasado 22 de abril, se recibió oficio PJ-DGH-0184-2021</w:t>
      </w:r>
      <w:r w:rsidRPr="002A7673">
        <w:rPr>
          <w:rFonts w:ascii="Times New Roman" w:eastAsia="Times New Roman" w:hAnsi="Times New Roman" w:cs="Times New Roman"/>
          <w:b/>
          <w:bCs/>
          <w:sz w:val="28"/>
          <w:szCs w:val="28"/>
          <w:lang w:val="es-ES" w:eastAsia="es-CR"/>
        </w:rPr>
        <w:t xml:space="preserve"> </w:t>
      </w:r>
      <w:r w:rsidRPr="002A7673">
        <w:rPr>
          <w:rFonts w:ascii="Times New Roman" w:eastAsia="Times New Roman" w:hAnsi="Times New Roman" w:cs="Times New Roman"/>
          <w:bCs/>
          <w:sz w:val="28"/>
          <w:szCs w:val="28"/>
          <w:lang w:val="es-ES" w:eastAsia="es-CR"/>
        </w:rPr>
        <w:t xml:space="preserve">suscrito por la Licda. Roxana Arrieta Meléndez, Directora de Gestión Humana, quien solicita al Consejo Superior valorar la posibilidad de reforzar el presupuesto aprobado para el año 2022 ya que, el presupuesto de remuneraciones para el siguiente año, aprobado en Sesión N° 21-2021, artículo IX, celebrada el 12 de marzo de 2021, según el escenario 1Bis, en el cual presenta un crecimiento del 0.45% del presupuesto aprobado para el 2021; es el escenario más conservador de los tres presentados, y no se reforzó más allá de lo históricamente formulado para atender otras responsabilidades como son las obligaciones por sentencias que es el de mayor impacto, además del incremento de solicitudes de reconocimientos de anuales que como fue expuesto se proyecta que aumenten. Lo anterior, considerando los alcances del oficio DM-0340-2021 en el que se establece el límite presupuestario máximo al Poder Judicial. </w:t>
      </w:r>
    </w:p>
    <w:p w14:paraId="133298A8" w14:textId="77777777" w:rsidR="002A7673" w:rsidRPr="002A7673" w:rsidRDefault="002A7673" w:rsidP="002A7673">
      <w:pPr>
        <w:suppressAutoHyphens/>
        <w:spacing w:after="0" w:line="480" w:lineRule="auto"/>
        <w:jc w:val="center"/>
        <w:rPr>
          <w:rFonts w:ascii="Times New Roman" w:eastAsia="Times New Roman" w:hAnsi="Times New Roman" w:cs="Times New Roman"/>
          <w:b/>
          <w:sz w:val="28"/>
          <w:szCs w:val="28"/>
          <w:lang w:val="es-ES_tradnl" w:eastAsia="ar-SA"/>
        </w:rPr>
      </w:pPr>
      <w:r w:rsidRPr="002A7673">
        <w:rPr>
          <w:rFonts w:ascii="Times New Roman" w:eastAsia="Times New Roman" w:hAnsi="Times New Roman" w:cs="Times New Roman"/>
          <w:b/>
          <w:sz w:val="28"/>
          <w:szCs w:val="28"/>
          <w:lang w:val="es-ES_tradnl" w:eastAsia="ar-SA"/>
        </w:rPr>
        <w:object w:dxaOrig="1508" w:dyaOrig="984" w14:anchorId="03FC30C7">
          <v:shape id="_x0000_i1191" type="#_x0000_t75" style="width:77.25pt;height:51.75pt" o:ole="">
            <v:imagedata r:id="rId453" o:title=""/>
          </v:shape>
          <o:OLEObject Type="Embed" ProgID="AcroExch.Document.DC" ShapeID="_x0000_i1191" DrawAspect="Icon" ObjectID="_1684067134" r:id="rId454"/>
        </w:object>
      </w:r>
    </w:p>
    <w:p w14:paraId="171717FC" w14:textId="77777777" w:rsidR="002A7673" w:rsidRPr="002A7673" w:rsidRDefault="002A7673" w:rsidP="002A7673">
      <w:pPr>
        <w:suppressAutoHyphens/>
        <w:spacing w:after="0" w:line="480" w:lineRule="auto"/>
        <w:jc w:val="center"/>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-0-</w:t>
      </w:r>
    </w:p>
    <w:p w14:paraId="6BFFE5CD"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De forma complementaria, mediante correo electrónico del Lic. David Madrigal Robles de la Dirección de Gestión Humana, remitió el ajuste a la proyección del presupuesto de remuneraciones para el 2022 y señala que se realizó una revisión del presupuesto total y la proyección del gasto al mes de abril de los corrientes, y con base en estas se identificó la necesidad de reforzar el programa 927, así como la subpartida de aguinaldo. También señala que la Dirección de Gestión Humana considera importante que en estas estimaciones no se contemplan montos específicos para el pago de sentencias, lo cual viene significando un gasto representativo que se está cargando al salario; por lo cual se solicita, si es posible, incrementar el presupuesto en algún monto, para poder reforzar los rubros mencionados.</w:t>
      </w:r>
    </w:p>
    <w:p w14:paraId="531FDFB5" w14:textId="77777777" w:rsidR="002A7673" w:rsidRPr="002A7673" w:rsidRDefault="002A7673" w:rsidP="002A7673">
      <w:pPr>
        <w:spacing w:before="120" w:after="120" w:line="240" w:lineRule="auto"/>
        <w:ind w:left="851" w:right="851" w:firstLine="709"/>
        <w:jc w:val="center"/>
        <w:rPr>
          <w:rFonts w:ascii="Times New Roman" w:eastAsia="Times New Roman" w:hAnsi="Times New Roman" w:cs="Times New Roman"/>
          <w:color w:val="000099"/>
          <w:sz w:val="26"/>
          <w:szCs w:val="26"/>
          <w:lang w:val="es-ES_tradnl" w:eastAsia="ar-SA"/>
        </w:rPr>
      </w:pPr>
      <w:r w:rsidRPr="002A7673">
        <w:rPr>
          <w:rFonts w:ascii="Times New Roman" w:eastAsia="Times New Roman" w:hAnsi="Times New Roman" w:cs="Times New Roman"/>
          <w:color w:val="000099"/>
          <w:sz w:val="26"/>
          <w:szCs w:val="26"/>
          <w:lang w:val="es-ES_tradnl" w:eastAsia="ar-SA"/>
        </w:rPr>
        <w:object w:dxaOrig="1508" w:dyaOrig="984" w14:anchorId="7CE807AC">
          <v:shape id="_x0000_i1192" type="#_x0000_t75" style="width:77.25pt;height:51.75pt" o:ole="">
            <v:imagedata r:id="rId455" o:title=""/>
          </v:shape>
          <o:OLEObject Type="Embed" ProgID="Package" ShapeID="_x0000_i1192" DrawAspect="Icon" ObjectID="_1684067135" r:id="rId456"/>
        </w:object>
      </w:r>
    </w:p>
    <w:p w14:paraId="08D614E0"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De acuerdo con la información remitida, el nuevo escenario propuesto en Remuneraciones a formular para el 2022 es de ¢254.814.914.532, distribuido por Programa y Subpartida de la siguiente manera:</w:t>
      </w:r>
    </w:p>
    <w:p w14:paraId="17EB7AFE" w14:textId="77777777" w:rsidR="002A7673" w:rsidRPr="002A7673" w:rsidRDefault="002A7673" w:rsidP="002A7673">
      <w:pPr>
        <w:suppressAutoHyphens/>
        <w:rPr>
          <w:rFonts w:ascii="Times New Roman" w:eastAsia="Times New Roman" w:hAnsi="Times New Roman" w:cs="Times New Roman"/>
          <w:b/>
          <w:sz w:val="28"/>
          <w:szCs w:val="28"/>
          <w:lang w:val="es-ES_tradnl" w:eastAsia="ar-SA"/>
        </w:rPr>
      </w:pPr>
      <w:r w:rsidRPr="002A7673">
        <w:rPr>
          <w:rFonts w:ascii="Times New Roman" w:eastAsia="Times New Roman" w:hAnsi="Times New Roman" w:cs="Times New Roman"/>
          <w:noProof/>
          <w:sz w:val="20"/>
          <w:szCs w:val="20"/>
          <w:lang w:val="es-ES_tradnl" w:eastAsia="ar-SA"/>
        </w:rPr>
        <w:lastRenderedPageBreak/>
        <w:drawing>
          <wp:inline distT="0" distB="0" distL="0" distR="0" wp14:anchorId="185DB86A" wp14:editId="5E7883DC">
            <wp:extent cx="6086475" cy="2247900"/>
            <wp:effectExtent l="0" t="0" r="0" b="0"/>
            <wp:docPr id="40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6086475" cy="2247900"/>
                    </a:xfrm>
                    <a:prstGeom prst="rect">
                      <a:avLst/>
                    </a:prstGeom>
                    <a:noFill/>
                    <a:ln>
                      <a:noFill/>
                    </a:ln>
                  </pic:spPr>
                </pic:pic>
              </a:graphicData>
            </a:graphic>
          </wp:inline>
        </w:drawing>
      </w:r>
    </w:p>
    <w:p w14:paraId="3FDA1CCB"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Finalmente, la Dirección de Gestión Humana y el Departamento Financiero Contable suministraron información concerniente a las proyecciones de gasto para el 2021 de las subpartidas asociadas a remuneraciones. </w:t>
      </w:r>
    </w:p>
    <w:p w14:paraId="2D8F6C44" w14:textId="77777777" w:rsidR="002A7673" w:rsidRPr="002A7673" w:rsidRDefault="002A7673" w:rsidP="002A7673">
      <w:pPr>
        <w:suppressAutoHyphens/>
        <w:jc w:val="center"/>
        <w:rPr>
          <w:rFonts w:ascii="Times New Roman" w:eastAsia="Times New Roman" w:hAnsi="Times New Roman" w:cs="Times New Roman"/>
          <w:b/>
          <w:sz w:val="28"/>
          <w:szCs w:val="28"/>
          <w:lang w:val="es-ES_tradnl" w:eastAsia="ar-SA"/>
        </w:rPr>
      </w:pPr>
      <w:r w:rsidRPr="002A7673">
        <w:rPr>
          <w:rFonts w:ascii="Times New Roman" w:eastAsia="Times New Roman" w:hAnsi="Times New Roman" w:cs="Times New Roman"/>
          <w:b/>
          <w:sz w:val="28"/>
          <w:szCs w:val="28"/>
          <w:lang w:val="es-ES_tradnl" w:eastAsia="ar-SA"/>
        </w:rPr>
        <w:object w:dxaOrig="1508" w:dyaOrig="984" w14:anchorId="6C7B5954">
          <v:shape id="_x0000_i1193" type="#_x0000_t75" style="width:77.25pt;height:51.75pt" o:ole="">
            <v:imagedata r:id="rId458" o:title=""/>
          </v:shape>
          <o:OLEObject Type="Embed" ProgID="Package" ShapeID="_x0000_i1193" DrawAspect="Icon" ObjectID="_1684067136" r:id="rId459"/>
        </w:object>
      </w:r>
      <w:r w:rsidRPr="002A7673">
        <w:rPr>
          <w:rFonts w:ascii="Times New Roman" w:eastAsia="Times New Roman" w:hAnsi="Times New Roman" w:cs="Times New Roman"/>
          <w:b/>
          <w:sz w:val="28"/>
          <w:szCs w:val="28"/>
          <w:lang w:val="es-ES_tradnl" w:eastAsia="ar-SA"/>
        </w:rPr>
        <w:t xml:space="preserve">     </w:t>
      </w:r>
      <w:r w:rsidRPr="002A7673">
        <w:rPr>
          <w:rFonts w:ascii="Times New Roman" w:eastAsia="Times New Roman" w:hAnsi="Times New Roman" w:cs="Times New Roman"/>
          <w:b/>
          <w:sz w:val="28"/>
          <w:szCs w:val="28"/>
          <w:lang w:val="es-ES_tradnl" w:eastAsia="ar-SA"/>
        </w:rPr>
        <w:object w:dxaOrig="1508" w:dyaOrig="984" w14:anchorId="531ED17E">
          <v:shape id="_x0000_i1194" type="#_x0000_t75" style="width:77.25pt;height:51.75pt" o:ole="">
            <v:imagedata r:id="rId460" o:title=""/>
          </v:shape>
          <o:OLEObject Type="Embed" ProgID="Package" ShapeID="_x0000_i1194" DrawAspect="Icon" ObjectID="_1684067137" r:id="rId461"/>
        </w:object>
      </w:r>
    </w:p>
    <w:p w14:paraId="72394258" w14:textId="77777777" w:rsidR="002A7673" w:rsidRPr="002A7673" w:rsidRDefault="002A7673" w:rsidP="002A7673">
      <w:pPr>
        <w:suppressAutoHyphens/>
        <w:jc w:val="center"/>
        <w:rPr>
          <w:rFonts w:ascii="Times New Roman" w:eastAsia="Times New Roman" w:hAnsi="Times New Roman" w:cs="Times New Roman"/>
          <w:b/>
          <w:sz w:val="28"/>
          <w:szCs w:val="28"/>
          <w:lang w:val="es-ES_tradnl" w:eastAsia="ar-SA"/>
        </w:rPr>
      </w:pPr>
    </w:p>
    <w:p w14:paraId="19B31B6A"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
          <w:sz w:val="28"/>
          <w:szCs w:val="28"/>
          <w:u w:val="single"/>
          <w:lang w:val="es-ES" w:eastAsia="es-CR"/>
        </w:rPr>
      </w:pPr>
      <w:r w:rsidRPr="002A7673">
        <w:rPr>
          <w:rFonts w:ascii="Times New Roman" w:eastAsia="Times New Roman" w:hAnsi="Times New Roman" w:cs="Times New Roman"/>
          <w:b/>
          <w:sz w:val="28"/>
          <w:szCs w:val="28"/>
          <w:u w:val="single"/>
          <w:lang w:val="es-ES" w:eastAsia="es-CR"/>
        </w:rPr>
        <w:t>Análisis de la Subpartida 0.01.05 Suplencias</w:t>
      </w:r>
    </w:p>
    <w:p w14:paraId="072F6549"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En virtud de lo solicitado por la Dirección de Gestión Humana y las proyecciones de gasto 2021, se analizó el comportamiento de la subpartida, concretamente los montos “devengado 2020”, monto aprobado en la “Ley 2021”, la proyección del gasto en que incurrirá la institución para el 2021 y el monto solicitado para el 2022, excluyendo lo relativo al Programa 951.</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4"/>
        <w:gridCol w:w="2552"/>
        <w:gridCol w:w="1701"/>
        <w:gridCol w:w="1589"/>
        <w:gridCol w:w="1701"/>
        <w:gridCol w:w="1843"/>
      </w:tblGrid>
      <w:tr w:rsidR="002A7673" w:rsidRPr="002A7673" w14:paraId="2A3764C9" w14:textId="77777777" w:rsidTr="004F270D">
        <w:trPr>
          <w:trHeight w:val="260"/>
          <w:jc w:val="center"/>
        </w:trPr>
        <w:tc>
          <w:tcPr>
            <w:tcW w:w="674" w:type="dxa"/>
            <w:shd w:val="clear" w:color="000000" w:fill="FFFFFF"/>
            <w:noWrap/>
            <w:vAlign w:val="bottom"/>
            <w:hideMark/>
          </w:tcPr>
          <w:p w14:paraId="404D68B4" w14:textId="77777777" w:rsidR="002A7673" w:rsidRPr="002A7673" w:rsidRDefault="002A7673" w:rsidP="002A7673">
            <w:pPr>
              <w:suppressAutoHyphens/>
              <w:spacing w:after="0" w:line="240" w:lineRule="auto"/>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CÓD.</w:t>
            </w:r>
          </w:p>
        </w:tc>
        <w:tc>
          <w:tcPr>
            <w:tcW w:w="2552" w:type="dxa"/>
            <w:shd w:val="clear" w:color="000000" w:fill="FFFFFF"/>
            <w:noWrap/>
            <w:vAlign w:val="bottom"/>
            <w:hideMark/>
          </w:tcPr>
          <w:p w14:paraId="74B68A4B" w14:textId="77777777" w:rsidR="002A7673" w:rsidRPr="002A7673" w:rsidRDefault="002A7673" w:rsidP="002A7673">
            <w:pPr>
              <w:suppressAutoHyphens/>
              <w:spacing w:after="0" w:line="240" w:lineRule="auto"/>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Concepto</w:t>
            </w:r>
          </w:p>
        </w:tc>
        <w:tc>
          <w:tcPr>
            <w:tcW w:w="1701" w:type="dxa"/>
            <w:shd w:val="clear" w:color="000000" w:fill="FFFFFF"/>
            <w:noWrap/>
            <w:vAlign w:val="bottom"/>
            <w:hideMark/>
          </w:tcPr>
          <w:p w14:paraId="19E45556"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DEVENGADO</w:t>
            </w:r>
          </w:p>
          <w:p w14:paraId="67AA81E8"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 xml:space="preserve"> 2020</w:t>
            </w:r>
          </w:p>
        </w:tc>
        <w:tc>
          <w:tcPr>
            <w:tcW w:w="1589" w:type="dxa"/>
            <w:shd w:val="clear" w:color="000000" w:fill="FFFFFF"/>
            <w:noWrap/>
            <w:vAlign w:val="bottom"/>
            <w:hideMark/>
          </w:tcPr>
          <w:p w14:paraId="13468DEE"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LEY</w:t>
            </w:r>
          </w:p>
          <w:p w14:paraId="14BFA57A"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 xml:space="preserve"> 2021</w:t>
            </w:r>
          </w:p>
        </w:tc>
        <w:tc>
          <w:tcPr>
            <w:tcW w:w="1701" w:type="dxa"/>
            <w:shd w:val="clear" w:color="000000" w:fill="FFFFFF"/>
            <w:noWrap/>
            <w:vAlign w:val="bottom"/>
            <w:hideMark/>
          </w:tcPr>
          <w:p w14:paraId="173BEDC6"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PROYECCIÓN</w:t>
            </w:r>
          </w:p>
          <w:p w14:paraId="711D7E19"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 xml:space="preserve"> 2021</w:t>
            </w:r>
          </w:p>
        </w:tc>
        <w:tc>
          <w:tcPr>
            <w:tcW w:w="1843" w:type="dxa"/>
            <w:shd w:val="clear" w:color="000000" w:fill="FFFFFF"/>
            <w:noWrap/>
            <w:vAlign w:val="bottom"/>
            <w:hideMark/>
          </w:tcPr>
          <w:p w14:paraId="137B75A1"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PRESUPUESTO</w:t>
            </w:r>
          </w:p>
          <w:p w14:paraId="025C4E60"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 xml:space="preserve"> 2022</w:t>
            </w:r>
          </w:p>
        </w:tc>
      </w:tr>
      <w:tr w:rsidR="002A7673" w:rsidRPr="002A7673" w14:paraId="3DF77A3D" w14:textId="77777777" w:rsidTr="004F270D">
        <w:trPr>
          <w:trHeight w:val="260"/>
          <w:jc w:val="center"/>
        </w:trPr>
        <w:tc>
          <w:tcPr>
            <w:tcW w:w="674" w:type="dxa"/>
            <w:shd w:val="clear" w:color="000000" w:fill="FFFFFF"/>
            <w:noWrap/>
            <w:vAlign w:val="bottom"/>
            <w:hideMark/>
          </w:tcPr>
          <w:p w14:paraId="2A22376F" w14:textId="77777777" w:rsidR="002A7673" w:rsidRPr="002A7673" w:rsidRDefault="002A7673" w:rsidP="002A7673">
            <w:pPr>
              <w:suppressAutoHyphens/>
              <w:spacing w:after="0" w:line="240" w:lineRule="auto"/>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lastRenderedPageBreak/>
              <w:t>0.01.05</w:t>
            </w:r>
          </w:p>
        </w:tc>
        <w:tc>
          <w:tcPr>
            <w:tcW w:w="2552" w:type="dxa"/>
            <w:shd w:val="clear" w:color="000000" w:fill="FFFFFF"/>
            <w:noWrap/>
            <w:vAlign w:val="bottom"/>
            <w:hideMark/>
          </w:tcPr>
          <w:p w14:paraId="7DB56195" w14:textId="77777777" w:rsidR="002A7673" w:rsidRPr="002A7673" w:rsidRDefault="002A7673" w:rsidP="002A7673">
            <w:pPr>
              <w:suppressAutoHyphens/>
              <w:spacing w:after="0" w:line="240" w:lineRule="auto"/>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Suplencias</w:t>
            </w:r>
          </w:p>
        </w:tc>
        <w:tc>
          <w:tcPr>
            <w:tcW w:w="1701" w:type="dxa"/>
            <w:shd w:val="clear" w:color="000000" w:fill="FFFFFF"/>
            <w:noWrap/>
            <w:vAlign w:val="bottom"/>
            <w:hideMark/>
          </w:tcPr>
          <w:p w14:paraId="326D7D2D" w14:textId="77777777" w:rsidR="002A7673" w:rsidRPr="002A7673" w:rsidRDefault="002A7673" w:rsidP="002A7673">
            <w:pPr>
              <w:suppressAutoHyphens/>
              <w:spacing w:after="0" w:line="240" w:lineRule="auto"/>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 xml:space="preserve">            6 899 586 006 </w:t>
            </w:r>
          </w:p>
        </w:tc>
        <w:tc>
          <w:tcPr>
            <w:tcW w:w="1589" w:type="dxa"/>
            <w:shd w:val="clear" w:color="000000" w:fill="FFFFFF"/>
            <w:noWrap/>
            <w:vAlign w:val="bottom"/>
            <w:hideMark/>
          </w:tcPr>
          <w:p w14:paraId="2D67FE7E" w14:textId="77777777" w:rsidR="002A7673" w:rsidRPr="002A7673" w:rsidRDefault="002A7673" w:rsidP="002A7673">
            <w:pPr>
              <w:suppressAutoHyphens/>
              <w:spacing w:after="0" w:line="240" w:lineRule="auto"/>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 xml:space="preserve">         6 145 837 435 </w:t>
            </w:r>
          </w:p>
        </w:tc>
        <w:tc>
          <w:tcPr>
            <w:tcW w:w="1701" w:type="dxa"/>
            <w:shd w:val="clear" w:color="000000" w:fill="FFFFFF"/>
            <w:noWrap/>
            <w:vAlign w:val="bottom"/>
            <w:hideMark/>
          </w:tcPr>
          <w:p w14:paraId="099AE4C5" w14:textId="77777777" w:rsidR="002A7673" w:rsidRPr="002A7673" w:rsidRDefault="002A7673" w:rsidP="002A7673">
            <w:pPr>
              <w:suppressAutoHyphens/>
              <w:spacing w:after="0" w:line="240" w:lineRule="auto"/>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 xml:space="preserve">            6 809 254 321 </w:t>
            </w:r>
          </w:p>
        </w:tc>
        <w:tc>
          <w:tcPr>
            <w:tcW w:w="1843" w:type="dxa"/>
            <w:shd w:val="clear" w:color="000000" w:fill="FFFFFF"/>
            <w:noWrap/>
            <w:vAlign w:val="bottom"/>
            <w:hideMark/>
          </w:tcPr>
          <w:p w14:paraId="16470780" w14:textId="77777777" w:rsidR="002A7673" w:rsidRPr="002A7673" w:rsidRDefault="002A7673" w:rsidP="002A7673">
            <w:pPr>
              <w:suppressAutoHyphens/>
              <w:spacing w:after="0" w:line="240" w:lineRule="auto"/>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 xml:space="preserve">             6 634 445 091 </w:t>
            </w:r>
          </w:p>
        </w:tc>
      </w:tr>
    </w:tbl>
    <w:p w14:paraId="5A194D9A" w14:textId="77777777" w:rsidR="002A7673" w:rsidRPr="002A7673" w:rsidRDefault="002A7673" w:rsidP="002A7673">
      <w:pPr>
        <w:suppressAutoHyphens/>
        <w:jc w:val="both"/>
        <w:rPr>
          <w:rFonts w:ascii="Times New Roman" w:eastAsia="Times New Roman" w:hAnsi="Times New Roman" w:cs="Times New Roman"/>
          <w:b/>
          <w:sz w:val="28"/>
          <w:szCs w:val="28"/>
          <w:highlight w:val="yellow"/>
          <w:lang w:val="es-ES_tradnl" w:eastAsia="ar-SA"/>
        </w:rPr>
      </w:pPr>
      <w:r w:rsidRPr="002A7673">
        <w:rPr>
          <w:rFonts w:ascii="Times New Roman" w:eastAsia="Times New Roman" w:hAnsi="Times New Roman" w:cs="Times New Roman"/>
          <w:color w:val="0D0D0D"/>
          <w:sz w:val="20"/>
          <w:szCs w:val="20"/>
          <w:lang w:val="es-ES_tradnl" w:eastAsia="es-CR"/>
        </w:rPr>
        <w:t xml:space="preserve">              </w:t>
      </w:r>
    </w:p>
    <w:p w14:paraId="17C2E5D0"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Según se puede apreciar, el monto aprobado por ley para el 2021 es inferior a la proyección de gasto realizada por la Dirección de Gestión Humana y el Departamento Financiero Contable. A su vez, el monto solicitado para el 2022 es inferior incluso al monto pagado o devengado por el Poder Judicial en el año 2020, así como también inferior a la proyección del gasto para este 2021. </w:t>
      </w:r>
    </w:p>
    <w:p w14:paraId="2AF72060"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highlight w:val="yellow"/>
          <w:lang w:val="es-ES" w:eastAsia="es-CR"/>
        </w:rPr>
      </w:pPr>
      <w:r w:rsidRPr="002A7673">
        <w:rPr>
          <w:rFonts w:ascii="Times New Roman" w:eastAsia="Times New Roman" w:hAnsi="Times New Roman" w:cs="Times New Roman"/>
          <w:bCs/>
          <w:sz w:val="28"/>
          <w:szCs w:val="28"/>
          <w:lang w:val="es-ES" w:eastAsia="es-CR"/>
        </w:rPr>
        <w:t xml:space="preserve">Si bien en el último escenario propuesto por la Dirección de Gestión Humana se estimó un monto para el 2022 de ¢6.634,4 millones, dado el comportamiento de los montos indicados con anterioridad, se estimó oportuno efectuar nuevamente una revisión por parte de la Dirección de Gestión Humana. Se adjunta archivo con el escenario definitivo validado. </w:t>
      </w:r>
    </w:p>
    <w:p w14:paraId="65A1C51C" w14:textId="77777777" w:rsidR="002A7673" w:rsidRPr="002A7673" w:rsidRDefault="002A7673" w:rsidP="002A7673">
      <w:pPr>
        <w:spacing w:before="120" w:after="120" w:line="240" w:lineRule="auto"/>
        <w:ind w:left="851" w:right="851" w:firstLine="709"/>
        <w:jc w:val="center"/>
        <w:rPr>
          <w:rFonts w:ascii="Times New Roman" w:eastAsia="Times New Roman" w:hAnsi="Times New Roman" w:cs="Times New Roman"/>
          <w:color w:val="000099"/>
          <w:sz w:val="26"/>
          <w:szCs w:val="26"/>
          <w:lang w:val="es-ES_tradnl" w:eastAsia="ar-SA"/>
        </w:rPr>
      </w:pPr>
      <w:r w:rsidRPr="002A7673">
        <w:rPr>
          <w:rFonts w:ascii="Times New Roman" w:eastAsia="Times New Roman" w:hAnsi="Times New Roman" w:cs="Times New Roman"/>
          <w:color w:val="000099"/>
          <w:sz w:val="26"/>
          <w:szCs w:val="26"/>
          <w:lang w:val="es-ES_tradnl" w:eastAsia="ar-SA"/>
        </w:rPr>
        <w:object w:dxaOrig="1508" w:dyaOrig="984" w14:anchorId="6057B0DA">
          <v:shape id="_x0000_i1195" type="#_x0000_t75" style="width:75.75pt;height:48.75pt" o:ole="">
            <v:imagedata r:id="rId462" o:title=""/>
          </v:shape>
          <o:OLEObject Type="Embed" ProgID="Package" ShapeID="_x0000_i1195" DrawAspect="Icon" ObjectID="_1684067138" r:id="rId463"/>
        </w:object>
      </w:r>
    </w:p>
    <w:p w14:paraId="0A13B2E5" w14:textId="77777777" w:rsidR="002A7673" w:rsidRPr="002A7673" w:rsidRDefault="002A7673" w:rsidP="002A7673">
      <w:pPr>
        <w:suppressAutoHyphens/>
        <w:spacing w:after="0" w:line="480" w:lineRule="auto"/>
        <w:ind w:firstLine="708"/>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De acuerdo con la revisión y las proyecciones realizadas por la Dirección de Gestión Humana, se requiere al menos un monto de ¢7.379,9 millones.  Lo anterior implica formular en la subpartida 0.01.05 “</w:t>
      </w:r>
      <w:r w:rsidRPr="002A7673">
        <w:rPr>
          <w:rFonts w:ascii="Times New Roman" w:eastAsia="Times New Roman" w:hAnsi="Times New Roman" w:cs="Times New Roman"/>
          <w:b/>
          <w:i/>
          <w:iCs/>
          <w:sz w:val="28"/>
          <w:szCs w:val="28"/>
          <w:lang w:val="es-ES_tradnl" w:eastAsia="ar-SA"/>
        </w:rPr>
        <w:t>Suplencias</w:t>
      </w:r>
      <w:r w:rsidRPr="002A7673">
        <w:rPr>
          <w:rFonts w:ascii="Times New Roman" w:eastAsia="Times New Roman" w:hAnsi="Times New Roman" w:cs="Times New Roman"/>
          <w:bCs/>
          <w:sz w:val="28"/>
          <w:szCs w:val="28"/>
          <w:lang w:val="es-ES_tradnl" w:eastAsia="ar-SA"/>
        </w:rPr>
        <w:t>” un monto adicional de ¢745.517.101, al monto solicitado por la Dirección de Gestión Humana en su último escenario.</w:t>
      </w:r>
    </w:p>
    <w:p w14:paraId="30C2A800"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lastRenderedPageBreak/>
        <w:t>El monto definitivo por formular en esta subpartida por Programa es el siguiente:</w:t>
      </w:r>
    </w:p>
    <w:tbl>
      <w:tblPr>
        <w:tblStyle w:val="Tablaconcuadrcula3"/>
        <w:tblW w:w="0" w:type="auto"/>
        <w:jc w:val="center"/>
        <w:tblLook w:val="04A0" w:firstRow="1" w:lastRow="0" w:firstColumn="1" w:lastColumn="0" w:noHBand="0" w:noVBand="1"/>
      </w:tblPr>
      <w:tblGrid>
        <w:gridCol w:w="5387"/>
        <w:gridCol w:w="2693"/>
      </w:tblGrid>
      <w:tr w:rsidR="002A7673" w:rsidRPr="002A7673" w14:paraId="37D95AE5" w14:textId="77777777" w:rsidTr="004F270D">
        <w:trPr>
          <w:trHeight w:val="290"/>
          <w:jc w:val="center"/>
        </w:trPr>
        <w:tc>
          <w:tcPr>
            <w:tcW w:w="5387" w:type="dxa"/>
            <w:noWrap/>
            <w:hideMark/>
          </w:tcPr>
          <w:p w14:paraId="36B3D34E" w14:textId="77777777" w:rsidR="002A7673" w:rsidRPr="002A7673" w:rsidRDefault="002A7673" w:rsidP="002A7673">
            <w:pPr>
              <w:jc w:val="both"/>
              <w:rPr>
                <w:bCs/>
                <w:lang w:val="es-ES_tradnl" w:eastAsia="ar-SA"/>
              </w:rPr>
            </w:pPr>
            <w:r w:rsidRPr="002A7673">
              <w:rPr>
                <w:bCs/>
                <w:lang w:val="es-ES_tradnl" w:eastAsia="ar-SA"/>
              </w:rPr>
              <w:t>926 Dirección, Administración y Otros Órganos de Apoyo</w:t>
            </w:r>
          </w:p>
        </w:tc>
        <w:tc>
          <w:tcPr>
            <w:tcW w:w="2693" w:type="dxa"/>
            <w:noWrap/>
            <w:hideMark/>
          </w:tcPr>
          <w:p w14:paraId="2BBE1FDE"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lang w:val="es-ES_tradnl"/>
              </w:rPr>
              <w:t xml:space="preserve"> 1 462 605 968</w:t>
            </w:r>
          </w:p>
        </w:tc>
      </w:tr>
      <w:tr w:rsidR="002A7673" w:rsidRPr="002A7673" w14:paraId="55613932" w14:textId="77777777" w:rsidTr="004F270D">
        <w:trPr>
          <w:trHeight w:val="431"/>
          <w:jc w:val="center"/>
        </w:trPr>
        <w:tc>
          <w:tcPr>
            <w:tcW w:w="5387" w:type="dxa"/>
            <w:noWrap/>
            <w:hideMark/>
          </w:tcPr>
          <w:p w14:paraId="2880D577" w14:textId="77777777" w:rsidR="002A7673" w:rsidRPr="002A7673" w:rsidRDefault="002A7673" w:rsidP="002A7673">
            <w:pPr>
              <w:jc w:val="both"/>
              <w:rPr>
                <w:bCs/>
                <w:lang w:val="es-ES_tradnl" w:eastAsia="ar-SA"/>
              </w:rPr>
            </w:pPr>
            <w:r w:rsidRPr="002A7673">
              <w:rPr>
                <w:bCs/>
                <w:lang w:val="es-ES_tradnl" w:eastAsia="ar-SA"/>
              </w:rPr>
              <w:t>927 Servicio Jurisdiccional</w:t>
            </w:r>
          </w:p>
        </w:tc>
        <w:tc>
          <w:tcPr>
            <w:tcW w:w="2693" w:type="dxa"/>
            <w:noWrap/>
            <w:hideMark/>
          </w:tcPr>
          <w:p w14:paraId="7189FAA3"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lang w:val="es-ES_tradnl"/>
              </w:rPr>
              <w:t xml:space="preserve">2 958 458 777 </w:t>
            </w:r>
            <w:r w:rsidRPr="002A7673">
              <w:rPr>
                <w:bCs/>
                <w:lang w:val="es-ES_tradnl" w:eastAsia="ar-SA"/>
              </w:rPr>
              <w:t xml:space="preserve"> </w:t>
            </w:r>
          </w:p>
        </w:tc>
      </w:tr>
      <w:tr w:rsidR="002A7673" w:rsidRPr="002A7673" w14:paraId="32120FDD" w14:textId="77777777" w:rsidTr="004F270D">
        <w:trPr>
          <w:trHeight w:val="409"/>
          <w:jc w:val="center"/>
        </w:trPr>
        <w:tc>
          <w:tcPr>
            <w:tcW w:w="5387" w:type="dxa"/>
            <w:noWrap/>
            <w:hideMark/>
          </w:tcPr>
          <w:p w14:paraId="0DDC2848" w14:textId="77777777" w:rsidR="002A7673" w:rsidRPr="002A7673" w:rsidRDefault="002A7673" w:rsidP="002A7673">
            <w:pPr>
              <w:jc w:val="both"/>
              <w:rPr>
                <w:bCs/>
                <w:lang w:val="es-ES_tradnl" w:eastAsia="ar-SA"/>
              </w:rPr>
            </w:pPr>
            <w:r w:rsidRPr="002A7673">
              <w:rPr>
                <w:bCs/>
                <w:lang w:val="es-ES_tradnl" w:eastAsia="ar-SA"/>
              </w:rPr>
              <w:t>928 Organismo de Investigación Judicial</w:t>
            </w:r>
          </w:p>
        </w:tc>
        <w:tc>
          <w:tcPr>
            <w:tcW w:w="2693" w:type="dxa"/>
            <w:noWrap/>
            <w:hideMark/>
          </w:tcPr>
          <w:p w14:paraId="520201F6"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lang w:val="es-ES_tradnl"/>
              </w:rPr>
              <w:t xml:space="preserve">1 171 262 551 </w:t>
            </w:r>
            <w:r w:rsidRPr="002A7673">
              <w:rPr>
                <w:bCs/>
                <w:lang w:val="es-ES_tradnl" w:eastAsia="ar-SA"/>
              </w:rPr>
              <w:t xml:space="preserve"> </w:t>
            </w:r>
          </w:p>
        </w:tc>
      </w:tr>
      <w:tr w:rsidR="002A7673" w:rsidRPr="002A7673" w14:paraId="54B5DCF3" w14:textId="77777777" w:rsidTr="004F270D">
        <w:trPr>
          <w:trHeight w:val="416"/>
          <w:jc w:val="center"/>
        </w:trPr>
        <w:tc>
          <w:tcPr>
            <w:tcW w:w="5387" w:type="dxa"/>
            <w:noWrap/>
            <w:hideMark/>
          </w:tcPr>
          <w:p w14:paraId="79F74E6C" w14:textId="77777777" w:rsidR="002A7673" w:rsidRPr="002A7673" w:rsidRDefault="002A7673" w:rsidP="002A7673">
            <w:pPr>
              <w:jc w:val="both"/>
              <w:rPr>
                <w:bCs/>
                <w:lang w:val="es-ES_tradnl" w:eastAsia="ar-SA"/>
              </w:rPr>
            </w:pPr>
            <w:r w:rsidRPr="002A7673">
              <w:rPr>
                <w:bCs/>
                <w:lang w:val="es-ES_tradnl" w:eastAsia="ar-SA"/>
              </w:rPr>
              <w:t>929 Ministerio Público</w:t>
            </w:r>
          </w:p>
        </w:tc>
        <w:tc>
          <w:tcPr>
            <w:tcW w:w="2693" w:type="dxa"/>
            <w:noWrap/>
            <w:hideMark/>
          </w:tcPr>
          <w:p w14:paraId="1F888DD5"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lang w:val="es-ES_tradnl"/>
              </w:rPr>
              <w:t xml:space="preserve">872 705 063 </w:t>
            </w:r>
            <w:r w:rsidRPr="002A7673">
              <w:rPr>
                <w:bCs/>
                <w:lang w:val="es-ES_tradnl" w:eastAsia="ar-SA"/>
              </w:rPr>
              <w:t xml:space="preserve"> </w:t>
            </w:r>
          </w:p>
        </w:tc>
      </w:tr>
      <w:tr w:rsidR="002A7673" w:rsidRPr="002A7673" w14:paraId="1C23D8AB" w14:textId="77777777" w:rsidTr="004F270D">
        <w:trPr>
          <w:trHeight w:val="421"/>
          <w:jc w:val="center"/>
        </w:trPr>
        <w:tc>
          <w:tcPr>
            <w:tcW w:w="5387" w:type="dxa"/>
            <w:noWrap/>
            <w:hideMark/>
          </w:tcPr>
          <w:p w14:paraId="5FEA356F" w14:textId="77777777" w:rsidR="002A7673" w:rsidRPr="002A7673" w:rsidRDefault="002A7673" w:rsidP="002A7673">
            <w:pPr>
              <w:jc w:val="both"/>
              <w:rPr>
                <w:bCs/>
                <w:lang w:val="es-ES_tradnl" w:eastAsia="ar-SA"/>
              </w:rPr>
            </w:pPr>
            <w:r w:rsidRPr="002A7673">
              <w:rPr>
                <w:bCs/>
                <w:lang w:val="es-ES_tradnl" w:eastAsia="ar-SA"/>
              </w:rPr>
              <w:t>930 Defensa Pública</w:t>
            </w:r>
          </w:p>
        </w:tc>
        <w:tc>
          <w:tcPr>
            <w:tcW w:w="2693" w:type="dxa"/>
            <w:noWrap/>
            <w:hideMark/>
          </w:tcPr>
          <w:p w14:paraId="3710D764"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lang w:val="es-ES_tradnl"/>
              </w:rPr>
              <w:t xml:space="preserve">808 009 448 </w:t>
            </w:r>
            <w:r w:rsidRPr="002A7673">
              <w:rPr>
                <w:bCs/>
                <w:lang w:val="es-ES_tradnl" w:eastAsia="ar-SA"/>
              </w:rPr>
              <w:t xml:space="preserve"> </w:t>
            </w:r>
          </w:p>
        </w:tc>
      </w:tr>
      <w:tr w:rsidR="002A7673" w:rsidRPr="002A7673" w14:paraId="0B411724" w14:textId="77777777" w:rsidTr="004F270D">
        <w:trPr>
          <w:trHeight w:val="290"/>
          <w:jc w:val="center"/>
        </w:trPr>
        <w:tc>
          <w:tcPr>
            <w:tcW w:w="5387" w:type="dxa"/>
            <w:noWrap/>
            <w:hideMark/>
          </w:tcPr>
          <w:p w14:paraId="263BDA96" w14:textId="77777777" w:rsidR="002A7673" w:rsidRPr="002A7673" w:rsidRDefault="002A7673" w:rsidP="002A7673">
            <w:pPr>
              <w:jc w:val="both"/>
              <w:rPr>
                <w:bCs/>
                <w:lang w:val="es-ES_tradnl" w:eastAsia="ar-SA"/>
              </w:rPr>
            </w:pPr>
            <w:r w:rsidRPr="002A7673">
              <w:rPr>
                <w:bCs/>
                <w:lang w:val="es-ES_tradnl" w:eastAsia="ar-SA"/>
              </w:rPr>
              <w:t xml:space="preserve">950 Servicio de Atención y Protección </w:t>
            </w:r>
          </w:p>
        </w:tc>
        <w:tc>
          <w:tcPr>
            <w:tcW w:w="2693" w:type="dxa"/>
            <w:noWrap/>
            <w:hideMark/>
          </w:tcPr>
          <w:p w14:paraId="613D6463"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lang w:val="es-ES_tradnl"/>
              </w:rPr>
              <w:t xml:space="preserve">106 920 387 </w:t>
            </w:r>
            <w:r w:rsidRPr="002A7673">
              <w:rPr>
                <w:bCs/>
                <w:lang w:val="es-ES_tradnl" w:eastAsia="ar-SA"/>
              </w:rPr>
              <w:t xml:space="preserve"> </w:t>
            </w:r>
          </w:p>
        </w:tc>
      </w:tr>
      <w:tr w:rsidR="002A7673" w:rsidRPr="002A7673" w14:paraId="771E12EF" w14:textId="77777777" w:rsidTr="004F270D">
        <w:trPr>
          <w:trHeight w:val="234"/>
          <w:jc w:val="center"/>
        </w:trPr>
        <w:tc>
          <w:tcPr>
            <w:tcW w:w="5387" w:type="dxa"/>
            <w:noWrap/>
            <w:hideMark/>
          </w:tcPr>
          <w:p w14:paraId="5B216624" w14:textId="77777777" w:rsidR="002A7673" w:rsidRPr="002A7673" w:rsidRDefault="002A7673" w:rsidP="002A7673">
            <w:pPr>
              <w:jc w:val="both"/>
              <w:rPr>
                <w:b/>
                <w:lang w:val="es-ES_tradnl" w:eastAsia="ar-SA"/>
              </w:rPr>
            </w:pPr>
            <w:r w:rsidRPr="002A7673">
              <w:rPr>
                <w:b/>
                <w:lang w:val="es-ES_tradnl" w:eastAsia="ar-SA"/>
              </w:rPr>
              <w:t>Total</w:t>
            </w:r>
          </w:p>
        </w:tc>
        <w:tc>
          <w:tcPr>
            <w:tcW w:w="2693" w:type="dxa"/>
            <w:noWrap/>
            <w:hideMark/>
          </w:tcPr>
          <w:p w14:paraId="2B585769" w14:textId="77777777" w:rsidR="002A7673" w:rsidRPr="002A7673" w:rsidRDefault="002A7673" w:rsidP="002A7673">
            <w:pPr>
              <w:jc w:val="right"/>
              <w:rPr>
                <w:b/>
                <w:lang w:val="es-ES_tradnl" w:eastAsia="ar-SA"/>
              </w:rPr>
            </w:pPr>
            <w:r w:rsidRPr="002A7673">
              <w:rPr>
                <w:b/>
                <w:lang w:val="es-ES_tradnl" w:eastAsia="ar-SA"/>
              </w:rPr>
              <w:t xml:space="preserve">                 </w:t>
            </w:r>
            <w:r w:rsidRPr="002A7673">
              <w:rPr>
                <w:b/>
                <w:sz w:val="28"/>
                <w:szCs w:val="28"/>
                <w:lang w:val="es-ES_tradnl" w:eastAsia="ar-SA"/>
              </w:rPr>
              <w:t>¢</w:t>
            </w:r>
            <w:r w:rsidRPr="002A7673">
              <w:rPr>
                <w:b/>
                <w:bCs/>
                <w:lang w:val="es-ES_tradnl"/>
              </w:rPr>
              <w:t>7 379 962 193</w:t>
            </w:r>
            <w:r w:rsidRPr="002A7673">
              <w:rPr>
                <w:b/>
                <w:lang w:val="es-ES_tradnl" w:eastAsia="ar-SA"/>
              </w:rPr>
              <w:t xml:space="preserve"> </w:t>
            </w:r>
          </w:p>
        </w:tc>
      </w:tr>
    </w:tbl>
    <w:p w14:paraId="57C95914" w14:textId="77777777" w:rsidR="002A7673" w:rsidRPr="002A7673" w:rsidRDefault="002A7673" w:rsidP="002A7673">
      <w:pPr>
        <w:suppressAutoHyphens/>
        <w:spacing w:before="100" w:beforeAutospacing="1" w:after="100" w:afterAutospacing="1" w:line="480" w:lineRule="auto"/>
        <w:jc w:val="both"/>
        <w:rPr>
          <w:rFonts w:ascii="Times New Roman" w:eastAsia="Times New Roman" w:hAnsi="Times New Roman" w:cs="Times New Roman"/>
          <w:bCs/>
          <w:sz w:val="28"/>
          <w:szCs w:val="28"/>
          <w:lang w:val="es-ES" w:eastAsia="es-CR"/>
        </w:rPr>
      </w:pPr>
    </w:p>
    <w:p w14:paraId="626B30A7"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De forma complementaria, según indicó la Dirección de Gestión Humana, el reforzar la subpartida de sustituciones tiene un impacto en algunos componentes asociados, por lo que se hace necesario guardar la correlación entre las subpartidas (salarios base/suplencias y componentes), y con esto evitar un desbalance entre estas.  En este caso, el impacto en ese conjunto de subpartidas relacionadas es por un total de ¢878.040.000, cuya desagregación por Programa y Subpartida se aprecia a continuación:</w:t>
      </w:r>
    </w:p>
    <w:p w14:paraId="45364F15" w14:textId="77777777" w:rsidR="002A7673" w:rsidRPr="002A7673" w:rsidRDefault="002A7673" w:rsidP="002A7673">
      <w:pPr>
        <w:suppressAutoHyphens/>
        <w:spacing w:after="0" w:line="480" w:lineRule="auto"/>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noProof/>
          <w:sz w:val="20"/>
          <w:szCs w:val="20"/>
          <w:lang w:val="es-ES_tradnl" w:eastAsia="ar-SA"/>
        </w:rPr>
        <w:lastRenderedPageBreak/>
        <w:drawing>
          <wp:inline distT="0" distB="0" distL="0" distR="0" wp14:anchorId="50678874" wp14:editId="2EEABBCF">
            <wp:extent cx="5876925" cy="1866900"/>
            <wp:effectExtent l="0" t="0" r="0" b="0"/>
            <wp:docPr id="40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876925" cy="1866900"/>
                    </a:xfrm>
                    <a:prstGeom prst="rect">
                      <a:avLst/>
                    </a:prstGeom>
                    <a:noFill/>
                    <a:ln>
                      <a:noFill/>
                    </a:ln>
                  </pic:spPr>
                </pic:pic>
              </a:graphicData>
            </a:graphic>
          </wp:inline>
        </w:drawing>
      </w:r>
    </w:p>
    <w:p w14:paraId="4F84BF5B"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
          <w:sz w:val="28"/>
          <w:szCs w:val="28"/>
          <w:u w:val="single"/>
          <w:lang w:val="es-ES" w:eastAsia="es-CR"/>
        </w:rPr>
      </w:pPr>
      <w:r w:rsidRPr="002A7673">
        <w:rPr>
          <w:rFonts w:ascii="Times New Roman" w:eastAsia="Times New Roman" w:hAnsi="Times New Roman" w:cs="Times New Roman"/>
          <w:b/>
          <w:sz w:val="28"/>
          <w:szCs w:val="28"/>
          <w:u w:val="single"/>
          <w:lang w:val="es-ES" w:eastAsia="es-CR"/>
        </w:rPr>
        <w:t>Análisis de la Subpartida 0.03.01 Retribución por años servidos</w:t>
      </w:r>
    </w:p>
    <w:p w14:paraId="32ADE106"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En virtud de lo solicitado por la Dirección de Gestión Humana y las proyecciones de gasto 2021, se analizó también el comportamiento de la subpartida de anualidades, concretamente los montos “devengado 2020”, monto aprobado en la “Ley 2021”, la proyección del gasto en que incurrirá la institución para el 2021 y el monto solicitado para el 2022. </w:t>
      </w:r>
    </w:p>
    <w:p w14:paraId="539E6A49" w14:textId="77777777" w:rsidR="002A7673" w:rsidRPr="002A7673" w:rsidRDefault="002A7673" w:rsidP="002A7673">
      <w:pPr>
        <w:suppressAutoHyphens/>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 </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4"/>
        <w:gridCol w:w="2552"/>
        <w:gridCol w:w="1305"/>
        <w:gridCol w:w="1418"/>
        <w:gridCol w:w="1417"/>
        <w:gridCol w:w="1560"/>
      </w:tblGrid>
      <w:tr w:rsidR="002A7673" w:rsidRPr="002A7673" w14:paraId="4450F08E" w14:textId="77777777" w:rsidTr="004F270D">
        <w:trPr>
          <w:trHeight w:val="260"/>
          <w:jc w:val="center"/>
        </w:trPr>
        <w:tc>
          <w:tcPr>
            <w:tcW w:w="674" w:type="dxa"/>
            <w:shd w:val="clear" w:color="000000" w:fill="FFFFFF"/>
            <w:noWrap/>
            <w:vAlign w:val="bottom"/>
            <w:hideMark/>
          </w:tcPr>
          <w:p w14:paraId="7F605AD1" w14:textId="77777777" w:rsidR="002A7673" w:rsidRPr="002A7673" w:rsidRDefault="002A7673" w:rsidP="002A7673">
            <w:pPr>
              <w:suppressAutoHyphens/>
              <w:spacing w:after="0" w:line="240" w:lineRule="auto"/>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CÓD.</w:t>
            </w:r>
          </w:p>
        </w:tc>
        <w:tc>
          <w:tcPr>
            <w:tcW w:w="2552" w:type="dxa"/>
            <w:shd w:val="clear" w:color="000000" w:fill="FFFFFF"/>
            <w:noWrap/>
            <w:vAlign w:val="bottom"/>
            <w:hideMark/>
          </w:tcPr>
          <w:p w14:paraId="2E88FE23" w14:textId="77777777" w:rsidR="002A7673" w:rsidRPr="002A7673" w:rsidRDefault="002A7673" w:rsidP="002A7673">
            <w:pPr>
              <w:suppressAutoHyphens/>
              <w:spacing w:after="0" w:line="240" w:lineRule="auto"/>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Concepto</w:t>
            </w:r>
          </w:p>
        </w:tc>
        <w:tc>
          <w:tcPr>
            <w:tcW w:w="1305" w:type="dxa"/>
            <w:shd w:val="clear" w:color="000000" w:fill="FFFFFF"/>
            <w:noWrap/>
            <w:vAlign w:val="bottom"/>
            <w:hideMark/>
          </w:tcPr>
          <w:p w14:paraId="588A4214"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DEVENGADO</w:t>
            </w:r>
          </w:p>
          <w:p w14:paraId="4B15F067"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 xml:space="preserve"> 2020</w:t>
            </w:r>
          </w:p>
        </w:tc>
        <w:tc>
          <w:tcPr>
            <w:tcW w:w="1418" w:type="dxa"/>
            <w:shd w:val="clear" w:color="000000" w:fill="FFFFFF"/>
            <w:noWrap/>
            <w:vAlign w:val="bottom"/>
            <w:hideMark/>
          </w:tcPr>
          <w:p w14:paraId="23B471EB"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MONTO LEY</w:t>
            </w:r>
          </w:p>
          <w:p w14:paraId="5C82F752"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 xml:space="preserve"> 2021</w:t>
            </w:r>
          </w:p>
        </w:tc>
        <w:tc>
          <w:tcPr>
            <w:tcW w:w="1417" w:type="dxa"/>
            <w:shd w:val="clear" w:color="000000" w:fill="FFFFFF"/>
            <w:noWrap/>
            <w:vAlign w:val="bottom"/>
            <w:hideMark/>
          </w:tcPr>
          <w:p w14:paraId="2756F269"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PROYECCIÓN</w:t>
            </w:r>
          </w:p>
          <w:p w14:paraId="4D9E7605"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 xml:space="preserve"> 2021</w:t>
            </w:r>
          </w:p>
        </w:tc>
        <w:tc>
          <w:tcPr>
            <w:tcW w:w="1560" w:type="dxa"/>
            <w:shd w:val="clear" w:color="000000" w:fill="FFFFFF"/>
            <w:noWrap/>
            <w:vAlign w:val="bottom"/>
            <w:hideMark/>
          </w:tcPr>
          <w:p w14:paraId="5322696B"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SOLICITADO</w:t>
            </w:r>
          </w:p>
          <w:p w14:paraId="6A331246"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16"/>
                <w:szCs w:val="16"/>
                <w:lang w:val="es-ES_tradnl" w:eastAsia="es-CR"/>
              </w:rPr>
            </w:pPr>
            <w:r w:rsidRPr="002A7673">
              <w:rPr>
                <w:rFonts w:ascii="Times New Roman" w:eastAsia="Times New Roman" w:hAnsi="Times New Roman" w:cs="Times New Roman"/>
                <w:b/>
                <w:bCs/>
                <w:sz w:val="16"/>
                <w:szCs w:val="16"/>
                <w:lang w:val="es-ES_tradnl" w:eastAsia="es-CR"/>
              </w:rPr>
              <w:t xml:space="preserve"> 2022</w:t>
            </w:r>
          </w:p>
        </w:tc>
      </w:tr>
      <w:tr w:rsidR="002A7673" w:rsidRPr="002A7673" w14:paraId="7401E6F3" w14:textId="77777777" w:rsidTr="004F270D">
        <w:trPr>
          <w:trHeight w:val="260"/>
          <w:jc w:val="center"/>
        </w:trPr>
        <w:tc>
          <w:tcPr>
            <w:tcW w:w="674" w:type="dxa"/>
            <w:shd w:val="clear" w:color="000000" w:fill="FFFFFF"/>
            <w:noWrap/>
            <w:vAlign w:val="bottom"/>
            <w:hideMark/>
          </w:tcPr>
          <w:p w14:paraId="70294B5A" w14:textId="77777777" w:rsidR="002A7673" w:rsidRPr="002A7673" w:rsidRDefault="002A7673" w:rsidP="002A7673">
            <w:pPr>
              <w:suppressAutoHyphens/>
              <w:spacing w:after="0" w:line="240" w:lineRule="auto"/>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0.03.01</w:t>
            </w:r>
          </w:p>
        </w:tc>
        <w:tc>
          <w:tcPr>
            <w:tcW w:w="2552" w:type="dxa"/>
            <w:shd w:val="clear" w:color="000000" w:fill="FFFFFF"/>
            <w:noWrap/>
            <w:vAlign w:val="bottom"/>
            <w:hideMark/>
          </w:tcPr>
          <w:p w14:paraId="7B3CBEBE" w14:textId="77777777" w:rsidR="002A7673" w:rsidRPr="002A7673" w:rsidRDefault="002A7673" w:rsidP="002A7673">
            <w:pPr>
              <w:suppressAutoHyphens/>
              <w:spacing w:after="0" w:line="240" w:lineRule="auto"/>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Retribución por años servidos</w:t>
            </w:r>
          </w:p>
        </w:tc>
        <w:tc>
          <w:tcPr>
            <w:tcW w:w="1305" w:type="dxa"/>
            <w:shd w:val="clear" w:color="000000" w:fill="FFFFFF"/>
            <w:noWrap/>
            <w:vAlign w:val="bottom"/>
            <w:hideMark/>
          </w:tcPr>
          <w:p w14:paraId="646E7363" w14:textId="77777777" w:rsidR="002A7673" w:rsidRPr="002A7673" w:rsidRDefault="002A7673" w:rsidP="002A7673">
            <w:pPr>
              <w:suppressAutoHyphens/>
              <w:spacing w:after="0" w:line="240" w:lineRule="auto"/>
              <w:jc w:val="right"/>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 xml:space="preserve">36 553 524 608 </w:t>
            </w:r>
          </w:p>
        </w:tc>
        <w:tc>
          <w:tcPr>
            <w:tcW w:w="1418" w:type="dxa"/>
            <w:shd w:val="clear" w:color="000000" w:fill="FFFFFF"/>
            <w:noWrap/>
            <w:vAlign w:val="bottom"/>
            <w:hideMark/>
          </w:tcPr>
          <w:p w14:paraId="7C4D7A3F" w14:textId="77777777" w:rsidR="002A7673" w:rsidRPr="002A7673" w:rsidRDefault="002A7673" w:rsidP="002A7673">
            <w:pPr>
              <w:suppressAutoHyphens/>
              <w:spacing w:after="0" w:line="240" w:lineRule="auto"/>
              <w:jc w:val="right"/>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 xml:space="preserve">34 943 830 666 </w:t>
            </w:r>
          </w:p>
        </w:tc>
        <w:tc>
          <w:tcPr>
            <w:tcW w:w="1417" w:type="dxa"/>
            <w:shd w:val="clear" w:color="000000" w:fill="FFFFFF"/>
            <w:noWrap/>
            <w:vAlign w:val="bottom"/>
            <w:hideMark/>
          </w:tcPr>
          <w:p w14:paraId="4357C88F" w14:textId="77777777" w:rsidR="002A7673" w:rsidRPr="002A7673" w:rsidRDefault="002A7673" w:rsidP="002A7673">
            <w:pPr>
              <w:suppressAutoHyphens/>
              <w:spacing w:after="0" w:line="240" w:lineRule="auto"/>
              <w:jc w:val="right"/>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 xml:space="preserve">35 672 215 580 </w:t>
            </w:r>
          </w:p>
        </w:tc>
        <w:tc>
          <w:tcPr>
            <w:tcW w:w="1560" w:type="dxa"/>
            <w:shd w:val="clear" w:color="000000" w:fill="FFFFFF"/>
            <w:noWrap/>
            <w:vAlign w:val="bottom"/>
            <w:hideMark/>
          </w:tcPr>
          <w:p w14:paraId="19B5F197" w14:textId="77777777" w:rsidR="002A7673" w:rsidRPr="002A7673" w:rsidRDefault="002A7673" w:rsidP="002A7673">
            <w:pPr>
              <w:suppressAutoHyphens/>
              <w:spacing w:after="0" w:line="240" w:lineRule="auto"/>
              <w:jc w:val="right"/>
              <w:rPr>
                <w:rFonts w:ascii="Times New Roman" w:eastAsia="Times New Roman" w:hAnsi="Times New Roman" w:cs="Times New Roman"/>
                <w:sz w:val="16"/>
                <w:szCs w:val="16"/>
                <w:lang w:val="es-ES_tradnl" w:eastAsia="es-CR"/>
              </w:rPr>
            </w:pPr>
            <w:r w:rsidRPr="002A7673">
              <w:rPr>
                <w:rFonts w:ascii="Times New Roman" w:eastAsia="Times New Roman" w:hAnsi="Times New Roman" w:cs="Times New Roman"/>
                <w:sz w:val="16"/>
                <w:szCs w:val="16"/>
                <w:lang w:val="es-ES_tradnl" w:eastAsia="es-CR"/>
              </w:rPr>
              <w:t xml:space="preserve">36 061 162 907 </w:t>
            </w:r>
          </w:p>
        </w:tc>
      </w:tr>
    </w:tbl>
    <w:p w14:paraId="0805E1DB" w14:textId="77777777" w:rsidR="002A7673" w:rsidRPr="002A7673" w:rsidRDefault="002A7673" w:rsidP="002A7673">
      <w:pPr>
        <w:suppressAutoHyphens/>
        <w:spacing w:after="0" w:line="480" w:lineRule="auto"/>
        <w:jc w:val="both"/>
        <w:rPr>
          <w:rFonts w:ascii="Times New Roman" w:eastAsia="Times New Roman" w:hAnsi="Times New Roman" w:cs="Times New Roman"/>
          <w:bCs/>
          <w:sz w:val="28"/>
          <w:szCs w:val="28"/>
          <w:lang w:val="es-ES_tradnl" w:eastAsia="ar-SA"/>
        </w:rPr>
      </w:pPr>
    </w:p>
    <w:p w14:paraId="64B63F7C"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Según se puede apreciar, el monto aprobado por ley para el 2021 es inferior al monto pagado o devengado por el Poder Judicial en el año 2020, así como también inferior a la proyección del gasto para este 2021. A su vez, el monto solicitado para el 2022 es inferior al devengado para el 2020.</w:t>
      </w:r>
    </w:p>
    <w:p w14:paraId="3EAE6957"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highlight w:val="yellow"/>
          <w:lang w:val="es-ES" w:eastAsia="es-CR"/>
        </w:rPr>
      </w:pPr>
      <w:r w:rsidRPr="002A7673">
        <w:rPr>
          <w:rFonts w:ascii="Times New Roman" w:eastAsia="Times New Roman" w:hAnsi="Times New Roman" w:cs="Times New Roman"/>
          <w:bCs/>
          <w:sz w:val="28"/>
          <w:szCs w:val="28"/>
          <w:lang w:val="es-ES" w:eastAsia="es-CR"/>
        </w:rPr>
        <w:lastRenderedPageBreak/>
        <w:t xml:space="preserve">Si bien la Dirección de Gestión Humana estimó un monto para el 2022 de </w:t>
      </w:r>
      <w:r w:rsidRPr="002A7673">
        <w:rPr>
          <w:rFonts w:ascii="Times New Roman" w:eastAsia="Times New Roman" w:hAnsi="Times New Roman" w:cs="Times New Roman"/>
          <w:bCs/>
          <w:sz w:val="28"/>
          <w:szCs w:val="28"/>
          <w:highlight w:val="lightGray"/>
          <w:lang w:val="es-ES" w:eastAsia="es-CR"/>
        </w:rPr>
        <w:t>¢36.061,1 millones</w:t>
      </w:r>
      <w:r w:rsidRPr="002A7673">
        <w:rPr>
          <w:rFonts w:ascii="Times New Roman" w:eastAsia="Times New Roman" w:hAnsi="Times New Roman" w:cs="Times New Roman"/>
          <w:bCs/>
          <w:sz w:val="28"/>
          <w:szCs w:val="28"/>
          <w:lang w:val="es-ES" w:eastAsia="es-CR"/>
        </w:rPr>
        <w:t xml:space="preserve">, dado el comportamiento de los montos indicados con anterioridad, se estimó oportuno efectuar nuevamente una revisión por parte de la Dirección de Gestión Humana, de manera tal que finalmente se propuso formular para el 2022, </w:t>
      </w:r>
      <w:r w:rsidRPr="002A7673">
        <w:rPr>
          <w:rFonts w:ascii="Times New Roman" w:eastAsia="Times New Roman" w:hAnsi="Times New Roman" w:cs="Times New Roman"/>
          <w:b/>
          <w:bCs/>
          <w:sz w:val="28"/>
          <w:szCs w:val="28"/>
          <w:lang w:val="es-ES" w:eastAsia="es-CR"/>
        </w:rPr>
        <w:t>al menos el mismo monto devengado para el 2020</w:t>
      </w:r>
      <w:r w:rsidRPr="002A7673">
        <w:rPr>
          <w:rFonts w:ascii="Times New Roman" w:eastAsia="Times New Roman" w:hAnsi="Times New Roman" w:cs="Times New Roman"/>
          <w:bCs/>
          <w:sz w:val="28"/>
          <w:szCs w:val="28"/>
          <w:lang w:val="es-ES" w:eastAsia="es-CR"/>
        </w:rPr>
        <w:t>.  Se adjunta archivo con el escenario definitivo validado por la Dirección de Gestión Humana.</w:t>
      </w:r>
    </w:p>
    <w:p w14:paraId="440BFAA8" w14:textId="77777777" w:rsidR="002A7673" w:rsidRPr="002A7673" w:rsidRDefault="002A7673" w:rsidP="002A7673">
      <w:pPr>
        <w:suppressAutoHyphens/>
        <w:spacing w:after="0" w:line="480" w:lineRule="auto"/>
        <w:jc w:val="center"/>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object w:dxaOrig="1508" w:dyaOrig="984" w14:anchorId="1F28927C">
          <v:shape id="_x0000_i1196" type="#_x0000_t75" style="width:75.75pt;height:48.75pt" o:ole="">
            <v:imagedata r:id="rId465" o:title=""/>
          </v:shape>
          <o:OLEObject Type="Embed" ProgID="Package" ShapeID="_x0000_i1196" DrawAspect="Icon" ObjectID="_1684067139" r:id="rId466"/>
        </w:object>
      </w:r>
    </w:p>
    <w:p w14:paraId="1A9BE6E2"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Lo anterior implica formular en la subpartida 0.03.01 “</w:t>
      </w:r>
      <w:r w:rsidRPr="002A7673">
        <w:rPr>
          <w:rFonts w:ascii="Times New Roman" w:eastAsia="Times New Roman" w:hAnsi="Times New Roman" w:cs="Times New Roman"/>
          <w:b/>
          <w:bCs/>
          <w:i/>
          <w:iCs/>
          <w:sz w:val="28"/>
          <w:szCs w:val="28"/>
          <w:lang w:val="es-ES" w:eastAsia="es-CR"/>
        </w:rPr>
        <w:t>Retribución por años servidos</w:t>
      </w:r>
      <w:r w:rsidRPr="002A7673">
        <w:rPr>
          <w:rFonts w:ascii="Times New Roman" w:eastAsia="Times New Roman" w:hAnsi="Times New Roman" w:cs="Times New Roman"/>
          <w:bCs/>
          <w:sz w:val="28"/>
          <w:szCs w:val="28"/>
          <w:lang w:val="es-ES" w:eastAsia="es-CR"/>
        </w:rPr>
        <w:t>” un monto adicional de ¢492.361.701, al monto solicitado por la Dirección de Gestión Humana.</w:t>
      </w:r>
    </w:p>
    <w:p w14:paraId="69F53C7F"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El monto definitivo por formular en esta subpartida por Programa es el siguiente:</w:t>
      </w:r>
    </w:p>
    <w:tbl>
      <w:tblPr>
        <w:tblStyle w:val="Tablaconcuadrcula3"/>
        <w:tblW w:w="0" w:type="auto"/>
        <w:jc w:val="center"/>
        <w:tblLook w:val="04A0" w:firstRow="1" w:lastRow="0" w:firstColumn="1" w:lastColumn="0" w:noHBand="0" w:noVBand="1"/>
      </w:tblPr>
      <w:tblGrid>
        <w:gridCol w:w="5387"/>
        <w:gridCol w:w="2693"/>
      </w:tblGrid>
      <w:tr w:rsidR="002A7673" w:rsidRPr="002A7673" w14:paraId="58AF67C2" w14:textId="77777777" w:rsidTr="004F270D">
        <w:trPr>
          <w:trHeight w:val="290"/>
          <w:jc w:val="center"/>
        </w:trPr>
        <w:tc>
          <w:tcPr>
            <w:tcW w:w="5387" w:type="dxa"/>
            <w:noWrap/>
            <w:hideMark/>
          </w:tcPr>
          <w:p w14:paraId="001ED086" w14:textId="77777777" w:rsidR="002A7673" w:rsidRPr="002A7673" w:rsidRDefault="002A7673" w:rsidP="002A7673">
            <w:pPr>
              <w:jc w:val="both"/>
              <w:rPr>
                <w:bCs/>
                <w:lang w:val="es-ES_tradnl" w:eastAsia="ar-SA"/>
              </w:rPr>
            </w:pPr>
            <w:r w:rsidRPr="002A7673">
              <w:rPr>
                <w:bCs/>
                <w:lang w:val="es-ES_tradnl" w:eastAsia="ar-SA"/>
              </w:rPr>
              <w:t>926 Dirección, Administración y Otros Órganos de Apoyo</w:t>
            </w:r>
          </w:p>
        </w:tc>
        <w:tc>
          <w:tcPr>
            <w:tcW w:w="2693" w:type="dxa"/>
            <w:noWrap/>
            <w:hideMark/>
          </w:tcPr>
          <w:p w14:paraId="393245E0"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lang w:val="es-ES_tradnl"/>
              </w:rPr>
              <w:t>6 220 456 755</w:t>
            </w:r>
          </w:p>
        </w:tc>
      </w:tr>
      <w:tr w:rsidR="002A7673" w:rsidRPr="002A7673" w14:paraId="50688453" w14:textId="77777777" w:rsidTr="004F270D">
        <w:trPr>
          <w:trHeight w:val="431"/>
          <w:jc w:val="center"/>
        </w:trPr>
        <w:tc>
          <w:tcPr>
            <w:tcW w:w="5387" w:type="dxa"/>
            <w:noWrap/>
            <w:hideMark/>
          </w:tcPr>
          <w:p w14:paraId="5C2C6D58" w14:textId="77777777" w:rsidR="002A7673" w:rsidRPr="002A7673" w:rsidRDefault="002A7673" w:rsidP="002A7673">
            <w:pPr>
              <w:jc w:val="both"/>
              <w:rPr>
                <w:bCs/>
                <w:lang w:val="es-ES_tradnl" w:eastAsia="ar-SA"/>
              </w:rPr>
            </w:pPr>
            <w:r w:rsidRPr="002A7673">
              <w:rPr>
                <w:bCs/>
                <w:lang w:val="es-ES_tradnl" w:eastAsia="ar-SA"/>
              </w:rPr>
              <w:t>927 Servicio Jurisdiccional</w:t>
            </w:r>
          </w:p>
        </w:tc>
        <w:tc>
          <w:tcPr>
            <w:tcW w:w="2693" w:type="dxa"/>
            <w:noWrap/>
            <w:hideMark/>
          </w:tcPr>
          <w:p w14:paraId="2F6BAA14"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bCs/>
                <w:lang w:val="es-ES_tradnl" w:eastAsia="ar-SA"/>
              </w:rPr>
              <w:t xml:space="preserve"> </w:t>
            </w:r>
            <w:r w:rsidRPr="002A7673">
              <w:rPr>
                <w:lang w:val="es-ES_tradnl"/>
              </w:rPr>
              <w:t>15 353 022 019</w:t>
            </w:r>
          </w:p>
        </w:tc>
      </w:tr>
      <w:tr w:rsidR="002A7673" w:rsidRPr="002A7673" w14:paraId="52071D7C" w14:textId="77777777" w:rsidTr="004F270D">
        <w:trPr>
          <w:trHeight w:val="409"/>
          <w:jc w:val="center"/>
        </w:trPr>
        <w:tc>
          <w:tcPr>
            <w:tcW w:w="5387" w:type="dxa"/>
            <w:noWrap/>
            <w:hideMark/>
          </w:tcPr>
          <w:p w14:paraId="54A953CB" w14:textId="77777777" w:rsidR="002A7673" w:rsidRPr="002A7673" w:rsidRDefault="002A7673" w:rsidP="002A7673">
            <w:pPr>
              <w:jc w:val="both"/>
              <w:rPr>
                <w:bCs/>
                <w:lang w:val="es-ES_tradnl" w:eastAsia="ar-SA"/>
              </w:rPr>
            </w:pPr>
            <w:r w:rsidRPr="002A7673">
              <w:rPr>
                <w:bCs/>
                <w:lang w:val="es-ES_tradnl" w:eastAsia="ar-SA"/>
              </w:rPr>
              <w:t>928 Organismo de Investigación Judicial</w:t>
            </w:r>
          </w:p>
        </w:tc>
        <w:tc>
          <w:tcPr>
            <w:tcW w:w="2693" w:type="dxa"/>
            <w:noWrap/>
            <w:hideMark/>
          </w:tcPr>
          <w:p w14:paraId="7F00854F"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bCs/>
                <w:lang w:val="es-ES_tradnl" w:eastAsia="ar-SA"/>
              </w:rPr>
              <w:t xml:space="preserve"> </w:t>
            </w:r>
            <w:r w:rsidRPr="002A7673">
              <w:rPr>
                <w:lang w:val="es-ES_tradnl"/>
              </w:rPr>
              <w:t>7 089 570 269</w:t>
            </w:r>
          </w:p>
        </w:tc>
      </w:tr>
      <w:tr w:rsidR="002A7673" w:rsidRPr="002A7673" w14:paraId="7472EF13" w14:textId="77777777" w:rsidTr="004F270D">
        <w:trPr>
          <w:trHeight w:val="416"/>
          <w:jc w:val="center"/>
        </w:trPr>
        <w:tc>
          <w:tcPr>
            <w:tcW w:w="5387" w:type="dxa"/>
            <w:noWrap/>
            <w:hideMark/>
          </w:tcPr>
          <w:p w14:paraId="76030C90" w14:textId="77777777" w:rsidR="002A7673" w:rsidRPr="002A7673" w:rsidRDefault="002A7673" w:rsidP="002A7673">
            <w:pPr>
              <w:jc w:val="both"/>
              <w:rPr>
                <w:bCs/>
                <w:lang w:val="es-ES_tradnl" w:eastAsia="ar-SA"/>
              </w:rPr>
            </w:pPr>
            <w:r w:rsidRPr="002A7673">
              <w:rPr>
                <w:bCs/>
                <w:lang w:val="es-ES_tradnl" w:eastAsia="ar-SA"/>
              </w:rPr>
              <w:t>929 Ministerio Público</w:t>
            </w:r>
          </w:p>
        </w:tc>
        <w:tc>
          <w:tcPr>
            <w:tcW w:w="2693" w:type="dxa"/>
            <w:noWrap/>
            <w:hideMark/>
          </w:tcPr>
          <w:p w14:paraId="6E05ED71" w14:textId="77777777" w:rsidR="002A7673" w:rsidRPr="002A7673" w:rsidRDefault="002A7673" w:rsidP="002A7673">
            <w:pPr>
              <w:jc w:val="right"/>
              <w:rPr>
                <w:bCs/>
                <w:lang w:val="es-ES_tradnl" w:eastAsia="ar-SA"/>
              </w:rPr>
            </w:pPr>
            <w:r w:rsidRPr="002A7673">
              <w:rPr>
                <w:bCs/>
                <w:lang w:val="es-ES_tradnl" w:eastAsia="ar-SA"/>
              </w:rPr>
              <w:t xml:space="preserve">                  </w:t>
            </w:r>
            <w:proofErr w:type="gramStart"/>
            <w:r w:rsidRPr="002A7673">
              <w:rPr>
                <w:b/>
                <w:sz w:val="28"/>
                <w:szCs w:val="28"/>
                <w:lang w:val="es-ES_tradnl" w:eastAsia="ar-SA"/>
              </w:rPr>
              <w:t>¢</w:t>
            </w:r>
            <w:r w:rsidRPr="002A7673">
              <w:rPr>
                <w:bCs/>
                <w:lang w:val="es-ES_tradnl" w:eastAsia="ar-SA"/>
              </w:rPr>
              <w:t xml:space="preserve"> </w:t>
            </w:r>
            <w:r w:rsidRPr="002A7673">
              <w:rPr>
                <w:lang w:val="es-ES_tradnl"/>
              </w:rPr>
              <w:t xml:space="preserve"> 4</w:t>
            </w:r>
            <w:proofErr w:type="gramEnd"/>
            <w:r w:rsidRPr="002A7673">
              <w:rPr>
                <w:lang w:val="es-ES_tradnl"/>
              </w:rPr>
              <w:t xml:space="preserve"> 326 627 421</w:t>
            </w:r>
          </w:p>
        </w:tc>
      </w:tr>
      <w:tr w:rsidR="002A7673" w:rsidRPr="002A7673" w14:paraId="6E923293" w14:textId="77777777" w:rsidTr="004F270D">
        <w:trPr>
          <w:trHeight w:val="421"/>
          <w:jc w:val="center"/>
        </w:trPr>
        <w:tc>
          <w:tcPr>
            <w:tcW w:w="5387" w:type="dxa"/>
            <w:noWrap/>
            <w:hideMark/>
          </w:tcPr>
          <w:p w14:paraId="784AA2CF" w14:textId="77777777" w:rsidR="002A7673" w:rsidRPr="002A7673" w:rsidRDefault="002A7673" w:rsidP="002A7673">
            <w:pPr>
              <w:jc w:val="both"/>
              <w:rPr>
                <w:bCs/>
                <w:lang w:val="es-ES_tradnl" w:eastAsia="ar-SA"/>
              </w:rPr>
            </w:pPr>
            <w:r w:rsidRPr="002A7673">
              <w:rPr>
                <w:bCs/>
                <w:lang w:val="es-ES_tradnl" w:eastAsia="ar-SA"/>
              </w:rPr>
              <w:t>930 Defensa Pública</w:t>
            </w:r>
          </w:p>
        </w:tc>
        <w:tc>
          <w:tcPr>
            <w:tcW w:w="2693" w:type="dxa"/>
            <w:noWrap/>
            <w:hideMark/>
          </w:tcPr>
          <w:p w14:paraId="6254E997" w14:textId="77777777" w:rsidR="002A7673" w:rsidRPr="002A7673" w:rsidRDefault="002A7673" w:rsidP="002A7673">
            <w:pPr>
              <w:jc w:val="right"/>
              <w:rPr>
                <w:bCs/>
                <w:lang w:val="es-ES_tradnl" w:eastAsia="ar-SA"/>
              </w:rPr>
            </w:pPr>
            <w:r w:rsidRPr="002A7673">
              <w:rPr>
                <w:bCs/>
                <w:lang w:val="es-ES_tradnl" w:eastAsia="ar-SA"/>
              </w:rPr>
              <w:t xml:space="preserve">                   </w:t>
            </w:r>
            <w:r w:rsidRPr="002A7673">
              <w:rPr>
                <w:b/>
                <w:sz w:val="28"/>
                <w:szCs w:val="28"/>
                <w:lang w:val="es-ES_tradnl" w:eastAsia="ar-SA"/>
              </w:rPr>
              <w:t>¢</w:t>
            </w:r>
            <w:r w:rsidRPr="002A7673">
              <w:rPr>
                <w:lang w:val="es-ES_tradnl"/>
              </w:rPr>
              <w:t xml:space="preserve">   2 976 899 443</w:t>
            </w:r>
          </w:p>
        </w:tc>
      </w:tr>
      <w:tr w:rsidR="002A7673" w:rsidRPr="002A7673" w14:paraId="5EA59CFD" w14:textId="77777777" w:rsidTr="004F270D">
        <w:trPr>
          <w:trHeight w:val="290"/>
          <w:jc w:val="center"/>
        </w:trPr>
        <w:tc>
          <w:tcPr>
            <w:tcW w:w="5387" w:type="dxa"/>
            <w:noWrap/>
            <w:hideMark/>
          </w:tcPr>
          <w:p w14:paraId="79AB20BE" w14:textId="77777777" w:rsidR="002A7673" w:rsidRPr="002A7673" w:rsidRDefault="002A7673" w:rsidP="002A7673">
            <w:pPr>
              <w:jc w:val="both"/>
              <w:rPr>
                <w:bCs/>
                <w:lang w:val="es-ES_tradnl" w:eastAsia="ar-SA"/>
              </w:rPr>
            </w:pPr>
            <w:r w:rsidRPr="002A7673">
              <w:rPr>
                <w:bCs/>
                <w:lang w:val="es-ES_tradnl" w:eastAsia="ar-SA"/>
              </w:rPr>
              <w:t xml:space="preserve">950 Servicio de Atención y Protección </w:t>
            </w:r>
          </w:p>
        </w:tc>
        <w:tc>
          <w:tcPr>
            <w:tcW w:w="2693" w:type="dxa"/>
            <w:noWrap/>
            <w:hideMark/>
          </w:tcPr>
          <w:p w14:paraId="3514163B" w14:textId="77777777" w:rsidR="002A7673" w:rsidRPr="002A7673" w:rsidRDefault="002A7673" w:rsidP="002A7673">
            <w:pPr>
              <w:jc w:val="right"/>
              <w:rPr>
                <w:bCs/>
                <w:lang w:val="es-ES_tradnl" w:eastAsia="ar-SA"/>
              </w:rPr>
            </w:pPr>
            <w:r w:rsidRPr="002A7673">
              <w:rPr>
                <w:bCs/>
                <w:lang w:val="es-ES_tradnl" w:eastAsia="ar-SA"/>
              </w:rPr>
              <w:t xml:space="preserve">                      </w:t>
            </w:r>
            <w:proofErr w:type="gramStart"/>
            <w:r w:rsidRPr="002A7673">
              <w:rPr>
                <w:b/>
                <w:sz w:val="28"/>
                <w:szCs w:val="28"/>
                <w:lang w:val="es-ES_tradnl" w:eastAsia="ar-SA"/>
              </w:rPr>
              <w:t>¢</w:t>
            </w:r>
            <w:r w:rsidRPr="002A7673">
              <w:rPr>
                <w:lang w:val="es-ES_tradnl"/>
              </w:rPr>
              <w:t xml:space="preserve">  586</w:t>
            </w:r>
            <w:proofErr w:type="gramEnd"/>
            <w:r w:rsidRPr="002A7673">
              <w:rPr>
                <w:lang w:val="es-ES_tradnl"/>
              </w:rPr>
              <w:t xml:space="preserve"> 948 702</w:t>
            </w:r>
          </w:p>
        </w:tc>
      </w:tr>
      <w:tr w:rsidR="002A7673" w:rsidRPr="002A7673" w14:paraId="3A4DE67E" w14:textId="77777777" w:rsidTr="004F270D">
        <w:trPr>
          <w:trHeight w:val="234"/>
          <w:jc w:val="center"/>
        </w:trPr>
        <w:tc>
          <w:tcPr>
            <w:tcW w:w="5387" w:type="dxa"/>
            <w:noWrap/>
            <w:hideMark/>
          </w:tcPr>
          <w:p w14:paraId="128481A9" w14:textId="77777777" w:rsidR="002A7673" w:rsidRPr="002A7673" w:rsidRDefault="002A7673" w:rsidP="002A7673">
            <w:pPr>
              <w:jc w:val="both"/>
              <w:rPr>
                <w:b/>
                <w:lang w:val="es-ES_tradnl" w:eastAsia="ar-SA"/>
              </w:rPr>
            </w:pPr>
            <w:r w:rsidRPr="002A7673">
              <w:rPr>
                <w:b/>
                <w:lang w:val="es-ES_tradnl" w:eastAsia="ar-SA"/>
              </w:rPr>
              <w:lastRenderedPageBreak/>
              <w:t>Total</w:t>
            </w:r>
          </w:p>
        </w:tc>
        <w:tc>
          <w:tcPr>
            <w:tcW w:w="2693" w:type="dxa"/>
            <w:noWrap/>
            <w:hideMark/>
          </w:tcPr>
          <w:p w14:paraId="006EEB84" w14:textId="77777777" w:rsidR="002A7673" w:rsidRPr="002A7673" w:rsidRDefault="002A7673" w:rsidP="002A7673">
            <w:pPr>
              <w:jc w:val="right"/>
              <w:rPr>
                <w:b/>
                <w:lang w:val="es-ES_tradnl" w:eastAsia="ar-SA"/>
              </w:rPr>
            </w:pPr>
            <w:r w:rsidRPr="002A7673">
              <w:rPr>
                <w:b/>
                <w:lang w:val="es-ES_tradnl" w:eastAsia="ar-SA"/>
              </w:rPr>
              <w:t xml:space="preserve">                 </w:t>
            </w:r>
            <w:proofErr w:type="gramStart"/>
            <w:r w:rsidRPr="002A7673">
              <w:rPr>
                <w:b/>
                <w:sz w:val="28"/>
                <w:szCs w:val="28"/>
                <w:lang w:val="es-ES_tradnl" w:eastAsia="ar-SA"/>
              </w:rPr>
              <w:t>¢</w:t>
            </w:r>
            <w:r w:rsidRPr="002A7673">
              <w:rPr>
                <w:b/>
                <w:bCs/>
                <w:lang w:val="es-ES_tradnl"/>
              </w:rPr>
              <w:t xml:space="preserve">  36</w:t>
            </w:r>
            <w:proofErr w:type="gramEnd"/>
            <w:r w:rsidRPr="002A7673">
              <w:rPr>
                <w:b/>
                <w:bCs/>
                <w:lang w:val="es-ES_tradnl"/>
              </w:rPr>
              <w:t xml:space="preserve"> 553 524 608</w:t>
            </w:r>
          </w:p>
        </w:tc>
      </w:tr>
    </w:tbl>
    <w:p w14:paraId="59904AD0" w14:textId="77777777" w:rsidR="002A7673" w:rsidRPr="002A7673" w:rsidRDefault="002A7673" w:rsidP="002A7673">
      <w:pPr>
        <w:suppressAutoHyphens/>
        <w:spacing w:after="0" w:line="360" w:lineRule="auto"/>
        <w:jc w:val="both"/>
        <w:rPr>
          <w:rFonts w:ascii="Times New Roman" w:eastAsia="Times New Roman" w:hAnsi="Times New Roman" w:cs="Times New Roman"/>
          <w:b/>
          <w:sz w:val="28"/>
          <w:szCs w:val="28"/>
          <w:lang w:val="es-ES_tradnl" w:eastAsia="ar-SA"/>
        </w:rPr>
      </w:pPr>
    </w:p>
    <w:p w14:paraId="0F92E71B"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
          <w:sz w:val="28"/>
          <w:szCs w:val="28"/>
          <w:u w:val="single"/>
          <w:lang w:val="es-ES" w:eastAsia="es-CR"/>
        </w:rPr>
      </w:pPr>
      <w:r w:rsidRPr="002A7673">
        <w:rPr>
          <w:rFonts w:ascii="Times New Roman" w:eastAsia="Times New Roman" w:hAnsi="Times New Roman" w:cs="Times New Roman"/>
          <w:b/>
          <w:sz w:val="28"/>
          <w:szCs w:val="28"/>
          <w:u w:val="single"/>
          <w:lang w:val="es-ES" w:eastAsia="es-CR"/>
        </w:rPr>
        <w:t>Escenario definitivo Remuneraciones 2022</w:t>
      </w:r>
    </w:p>
    <w:p w14:paraId="11B8AC9C"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A partir de los ajustes descritos con anterioridad se tiene que el escenario definitivo de remuneraciones propuesto por la Dirección de Gestión Humana para el 2022 es de ¢256.930.833.335, distribuido según Programa Institucional de la siguiente forma:</w:t>
      </w:r>
    </w:p>
    <w:p w14:paraId="74C2A02E" w14:textId="77777777" w:rsidR="002A7673" w:rsidRPr="002A7673" w:rsidRDefault="002A7673" w:rsidP="002A7673">
      <w:pPr>
        <w:suppressAutoHyphens/>
        <w:spacing w:after="0" w:line="360" w:lineRule="auto"/>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noProof/>
          <w:sz w:val="20"/>
          <w:szCs w:val="20"/>
          <w:lang w:val="es-ES_tradnl" w:eastAsia="ar-SA"/>
        </w:rPr>
        <w:drawing>
          <wp:inline distT="0" distB="0" distL="0" distR="0" wp14:anchorId="7E33BCBA" wp14:editId="21DC252E">
            <wp:extent cx="5610225" cy="2352675"/>
            <wp:effectExtent l="0" t="0" r="0" b="0"/>
            <wp:docPr id="39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610225" cy="2352675"/>
                    </a:xfrm>
                    <a:prstGeom prst="rect">
                      <a:avLst/>
                    </a:prstGeom>
                    <a:noFill/>
                    <a:ln>
                      <a:noFill/>
                    </a:ln>
                  </pic:spPr>
                </pic:pic>
              </a:graphicData>
            </a:graphic>
          </wp:inline>
        </w:drawing>
      </w:r>
    </w:p>
    <w:p w14:paraId="6987F7CC"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x-none"/>
        </w:rPr>
      </w:pPr>
      <w:r w:rsidRPr="002A7673">
        <w:rPr>
          <w:rFonts w:ascii="Times New Roman" w:eastAsia="Times New Roman" w:hAnsi="Times New Roman" w:cs="Times New Roman"/>
          <w:bCs/>
          <w:sz w:val="28"/>
          <w:szCs w:val="28"/>
          <w:lang w:val="es-ES" w:eastAsia="x-none"/>
        </w:rPr>
        <w:t>Este escenario presenta una variación absoluta de ¢4.457.466.856 con respecto al presupuesto aprobado por Ley para el 2021, monto que representa una variación porcentual del 1.8%.</w:t>
      </w:r>
    </w:p>
    <w:p w14:paraId="203A4D50" w14:textId="77777777" w:rsidR="002A7673" w:rsidRPr="002A7673" w:rsidRDefault="002A7673" w:rsidP="002A7673">
      <w:pPr>
        <w:numPr>
          <w:ilvl w:val="0"/>
          <w:numId w:val="91"/>
        </w:numPr>
        <w:suppressAutoHyphens/>
        <w:spacing w:after="0" w:line="480" w:lineRule="auto"/>
        <w:rPr>
          <w:rFonts w:ascii="Times New Roman" w:eastAsia="Times New Roman" w:hAnsi="Times New Roman" w:cs="Times New Roman"/>
          <w:b/>
          <w:bCs/>
          <w:sz w:val="28"/>
          <w:szCs w:val="28"/>
          <w:u w:val="single"/>
          <w:lang w:val="es-ES_tradnl" w:eastAsia="ar-SA"/>
        </w:rPr>
      </w:pPr>
      <w:r w:rsidRPr="002A7673">
        <w:rPr>
          <w:rFonts w:ascii="Times New Roman" w:eastAsia="Times New Roman" w:hAnsi="Times New Roman" w:cs="Times New Roman"/>
          <w:b/>
          <w:bCs/>
          <w:sz w:val="28"/>
          <w:szCs w:val="28"/>
          <w:u w:val="single"/>
          <w:lang w:val="es-ES_tradnl" w:eastAsia="ar-SA"/>
        </w:rPr>
        <w:t>Síntesis Final</w:t>
      </w:r>
    </w:p>
    <w:p w14:paraId="77B4C7BB"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Considerando todos los aspectos antes señalados, el presupuesto del Poder Judicial para el 2022 que se envía a Corte Plena para su análisis y discusión es </w:t>
      </w:r>
      <w:r w:rsidRPr="002A7673">
        <w:rPr>
          <w:rFonts w:ascii="Times New Roman" w:eastAsia="Times New Roman" w:hAnsi="Times New Roman" w:cs="Times New Roman"/>
          <w:bCs/>
          <w:sz w:val="28"/>
          <w:szCs w:val="28"/>
          <w:lang w:val="es-ES_tradnl" w:eastAsia="ar-SA"/>
        </w:rPr>
        <w:lastRenderedPageBreak/>
        <w:t xml:space="preserve">de ¢468.504 millones, acorde con el límite establecido por el Ministerio de Hacienda en su oficio DM-0340-2021. </w:t>
      </w:r>
    </w:p>
    <w:p w14:paraId="6D5F50AF"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Este monto total representa, casi la misma suma del presupuesto formulado y aprobado por la Corte Plena para el 2021 (solamente hay un rebajo de ¢289 millones), restituyéndose así el monto original aprobado, los dos rebajos realizados en el proceso de aprobación de este presupuesto 2021.  Dado que los lineamientos aprobados por la Corte Plena contenían la formulación presupuestaria en -4%, se logra la posibilidad de analizar y dar prioridad a las necesidades institucionales producto de las leyes vigentes que a la fecha no tienen contenido presupuestario asignado por la Asamblea Legislativa a la fecha. </w:t>
      </w:r>
    </w:p>
    <w:p w14:paraId="7CA73E3C"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Es oportuno señalar que como parte del presupuesto ordinario, se están incluyendo ¢2.124.097.661 en la Subpartida 70107 Fondos en Fideicomiso para gasto de capital, que vienen a representar un fuerte impulso para el desarrollo de obras de infraestructura física en la institución, tan importantes no sólo para reducir paulatinamente la planilla de alquileres, sino especialmente para contar con mejores instalaciones para las personas servidoras judiciales en la prestación de los múltiples servicios a las personas usuarias del Poder Judicial.  </w:t>
      </w:r>
    </w:p>
    <w:p w14:paraId="370B7CF5" w14:textId="77777777" w:rsidR="002A7673" w:rsidRPr="002A7673" w:rsidRDefault="002A7673" w:rsidP="002A7673">
      <w:pPr>
        <w:suppressAutoHyphens/>
        <w:spacing w:after="0" w:line="480" w:lineRule="auto"/>
        <w:ind w:firstLine="360"/>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 xml:space="preserve">En lo concerniente al acatamiento del crecimiento permitido en gasto corriente y gasto de capital, en el primer caso el monto formulado para el 2022 </w:t>
      </w:r>
      <w:r w:rsidRPr="002A7673">
        <w:rPr>
          <w:rFonts w:ascii="Times New Roman" w:eastAsia="Times New Roman" w:hAnsi="Times New Roman" w:cs="Times New Roman"/>
          <w:bCs/>
          <w:sz w:val="28"/>
          <w:szCs w:val="28"/>
          <w:lang w:val="es-ES_tradnl" w:eastAsia="ar-SA"/>
        </w:rPr>
        <w:lastRenderedPageBreak/>
        <w:t xml:space="preserve">es de ¢443.456 millones, con una variación del 1.96%, mientras </w:t>
      </w:r>
      <w:proofErr w:type="gramStart"/>
      <w:r w:rsidRPr="002A7673">
        <w:rPr>
          <w:rFonts w:ascii="Times New Roman" w:eastAsia="Times New Roman" w:hAnsi="Times New Roman" w:cs="Times New Roman"/>
          <w:bCs/>
          <w:sz w:val="28"/>
          <w:szCs w:val="28"/>
          <w:lang w:val="es-ES_tradnl" w:eastAsia="ar-SA"/>
        </w:rPr>
        <w:t>que</w:t>
      </w:r>
      <w:proofErr w:type="gramEnd"/>
      <w:r w:rsidRPr="002A7673">
        <w:rPr>
          <w:rFonts w:ascii="Times New Roman" w:eastAsia="Times New Roman" w:hAnsi="Times New Roman" w:cs="Times New Roman"/>
          <w:bCs/>
          <w:sz w:val="28"/>
          <w:szCs w:val="28"/>
          <w:lang w:val="es-ES_tradnl" w:eastAsia="ar-SA"/>
        </w:rPr>
        <w:t xml:space="preserve"> en el segundo caso, el monto formulado es de ¢25.047 millones, con una variación del 12.63%; en ambos casos, en apego a las disposiciones emanadas por el Ministerio de Hacienda. </w:t>
      </w:r>
    </w:p>
    <w:p w14:paraId="4EC591E7" w14:textId="77777777" w:rsidR="002A7673" w:rsidRPr="002A7673" w:rsidRDefault="002A7673" w:rsidP="002A7673">
      <w:pPr>
        <w:suppressAutoHyphens/>
        <w:spacing w:after="0" w:line="480" w:lineRule="auto"/>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ab/>
        <w:t xml:space="preserve">Finalmente, se hace la aclaración de que estas cifras podrían variar sutilmente, ya que quedan sujetas a la estimación definitiva de la partida de Remuneraciones que realizará la Dirección de Gestión Humana, previo al envío del anteproyecto de presupuesto 2022 a la Corte Plena, por lo que, al igual que en años anteriores, es oportuno autorizar que la Dirección de Planificación haga los ajustes finales que correspondan.  </w:t>
      </w:r>
    </w:p>
    <w:p w14:paraId="0C7B2F07" w14:textId="77777777" w:rsidR="002A7673" w:rsidRPr="002A7673" w:rsidRDefault="002A7673" w:rsidP="002A7673">
      <w:pPr>
        <w:suppressAutoHyphens/>
        <w:spacing w:after="0" w:line="480" w:lineRule="auto"/>
        <w:ind w:firstLine="708"/>
        <w:jc w:val="both"/>
        <w:rPr>
          <w:rFonts w:ascii="Times New Roman" w:eastAsia="Times New Roman" w:hAnsi="Times New Roman" w:cs="Times New Roman"/>
          <w:sz w:val="28"/>
          <w:szCs w:val="28"/>
          <w:lang w:val="es-ES_tradnl" w:eastAsia="ar-SA"/>
        </w:rPr>
      </w:pPr>
      <w:r w:rsidRPr="002A7673">
        <w:rPr>
          <w:rFonts w:ascii="Times New Roman" w:eastAsia="Times New Roman" w:hAnsi="Times New Roman" w:cs="Times New Roman"/>
          <w:sz w:val="28"/>
          <w:szCs w:val="28"/>
          <w:lang w:val="es-ES_tradnl" w:eastAsia="ar-SA"/>
        </w:rPr>
        <w:t>A continuación, se presenta un resumen del proyecto de presupuesto para el 2022, distribuido por Programa institucional y desagregado entre gasto corriente y gasto de capital, en apego a los lineamientos establecidos por el Ministerio de Hacienda:</w:t>
      </w:r>
    </w:p>
    <w:p w14:paraId="6CC7C66E" w14:textId="77777777" w:rsidR="002A7673" w:rsidRPr="002A7673" w:rsidRDefault="002A7673" w:rsidP="002A7673">
      <w:pPr>
        <w:suppressAutoHyphens/>
        <w:spacing w:after="0" w:line="240" w:lineRule="auto"/>
        <w:ind w:firstLine="360"/>
        <w:jc w:val="both"/>
        <w:rPr>
          <w:rFonts w:ascii="Times New Roman" w:eastAsia="Times New Roman" w:hAnsi="Times New Roman" w:cs="Times New Roman"/>
          <w:sz w:val="23"/>
          <w:szCs w:val="23"/>
          <w:lang w:val="es-ES_tradnl" w:eastAsia="ar-SA"/>
        </w:rPr>
      </w:pPr>
    </w:p>
    <w:p w14:paraId="47144E37" w14:textId="77777777" w:rsidR="002A7673" w:rsidRPr="002A7673" w:rsidRDefault="002A7673" w:rsidP="002A7673">
      <w:pPr>
        <w:suppressAutoHyphens/>
        <w:spacing w:after="0" w:line="240" w:lineRule="auto"/>
        <w:jc w:val="both"/>
        <w:rPr>
          <w:rFonts w:ascii="Times New Roman" w:eastAsia="Times New Roman" w:hAnsi="Times New Roman" w:cs="Times New Roman"/>
          <w:sz w:val="20"/>
          <w:szCs w:val="20"/>
          <w:lang w:val="es-ES_tradnl" w:eastAsia="ar-SA"/>
        </w:rPr>
      </w:pPr>
      <w:r w:rsidRPr="002A7673">
        <w:rPr>
          <w:rFonts w:ascii="Times New Roman" w:eastAsia="Times New Roman" w:hAnsi="Times New Roman" w:cs="Times New Roman"/>
          <w:noProof/>
          <w:sz w:val="20"/>
          <w:szCs w:val="20"/>
          <w:lang w:val="es-ES_tradnl" w:eastAsia="ar-SA"/>
        </w:rPr>
        <w:drawing>
          <wp:inline distT="0" distB="0" distL="0" distR="0" wp14:anchorId="158B280F" wp14:editId="168C92D4">
            <wp:extent cx="5610225" cy="1057275"/>
            <wp:effectExtent l="0" t="0" r="0" b="0"/>
            <wp:docPr id="39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610225" cy="1057275"/>
                    </a:xfrm>
                    <a:prstGeom prst="rect">
                      <a:avLst/>
                    </a:prstGeom>
                    <a:noFill/>
                    <a:ln>
                      <a:noFill/>
                    </a:ln>
                  </pic:spPr>
                </pic:pic>
              </a:graphicData>
            </a:graphic>
          </wp:inline>
        </w:drawing>
      </w:r>
    </w:p>
    <w:p w14:paraId="71096F51" w14:textId="77777777" w:rsidR="002A7673" w:rsidRPr="002A7673" w:rsidRDefault="002A7673" w:rsidP="002A7673">
      <w:pPr>
        <w:suppressAutoHyphens/>
        <w:spacing w:after="0" w:line="240" w:lineRule="auto"/>
        <w:ind w:firstLine="708"/>
        <w:jc w:val="both"/>
        <w:rPr>
          <w:rFonts w:ascii="Times New Roman" w:eastAsia="Times New Roman" w:hAnsi="Times New Roman" w:cs="Times New Roman"/>
          <w:sz w:val="20"/>
          <w:szCs w:val="20"/>
          <w:lang w:val="es-ES_tradnl" w:eastAsia="ar-SA"/>
        </w:rPr>
      </w:pPr>
    </w:p>
    <w:p w14:paraId="12006061" w14:textId="77777777" w:rsidR="002A7673" w:rsidRPr="002A7673" w:rsidRDefault="002A7673" w:rsidP="002A7673">
      <w:pPr>
        <w:suppressAutoHyphens/>
        <w:spacing w:after="0" w:line="480" w:lineRule="auto"/>
        <w:ind w:firstLine="708"/>
        <w:jc w:val="both"/>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t>Adicionalmente se adjunta archivo con los detalles de los montos por Subpartida, tanto para el presupuesto total del Poder Judicial, como para cada uno de sus programas:</w:t>
      </w:r>
    </w:p>
    <w:bookmarkStart w:id="279" w:name="_MON_1683460939"/>
    <w:bookmarkEnd w:id="279"/>
    <w:p w14:paraId="2423BD56" w14:textId="0BF749CA" w:rsidR="00931F88" w:rsidRPr="007C290C" w:rsidRDefault="002A7673" w:rsidP="007C290C">
      <w:pPr>
        <w:suppressAutoHyphens/>
        <w:spacing w:after="0" w:line="480" w:lineRule="auto"/>
        <w:jc w:val="center"/>
        <w:rPr>
          <w:rFonts w:ascii="Times New Roman" w:eastAsia="Times New Roman" w:hAnsi="Times New Roman" w:cs="Times New Roman"/>
          <w:bCs/>
          <w:sz w:val="28"/>
          <w:szCs w:val="28"/>
          <w:lang w:val="es-ES_tradnl" w:eastAsia="ar-SA"/>
        </w:rPr>
      </w:pPr>
      <w:r w:rsidRPr="002A7673">
        <w:rPr>
          <w:rFonts w:ascii="Times New Roman" w:eastAsia="Times New Roman" w:hAnsi="Times New Roman" w:cs="Times New Roman"/>
          <w:bCs/>
          <w:sz w:val="28"/>
          <w:szCs w:val="28"/>
          <w:lang w:val="es-ES_tradnl" w:eastAsia="ar-SA"/>
        </w:rPr>
        <w:object w:dxaOrig="1508" w:dyaOrig="984" w14:anchorId="7288591D">
          <v:shape id="_x0000_i1197" type="#_x0000_t75" style="width:77.25pt;height:51.75pt" o:ole="">
            <v:imagedata r:id="rId469" o:title=""/>
          </v:shape>
          <o:OLEObject Type="Embed" ProgID="Excel.Sheet.12" ShapeID="_x0000_i1197" DrawAspect="Icon" ObjectID="_1684067140" r:id="rId470"/>
        </w:object>
      </w:r>
      <w:bookmarkStart w:id="280" w:name="_Hlk72870389"/>
    </w:p>
    <w:p w14:paraId="0A235A8C"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Indica la máster Valverde: “Talvez aquí lo que hay que resaltar el ejercicio que llevamos a Corte y en el escenario de Corte había aprobado, era que las oficinas bajaran la formulación el 4%, no todas las oficinas lo lograron, pero muchas sí, pensando que Hacienda no nos iba a dar el mismo monto de presupuesto, era previniendo, pero eso permitió que las oficinas ajustaran sus presupuestos, entonces al haber bajado ellos y Hacienda habernos dado el mismo monto, quedó ese monto, que considero fue mucho más beneficioso porque permite a la institución darle a los proyectos importantes que no le había podido dar plata, esos ahorros que se logró en las oficinas.</w:t>
      </w:r>
    </w:p>
    <w:p w14:paraId="09555938"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En especialistas en contenido, eso nos subió porque no le habíamos incluido cargas, ya le incluimos las cargas sociales, entonces ahí van los 799 millones de colones. </w:t>
      </w:r>
    </w:p>
    <w:p w14:paraId="2A4C8134"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En prestaciones legales, aquí teníamos un tema y queríamos traérselo a ustedes, los compañeros de Gestión Humana, recuerdan que había un monto que habíamos presupuestado y que estaba bajito, bajo ese monto, doña Roxana Arrieta, Jefa de Gestión Humana, hace el escenario y también hace el escenario partiendo de los 8 y los 12 años, por el tema de la Sala, que está pendiente y que puede suceder, pero bajo ese escenario nos preocupa mucho, porque guardar </w:t>
      </w:r>
      <w:r w:rsidRPr="00931F88">
        <w:rPr>
          <w:rFonts w:ascii="Times New Roman" w:eastAsia="Calibri" w:hAnsi="Times New Roman" w:cs="Times New Roman"/>
          <w:bCs/>
          <w:sz w:val="28"/>
          <w:szCs w:val="28"/>
        </w:rPr>
        <w:lastRenderedPageBreak/>
        <w:t xml:space="preserve">plata; ellos también hacen 2 escenarios, una suma de 8 años y una suma de 12 años y pensando en la cantidad de personas que serían que son 326, ese monto se va a 4177 millones de colones, si nosotros incluimos toda esa dinero para prestaciones legales, nos quedamos sin nada para todo lo demás.                      </w:t>
      </w:r>
    </w:p>
    <w:p w14:paraId="540562C9"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En el cuadro que viene, estamos metiendo 1945 millones de colones, bajo el escenario de Gestión Humana, en el entendido que se vayan todas las personas, que tendrían la posibilidad de irse bajo el amparo de lo que resuelva la Sala con 8 años, eso más lo que tenemos sumarian los 3445 millones que ahí se dice, con ese escenario, al menos no subiría, porque al menos el otro escenario de los 12 años si es altísimo, igual creemos que siempre es alto el de los 3445.</w:t>
      </w:r>
    </w:p>
    <w:p w14:paraId="6DAB8A04"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Señala la máster Romero Jenkins: “Este monto es producto de suponer que la Sala va a acoger los recursos que están en materia de pensiones, lo que estamos descartando es que acoja lo relativo a los 12 años, pero aquí estamos partiendo de que se van a acoger los demás extremos de recurso, lo que va a provocar que muchas personas trabajadoras se acojan a la jubilación, pero esto es trabajar a partir de un supuesto.  Debe tener presente que este año, conforme las proyecciones nos quedan muchos recursos en la subpartida de prestaciones.”</w:t>
      </w:r>
    </w:p>
    <w:p w14:paraId="68DAA2DA"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Consulta la Integrante Pizarro Gutiérrez: “En ese sentido tengo una consulta, en el caso de que no se acoja, ¿qué hacemos con ese dinero?, habrá </w:t>
      </w:r>
      <w:r w:rsidRPr="00931F88">
        <w:rPr>
          <w:rFonts w:ascii="Times New Roman" w:eastAsia="Calibri" w:hAnsi="Times New Roman" w:cs="Times New Roman"/>
          <w:bCs/>
          <w:sz w:val="28"/>
          <w:szCs w:val="28"/>
        </w:rPr>
        <w:lastRenderedPageBreak/>
        <w:t>posibilidad de pasarlo a otra subpartida o simplemente queda como no ejecutado.”</w:t>
      </w:r>
    </w:p>
    <w:p w14:paraId="26A67883"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Responde la máster Romero: “Si, eso es un riesgo, porque estaríamos a lo que nos autorice o no el Ministerio de Hacienda, para incluirlo mediante una modificación presupuestaria, hay un gran riesgo de que se pierda porque generalmente movimientos de esta magnitud, por ejemplo, para el fideicomiso, en otros momentos, ellos no nos lo han aprobado. Estoy consultado a la compañera de Financiero Contable para ver cuánto se formuló y cuanto hemos gastado este año.”</w:t>
      </w:r>
    </w:p>
    <w:p w14:paraId="5B6A01F8"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Añade la Integrante Pizarro: “En ese sentido, si me parece como </w:t>
      </w:r>
      <w:proofErr w:type="gramStart"/>
      <w:r w:rsidRPr="00931F88">
        <w:rPr>
          <w:rFonts w:ascii="Times New Roman" w:eastAsia="Calibri" w:hAnsi="Times New Roman" w:cs="Times New Roman"/>
          <w:bCs/>
          <w:sz w:val="28"/>
          <w:szCs w:val="28"/>
        </w:rPr>
        <w:t>muy ambicioso y muy prematuro</w:t>
      </w:r>
      <w:proofErr w:type="gramEnd"/>
      <w:r w:rsidRPr="00931F88">
        <w:rPr>
          <w:rFonts w:ascii="Times New Roman" w:eastAsia="Calibri" w:hAnsi="Times New Roman" w:cs="Times New Roman"/>
          <w:bCs/>
          <w:sz w:val="28"/>
          <w:szCs w:val="28"/>
        </w:rPr>
        <w:t xml:space="preserve"> hacer ese presupuesto, no tenemos en esto momento alguna sentencia que nos diga que haya que pagar a esos compañeros que se acogieron la inconstitucionalidad, que es lo que se está esperando. Estaría más a lo que dice el magistrado Cruz, que habría que esperar y en su momento ver que se hace, pero no presupuestar una suma que finalmente la misma Hacienda vaya a recoger, porque no pudimos ejecutarlo y con el agravante que nos rebajan el presupuesto.    </w:t>
      </w:r>
    </w:p>
    <w:p w14:paraId="0CDA72C5" w14:textId="77777777" w:rsidR="00931F88" w:rsidRPr="00931F88" w:rsidRDefault="00931F88" w:rsidP="00931F88">
      <w:pPr>
        <w:spacing w:after="0" w:line="480" w:lineRule="auto"/>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ab/>
        <w:t xml:space="preserve">Eventualmente, se podrá, si decidimos que esperamos hasta que haya alguna resolución al respecto, de que se pueda posteriormente solicitarle a Hacienda, en caso de que la resolución sea positiva, esa parte que quedó </w:t>
      </w:r>
      <w:r w:rsidRPr="00931F88">
        <w:rPr>
          <w:rFonts w:ascii="Times New Roman" w:eastAsia="Calibri" w:hAnsi="Times New Roman" w:cs="Times New Roman"/>
          <w:bCs/>
          <w:sz w:val="28"/>
          <w:szCs w:val="28"/>
        </w:rPr>
        <w:lastRenderedPageBreak/>
        <w:t>descubierto para pagarle a los compañeros, ya con un voto firme y diciendo que es necesario el pago, en cumplimiento de una resolución judicial.”</w:t>
      </w:r>
    </w:p>
    <w:p w14:paraId="3371A3B8"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Expresa la máster Romero: “Para compartirles la información que me dieron de Financiero Contable, lo formulado para el 2021 fueron 2.239 millones de colones, de esa suma, hemos pagado a la fecha 185 millones y se visualiza o proyecta un sobrando por parte de la Dirección de Gestión Humana de 1766 millones de colones.  Manteniendo las condiciones actuales y partiendo que la Sala no falle algo distinto, que ese es el temor, el riesgo que se corre es perder los recursos.  No hemos hecho ningún movimiento presupuestario por lo mismo, por la incerteza. Lo que se escucha es que la Sala va a resolver, incluso han pasado comunicados de que se están reuniendo, para ver el tema, pero si el resultado es negativo para las personas trabajadoras, si tendríamos que ver qué hacemos con ese sobrante de 1700 millones de colones.  No </w:t>
      </w:r>
      <w:proofErr w:type="gramStart"/>
      <w:r w:rsidRPr="00931F88">
        <w:rPr>
          <w:rFonts w:ascii="Times New Roman" w:eastAsia="Calibri" w:hAnsi="Times New Roman" w:cs="Times New Roman"/>
          <w:bCs/>
          <w:sz w:val="28"/>
          <w:szCs w:val="28"/>
        </w:rPr>
        <w:t>obstante</w:t>
      </w:r>
      <w:proofErr w:type="gramEnd"/>
      <w:r w:rsidRPr="00931F88">
        <w:rPr>
          <w:rFonts w:ascii="Times New Roman" w:eastAsia="Calibri" w:hAnsi="Times New Roman" w:cs="Times New Roman"/>
          <w:bCs/>
          <w:sz w:val="28"/>
          <w:szCs w:val="28"/>
        </w:rPr>
        <w:t xml:space="preserve"> hay que aclarar que tenemos necesidades en salarios y servicios públicos a las que se podrían dirigir los recursos.”</w:t>
      </w:r>
    </w:p>
    <w:p w14:paraId="29A28D81"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Indica el Presidente Magistrado Cruz Castro: “La propuesta que traen me parece que está bien, porque está en el mínimo, no podemos ignorarlo porque nos podrían reprochar eso, pero está en el mínimo, está bien.”</w:t>
      </w:r>
    </w:p>
    <w:p w14:paraId="5C1B6886"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Dice la máster Valverde: “Las personas que tienen derecho, según el último cálculo que ellos hicieron sin pensar en la Sala, eran 1500 millones de </w:t>
      </w:r>
      <w:r w:rsidRPr="00931F88">
        <w:rPr>
          <w:rFonts w:ascii="Times New Roman" w:eastAsia="Calibri" w:hAnsi="Times New Roman" w:cs="Times New Roman"/>
          <w:bCs/>
          <w:sz w:val="28"/>
          <w:szCs w:val="28"/>
        </w:rPr>
        <w:lastRenderedPageBreak/>
        <w:t>colones, si pensamos con el tema de la sala, ellos hicieron este escenario de llegar a los tres mil cuatrocientos millones con el escenario promedio también de los últimos años, de lo que se ha gastado, ese escenario para mi es menos real, porque es de la gente que ya se fue. Si nosotros les dejamos el mismo monto presupuestado del 2021, serían 2239, si llegamos a ese monto, les estamos dando 700 millones más a la subpartida, pero no estamos llegando a los 3400 millones, aquí es una decisión, si nos vamos con estos tres mil cuatrocientos cuarenta y cinco millones, nos estamos yendo con un estimado anterior que no necesariamente es el comportamiento futuro, pero está más seguro, pero tendríamos que meter todo lo que tenemos a prestaciones. Considero que también hay que buscarle un punto medio, que podría ser dejarle el mismo monto, los 2239, eso eleva como a 700 millones de colones, a lo que originalmente se había incluido y es un 40%, o llegarle al 50% de esos 1945, que sería llegarle como a 950, con eso llegamos a la mitad de ese escenario y todavía le estamos dando un poco más al monto formulado de este año.</w:t>
      </w:r>
    </w:p>
    <w:p w14:paraId="2285D4A4"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Si les parece podríamos jugar con ese monto, la mitad de estos mil novecientos.”</w:t>
      </w:r>
    </w:p>
    <w:p w14:paraId="033B6A01"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Consulta el Presidente Magistrado Cruz Castro: “¿Y lo que estamos rebajando a donde lo asignaríamos?”</w:t>
      </w:r>
    </w:p>
    <w:p w14:paraId="195E5459"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lastRenderedPageBreak/>
        <w:t xml:space="preserve">Prosigue el Responde la máster Valverde: “Nosotros habíamos puesto el comodín de ponérselo a sustituciones.” </w:t>
      </w:r>
    </w:p>
    <w:p w14:paraId="52D6A5B6"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Presidente Magistrado Cruz Castro: “Lo que aquí reducimos lo mandamos a una partida flexible.”</w:t>
      </w:r>
    </w:p>
    <w:p w14:paraId="0FA01D9F"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Responde la máster Valverde: “Exacto, porque esa nos permite los 44 o también permite si hay diferencias o faltantes en salarios, que doña Roxana también de ahí pueda mover para otras cosas.”</w:t>
      </w:r>
    </w:p>
    <w:p w14:paraId="0C9D22D3"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Interviene la máster Alvarez Acosta: “A mí me parece que está la cifra muy alta, porque es un supuesto que salga positivo no es que la gente se va de un solo, porque son 5 años, entonces todavía cruza 2022, 2023 inclusive, pienso que debemos manejar un término medio también.”</w:t>
      </w:r>
    </w:p>
    <w:p w14:paraId="034DA5C3"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Señala la máster Valverde: “Ese de los novecientos millones sería un término medio.”</w:t>
      </w:r>
    </w:p>
    <w:p w14:paraId="54DCEAA7"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Consulta la Integrante Pizarro: “¿Doña Nacira, pero usted dice, que le estamos dando más de lo que ellos presupuestaron? </w:t>
      </w:r>
    </w:p>
    <w:p w14:paraId="3A22E715"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Responde la máster Valverde: “Nosotros inicialmente, la partida la traíamos en mil quinientos millones,  que era los que tenían derecho para el año entrante, pero sin pensar en nada de lo que resuelva la Sala, si nosotros ahora con este escenario, porque ustedes también se lo pidieron a doña Roxana, entonces ella nos manda 3 escenarios, pero de esos 3 el más conservador es el </w:t>
      </w:r>
      <w:r w:rsidRPr="00931F88">
        <w:rPr>
          <w:rFonts w:ascii="Times New Roman" w:eastAsia="Calibri" w:hAnsi="Times New Roman" w:cs="Times New Roman"/>
          <w:bCs/>
          <w:sz w:val="28"/>
          <w:szCs w:val="28"/>
        </w:rPr>
        <w:lastRenderedPageBreak/>
        <w:t>de los tres mil cuatrocientos cuarenta y cinco millones con la expectativa de lo que pueda generarse en la Sala, partiendo de eso, si nosotros vemos, meterle todo eso pareciera muchísimo dinero, pero si nos vamos a mantener el mismo monto presupuestado de este 2021, serían 2239, si es así y lo mantenemos en el mismo monto, le tendríamos que asignar setecientos de más, pero si también fuéramos como criterio a darle la mitad de lo que solicitó el escenario más conservador de Gestión Humana, llegaríamos a los novecientos setenta millones de más, entonces aquí la decisión sería o lo llevamos al mismo monto presupuestado  o se lleva al menos a la mitad del escenario planteado por doña Roxana que es más conservador.”</w:t>
      </w:r>
    </w:p>
    <w:p w14:paraId="6807D603"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Aclara el Presidente Magistrado Cruz Castro: “La mitad de lo que ella planteó conservadoramente. Considero, que podemos tener un margen de maniobra, pero sabiendo que no podemos tampoco desconocerlo.”</w:t>
      </w:r>
    </w:p>
    <w:p w14:paraId="0FAA1293"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Dice la máster Romero Jenkins: “Me parece que podría ser ese criterio, la mitad del escenario que ellos recomiendan porque doña Roxana recomienda los</w:t>
      </w:r>
      <w:r w:rsidRPr="00931F88">
        <w:rPr>
          <w:rFonts w:ascii="Calibri" w:eastAsia="Calibri" w:hAnsi="Calibri" w:cs="Calibri"/>
        </w:rPr>
        <w:t xml:space="preserve"> </w:t>
      </w:r>
      <w:r w:rsidRPr="00931F88">
        <w:rPr>
          <w:rFonts w:ascii="Times New Roman" w:eastAsia="Calibri" w:hAnsi="Times New Roman" w:cs="Times New Roman"/>
          <w:bCs/>
          <w:sz w:val="28"/>
          <w:szCs w:val="28"/>
        </w:rPr>
        <w:t>tres mil cuatrocientos, podríamos decir que se parte de la mitad del escenario ya que no hay recursos para tanto y si eventualmente, el escenario cambiara el otro año, creo que, al meterle la plata en sustituciones, el Poder Judicial podría hacer una modificación presupuestaria y pasar la plata a prestaciones.”</w:t>
      </w:r>
    </w:p>
    <w:p w14:paraId="0A9750F2"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lastRenderedPageBreak/>
        <w:t xml:space="preserve">Manifiesta el Presidente Magistrado Cruz Castro: “Pero además la Sala si resuelve este año, sin duda alguna, porque, aunque pidió una prueba, tiene que resolver, lo más a máximo junio.”  </w:t>
      </w:r>
    </w:p>
    <w:p w14:paraId="6A090896"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Prosigue la máster Valverde: “Entonces si están de acuerdo, nosotros le incluiríamos los 970.</w:t>
      </w:r>
    </w:p>
    <w:p w14:paraId="779B56ED"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Con indemnizaciones, nosotros lo que hicimos fue llevarla al monto igual que este año, no bajándole el 4%, sino dejándole provisoriamente, esos cuatro millones con gastos confidenciales del 950. </w:t>
      </w:r>
    </w:p>
    <w:p w14:paraId="1D62CCA4"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En los vehículos de la Reforma Agraria, los ciento cuarenta y tres millones, en Bienestar Animal, los dos equipos, cromatógrafo y otro más microscopio, eran ciento trece millones, en la Ley de Delincuencia Organizada los quinientos once millones y las dos líneas que nos quedaban entonces, son los Recursos de Fideicomiso y lo de la partida 0 de sustituciones, para cerrar.</w:t>
      </w:r>
    </w:p>
    <w:p w14:paraId="725183DF"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En gasto corriente, nos quedaría, para incluir en sustituciones 2267 millones y en gasto de capital mil doscientos millones, que ahí sería lo del fideicomiso y en 2267 sería lo de las sustituciones.</w:t>
      </w:r>
    </w:p>
    <w:p w14:paraId="3C3CE91D"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En esto que nos están poniendo de aporte estatal de la población jubilada, se puso porque el fondo ahorita, que se está analizando lo de la Junta, le van a pedir al Poder Judicial hay un aporte estatal que se paga en el Poder Judicial de la población jubilada, hoy en día son 235 millones, en lo que está solicitando la </w:t>
      </w:r>
      <w:r w:rsidRPr="00931F88">
        <w:rPr>
          <w:rFonts w:ascii="Times New Roman" w:eastAsia="Calibri" w:hAnsi="Times New Roman" w:cs="Times New Roman"/>
          <w:bCs/>
          <w:sz w:val="28"/>
          <w:szCs w:val="28"/>
        </w:rPr>
        <w:lastRenderedPageBreak/>
        <w:t xml:space="preserve">Junta, no está incluido ese monto, pero ahora revisando los compañeros, eso está ahí, estaría en discusión por ustedes, si eso le toca a la Junta, porque es sobre la población jubilada, corte estatal sobre población jubilada, porque si la decisión es quedarse en el Poder Judicial, tendríamos que meterlo nosotros los 235 millones, o si no, que sea la Junta la que lo incluya. </w:t>
      </w:r>
    </w:p>
    <w:p w14:paraId="07C7D4FB"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Indica el máster Hernandez Alfaro: “Pero sería mejor hacer una propuesta formal y un análisis para tomar esa decisión, porque no es fácil de tomar, tiene sus implicaciones de carácter legal, habría que hacer un análisis, para tomar la decisión correcta.</w:t>
      </w:r>
    </w:p>
    <w:p w14:paraId="184253B0"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Primero que nada, conversar con los </w:t>
      </w:r>
      <w:proofErr w:type="gramStart"/>
      <w:r w:rsidRPr="00931F88">
        <w:rPr>
          <w:rFonts w:ascii="Times New Roman" w:eastAsia="Calibri" w:hAnsi="Times New Roman" w:cs="Times New Roman"/>
          <w:bCs/>
          <w:sz w:val="28"/>
          <w:szCs w:val="28"/>
        </w:rPr>
        <w:t>integrantes  de</w:t>
      </w:r>
      <w:proofErr w:type="gramEnd"/>
      <w:r w:rsidRPr="00931F88">
        <w:rPr>
          <w:rFonts w:ascii="Times New Roman" w:eastAsia="Calibri" w:hAnsi="Times New Roman" w:cs="Times New Roman"/>
          <w:bCs/>
          <w:sz w:val="28"/>
          <w:szCs w:val="28"/>
        </w:rPr>
        <w:t xml:space="preserve"> la Junta para entender su posición y sus fundamentos y a partir de eso hacer un razonamiento, si procede hablamos con don Rodrigo para que nos ayude con el criterio jurídico.”</w:t>
      </w:r>
    </w:p>
    <w:p w14:paraId="43914ABF"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La máster Álvarez Acosta indica: “Yo considero que la Junta tiene que analizarlo y la Dirección Jurídica. Pero por las mismas confusiones que hay ahorita entre esta coyuntura, que si el Poder Judicial o la Junta, porque uno lo más lógico dice que la Junta, pero </w:t>
      </w:r>
      <w:proofErr w:type="gramStart"/>
      <w:r w:rsidRPr="00931F88">
        <w:rPr>
          <w:rFonts w:ascii="Times New Roman" w:eastAsia="Calibri" w:hAnsi="Times New Roman" w:cs="Times New Roman"/>
          <w:bCs/>
          <w:sz w:val="28"/>
          <w:szCs w:val="28"/>
        </w:rPr>
        <w:t>tenemos que tener</w:t>
      </w:r>
      <w:proofErr w:type="gramEnd"/>
      <w:r w:rsidRPr="00931F88">
        <w:rPr>
          <w:rFonts w:ascii="Times New Roman" w:eastAsia="Calibri" w:hAnsi="Times New Roman" w:cs="Times New Roman"/>
          <w:bCs/>
          <w:sz w:val="28"/>
          <w:szCs w:val="28"/>
        </w:rPr>
        <w:t xml:space="preserve"> un respaldo, un sustento jurídico.”</w:t>
      </w:r>
    </w:p>
    <w:p w14:paraId="37ED69FD" w14:textId="77777777" w:rsidR="00931F88" w:rsidRPr="00931F88"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Aclara la máster Romero Jenkins: “Es que es el aporte estatal de la planilla que paga la Junta, no el aporte nuestro, ni patronal, ni obrero, es el </w:t>
      </w:r>
      <w:r w:rsidRPr="00931F88">
        <w:rPr>
          <w:rFonts w:ascii="Times New Roman" w:eastAsia="Calibri" w:hAnsi="Times New Roman" w:cs="Times New Roman"/>
          <w:bCs/>
          <w:sz w:val="28"/>
          <w:szCs w:val="28"/>
        </w:rPr>
        <w:lastRenderedPageBreak/>
        <w:t>aporte que tiene que hacer la Junta por su propia planilla, la de jubilados y pensionados.</w:t>
      </w:r>
    </w:p>
    <w:p w14:paraId="722B70E2" w14:textId="599FA104" w:rsidR="002A7673" w:rsidRPr="002A7673" w:rsidRDefault="00931F88" w:rsidP="00931F88">
      <w:pPr>
        <w:spacing w:after="0" w:line="480" w:lineRule="auto"/>
        <w:ind w:firstLine="708"/>
        <w:jc w:val="both"/>
        <w:rPr>
          <w:rFonts w:ascii="Times New Roman" w:eastAsia="Calibri" w:hAnsi="Times New Roman" w:cs="Times New Roman"/>
          <w:bCs/>
          <w:sz w:val="28"/>
          <w:szCs w:val="28"/>
        </w:rPr>
      </w:pPr>
      <w:r w:rsidRPr="00931F88">
        <w:rPr>
          <w:rFonts w:ascii="Times New Roman" w:eastAsia="Calibri" w:hAnsi="Times New Roman" w:cs="Times New Roman"/>
          <w:bCs/>
          <w:sz w:val="28"/>
          <w:szCs w:val="28"/>
        </w:rPr>
        <w:t xml:space="preserve">El aporte para los jubilados y pensiones es tripartito, entonces de la planilla de jubilados y pensionados hay un aporte que hace el Poder Judicial, hay un aporte patronal, pero el Estado hace un aporte a todos los regímenes, al IVM y en este caso el Estado hacía el aporte y se incluía en el presupuesto del Poder Judicial, ahora como hay una diferenciación ya el Estado no asume nada, antes ni siquiera se incorporaba en el presupuesto. Lo que yo pienso es que no sería del 5 por mil, porque eso sí sería un gasto de la planilla.  No administrativo”    </w:t>
      </w:r>
      <w:r w:rsidR="002A7673" w:rsidRPr="002A7673">
        <w:rPr>
          <w:rFonts w:ascii="Times New Roman" w:eastAsia="Calibri" w:hAnsi="Times New Roman" w:cs="Times New Roman"/>
          <w:bCs/>
          <w:sz w:val="28"/>
          <w:szCs w:val="28"/>
        </w:rPr>
        <w:t xml:space="preserve">   </w:t>
      </w:r>
    </w:p>
    <w:p w14:paraId="07967C7A"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color w:val="000000"/>
          <w:kern w:val="36"/>
          <w:sz w:val="28"/>
          <w:szCs w:val="28"/>
          <w:lang w:val="es-ES" w:eastAsia="es-CR"/>
        </w:rPr>
      </w:pPr>
      <w:r w:rsidRPr="002A7673">
        <w:rPr>
          <w:rFonts w:ascii="Times New Roman" w:eastAsia="Times New Roman" w:hAnsi="Times New Roman" w:cs="Times New Roman"/>
          <w:b/>
          <w:color w:val="000000"/>
          <w:kern w:val="36"/>
          <w:sz w:val="28"/>
          <w:szCs w:val="28"/>
          <w:lang w:val="es-ES" w:eastAsia="es-CR"/>
        </w:rPr>
        <w:t xml:space="preserve">Se acordó: </w:t>
      </w:r>
      <w:r w:rsidRPr="002A7673">
        <w:rPr>
          <w:rFonts w:ascii="Times New Roman" w:eastAsia="Times New Roman" w:hAnsi="Times New Roman" w:cs="Times New Roman"/>
          <w:b/>
          <w:sz w:val="28"/>
          <w:szCs w:val="28"/>
          <w:lang w:val="es-ES" w:eastAsia="es-CR"/>
        </w:rPr>
        <w:t>1)</w:t>
      </w:r>
      <w:r w:rsidRPr="002A7673">
        <w:rPr>
          <w:rFonts w:ascii="Times New Roman" w:eastAsia="Times New Roman" w:hAnsi="Times New Roman" w:cs="Times New Roman"/>
          <w:bCs/>
          <w:sz w:val="28"/>
          <w:szCs w:val="28"/>
          <w:lang w:val="es-ES" w:eastAsia="es-CR"/>
        </w:rPr>
        <w:t xml:space="preserve"> Tomar nota de los montos establecidos por el Ministerio de Hacienda por concepto de ingresos derivados de leyes especiales y su incorporación como parte del presupuesto ordinario del Poder Judicial para el 2022.  </w:t>
      </w:r>
      <w:r w:rsidRPr="002A7673">
        <w:rPr>
          <w:rFonts w:ascii="Times New Roman" w:eastAsia="Times New Roman" w:hAnsi="Times New Roman" w:cs="Times New Roman"/>
          <w:b/>
          <w:sz w:val="28"/>
          <w:szCs w:val="28"/>
          <w:lang w:val="es-ES" w:eastAsia="es-CR"/>
        </w:rPr>
        <w:t>2)</w:t>
      </w:r>
      <w:r w:rsidRPr="002A7673">
        <w:rPr>
          <w:rFonts w:ascii="Times New Roman" w:eastAsia="Times New Roman" w:hAnsi="Times New Roman" w:cs="Times New Roman"/>
          <w:bCs/>
          <w:sz w:val="28"/>
          <w:szCs w:val="28"/>
          <w:lang w:val="es-ES" w:eastAsia="es-CR"/>
        </w:rPr>
        <w:t xml:space="preserve"> Ajustar el presupuesto formulado por el OIJ en lo relativo a los ingresos por impuesto a personerías jurídicas, conforme lo establecido por el Ministerio de Hacienda en su oficio DM-0340-DGPN-2021, por un monto total de ¢967,3 millones.  </w:t>
      </w:r>
      <w:r w:rsidRPr="002A7673">
        <w:rPr>
          <w:rFonts w:ascii="Times New Roman" w:eastAsia="Times New Roman" w:hAnsi="Times New Roman" w:cs="Times New Roman"/>
          <w:b/>
          <w:sz w:val="28"/>
          <w:szCs w:val="28"/>
          <w:lang w:val="es-ES" w:eastAsia="es-CR"/>
        </w:rPr>
        <w:t>3)</w:t>
      </w:r>
      <w:r w:rsidRPr="002A7673">
        <w:rPr>
          <w:rFonts w:ascii="Times New Roman" w:eastAsia="Times New Roman" w:hAnsi="Times New Roman" w:cs="Times New Roman"/>
          <w:bCs/>
          <w:sz w:val="28"/>
          <w:szCs w:val="28"/>
          <w:lang w:val="es-ES" w:eastAsia="es-CR"/>
        </w:rPr>
        <w:t xml:space="preserve"> Mantener el presupuesto formulado por la Oficina Defensa Civil de la Víctima en lo relativo a ingresos por concepto de honorarios, por un monto total de ¢198.973.372, conforme los recursos </w:t>
      </w:r>
      <w:r w:rsidRPr="002A7673">
        <w:rPr>
          <w:rFonts w:ascii="Times New Roman" w:eastAsia="Times New Roman" w:hAnsi="Times New Roman" w:cs="Times New Roman"/>
          <w:bCs/>
          <w:sz w:val="28"/>
          <w:szCs w:val="28"/>
          <w:lang w:val="es-ES" w:eastAsia="es-CR"/>
        </w:rPr>
        <w:lastRenderedPageBreak/>
        <w:t xml:space="preserve">acreditados por parte de la Tesorería Nacional. </w:t>
      </w:r>
      <w:r w:rsidRPr="002A7673">
        <w:rPr>
          <w:rFonts w:ascii="Times New Roman" w:eastAsia="Times New Roman" w:hAnsi="Times New Roman" w:cs="Times New Roman"/>
          <w:b/>
          <w:sz w:val="28"/>
          <w:szCs w:val="28"/>
          <w:lang w:val="es-ES" w:eastAsia="es-CR"/>
        </w:rPr>
        <w:t>4)</w:t>
      </w:r>
      <w:r w:rsidRPr="002A7673">
        <w:rPr>
          <w:rFonts w:ascii="Times New Roman" w:eastAsia="Times New Roman" w:hAnsi="Times New Roman" w:cs="Times New Roman"/>
          <w:bCs/>
          <w:sz w:val="28"/>
          <w:szCs w:val="28"/>
          <w:lang w:val="es-ES" w:eastAsia="es-CR"/>
        </w:rPr>
        <w:t xml:space="preserve"> Restituir los ¢210.010.089 para contratación de Servicios Médicos y asignarlos a la Dirección Ejecutiva para la contratación de forma paulatina de los servicios en los diferentes circuitos judiciales del país.  </w:t>
      </w:r>
      <w:r w:rsidRPr="002A7673">
        <w:rPr>
          <w:rFonts w:ascii="Times New Roman" w:eastAsia="Times New Roman" w:hAnsi="Times New Roman" w:cs="Times New Roman"/>
          <w:b/>
          <w:sz w:val="28"/>
          <w:szCs w:val="28"/>
          <w:lang w:val="es-ES" w:eastAsia="es-CR"/>
        </w:rPr>
        <w:t>5)</w:t>
      </w:r>
      <w:r w:rsidRPr="002A7673">
        <w:rPr>
          <w:rFonts w:ascii="Times New Roman" w:eastAsia="Times New Roman" w:hAnsi="Times New Roman" w:cs="Times New Roman"/>
          <w:bCs/>
          <w:sz w:val="28"/>
          <w:szCs w:val="28"/>
          <w:lang w:val="es-ES" w:eastAsia="es-CR"/>
        </w:rPr>
        <w:t xml:space="preserve"> Mantener la aprobación de incorporar recursos por ¢18.080.000 para la contratación de dos servicios de limpieza, atendiendo las proyecciones de la Sección de Limpieza y Jardinería, dado que se proyecta un faltante de dos puestos para completar la limpieza del edificio, considerando los recursos que se destacan en el Edificio Catedral y Santa Rita (se suma el IVA).  </w:t>
      </w:r>
      <w:r w:rsidRPr="002A7673">
        <w:rPr>
          <w:rFonts w:ascii="Times New Roman" w:eastAsia="Times New Roman" w:hAnsi="Times New Roman" w:cs="Times New Roman"/>
          <w:b/>
          <w:sz w:val="28"/>
          <w:szCs w:val="28"/>
          <w:lang w:val="es-ES" w:eastAsia="es-CR"/>
        </w:rPr>
        <w:t>6)</w:t>
      </w:r>
      <w:r w:rsidRPr="002A7673">
        <w:rPr>
          <w:rFonts w:ascii="Times New Roman" w:eastAsia="Times New Roman" w:hAnsi="Times New Roman" w:cs="Times New Roman"/>
          <w:bCs/>
          <w:sz w:val="28"/>
          <w:szCs w:val="28"/>
          <w:lang w:val="es-ES" w:eastAsia="es-CR"/>
        </w:rPr>
        <w:t xml:space="preserve"> Mantener la aprobación de incorporar recursos por ¢799.632.173, para ser incorporados también como parte del presupuesto ordinario del Poder Judicial para el 2022, conforme el oficio PJ-DGH-CAP-190-2021 correspondiente a las estimaciones de especialistas en contenido para el año 2022.  </w:t>
      </w:r>
      <w:r w:rsidRPr="002A7673">
        <w:rPr>
          <w:rFonts w:ascii="Times New Roman" w:eastAsia="Times New Roman" w:hAnsi="Times New Roman" w:cs="Times New Roman"/>
          <w:b/>
          <w:sz w:val="28"/>
          <w:szCs w:val="28"/>
          <w:lang w:val="es-ES" w:eastAsia="es-CR"/>
        </w:rPr>
        <w:t>7)</w:t>
      </w:r>
      <w:r w:rsidRPr="002A7673">
        <w:rPr>
          <w:rFonts w:ascii="Times New Roman" w:eastAsia="Times New Roman" w:hAnsi="Times New Roman" w:cs="Times New Roman"/>
          <w:bCs/>
          <w:sz w:val="28"/>
          <w:szCs w:val="28"/>
          <w:lang w:val="es-ES" w:eastAsia="es-CR"/>
        </w:rPr>
        <w:t xml:space="preserve"> Mantener la aprobación de incorporar recursos por aproximadamente ¢700.000.000 conforme el informe 499-PLA-MI-2021 relacionado con el análisis y recomendación de reclasificación de 11 plazas de </w:t>
      </w:r>
      <w:proofErr w:type="gramStart"/>
      <w:r w:rsidRPr="002A7673">
        <w:rPr>
          <w:rFonts w:ascii="Times New Roman" w:eastAsia="Times New Roman" w:hAnsi="Times New Roman" w:cs="Times New Roman"/>
          <w:bCs/>
          <w:sz w:val="28"/>
          <w:szCs w:val="28"/>
          <w:lang w:val="es-ES" w:eastAsia="es-CR"/>
        </w:rPr>
        <w:t>Técnicas y Técnicos</w:t>
      </w:r>
      <w:proofErr w:type="gramEnd"/>
      <w:r w:rsidRPr="002A7673">
        <w:rPr>
          <w:rFonts w:ascii="Times New Roman" w:eastAsia="Times New Roman" w:hAnsi="Times New Roman" w:cs="Times New Roman"/>
          <w:bCs/>
          <w:sz w:val="28"/>
          <w:szCs w:val="28"/>
          <w:lang w:val="es-ES" w:eastAsia="es-CR"/>
        </w:rPr>
        <w:t xml:space="preserve"> Jurídicos de la Defensa Pública. </w:t>
      </w:r>
      <w:r w:rsidRPr="002A7673">
        <w:rPr>
          <w:rFonts w:ascii="Times New Roman" w:eastAsia="Times New Roman" w:hAnsi="Times New Roman" w:cs="Times New Roman"/>
          <w:b/>
          <w:sz w:val="32"/>
          <w:szCs w:val="32"/>
          <w:lang w:val="es-ES" w:eastAsia="es-CR"/>
        </w:rPr>
        <w:t>8)</w:t>
      </w:r>
      <w:r w:rsidRPr="002A7673">
        <w:rPr>
          <w:rFonts w:ascii="Times New Roman" w:eastAsia="Times New Roman" w:hAnsi="Times New Roman" w:cs="Times New Roman"/>
          <w:bCs/>
          <w:sz w:val="32"/>
          <w:szCs w:val="32"/>
          <w:lang w:val="es-ES" w:eastAsia="es-CR"/>
        </w:rPr>
        <w:t xml:space="preserve"> </w:t>
      </w:r>
      <w:r w:rsidRPr="002A7673">
        <w:rPr>
          <w:rFonts w:ascii="Times New Roman" w:eastAsia="Times New Roman" w:hAnsi="Times New Roman" w:cs="Times New Roman"/>
          <w:bCs/>
          <w:sz w:val="28"/>
          <w:szCs w:val="28"/>
          <w:lang w:val="es-ES" w:eastAsia="es-CR"/>
        </w:rPr>
        <w:t xml:space="preserve">Aprobar la inclusión de ₡160 millones con la finalidad de llevar a cabo los ajustes en los espacios físicos en el edificio de los tribunales de San José, acorde con las necesidades de espacio físico en la Fiscalía Adjunta de Probidad, Transparencia y Anticorrupción. </w:t>
      </w:r>
      <w:r w:rsidRPr="002A7673">
        <w:rPr>
          <w:rFonts w:ascii="Times New Roman" w:eastAsia="Times New Roman" w:hAnsi="Times New Roman" w:cs="Times New Roman"/>
          <w:b/>
          <w:sz w:val="32"/>
          <w:szCs w:val="32"/>
          <w:lang w:val="es-ES" w:eastAsia="es-CR"/>
        </w:rPr>
        <w:t>9)</w:t>
      </w:r>
      <w:r w:rsidRPr="002A7673">
        <w:rPr>
          <w:rFonts w:ascii="Times New Roman" w:eastAsia="Times New Roman" w:hAnsi="Times New Roman" w:cs="Times New Roman"/>
          <w:bCs/>
          <w:sz w:val="32"/>
          <w:szCs w:val="32"/>
          <w:lang w:val="es-ES" w:eastAsia="es-CR"/>
        </w:rPr>
        <w:t xml:space="preserve"> </w:t>
      </w:r>
      <w:r w:rsidRPr="002A7673">
        <w:rPr>
          <w:rFonts w:ascii="Times New Roman" w:eastAsia="Times New Roman" w:hAnsi="Times New Roman" w:cs="Times New Roman"/>
          <w:bCs/>
          <w:sz w:val="28"/>
          <w:szCs w:val="28"/>
          <w:lang w:val="es-ES" w:eastAsia="es-CR"/>
        </w:rPr>
        <w:t xml:space="preserve">Aprobar la formulación para el 2022 de un monto total de ₡2.400 millones en la subpartida </w:t>
      </w:r>
      <w:r w:rsidRPr="002A7673">
        <w:rPr>
          <w:rFonts w:ascii="Times New Roman" w:eastAsia="Times New Roman" w:hAnsi="Times New Roman" w:cs="Times New Roman"/>
          <w:bCs/>
          <w:sz w:val="28"/>
          <w:szCs w:val="28"/>
          <w:lang w:val="es-ES" w:eastAsia="es-CR"/>
        </w:rPr>
        <w:lastRenderedPageBreak/>
        <w:t xml:space="preserve">6.03.01 Prestaciones Legales, conforme la distribución remitida por la Dirección de Gestión Humana. </w:t>
      </w:r>
      <w:r w:rsidRPr="002A7673">
        <w:rPr>
          <w:rFonts w:ascii="Times New Roman" w:eastAsia="Times New Roman" w:hAnsi="Times New Roman" w:cs="Times New Roman"/>
          <w:b/>
          <w:sz w:val="32"/>
          <w:szCs w:val="32"/>
          <w:lang w:val="es-ES" w:eastAsia="es-CR"/>
        </w:rPr>
        <w:t>10)</w:t>
      </w:r>
      <w:r w:rsidRPr="002A7673">
        <w:rPr>
          <w:rFonts w:ascii="Times New Roman" w:eastAsia="Times New Roman" w:hAnsi="Times New Roman" w:cs="Times New Roman"/>
          <w:bCs/>
          <w:sz w:val="32"/>
          <w:szCs w:val="32"/>
          <w:lang w:val="es-ES" w:eastAsia="es-CR"/>
        </w:rPr>
        <w:t xml:space="preserve"> </w:t>
      </w:r>
      <w:r w:rsidRPr="002A7673">
        <w:rPr>
          <w:rFonts w:ascii="Times New Roman" w:eastAsia="Times New Roman" w:hAnsi="Times New Roman" w:cs="Times New Roman"/>
          <w:bCs/>
          <w:sz w:val="28"/>
          <w:szCs w:val="28"/>
          <w:lang w:val="es-ES" w:eastAsia="es-CR"/>
        </w:rPr>
        <w:t xml:space="preserve">Mantener la inclusión de ₡180.241.130 para el 2022, para la puesta en marcha y ejecución de los proyectos de la Comisión de Ciberseguridad, conforme el escenario 3 del informe 403-PLA-PP-2021 de la Dirección de Planificación. </w:t>
      </w:r>
      <w:r w:rsidRPr="002A7673">
        <w:rPr>
          <w:rFonts w:ascii="Times New Roman" w:eastAsia="Times New Roman" w:hAnsi="Times New Roman" w:cs="Times New Roman"/>
          <w:b/>
          <w:sz w:val="32"/>
          <w:szCs w:val="32"/>
          <w:lang w:val="es-ES" w:eastAsia="es-CR"/>
        </w:rPr>
        <w:t>11)</w:t>
      </w:r>
      <w:r w:rsidRPr="002A7673">
        <w:rPr>
          <w:rFonts w:ascii="Times New Roman" w:eastAsia="Times New Roman" w:hAnsi="Times New Roman" w:cs="Times New Roman"/>
          <w:bCs/>
          <w:sz w:val="32"/>
          <w:szCs w:val="32"/>
          <w:lang w:val="es-ES" w:eastAsia="es-CR"/>
        </w:rPr>
        <w:t xml:space="preserve"> </w:t>
      </w:r>
      <w:r w:rsidRPr="002A7673">
        <w:rPr>
          <w:rFonts w:ascii="Times New Roman" w:eastAsia="Times New Roman" w:hAnsi="Times New Roman" w:cs="Times New Roman"/>
          <w:bCs/>
          <w:sz w:val="28"/>
          <w:szCs w:val="28"/>
          <w:lang w:val="es-ES" w:eastAsia="es-CR"/>
        </w:rPr>
        <w:t xml:space="preserve">Aprobar la inclusión de ₡403.713.750 para el 2022 en la subpartida 1.01.03 Alquiler de Equipo de Cómputo, para completar el contrato de alquiler de equipo de cómputo de manera tal que sea posible adquirir la misma cantidad de equipos del contrato actual, conformado por 6.040 computadoras en total, de las cuales 4.337 (71%) son computadoras de escritorio y 1.703 (29%) son computadoras portátiles.   </w:t>
      </w:r>
      <w:r w:rsidRPr="002A7673">
        <w:rPr>
          <w:rFonts w:ascii="Times New Roman" w:eastAsia="Times New Roman" w:hAnsi="Times New Roman" w:cs="Times New Roman"/>
          <w:bCs/>
          <w:sz w:val="32"/>
          <w:szCs w:val="32"/>
          <w:lang w:val="es-ES" w:eastAsia="es-CR"/>
        </w:rPr>
        <w:t xml:space="preserve">12) </w:t>
      </w:r>
      <w:r w:rsidRPr="002A7673">
        <w:rPr>
          <w:rFonts w:ascii="Times New Roman" w:eastAsia="Times New Roman" w:hAnsi="Times New Roman" w:cs="Times New Roman"/>
          <w:bCs/>
          <w:sz w:val="28"/>
          <w:szCs w:val="28"/>
          <w:lang w:val="es-ES" w:eastAsia="es-CR"/>
        </w:rPr>
        <w:t xml:space="preserve">Aprobar la inclusión de ₡94.021.561 en la Subpartida 1.06.01 Seguros, de manera tal que la póliza de riesgos del Poder Judicial disponga para el 2022, al menos del mismo monto aprobado para el 2021.  </w:t>
      </w:r>
      <w:r w:rsidRPr="002A7673">
        <w:rPr>
          <w:rFonts w:ascii="Times New Roman" w:eastAsia="Times New Roman" w:hAnsi="Times New Roman" w:cs="Times New Roman"/>
          <w:bCs/>
          <w:sz w:val="32"/>
          <w:szCs w:val="32"/>
          <w:lang w:val="es-ES" w:eastAsia="es-CR"/>
        </w:rPr>
        <w:t xml:space="preserve">13) </w:t>
      </w:r>
      <w:r w:rsidRPr="002A7673">
        <w:rPr>
          <w:rFonts w:ascii="Times New Roman" w:eastAsia="Times New Roman" w:hAnsi="Times New Roman" w:cs="Times New Roman"/>
          <w:bCs/>
          <w:sz w:val="28"/>
          <w:szCs w:val="28"/>
          <w:lang w:val="es-ES" w:eastAsia="es-CR"/>
        </w:rPr>
        <w:t xml:space="preserve">Mantener para el 2022 en las áreas de Construcciones, Seguridad y Vehículos, el mismo monto aprobado de ley para el presupuesto del año 2021, es decir, devolver a estos presupuestos los montos de ₡833.907.703, ₡23.690.450 y ₡106.557.675, respectivamente.  </w:t>
      </w:r>
      <w:r w:rsidRPr="002A7673">
        <w:rPr>
          <w:rFonts w:ascii="Times New Roman" w:eastAsia="Times New Roman" w:hAnsi="Times New Roman" w:cs="Times New Roman"/>
          <w:bCs/>
          <w:sz w:val="32"/>
          <w:szCs w:val="32"/>
          <w:lang w:val="es-ES" w:eastAsia="es-CR"/>
        </w:rPr>
        <w:t xml:space="preserve">14) </w:t>
      </w:r>
      <w:r w:rsidRPr="002A7673">
        <w:rPr>
          <w:rFonts w:ascii="Times New Roman" w:eastAsia="Times New Roman" w:hAnsi="Times New Roman" w:cs="Times New Roman"/>
          <w:bCs/>
          <w:sz w:val="28"/>
          <w:szCs w:val="28"/>
          <w:lang w:val="es-ES" w:eastAsia="es-CR"/>
        </w:rPr>
        <w:t xml:space="preserve">Mantener el mismo monto aprobado para el presupuesto del año 2021 para Indemnizaciones a nivel institucional, lo que implica agregar ₡11.141.938 al presupuesto formulado para el 2022. En el caso de Gastos Confidenciales, </w:t>
      </w:r>
      <w:r w:rsidRPr="002A7673">
        <w:rPr>
          <w:rFonts w:ascii="Times New Roman" w:eastAsia="Times New Roman" w:hAnsi="Times New Roman" w:cs="Times New Roman"/>
          <w:bCs/>
          <w:sz w:val="28"/>
          <w:szCs w:val="28"/>
          <w:lang w:val="es-ES" w:eastAsia="es-CR"/>
        </w:rPr>
        <w:lastRenderedPageBreak/>
        <w:t xml:space="preserve">aprobar para el 2022 un monto de ₡120 millones para el Programa 928 OIJ, mientras que en el Programa 950 Servicio de Atención y Protección de Víctimas y Testigos, se aprueba formular el mismo monto aprobado para el 2021, por lo que se deben agregar ₡15.987.000. </w:t>
      </w:r>
      <w:r w:rsidRPr="002A7673">
        <w:rPr>
          <w:rFonts w:ascii="Times New Roman" w:eastAsia="Times New Roman" w:hAnsi="Times New Roman" w:cs="Times New Roman"/>
          <w:bCs/>
          <w:sz w:val="32"/>
          <w:szCs w:val="32"/>
          <w:lang w:val="es-ES" w:eastAsia="es-CR"/>
        </w:rPr>
        <w:t xml:space="preserve">15) </w:t>
      </w:r>
      <w:r w:rsidRPr="002A7673">
        <w:rPr>
          <w:rFonts w:ascii="Times New Roman" w:eastAsia="Times New Roman" w:hAnsi="Times New Roman" w:cs="Times New Roman"/>
          <w:bCs/>
          <w:sz w:val="28"/>
          <w:szCs w:val="28"/>
          <w:lang w:val="es-ES" w:eastAsia="es-CR"/>
        </w:rPr>
        <w:t xml:space="preserve">Mantener la aprobación de incorporar como parte del presupuesto ordinario del Poder Judicial, en la subpartida 6.01.03 “Transferencias corrientes a instituciones descentralizadas no empresariales” el monto de ¢235.094.152, como parte del Programa 926 Dirección, Administración y otros Órganos de Apoyo, correspondiente al aporte estatal a la CCSS que es un 0,25% sobre la planilla de las personas jubiladas y pensionadas. </w:t>
      </w:r>
      <w:r w:rsidRPr="002A7673">
        <w:rPr>
          <w:rFonts w:ascii="Times New Roman" w:eastAsia="Times New Roman" w:hAnsi="Times New Roman" w:cs="Times New Roman"/>
          <w:bCs/>
          <w:sz w:val="32"/>
          <w:szCs w:val="32"/>
          <w:lang w:val="es-ES" w:eastAsia="es-CR"/>
        </w:rPr>
        <w:t xml:space="preserve">16) </w:t>
      </w:r>
      <w:r w:rsidRPr="002A7673">
        <w:rPr>
          <w:rFonts w:ascii="Times New Roman" w:eastAsia="Times New Roman" w:hAnsi="Times New Roman" w:cs="Times New Roman"/>
          <w:bCs/>
          <w:sz w:val="28"/>
          <w:szCs w:val="28"/>
          <w:lang w:val="es-ES" w:eastAsia="es-CR"/>
        </w:rPr>
        <w:t>Tomar nota del oficio 1417-DE-2021 de la Dirección Ejecutiva con el resultado de la revisión conjunta con la Dirección de Tecnología de la Información, de la subpartida 10204 Servicio de Telecomunicaciones, con el propósito de establecer la posibilidad de mantener para el 2022 el mismo monto aprobado para el 2021 y mantener la aprobación de la propuesta de rebajo de ₡112.600.000 conforme acuerdo del Consejo Superior.</w:t>
      </w:r>
      <w:r w:rsidRPr="002A7673">
        <w:rPr>
          <w:rFonts w:ascii="Times New Roman" w:eastAsia="Times New Roman" w:hAnsi="Times New Roman" w:cs="Times New Roman"/>
          <w:bCs/>
          <w:sz w:val="32"/>
          <w:szCs w:val="32"/>
          <w:lang w:val="es-ES" w:eastAsia="es-CR"/>
        </w:rPr>
        <w:t xml:space="preserve">  17) </w:t>
      </w:r>
      <w:r w:rsidRPr="002A7673">
        <w:rPr>
          <w:rFonts w:ascii="Times New Roman" w:eastAsia="Times New Roman" w:hAnsi="Times New Roman" w:cs="Times New Roman"/>
          <w:bCs/>
          <w:sz w:val="28"/>
          <w:szCs w:val="28"/>
          <w:lang w:val="es-ES" w:eastAsia="es-CR"/>
        </w:rPr>
        <w:t xml:space="preserve">Tomar nota del oficio 1481-DE-2021 de la Dirección Ejecutiva con el resultado de la revisión de la formulación presupuestaria de mascarillas para el 2022 y autorizar a la Dirección de Planificación para realizar los ajustes correspondientes en coordinación con las administraciones de cada Programa </w:t>
      </w:r>
      <w:r w:rsidRPr="002A7673">
        <w:rPr>
          <w:rFonts w:ascii="Times New Roman" w:eastAsia="Times New Roman" w:hAnsi="Times New Roman" w:cs="Times New Roman"/>
          <w:bCs/>
          <w:sz w:val="28"/>
          <w:szCs w:val="28"/>
          <w:lang w:val="es-ES" w:eastAsia="es-CR"/>
        </w:rPr>
        <w:lastRenderedPageBreak/>
        <w:t>Institucional.</w:t>
      </w:r>
      <w:r w:rsidRPr="002A7673">
        <w:rPr>
          <w:rFonts w:ascii="Times New Roman" w:eastAsia="Times New Roman" w:hAnsi="Times New Roman" w:cs="Times New Roman"/>
          <w:bCs/>
          <w:sz w:val="32"/>
          <w:szCs w:val="32"/>
          <w:lang w:val="es-ES" w:eastAsia="es-CR"/>
        </w:rPr>
        <w:t xml:space="preserve">  </w:t>
      </w:r>
      <w:r w:rsidRPr="002A7673">
        <w:rPr>
          <w:rFonts w:ascii="Times New Roman" w:eastAsia="Times New Roman" w:hAnsi="Times New Roman" w:cs="Times New Roman"/>
          <w:bCs/>
          <w:sz w:val="28"/>
          <w:szCs w:val="28"/>
          <w:lang w:val="es-ES" w:eastAsia="es-CR"/>
        </w:rPr>
        <w:t xml:space="preserve">18) Aprobar la inclusión de los siguientes recursos por </w:t>
      </w:r>
      <w:r w:rsidRPr="002A7673">
        <w:rPr>
          <w:rFonts w:ascii="Times New Roman" w:eastAsia="Times New Roman" w:hAnsi="Times New Roman" w:cs="Times New Roman"/>
          <w:b/>
          <w:bCs/>
          <w:sz w:val="28"/>
          <w:szCs w:val="28"/>
          <w:lang w:val="es-ES" w:eastAsia="es-CR"/>
        </w:rPr>
        <w:t>¢865.703.685</w:t>
      </w:r>
      <w:r w:rsidRPr="002A7673">
        <w:rPr>
          <w:rFonts w:ascii="Times New Roman" w:eastAsia="Times New Roman" w:hAnsi="Times New Roman" w:cs="Times New Roman"/>
          <w:bCs/>
          <w:sz w:val="28"/>
          <w:szCs w:val="28"/>
          <w:lang w:val="es-ES" w:eastAsia="es-CR"/>
        </w:rPr>
        <w:t>, correspondientes a necesidades afines para el impulso de las leyes especiales, como parte del presupuesto ordinario del Poder Judicial para el 2022. Lo anterior dada la dificultad de los últimos años para incorporar recursos adicionales a la solicitud de presupuesto ordinario que se envía por el Poder Judicial al Ministerio de Hacienda:</w:t>
      </w:r>
    </w:p>
    <w:tbl>
      <w:tblPr>
        <w:tblW w:w="9072" w:type="dxa"/>
        <w:jc w:val="center"/>
        <w:tblCellMar>
          <w:left w:w="70" w:type="dxa"/>
          <w:right w:w="70" w:type="dxa"/>
        </w:tblCellMar>
        <w:tblLook w:val="04A0" w:firstRow="1" w:lastRow="0" w:firstColumn="1" w:lastColumn="0" w:noHBand="0" w:noVBand="1"/>
      </w:tblPr>
      <w:tblGrid>
        <w:gridCol w:w="2977"/>
        <w:gridCol w:w="1984"/>
        <w:gridCol w:w="2126"/>
        <w:gridCol w:w="1985"/>
      </w:tblGrid>
      <w:tr w:rsidR="002A7673" w:rsidRPr="002A7673" w14:paraId="32D19F01" w14:textId="77777777" w:rsidTr="004F270D">
        <w:trPr>
          <w:trHeight w:val="290"/>
          <w:jc w:val="center"/>
        </w:trPr>
        <w:tc>
          <w:tcPr>
            <w:tcW w:w="2977" w:type="dxa"/>
            <w:tcBorders>
              <w:top w:val="nil"/>
              <w:left w:val="nil"/>
              <w:bottom w:val="nil"/>
              <w:right w:val="nil"/>
            </w:tcBorders>
            <w:shd w:val="clear" w:color="auto" w:fill="auto"/>
            <w:noWrap/>
            <w:vAlign w:val="bottom"/>
            <w:hideMark/>
          </w:tcPr>
          <w:p w14:paraId="3331F6DD" w14:textId="77777777" w:rsidR="002A7673" w:rsidRPr="002A7673" w:rsidRDefault="002A7673" w:rsidP="002A7673">
            <w:pPr>
              <w:suppressAutoHyphens/>
              <w:spacing w:after="0" w:line="240" w:lineRule="auto"/>
              <w:jc w:val="center"/>
              <w:rPr>
                <w:rFonts w:ascii="Times New Roman" w:eastAsia="Times New Roman" w:hAnsi="Times New Roman" w:cs="Times New Roman"/>
                <w:b/>
                <w:bCs/>
                <w:sz w:val="20"/>
                <w:szCs w:val="20"/>
                <w:lang w:val="es-ES_tradnl" w:eastAsia="es-CR"/>
              </w:rPr>
            </w:pPr>
            <w:r w:rsidRPr="002A7673">
              <w:rPr>
                <w:rFonts w:ascii="Times New Roman" w:eastAsia="Times New Roman" w:hAnsi="Times New Roman" w:cs="Times New Roman"/>
                <w:b/>
                <w:bCs/>
                <w:sz w:val="20"/>
                <w:szCs w:val="20"/>
                <w:lang w:val="es-ES_tradnl" w:eastAsia="es-CR"/>
              </w:rPr>
              <w:t>CONCEPTO / NECESIDAD</w:t>
            </w:r>
          </w:p>
        </w:tc>
        <w:tc>
          <w:tcPr>
            <w:tcW w:w="1984" w:type="dxa"/>
            <w:tcBorders>
              <w:top w:val="nil"/>
              <w:left w:val="nil"/>
              <w:bottom w:val="nil"/>
              <w:right w:val="nil"/>
            </w:tcBorders>
            <w:shd w:val="clear" w:color="auto" w:fill="auto"/>
            <w:noWrap/>
            <w:vAlign w:val="bottom"/>
            <w:hideMark/>
          </w:tcPr>
          <w:p w14:paraId="1ED84C03" w14:textId="77777777" w:rsidR="002A7673" w:rsidRPr="002A7673" w:rsidRDefault="002A7673" w:rsidP="002A7673">
            <w:pPr>
              <w:suppressAutoHyphens/>
              <w:spacing w:after="0" w:line="240" w:lineRule="auto"/>
              <w:jc w:val="center"/>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GASTO CORRIENTE</w:t>
            </w:r>
          </w:p>
        </w:tc>
        <w:tc>
          <w:tcPr>
            <w:tcW w:w="2126" w:type="dxa"/>
            <w:tcBorders>
              <w:top w:val="nil"/>
              <w:left w:val="nil"/>
              <w:bottom w:val="nil"/>
              <w:right w:val="nil"/>
            </w:tcBorders>
            <w:shd w:val="clear" w:color="auto" w:fill="auto"/>
            <w:noWrap/>
            <w:vAlign w:val="bottom"/>
            <w:hideMark/>
          </w:tcPr>
          <w:p w14:paraId="6AE8CCC1" w14:textId="77777777" w:rsidR="002A7673" w:rsidRPr="002A7673" w:rsidRDefault="002A7673" w:rsidP="002A7673">
            <w:pPr>
              <w:suppressAutoHyphens/>
              <w:spacing w:after="0" w:line="240" w:lineRule="auto"/>
              <w:jc w:val="center"/>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GASTO CAPITAL</w:t>
            </w:r>
          </w:p>
        </w:tc>
        <w:tc>
          <w:tcPr>
            <w:tcW w:w="1985" w:type="dxa"/>
            <w:tcBorders>
              <w:top w:val="nil"/>
              <w:left w:val="nil"/>
              <w:bottom w:val="nil"/>
              <w:right w:val="nil"/>
            </w:tcBorders>
            <w:shd w:val="clear" w:color="auto" w:fill="auto"/>
            <w:noWrap/>
            <w:vAlign w:val="bottom"/>
            <w:hideMark/>
          </w:tcPr>
          <w:p w14:paraId="0003F4C3" w14:textId="77777777" w:rsidR="002A7673" w:rsidRPr="002A7673" w:rsidRDefault="002A7673" w:rsidP="002A7673">
            <w:pPr>
              <w:suppressAutoHyphens/>
              <w:spacing w:after="0" w:line="240" w:lineRule="auto"/>
              <w:jc w:val="center"/>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TOTAL</w:t>
            </w:r>
          </w:p>
        </w:tc>
      </w:tr>
      <w:tr w:rsidR="002A7673" w:rsidRPr="002A7673" w14:paraId="06331308" w14:textId="77777777" w:rsidTr="004F270D">
        <w:trPr>
          <w:trHeight w:val="290"/>
          <w:jc w:val="center"/>
        </w:trPr>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DABC1" w14:textId="77777777" w:rsidR="002A7673" w:rsidRPr="002A7673" w:rsidRDefault="002A7673" w:rsidP="002A7673">
            <w:pPr>
              <w:suppressAutoHyphens/>
              <w:spacing w:after="0" w:line="240" w:lineRule="auto"/>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bCs/>
                <w:color w:val="000000"/>
                <w:sz w:val="20"/>
                <w:szCs w:val="20"/>
                <w:lang w:val="es-ES_tradnl" w:eastAsia="es-CR"/>
              </w:rPr>
              <w:t xml:space="preserve">Capacitación Ley Reforma Procesal de Familia </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2342C9DE"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84 250 000,00 </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54471510"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45FFECFA"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84 250 000,00 </w:t>
            </w:r>
          </w:p>
        </w:tc>
      </w:tr>
      <w:tr w:rsidR="002A7673" w:rsidRPr="002A7673" w14:paraId="0249D44B" w14:textId="77777777" w:rsidTr="004F270D">
        <w:trPr>
          <w:trHeight w:val="290"/>
          <w:jc w:val="center"/>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706DD612" w14:textId="77777777" w:rsidR="002A7673" w:rsidRPr="002A7673" w:rsidRDefault="002A7673" w:rsidP="002A7673">
            <w:pPr>
              <w:suppressAutoHyphens/>
              <w:spacing w:after="0" w:line="240" w:lineRule="auto"/>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bCs/>
                <w:color w:val="000000"/>
                <w:sz w:val="20"/>
                <w:szCs w:val="20"/>
                <w:lang w:val="es-ES_tradnl" w:eastAsia="es-CR"/>
              </w:rPr>
              <w:t xml:space="preserve">Vehículos para Reforma Procesal Agraria </w:t>
            </w:r>
          </w:p>
        </w:tc>
        <w:tc>
          <w:tcPr>
            <w:tcW w:w="1984" w:type="dxa"/>
            <w:tcBorders>
              <w:top w:val="nil"/>
              <w:left w:val="nil"/>
              <w:bottom w:val="single" w:sz="4" w:space="0" w:color="auto"/>
              <w:right w:val="single" w:sz="4" w:space="0" w:color="auto"/>
            </w:tcBorders>
            <w:shd w:val="clear" w:color="auto" w:fill="auto"/>
            <w:noWrap/>
            <w:vAlign w:val="center"/>
            <w:hideMark/>
          </w:tcPr>
          <w:p w14:paraId="40BA6B46"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13 323 258,00 </w:t>
            </w:r>
          </w:p>
        </w:tc>
        <w:tc>
          <w:tcPr>
            <w:tcW w:w="2126" w:type="dxa"/>
            <w:tcBorders>
              <w:top w:val="nil"/>
              <w:left w:val="nil"/>
              <w:bottom w:val="single" w:sz="4" w:space="0" w:color="auto"/>
              <w:right w:val="single" w:sz="4" w:space="0" w:color="auto"/>
            </w:tcBorders>
            <w:shd w:val="clear" w:color="auto" w:fill="auto"/>
            <w:noWrap/>
            <w:vAlign w:val="center"/>
            <w:hideMark/>
          </w:tcPr>
          <w:p w14:paraId="4AB22449"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143 653 500,00 </w:t>
            </w:r>
          </w:p>
        </w:tc>
        <w:tc>
          <w:tcPr>
            <w:tcW w:w="1985" w:type="dxa"/>
            <w:tcBorders>
              <w:top w:val="nil"/>
              <w:left w:val="nil"/>
              <w:bottom w:val="single" w:sz="4" w:space="0" w:color="auto"/>
              <w:right w:val="single" w:sz="4" w:space="0" w:color="auto"/>
            </w:tcBorders>
            <w:shd w:val="clear" w:color="auto" w:fill="auto"/>
            <w:noWrap/>
            <w:vAlign w:val="center"/>
            <w:hideMark/>
          </w:tcPr>
          <w:p w14:paraId="2F26E5C7"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156 976 758,00 </w:t>
            </w:r>
          </w:p>
        </w:tc>
      </w:tr>
      <w:tr w:rsidR="002A7673" w:rsidRPr="002A7673" w14:paraId="088FAAE7" w14:textId="77777777" w:rsidTr="004F270D">
        <w:trPr>
          <w:trHeight w:val="290"/>
          <w:jc w:val="center"/>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65620248" w14:textId="77777777" w:rsidR="002A7673" w:rsidRPr="002A7673" w:rsidRDefault="002A7673" w:rsidP="002A7673">
            <w:pPr>
              <w:suppressAutoHyphens/>
              <w:spacing w:after="0" w:line="240" w:lineRule="auto"/>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bCs/>
                <w:color w:val="000000"/>
                <w:sz w:val="20"/>
                <w:szCs w:val="20"/>
                <w:lang w:val="es-ES_tradnl" w:eastAsia="es-CR"/>
              </w:rPr>
              <w:t>Equipos para Ley Bienestar de los Animales</w:t>
            </w:r>
          </w:p>
        </w:tc>
        <w:tc>
          <w:tcPr>
            <w:tcW w:w="1984" w:type="dxa"/>
            <w:tcBorders>
              <w:top w:val="nil"/>
              <w:left w:val="nil"/>
              <w:bottom w:val="single" w:sz="4" w:space="0" w:color="auto"/>
              <w:right w:val="single" w:sz="4" w:space="0" w:color="auto"/>
            </w:tcBorders>
            <w:shd w:val="clear" w:color="auto" w:fill="auto"/>
            <w:noWrap/>
            <w:vAlign w:val="center"/>
            <w:hideMark/>
          </w:tcPr>
          <w:p w14:paraId="7BFE7778"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   </w:t>
            </w:r>
          </w:p>
        </w:tc>
        <w:tc>
          <w:tcPr>
            <w:tcW w:w="2126" w:type="dxa"/>
            <w:tcBorders>
              <w:top w:val="nil"/>
              <w:left w:val="nil"/>
              <w:bottom w:val="single" w:sz="4" w:space="0" w:color="auto"/>
              <w:right w:val="single" w:sz="4" w:space="0" w:color="auto"/>
            </w:tcBorders>
            <w:shd w:val="clear" w:color="auto" w:fill="auto"/>
            <w:noWrap/>
            <w:vAlign w:val="center"/>
            <w:hideMark/>
          </w:tcPr>
          <w:p w14:paraId="6C3A3C57"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113 200 000,00 </w:t>
            </w:r>
          </w:p>
        </w:tc>
        <w:tc>
          <w:tcPr>
            <w:tcW w:w="1985" w:type="dxa"/>
            <w:tcBorders>
              <w:top w:val="nil"/>
              <w:left w:val="nil"/>
              <w:bottom w:val="single" w:sz="4" w:space="0" w:color="auto"/>
              <w:right w:val="single" w:sz="4" w:space="0" w:color="auto"/>
            </w:tcBorders>
            <w:shd w:val="clear" w:color="auto" w:fill="auto"/>
            <w:noWrap/>
            <w:vAlign w:val="center"/>
            <w:hideMark/>
          </w:tcPr>
          <w:p w14:paraId="1129B84A"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113 200 000,00 </w:t>
            </w:r>
          </w:p>
        </w:tc>
      </w:tr>
      <w:tr w:rsidR="002A7673" w:rsidRPr="002A7673" w14:paraId="39A29F83" w14:textId="77777777" w:rsidTr="004F270D">
        <w:trPr>
          <w:trHeight w:val="290"/>
          <w:jc w:val="center"/>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0A9C265B" w14:textId="77777777" w:rsidR="002A7673" w:rsidRPr="002A7673" w:rsidRDefault="002A7673" w:rsidP="002A7673">
            <w:pPr>
              <w:suppressAutoHyphens/>
              <w:spacing w:after="0" w:line="240" w:lineRule="auto"/>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bCs/>
                <w:color w:val="000000"/>
                <w:sz w:val="20"/>
                <w:szCs w:val="20"/>
                <w:lang w:val="es-ES_tradnl" w:eastAsia="es-CR"/>
              </w:rPr>
              <w:t xml:space="preserve">Remodelación de espacio físico para Ley Delincuencia Organizada </w:t>
            </w:r>
          </w:p>
        </w:tc>
        <w:tc>
          <w:tcPr>
            <w:tcW w:w="1984" w:type="dxa"/>
            <w:tcBorders>
              <w:top w:val="nil"/>
              <w:left w:val="nil"/>
              <w:bottom w:val="single" w:sz="4" w:space="0" w:color="auto"/>
              <w:right w:val="single" w:sz="4" w:space="0" w:color="auto"/>
            </w:tcBorders>
            <w:shd w:val="clear" w:color="auto" w:fill="auto"/>
            <w:noWrap/>
            <w:vAlign w:val="center"/>
            <w:hideMark/>
          </w:tcPr>
          <w:p w14:paraId="23781AA5"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   </w:t>
            </w:r>
          </w:p>
        </w:tc>
        <w:tc>
          <w:tcPr>
            <w:tcW w:w="2126" w:type="dxa"/>
            <w:tcBorders>
              <w:top w:val="nil"/>
              <w:left w:val="nil"/>
              <w:bottom w:val="single" w:sz="4" w:space="0" w:color="auto"/>
              <w:right w:val="single" w:sz="4" w:space="0" w:color="auto"/>
            </w:tcBorders>
            <w:shd w:val="clear" w:color="auto" w:fill="auto"/>
            <w:noWrap/>
            <w:vAlign w:val="center"/>
            <w:hideMark/>
          </w:tcPr>
          <w:p w14:paraId="51A2FE83"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511 276 927,00 </w:t>
            </w:r>
          </w:p>
        </w:tc>
        <w:tc>
          <w:tcPr>
            <w:tcW w:w="1985" w:type="dxa"/>
            <w:tcBorders>
              <w:top w:val="nil"/>
              <w:left w:val="nil"/>
              <w:bottom w:val="single" w:sz="4" w:space="0" w:color="auto"/>
              <w:right w:val="single" w:sz="4" w:space="0" w:color="auto"/>
            </w:tcBorders>
            <w:shd w:val="clear" w:color="auto" w:fill="auto"/>
            <w:noWrap/>
            <w:vAlign w:val="center"/>
            <w:hideMark/>
          </w:tcPr>
          <w:p w14:paraId="750AC7DF" w14:textId="77777777" w:rsidR="002A7673" w:rsidRPr="002A7673" w:rsidRDefault="002A7673" w:rsidP="002A7673">
            <w:pPr>
              <w:suppressAutoHyphens/>
              <w:spacing w:after="0" w:line="240" w:lineRule="auto"/>
              <w:jc w:val="right"/>
              <w:rPr>
                <w:rFonts w:ascii="Times New Roman" w:eastAsia="Times New Roman" w:hAnsi="Times New Roman" w:cs="Times New Roman"/>
                <w:color w:val="000000"/>
                <w:sz w:val="20"/>
                <w:szCs w:val="20"/>
                <w:lang w:val="es-ES_tradnl" w:eastAsia="es-CR"/>
              </w:rPr>
            </w:pPr>
            <w:r w:rsidRPr="002A7673">
              <w:rPr>
                <w:rFonts w:ascii="Times New Roman" w:eastAsia="Times New Roman" w:hAnsi="Times New Roman" w:cs="Times New Roman"/>
                <w:color w:val="000000"/>
                <w:sz w:val="20"/>
                <w:szCs w:val="20"/>
                <w:lang w:val="es-ES_tradnl" w:eastAsia="es-CR"/>
              </w:rPr>
              <w:t xml:space="preserve">       511 276 927,00 </w:t>
            </w:r>
          </w:p>
        </w:tc>
      </w:tr>
      <w:tr w:rsidR="002A7673" w:rsidRPr="002A7673" w14:paraId="5627D945" w14:textId="77777777" w:rsidTr="004F270D">
        <w:trPr>
          <w:trHeight w:val="290"/>
          <w:jc w:val="center"/>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2ECE34D7" w14:textId="77777777" w:rsidR="002A7673" w:rsidRPr="002A7673" w:rsidRDefault="002A7673" w:rsidP="002A7673">
            <w:pPr>
              <w:suppressAutoHyphens/>
              <w:spacing w:after="0" w:line="240" w:lineRule="auto"/>
              <w:rPr>
                <w:rFonts w:ascii="Times New Roman" w:eastAsia="Times New Roman" w:hAnsi="Times New Roman" w:cs="Times New Roman"/>
                <w:b/>
                <w:bCs/>
                <w:sz w:val="20"/>
                <w:szCs w:val="20"/>
                <w:lang w:val="es-ES_tradnl" w:eastAsia="es-CR"/>
              </w:rPr>
            </w:pPr>
            <w:r w:rsidRPr="002A7673">
              <w:rPr>
                <w:rFonts w:ascii="Times New Roman" w:eastAsia="Times New Roman" w:hAnsi="Times New Roman" w:cs="Times New Roman"/>
                <w:b/>
                <w:bCs/>
                <w:sz w:val="20"/>
                <w:szCs w:val="20"/>
                <w:lang w:val="es-ES_tradnl" w:eastAsia="es-CR"/>
              </w:rPr>
              <w:t>TOTALES</w:t>
            </w:r>
          </w:p>
        </w:tc>
        <w:tc>
          <w:tcPr>
            <w:tcW w:w="1984" w:type="dxa"/>
            <w:tcBorders>
              <w:top w:val="nil"/>
              <w:left w:val="nil"/>
              <w:bottom w:val="single" w:sz="4" w:space="0" w:color="auto"/>
              <w:right w:val="single" w:sz="4" w:space="0" w:color="auto"/>
            </w:tcBorders>
            <w:shd w:val="clear" w:color="auto" w:fill="auto"/>
            <w:noWrap/>
            <w:vAlign w:val="center"/>
            <w:hideMark/>
          </w:tcPr>
          <w:p w14:paraId="37CDE430" w14:textId="77777777" w:rsidR="002A7673" w:rsidRPr="002A7673" w:rsidRDefault="002A7673" w:rsidP="002A7673">
            <w:pPr>
              <w:suppressAutoHyphens/>
              <w:spacing w:after="0" w:line="240" w:lineRule="auto"/>
              <w:jc w:val="right"/>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 xml:space="preserve">         97 573 258,00 </w:t>
            </w:r>
          </w:p>
        </w:tc>
        <w:tc>
          <w:tcPr>
            <w:tcW w:w="2126" w:type="dxa"/>
            <w:tcBorders>
              <w:top w:val="nil"/>
              <w:left w:val="nil"/>
              <w:bottom w:val="single" w:sz="4" w:space="0" w:color="auto"/>
              <w:right w:val="single" w:sz="4" w:space="0" w:color="auto"/>
            </w:tcBorders>
            <w:shd w:val="clear" w:color="auto" w:fill="auto"/>
            <w:noWrap/>
            <w:vAlign w:val="center"/>
            <w:hideMark/>
          </w:tcPr>
          <w:p w14:paraId="70B7D53C" w14:textId="77777777" w:rsidR="002A7673" w:rsidRPr="002A7673" w:rsidRDefault="002A7673" w:rsidP="002A7673">
            <w:pPr>
              <w:suppressAutoHyphens/>
              <w:spacing w:after="0" w:line="240" w:lineRule="auto"/>
              <w:jc w:val="right"/>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 xml:space="preserve">      768 130 427,00 </w:t>
            </w:r>
          </w:p>
        </w:tc>
        <w:tc>
          <w:tcPr>
            <w:tcW w:w="1985" w:type="dxa"/>
            <w:tcBorders>
              <w:top w:val="nil"/>
              <w:left w:val="nil"/>
              <w:bottom w:val="single" w:sz="4" w:space="0" w:color="auto"/>
              <w:right w:val="single" w:sz="4" w:space="0" w:color="auto"/>
            </w:tcBorders>
            <w:shd w:val="clear" w:color="auto" w:fill="auto"/>
            <w:noWrap/>
            <w:vAlign w:val="center"/>
            <w:hideMark/>
          </w:tcPr>
          <w:p w14:paraId="577C49CB" w14:textId="77777777" w:rsidR="002A7673" w:rsidRPr="002A7673" w:rsidRDefault="002A7673" w:rsidP="002A7673">
            <w:pPr>
              <w:suppressAutoHyphens/>
              <w:spacing w:after="0" w:line="240" w:lineRule="auto"/>
              <w:jc w:val="right"/>
              <w:rPr>
                <w:rFonts w:ascii="Times New Roman" w:eastAsia="Times New Roman" w:hAnsi="Times New Roman" w:cs="Times New Roman"/>
                <w:b/>
                <w:bCs/>
                <w:color w:val="000000"/>
                <w:sz w:val="20"/>
                <w:szCs w:val="20"/>
                <w:lang w:val="es-ES_tradnl" w:eastAsia="es-CR"/>
              </w:rPr>
            </w:pPr>
            <w:r w:rsidRPr="002A7673">
              <w:rPr>
                <w:rFonts w:ascii="Times New Roman" w:eastAsia="Times New Roman" w:hAnsi="Times New Roman" w:cs="Times New Roman"/>
                <w:b/>
                <w:bCs/>
                <w:color w:val="000000"/>
                <w:sz w:val="20"/>
                <w:szCs w:val="20"/>
                <w:lang w:val="es-ES_tradnl" w:eastAsia="es-CR"/>
              </w:rPr>
              <w:t xml:space="preserve">       865 703 685,00 </w:t>
            </w:r>
          </w:p>
        </w:tc>
      </w:tr>
    </w:tbl>
    <w:p w14:paraId="51C714D1" w14:textId="77777777" w:rsidR="002A7673" w:rsidRPr="002A7673" w:rsidRDefault="002A7673" w:rsidP="002A7673">
      <w:pPr>
        <w:suppressAutoHyphens/>
        <w:spacing w:after="0" w:line="240" w:lineRule="auto"/>
        <w:jc w:val="both"/>
        <w:rPr>
          <w:rFonts w:ascii="Times New Roman" w:eastAsia="Times New Roman" w:hAnsi="Times New Roman" w:cs="Times New Roman"/>
          <w:sz w:val="28"/>
          <w:szCs w:val="28"/>
          <w:lang w:val="es-ES_tradnl" w:eastAsia="ar-SA"/>
        </w:rPr>
      </w:pPr>
    </w:p>
    <w:p w14:paraId="5D766D37"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No se incorporan recursos para la creación de las nuevas plazas que requieren estas leyes, dada el lineamiento establecido por el Ministerio de Hacienda que impide esta posibilidad. Considerando lo anterior, la Dirección de Planificación debe actualizar los informes de leyes especiales, relativos a Ley Reforma Procesal de Familia, Reforma Procesal Agraria, Ley Bienestar de los Animales y Ley Delincuencia Organizada, para su posterior envío a la Corte Plena</w:t>
      </w:r>
      <w:r w:rsidRPr="002A7673">
        <w:rPr>
          <w:rFonts w:ascii="Times New Roman" w:eastAsia="Times New Roman" w:hAnsi="Times New Roman" w:cs="Times New Roman"/>
          <w:b/>
          <w:sz w:val="28"/>
          <w:szCs w:val="28"/>
          <w:lang w:val="es-ES" w:eastAsia="es-CR"/>
        </w:rPr>
        <w:t>. 19</w:t>
      </w:r>
      <w:r w:rsidRPr="002A7673">
        <w:rPr>
          <w:rFonts w:ascii="Times New Roman" w:eastAsia="Times New Roman" w:hAnsi="Times New Roman" w:cs="Times New Roman"/>
          <w:b/>
          <w:sz w:val="32"/>
          <w:szCs w:val="32"/>
          <w:lang w:val="es-ES" w:eastAsia="es-CR"/>
        </w:rPr>
        <w:t>)</w:t>
      </w:r>
      <w:r w:rsidRPr="002A7673">
        <w:rPr>
          <w:rFonts w:ascii="Times New Roman" w:eastAsia="Times New Roman" w:hAnsi="Times New Roman" w:cs="Times New Roman"/>
          <w:bCs/>
          <w:sz w:val="32"/>
          <w:szCs w:val="32"/>
          <w:lang w:val="es-ES" w:eastAsia="es-CR"/>
        </w:rPr>
        <w:t xml:space="preserve"> </w:t>
      </w:r>
      <w:r w:rsidRPr="002A7673">
        <w:rPr>
          <w:rFonts w:ascii="Times New Roman" w:eastAsia="Times New Roman" w:hAnsi="Times New Roman" w:cs="Times New Roman"/>
          <w:bCs/>
          <w:sz w:val="28"/>
          <w:szCs w:val="28"/>
          <w:lang w:val="es-ES" w:eastAsia="es-CR"/>
        </w:rPr>
        <w:t xml:space="preserve">Aprobar la inclusión de ₡2.124.097.661 para reforzar la subpartida 7.01.07 Fondos en Fideicomiso para Gasto de Capital, para dirigirlos al </w:t>
      </w:r>
      <w:r w:rsidRPr="002A7673">
        <w:rPr>
          <w:rFonts w:ascii="Times New Roman" w:eastAsia="Times New Roman" w:hAnsi="Times New Roman" w:cs="Times New Roman"/>
          <w:bCs/>
          <w:sz w:val="28"/>
          <w:szCs w:val="28"/>
          <w:lang w:val="es-ES" w:eastAsia="es-CR"/>
        </w:rPr>
        <w:lastRenderedPageBreak/>
        <w:t xml:space="preserve">Fideicomiso de construcción de obra del nuevo edificio de Puntarenas y con ello, disminuir la carga financiera de este proyecto para el Poder Judicial. 20) Tomar nota del oficio PJ-DGH-0184-2021 suscrito por la Licda. Roxana Arrieta Meléndez, Directora de Gestión Humana y aprobar el escenario de Remuneraciones finalmente propuesto por la Dirección de Gestión Humana, en el cual se incluyen recursos adicionales para el 2022 en la subpartida 0.01.05 Suplencias por un monto de ₡745.517.101, subpartida 0.02.01 Tiempo extraordinario por un monto de ₡48.780.000, subpartida 0.02.03 Disponibilidad laboral por un monto de ₡113.820.000, subpartida 0.03.02 Restricción al ejercicio libre de la profesión por un monto de ₡146.340.000, subpartida 0.03.99 Otros incentivos salariales por un monto de ₡569.100.000  y en la subpartida 0.03.01 Retribución por años servidos por un monto adicional de ₡492.361.701, una vez incorporadas todas las restantes necesidades institucionales. Lo anterior en coordinación con la Dirección de Planificación. </w:t>
      </w:r>
      <w:r w:rsidRPr="002A7673">
        <w:rPr>
          <w:rFonts w:ascii="Times New Roman" w:eastAsia="Times New Roman" w:hAnsi="Times New Roman" w:cs="Times New Roman"/>
          <w:b/>
          <w:sz w:val="28"/>
          <w:szCs w:val="28"/>
          <w:lang w:val="es-ES" w:eastAsia="es-CR"/>
        </w:rPr>
        <w:t>21)</w:t>
      </w:r>
      <w:r w:rsidRPr="002A7673">
        <w:rPr>
          <w:rFonts w:ascii="Times New Roman" w:eastAsia="Times New Roman" w:hAnsi="Times New Roman" w:cs="Times New Roman"/>
          <w:bCs/>
          <w:sz w:val="28"/>
          <w:szCs w:val="28"/>
          <w:lang w:val="es-ES" w:eastAsia="es-CR"/>
        </w:rPr>
        <w:t xml:space="preserve">  Aprobar el Anteproyecto de Presupuesto del Poder Judicial para el 2022 y su remisión a Corte Plena para su análisis y discusión, distribuido por Programa institucional y desagregado entre gasto corriente y gasto de capital, de la siguiente manera:</w:t>
      </w:r>
    </w:p>
    <w:p w14:paraId="2348C846" w14:textId="77777777" w:rsidR="002A7673" w:rsidRPr="002A7673" w:rsidRDefault="002A7673" w:rsidP="002A7673">
      <w:pPr>
        <w:suppressAutoHyphens/>
        <w:spacing w:after="0" w:line="240" w:lineRule="auto"/>
        <w:jc w:val="both"/>
        <w:rPr>
          <w:rFonts w:ascii="Times New Roman" w:eastAsia="Times New Roman" w:hAnsi="Times New Roman" w:cs="Times New Roman"/>
          <w:sz w:val="28"/>
          <w:szCs w:val="28"/>
          <w:lang w:val="es-ES_tradnl" w:eastAsia="ar-SA"/>
        </w:rPr>
      </w:pPr>
      <w:r w:rsidRPr="002A7673">
        <w:rPr>
          <w:rFonts w:ascii="Times New Roman" w:eastAsia="Times New Roman" w:hAnsi="Times New Roman" w:cs="Times New Roman"/>
          <w:noProof/>
          <w:sz w:val="28"/>
          <w:szCs w:val="28"/>
          <w:lang w:val="es-ES_tradnl" w:eastAsia="ar-SA"/>
        </w:rPr>
        <w:lastRenderedPageBreak/>
        <w:drawing>
          <wp:inline distT="0" distB="0" distL="0" distR="0" wp14:anchorId="29E99E84" wp14:editId="0272FD15">
            <wp:extent cx="5610225" cy="1047750"/>
            <wp:effectExtent l="0" t="0" r="0" b="0"/>
            <wp:docPr id="39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5610225" cy="1047750"/>
                    </a:xfrm>
                    <a:prstGeom prst="rect">
                      <a:avLst/>
                    </a:prstGeom>
                    <a:noFill/>
                    <a:ln>
                      <a:noFill/>
                    </a:ln>
                  </pic:spPr>
                </pic:pic>
              </a:graphicData>
            </a:graphic>
          </wp:inline>
        </w:drawing>
      </w:r>
    </w:p>
    <w:p w14:paraId="3A37F17C" w14:textId="77777777" w:rsidR="002A7673" w:rsidRPr="002A7673" w:rsidRDefault="002A7673" w:rsidP="002A7673">
      <w:pPr>
        <w:suppressAutoHyphens/>
        <w:spacing w:after="0" w:line="240" w:lineRule="auto"/>
        <w:ind w:firstLine="708"/>
        <w:jc w:val="both"/>
        <w:rPr>
          <w:rFonts w:ascii="Times New Roman" w:eastAsia="Times New Roman" w:hAnsi="Times New Roman" w:cs="Times New Roman"/>
          <w:sz w:val="28"/>
          <w:szCs w:val="28"/>
          <w:lang w:val="es-ES_tradnl" w:eastAsia="ar-SA"/>
        </w:rPr>
      </w:pPr>
    </w:p>
    <w:p w14:paraId="0F37E38A" w14:textId="77777777"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t xml:space="preserve">Lo anterior, en el entendido que se está a la espera del acuerdo del Consejo Superior en el que se conocerá el presupuesto solicitado por la Junta de Jubilaciones y Pensiones para el Programa 951. 22) Aprobar los presupuestos y actualizaciones correspondientes a Leyes Especiales: </w:t>
      </w:r>
      <w:r w:rsidRPr="002A7673">
        <w:rPr>
          <w:rFonts w:ascii="Times New Roman" w:eastAsia="Times New Roman" w:hAnsi="Times New Roman" w:cs="Times New Roman"/>
          <w:bCs/>
          <w:i/>
          <w:iCs/>
          <w:sz w:val="28"/>
          <w:szCs w:val="28"/>
          <w:lang w:val="es-ES" w:eastAsia="es-CR"/>
        </w:rPr>
        <w:t>Código Procesal Agrario, Acceso a la Justicia para Poblaciones Indígenas, Ley de Bienestar Animal, Ley de Justicia Restaurativa, Código Procesal de Familia y Jurisdicción Especializada en Delincuencia Organizada</w:t>
      </w:r>
      <w:r w:rsidRPr="002A7673">
        <w:rPr>
          <w:rFonts w:ascii="Times New Roman" w:eastAsia="Times New Roman" w:hAnsi="Times New Roman" w:cs="Times New Roman"/>
          <w:bCs/>
          <w:sz w:val="28"/>
          <w:szCs w:val="28"/>
          <w:lang w:val="es-ES" w:eastAsia="es-CR"/>
        </w:rPr>
        <w:t xml:space="preserve">, para ser enviados a Corte Plena y luego al Ministerio de Hacienda de forma complementaria o adicional al presupuesto ordinario. </w:t>
      </w:r>
      <w:r w:rsidRPr="002A7673">
        <w:rPr>
          <w:rFonts w:ascii="Times New Roman" w:eastAsia="Times New Roman" w:hAnsi="Times New Roman" w:cs="Times New Roman"/>
          <w:b/>
          <w:sz w:val="28"/>
          <w:szCs w:val="28"/>
          <w:lang w:val="es-ES" w:eastAsia="es-CR"/>
        </w:rPr>
        <w:t>23)</w:t>
      </w:r>
      <w:r w:rsidRPr="002A7673">
        <w:rPr>
          <w:rFonts w:ascii="Times New Roman" w:eastAsia="Times New Roman" w:hAnsi="Times New Roman" w:cs="Times New Roman"/>
          <w:bCs/>
          <w:sz w:val="28"/>
          <w:szCs w:val="28"/>
          <w:lang w:val="es-ES" w:eastAsia="es-CR"/>
        </w:rPr>
        <w:t xml:space="preserve"> Autorizar a la Dirección de Planificación para que realice los ajustes correspondientes en gasto corriente y gasto de capital, en coordinación con la Dirección Ejecutiva, la Dirección de Gestión Humana y la Dirección de Tecnología de la Información, que permitan que el proyecto de presupuesto del 2022 que será remitido a Corte </w:t>
      </w:r>
      <w:proofErr w:type="gramStart"/>
      <w:r w:rsidRPr="002A7673">
        <w:rPr>
          <w:rFonts w:ascii="Times New Roman" w:eastAsia="Times New Roman" w:hAnsi="Times New Roman" w:cs="Times New Roman"/>
          <w:bCs/>
          <w:sz w:val="28"/>
          <w:szCs w:val="28"/>
          <w:lang w:val="es-ES" w:eastAsia="es-CR"/>
        </w:rPr>
        <w:t>Plena,</w:t>
      </w:r>
      <w:proofErr w:type="gramEnd"/>
      <w:r w:rsidRPr="002A7673">
        <w:rPr>
          <w:rFonts w:ascii="Times New Roman" w:eastAsia="Times New Roman" w:hAnsi="Times New Roman" w:cs="Times New Roman"/>
          <w:bCs/>
          <w:sz w:val="28"/>
          <w:szCs w:val="28"/>
          <w:lang w:val="es-ES" w:eastAsia="es-CR"/>
        </w:rPr>
        <w:t xml:space="preserve"> cumpla con las disposiciones y límites establecidos por el Ministerio de Hacienda. </w:t>
      </w:r>
    </w:p>
    <w:p w14:paraId="4189C443" w14:textId="4B119140" w:rsidR="002A7673" w:rsidRPr="002A7673" w:rsidRDefault="002A7673" w:rsidP="002A7673">
      <w:pPr>
        <w:suppressAutoHyphens/>
        <w:spacing w:before="100" w:beforeAutospacing="1" w:after="100" w:afterAutospacing="1" w:line="480" w:lineRule="auto"/>
        <w:ind w:firstLine="708"/>
        <w:jc w:val="both"/>
        <w:rPr>
          <w:rFonts w:ascii="Times New Roman" w:eastAsia="Times New Roman" w:hAnsi="Times New Roman" w:cs="Times New Roman"/>
          <w:bCs/>
          <w:sz w:val="28"/>
          <w:szCs w:val="28"/>
          <w:lang w:val="es-ES" w:eastAsia="es-CR"/>
        </w:rPr>
      </w:pPr>
      <w:r w:rsidRPr="002A7673">
        <w:rPr>
          <w:rFonts w:ascii="Times New Roman" w:eastAsia="Times New Roman" w:hAnsi="Times New Roman" w:cs="Times New Roman"/>
          <w:bCs/>
          <w:sz w:val="28"/>
          <w:szCs w:val="28"/>
          <w:lang w:val="es-ES" w:eastAsia="es-CR"/>
        </w:rPr>
        <w:lastRenderedPageBreak/>
        <w:t xml:space="preserve">La máster Dinorah Álvarez Acosta se abstiene de votar por tratar este acuerdo temas que competen a sus labores como Subdirectora Ejecutiva. </w:t>
      </w:r>
      <w:r w:rsidRPr="002A7673">
        <w:rPr>
          <w:rFonts w:ascii="Times New Roman" w:eastAsia="Times New Roman" w:hAnsi="Times New Roman" w:cs="Times New Roman"/>
          <w:b/>
          <w:sz w:val="28"/>
          <w:szCs w:val="28"/>
          <w:lang w:val="es-ES" w:eastAsia="es-CR"/>
        </w:rPr>
        <w:t>Se declara acuerdo firme.</w:t>
      </w:r>
      <w:bookmarkEnd w:id="280"/>
    </w:p>
    <w:p w14:paraId="117B2F64" w14:textId="77777777" w:rsidR="0046687B" w:rsidRPr="002A7673" w:rsidRDefault="0046687B" w:rsidP="0046687B">
      <w:pPr>
        <w:pStyle w:val="Ttulo1"/>
        <w:spacing w:line="360" w:lineRule="auto"/>
        <w:jc w:val="center"/>
        <w:rPr>
          <w:rFonts w:ascii="Times New Roman" w:hAnsi="Times New Roman" w:cs="Times New Roman"/>
          <w:b/>
          <w:bCs/>
          <w:color w:val="000000"/>
          <w:kern w:val="36"/>
          <w:u w:val="single"/>
        </w:rPr>
      </w:pPr>
      <w:bookmarkStart w:id="281" w:name="_Hlk70671927"/>
      <w:r w:rsidRPr="002A7673">
        <w:rPr>
          <w:rFonts w:ascii="Times New Roman" w:hAnsi="Times New Roman" w:cs="Times New Roman"/>
          <w:b/>
          <w:bCs/>
          <w:color w:val="000000"/>
          <w:kern w:val="36"/>
          <w:u w:val="single"/>
        </w:rPr>
        <w:t xml:space="preserve">ARTÍCULO XXV </w:t>
      </w:r>
    </w:p>
    <w:p w14:paraId="06241A63" w14:textId="77777777" w:rsidR="0046687B" w:rsidRPr="002A7673" w:rsidRDefault="0046687B" w:rsidP="007C57B7">
      <w:pPr>
        <w:spacing w:before="120" w:line="480" w:lineRule="auto"/>
        <w:rPr>
          <w:rFonts w:ascii="Times New Roman" w:eastAsia="Times New Roman" w:hAnsi="Times New Roman" w:cs="Times New Roman"/>
          <w:b/>
          <w:sz w:val="28"/>
          <w:szCs w:val="28"/>
          <w:lang w:val="es-ES" w:eastAsia="es-ES"/>
        </w:rPr>
      </w:pPr>
      <w:r w:rsidRPr="002A7673">
        <w:rPr>
          <w:rFonts w:ascii="Times New Roman" w:eastAsia="Times New Roman" w:hAnsi="Times New Roman" w:cs="Times New Roman"/>
          <w:b/>
          <w:sz w:val="28"/>
          <w:szCs w:val="28"/>
          <w:lang w:val="es-ES" w:eastAsia="es-ES"/>
        </w:rPr>
        <w:t xml:space="preserve">Documento N° 8267-2020, </w:t>
      </w:r>
      <w:r w:rsidRPr="002A7673">
        <w:rPr>
          <w:rFonts w:ascii="Times New Roman" w:eastAsia="Times New Roman" w:hAnsi="Times New Roman" w:cs="Times New Roman"/>
          <w:b/>
          <w:color w:val="00B050"/>
          <w:sz w:val="28"/>
          <w:szCs w:val="28"/>
          <w:lang w:val="es-ES" w:eastAsia="es-ES"/>
        </w:rPr>
        <w:t>4412-2021</w:t>
      </w:r>
    </w:p>
    <w:p w14:paraId="32150050" w14:textId="77777777" w:rsidR="0046687B" w:rsidRPr="002A7673" w:rsidRDefault="0046687B" w:rsidP="0046687B">
      <w:pPr>
        <w:spacing w:line="480" w:lineRule="auto"/>
        <w:ind w:firstLine="709"/>
        <w:jc w:val="both"/>
        <w:rPr>
          <w:rFonts w:ascii="Times New Roman" w:eastAsia="Times New Roman" w:hAnsi="Times New Roman" w:cs="Times New Roman"/>
          <w:bCs/>
          <w:sz w:val="28"/>
          <w:szCs w:val="28"/>
          <w:lang w:val="es-ES" w:eastAsia="es-ES"/>
        </w:rPr>
      </w:pPr>
      <w:r w:rsidRPr="002A7673">
        <w:rPr>
          <w:rFonts w:ascii="Times New Roman" w:eastAsia="Times New Roman" w:hAnsi="Times New Roman" w:cs="Times New Roman"/>
          <w:bCs/>
          <w:sz w:val="28"/>
          <w:szCs w:val="28"/>
          <w:lang w:val="es-ES" w:eastAsia="es-ES"/>
        </w:rPr>
        <w:t xml:space="preserve">La magistrada Patricia Solano Castro, en su condición de Presidenta de la </w:t>
      </w:r>
      <w:bookmarkStart w:id="282" w:name="_Hlk70813051"/>
      <w:r w:rsidRPr="002A7673">
        <w:rPr>
          <w:rFonts w:ascii="Times New Roman" w:eastAsia="Times New Roman" w:hAnsi="Times New Roman" w:cs="Times New Roman"/>
          <w:bCs/>
          <w:sz w:val="28"/>
          <w:szCs w:val="28"/>
          <w:lang w:val="es-ES" w:eastAsia="es-ES"/>
        </w:rPr>
        <w:t>Comisión de la Jurisdicción Penal</w:t>
      </w:r>
      <w:bookmarkEnd w:id="282"/>
      <w:r w:rsidRPr="002A7673">
        <w:rPr>
          <w:rFonts w:ascii="Times New Roman" w:eastAsia="Times New Roman" w:hAnsi="Times New Roman" w:cs="Times New Roman"/>
          <w:bCs/>
          <w:sz w:val="28"/>
          <w:szCs w:val="28"/>
          <w:lang w:val="es-ES" w:eastAsia="es-ES"/>
        </w:rPr>
        <w:t>, mediante oficio N° CJP059-2021 del 29 de abril de 2021, comunicó:</w:t>
      </w:r>
    </w:p>
    <w:p w14:paraId="7420487D" w14:textId="2C4297AF" w:rsidR="0046687B" w:rsidRPr="002A7673" w:rsidRDefault="0046687B" w:rsidP="00D3063E">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“En razón de la situación de emergencia sanitaria decretada por el Poder Ejecutivo mediante Decreto N°42227-MS del 16 de marzo del 2020 debido al aumento de contagios por la enfermedad del COVID-19, y que actualmente está en vigencia, y en consideración de la coordinación que se mantiene con los jerarcas del Ministerio de Salud  y el llamado que se ha hecho, con el fin de que desde la jurisdicción penal se atienda diligente y oportunamente las solicitudes de allanamiento que presentan tanto el Ministerio de Salud como el Ministerio Público, la Comisión de la Jurisdicción Penal, tomó el siguiente acuerdo.</w:t>
      </w:r>
    </w:p>
    <w:p w14:paraId="6216BC02" w14:textId="22EE3A5F" w:rsidR="0046687B" w:rsidRPr="002A7673" w:rsidRDefault="0046687B" w:rsidP="00D3063E">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La Comisión estima necesario realizar un respetuoso recordatorio a todas las personas juzgadoras coordinadoras de los Juzgados Penales ordinarios y de Turno Extraordinario, así como de los Juzgados Contravencionales, sobre la competencia funcional delegada por la Ley General de Salud, en el artículo 347, para autorizar allanamientos, entendiéndose que se trata de hipótesis distintas a las que contemplan los artículos 193 y 194 del Código Procesal Penal.</w:t>
      </w:r>
    </w:p>
    <w:p w14:paraId="1D379569"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roofErr w:type="gramStart"/>
      <w:r w:rsidRPr="002A7673">
        <w:rPr>
          <w:rFonts w:ascii="Times New Roman" w:eastAsia="Times New Roman" w:hAnsi="Times New Roman" w:cs="Times New Roman"/>
          <w:sz w:val="26"/>
          <w:szCs w:val="26"/>
          <w:lang w:val="es-ES" w:eastAsia="es-ES"/>
        </w:rPr>
        <w:t>En razón de</w:t>
      </w:r>
      <w:proofErr w:type="gramEnd"/>
      <w:r w:rsidRPr="002A7673">
        <w:rPr>
          <w:rFonts w:ascii="Times New Roman" w:eastAsia="Times New Roman" w:hAnsi="Times New Roman" w:cs="Times New Roman"/>
          <w:sz w:val="26"/>
          <w:szCs w:val="26"/>
          <w:lang w:val="es-ES" w:eastAsia="es-ES"/>
        </w:rPr>
        <w:t xml:space="preserve"> la emergencia nacional decretada, el ordenamiento jurídico costarricense establece la posibilidad de intervención jurisdiccional en dos supuestos. El primero de ellos para </w:t>
      </w:r>
      <w:r w:rsidRPr="002A7673">
        <w:rPr>
          <w:rFonts w:ascii="Times New Roman" w:eastAsia="Times New Roman" w:hAnsi="Times New Roman" w:cs="Times New Roman"/>
          <w:sz w:val="26"/>
          <w:szCs w:val="26"/>
          <w:lang w:val="es-ES" w:eastAsia="es-ES"/>
        </w:rPr>
        <w:lastRenderedPageBreak/>
        <w:t xml:space="preserve">garantizar la posibilidad de efectuar un acto administrativo, como lo es la ejecución de una inspección sanitaria, en un sitio no abierto al público y donde no se les permita el ingreso a las personas funcionarias del Ministerio de Salud o bien de la Fuerza Pública, a quienes se le haya delegado esa competencia. </w:t>
      </w:r>
    </w:p>
    <w:p w14:paraId="786B9A35"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
    <w:p w14:paraId="5307E4E1"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b/>
          <w:bCs/>
          <w:sz w:val="26"/>
          <w:szCs w:val="26"/>
          <w:lang w:val="es-ES" w:eastAsia="es-ES"/>
        </w:rPr>
        <w:t>Allanamiento por competencia funcional según los artículos 346 y 347 de la Ley General de Salud</w:t>
      </w:r>
    </w:p>
    <w:p w14:paraId="70E46EDE"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Debe tenerse en consideración que la Ley General de Salud número 5395, en la Sección II “</w:t>
      </w:r>
      <w:r w:rsidRPr="002A7673">
        <w:rPr>
          <w:rFonts w:ascii="Times New Roman" w:eastAsia="Times New Roman" w:hAnsi="Times New Roman" w:cs="Times New Roman"/>
          <w:i/>
          <w:iCs/>
          <w:sz w:val="26"/>
          <w:szCs w:val="26"/>
          <w:lang w:val="es-ES" w:eastAsia="es-ES"/>
        </w:rPr>
        <w:t>De las inspecciones y otras diligencias</w:t>
      </w:r>
      <w:r w:rsidRPr="002A7673">
        <w:rPr>
          <w:rFonts w:ascii="Times New Roman" w:eastAsia="Times New Roman" w:hAnsi="Times New Roman" w:cs="Times New Roman"/>
          <w:sz w:val="26"/>
          <w:szCs w:val="26"/>
          <w:lang w:val="es-ES" w:eastAsia="es-ES"/>
        </w:rPr>
        <w:t>”, dispone lo siguiente:</w:t>
      </w:r>
    </w:p>
    <w:p w14:paraId="067E2068" w14:textId="77777777" w:rsidR="0046687B" w:rsidRPr="002A7673" w:rsidRDefault="0046687B" w:rsidP="0046687B">
      <w:pPr>
        <w:ind w:left="851" w:right="851" w:firstLine="709"/>
        <w:contextualSpacing/>
        <w:jc w:val="both"/>
        <w:rPr>
          <w:rFonts w:ascii="Times New Roman" w:eastAsia="Times New Roman" w:hAnsi="Times New Roman" w:cs="Times New Roman"/>
          <w:sz w:val="26"/>
          <w:szCs w:val="26"/>
          <w:lang w:val="es-ES" w:eastAsia="es-CR"/>
        </w:rPr>
      </w:pPr>
    </w:p>
    <w:p w14:paraId="2FADDCAC" w14:textId="77777777" w:rsidR="0046687B" w:rsidRPr="002A7673" w:rsidRDefault="0046687B" w:rsidP="0046687B">
      <w:pPr>
        <w:ind w:left="851" w:right="851" w:firstLine="709"/>
        <w:contextualSpacing/>
        <w:jc w:val="both"/>
        <w:rPr>
          <w:rFonts w:ascii="Times New Roman" w:eastAsia="Times New Roman" w:hAnsi="Times New Roman" w:cs="Times New Roman"/>
          <w:i/>
          <w:iCs/>
          <w:sz w:val="26"/>
          <w:szCs w:val="26"/>
          <w:lang w:val="es-ES" w:eastAsia="es-CR"/>
        </w:rPr>
      </w:pPr>
      <w:r w:rsidRPr="002A7673">
        <w:rPr>
          <w:rFonts w:ascii="Times New Roman" w:eastAsia="Times New Roman" w:hAnsi="Times New Roman" w:cs="Times New Roman"/>
          <w:i/>
          <w:iCs/>
          <w:sz w:val="26"/>
          <w:szCs w:val="26"/>
          <w:lang w:val="es-ES" w:eastAsia="es-CR"/>
        </w:rPr>
        <w:t xml:space="preserve">“Artículo 346.- Para los efectos de llevar a cabo el efectivo control del cumplimiento de las disposiciones de esta ley y de sus reglamentos, de resoluciones complementarias que las autoridades de salud dicten dentro de sus competencias, podrán los funcionarios dependientes del Ministerio, debidamente identificados, </w:t>
      </w:r>
      <w:r w:rsidRPr="002A7673">
        <w:rPr>
          <w:rFonts w:ascii="Times New Roman" w:eastAsia="Times New Roman" w:hAnsi="Times New Roman" w:cs="Times New Roman"/>
          <w:b/>
          <w:bCs/>
          <w:i/>
          <w:iCs/>
          <w:sz w:val="26"/>
          <w:szCs w:val="26"/>
          <w:lang w:val="es-ES" w:eastAsia="es-CR"/>
        </w:rPr>
        <w:t>hacer inspecciones o visitas para practicar operaciones sanitarias, recoger muestras o recolectar antecedentes o pruebas</w:t>
      </w:r>
      <w:r w:rsidRPr="002A7673">
        <w:rPr>
          <w:rFonts w:ascii="Times New Roman" w:eastAsia="Times New Roman" w:hAnsi="Times New Roman" w:cs="Times New Roman"/>
          <w:i/>
          <w:iCs/>
          <w:sz w:val="26"/>
          <w:szCs w:val="26"/>
          <w:lang w:val="es-ES" w:eastAsia="es-CR"/>
        </w:rPr>
        <w:t>, en edificios, viviendas y establecimientos industriales, de comercio y en cualquier lugar en el que pudieran perpetrarse infracciones a las leyes y reglamentos y resoluciones aludidos.</w:t>
      </w:r>
    </w:p>
    <w:p w14:paraId="3BF77060" w14:textId="77777777" w:rsidR="0046687B" w:rsidRPr="002A7673" w:rsidRDefault="0046687B" w:rsidP="0046687B">
      <w:pPr>
        <w:ind w:left="851" w:right="851" w:firstLine="709"/>
        <w:contextualSpacing/>
        <w:jc w:val="both"/>
        <w:rPr>
          <w:rFonts w:ascii="Times New Roman" w:eastAsia="Times New Roman" w:hAnsi="Times New Roman" w:cs="Times New Roman"/>
          <w:i/>
          <w:iCs/>
          <w:sz w:val="26"/>
          <w:szCs w:val="26"/>
          <w:lang w:val="es-ES" w:eastAsia="es-CR"/>
        </w:rPr>
      </w:pPr>
      <w:r w:rsidRPr="002A7673">
        <w:rPr>
          <w:rFonts w:ascii="Times New Roman" w:eastAsia="Times New Roman" w:hAnsi="Times New Roman" w:cs="Times New Roman"/>
          <w:i/>
          <w:iCs/>
          <w:sz w:val="26"/>
          <w:szCs w:val="26"/>
          <w:lang w:val="es-ES" w:eastAsia="es-CR"/>
        </w:rPr>
        <w:br/>
        <w:t>Tales diligencias deberán practicarse durante el día, entre las seis y dieciocho horas y los particulares están en la obligación de facilitarles de inmediato. La limitación horaria no regirá para las inspecciones relativas al control de alimentos, de estupefacientes, alucinógenos y sustancias psicotrópicas capaces de producir por su uso, dependencia psíquica o física.</w:t>
      </w:r>
      <w:bookmarkStart w:id="283" w:name="_Hlk70416068"/>
      <w:bookmarkEnd w:id="283"/>
    </w:p>
    <w:p w14:paraId="1E9EEE11"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
    <w:p w14:paraId="521FB7D3" w14:textId="77777777" w:rsidR="0046687B" w:rsidRPr="002A7673" w:rsidRDefault="0046687B" w:rsidP="0046687B">
      <w:pPr>
        <w:ind w:left="851" w:right="851" w:firstLine="709"/>
        <w:contextualSpacing/>
        <w:jc w:val="both"/>
        <w:rPr>
          <w:rFonts w:ascii="Times New Roman" w:eastAsia="Times New Roman" w:hAnsi="Times New Roman" w:cs="Times New Roman"/>
          <w:i/>
          <w:iCs/>
          <w:sz w:val="26"/>
          <w:szCs w:val="26"/>
          <w:lang w:val="es-ES"/>
        </w:rPr>
      </w:pPr>
      <w:r w:rsidRPr="002A7673">
        <w:rPr>
          <w:rFonts w:ascii="Times New Roman" w:eastAsia="Times New Roman" w:hAnsi="Times New Roman" w:cs="Times New Roman"/>
          <w:i/>
          <w:iCs/>
          <w:sz w:val="26"/>
          <w:szCs w:val="26"/>
          <w:lang w:val="es-ES"/>
        </w:rPr>
        <w:t xml:space="preserve">Artículo 347.- </w:t>
      </w:r>
      <w:r w:rsidRPr="002A7673">
        <w:rPr>
          <w:rFonts w:ascii="Times New Roman" w:eastAsia="Times New Roman" w:hAnsi="Times New Roman" w:cs="Times New Roman"/>
          <w:b/>
          <w:bCs/>
          <w:i/>
          <w:iCs/>
          <w:sz w:val="26"/>
          <w:szCs w:val="26"/>
          <w:lang w:val="es-ES"/>
        </w:rPr>
        <w:t>En el caso que las personas físicas o jurídicas impidieren la entrada o acceso a los lugares o inmuebles o interfirieren con la actuación de los funcionarios o se negaren a la entrega de muestras y antecedentes, podrá la autoridad de salud solicitar de la autoridad judicial la orden de allanamiento</w:t>
      </w:r>
      <w:r w:rsidRPr="002A7673">
        <w:rPr>
          <w:rFonts w:ascii="Times New Roman" w:eastAsia="Times New Roman" w:hAnsi="Times New Roman" w:cs="Times New Roman"/>
          <w:i/>
          <w:iCs/>
          <w:sz w:val="26"/>
          <w:szCs w:val="26"/>
          <w:lang w:val="es-ES"/>
        </w:rPr>
        <w:t xml:space="preserve">, la que deberá ser dictada dentro de las veinticuatro horas naturales de solicitada. </w:t>
      </w:r>
    </w:p>
    <w:p w14:paraId="25DBF597" w14:textId="77777777" w:rsidR="0046687B" w:rsidRPr="002A7673" w:rsidRDefault="0046687B" w:rsidP="0046687B">
      <w:pPr>
        <w:ind w:left="851" w:right="851" w:firstLine="709"/>
        <w:contextualSpacing/>
        <w:jc w:val="both"/>
        <w:rPr>
          <w:rFonts w:ascii="Times New Roman" w:eastAsia="Calibri" w:hAnsi="Times New Roman" w:cs="Times New Roman"/>
          <w:sz w:val="26"/>
          <w:szCs w:val="26"/>
          <w:lang w:val="es-ES"/>
        </w:rPr>
      </w:pPr>
    </w:p>
    <w:p w14:paraId="026976D4" w14:textId="77777777" w:rsidR="0046687B" w:rsidRPr="002A7673" w:rsidRDefault="0046687B" w:rsidP="0046687B">
      <w:pPr>
        <w:ind w:left="851" w:right="851" w:firstLine="709"/>
        <w:contextualSpacing/>
        <w:jc w:val="both"/>
        <w:rPr>
          <w:rFonts w:ascii="Times New Roman" w:eastAsia="Calibri" w:hAnsi="Times New Roman" w:cs="Times New Roman"/>
          <w:i/>
          <w:iCs/>
          <w:sz w:val="26"/>
          <w:szCs w:val="26"/>
          <w:lang w:val="es-ES"/>
        </w:rPr>
      </w:pPr>
      <w:r w:rsidRPr="002A7673">
        <w:rPr>
          <w:rFonts w:ascii="Times New Roman" w:eastAsia="Calibri" w:hAnsi="Times New Roman" w:cs="Times New Roman"/>
          <w:i/>
          <w:iCs/>
          <w:sz w:val="26"/>
          <w:szCs w:val="26"/>
          <w:lang w:val="es-ES"/>
        </w:rPr>
        <w:t>Los funcionarios del Ministerio a quien se les encomiende tal diligencia practicarán el allanamiento debiendo sujetarse a las disposiciones legales pertinentes y a las disposiciones administrativas y técnicas de procedimientos del Ministerio.</w:t>
      </w:r>
    </w:p>
    <w:p w14:paraId="230055BF" w14:textId="77777777" w:rsidR="0046687B" w:rsidRPr="002A7673" w:rsidRDefault="0046687B" w:rsidP="0046687B">
      <w:pPr>
        <w:ind w:left="851" w:right="851" w:firstLine="709"/>
        <w:contextualSpacing/>
        <w:jc w:val="both"/>
        <w:rPr>
          <w:rFonts w:ascii="Times New Roman" w:eastAsia="Calibri" w:hAnsi="Times New Roman" w:cs="Times New Roman"/>
          <w:i/>
          <w:iCs/>
          <w:sz w:val="26"/>
          <w:szCs w:val="26"/>
          <w:lang w:val="es-ES"/>
        </w:rPr>
      </w:pPr>
    </w:p>
    <w:p w14:paraId="5EE632BD" w14:textId="77777777" w:rsidR="0046687B" w:rsidRPr="002A7673" w:rsidRDefault="0046687B" w:rsidP="0046687B">
      <w:pPr>
        <w:ind w:left="851" w:right="851" w:firstLine="709"/>
        <w:contextualSpacing/>
        <w:jc w:val="both"/>
        <w:rPr>
          <w:rFonts w:ascii="Times New Roman" w:eastAsia="Calibri" w:hAnsi="Times New Roman" w:cs="Times New Roman"/>
          <w:sz w:val="26"/>
          <w:szCs w:val="26"/>
          <w:lang w:val="es-ES"/>
        </w:rPr>
      </w:pPr>
      <w:r w:rsidRPr="002A7673">
        <w:rPr>
          <w:rFonts w:ascii="Times New Roman" w:eastAsia="Calibri" w:hAnsi="Times New Roman" w:cs="Times New Roman"/>
          <w:b/>
          <w:bCs/>
          <w:i/>
          <w:iCs/>
          <w:sz w:val="26"/>
          <w:szCs w:val="26"/>
          <w:lang w:val="es-ES"/>
        </w:rPr>
        <w:t>El allanamiento tendrá por objeto realizar únicamente la diligencia específica para la que ha sido solicitada por la autoridad de salud y los funcionarios que la cumplan responderán de todo perjuicio innecesario causado por su actuación o por la extralimitación en sus funciones</w:t>
      </w:r>
      <w:r w:rsidRPr="002A7673">
        <w:rPr>
          <w:rFonts w:ascii="Times New Roman" w:eastAsia="Calibri" w:hAnsi="Times New Roman" w:cs="Times New Roman"/>
          <w:sz w:val="26"/>
          <w:szCs w:val="26"/>
          <w:lang w:val="es-ES"/>
        </w:rPr>
        <w:t xml:space="preserve">. </w:t>
      </w:r>
    </w:p>
    <w:p w14:paraId="40356FE6" w14:textId="77777777" w:rsidR="0046687B" w:rsidRPr="002A7673" w:rsidRDefault="0046687B" w:rsidP="0046687B">
      <w:pPr>
        <w:ind w:left="851" w:right="851" w:firstLine="709"/>
        <w:contextualSpacing/>
        <w:jc w:val="both"/>
        <w:rPr>
          <w:rFonts w:ascii="Times New Roman" w:eastAsia="Calibri" w:hAnsi="Times New Roman" w:cs="Times New Roman"/>
          <w:sz w:val="26"/>
          <w:szCs w:val="26"/>
          <w:lang w:val="es-ES"/>
        </w:rPr>
      </w:pPr>
    </w:p>
    <w:p w14:paraId="5D12B254" w14:textId="77777777" w:rsidR="0046687B" w:rsidRPr="002A7673" w:rsidRDefault="0046687B" w:rsidP="0046687B">
      <w:pPr>
        <w:ind w:left="851" w:right="851" w:firstLine="709"/>
        <w:jc w:val="both"/>
        <w:rPr>
          <w:rFonts w:ascii="Times New Roman" w:eastAsia="Times New Roman" w:hAnsi="Times New Roman" w:cs="Times New Roman"/>
          <w:i/>
          <w:iCs/>
          <w:sz w:val="26"/>
          <w:szCs w:val="26"/>
          <w:lang w:val="es-ES" w:eastAsia="es-ES"/>
        </w:rPr>
      </w:pPr>
      <w:r w:rsidRPr="002A7673">
        <w:rPr>
          <w:rFonts w:ascii="Times New Roman" w:eastAsia="Times New Roman" w:hAnsi="Times New Roman" w:cs="Times New Roman"/>
          <w:i/>
          <w:iCs/>
          <w:sz w:val="26"/>
          <w:szCs w:val="26"/>
          <w:lang w:val="es-ES" w:eastAsia="es-ES"/>
        </w:rPr>
        <w:t>Artículo 348.- Las autoridades de salud podrán solicitar el auxilio de la fuerza pública y de las otras autoridades administrativas para llevar a cabo las actuaciones inherentes a su cargo para las cuales hayan sido especialmente comisionados.</w:t>
      </w:r>
    </w:p>
    <w:p w14:paraId="3150304F" w14:textId="77777777" w:rsidR="0046687B" w:rsidRPr="002A7673" w:rsidRDefault="0046687B" w:rsidP="0046687B">
      <w:pPr>
        <w:ind w:left="851" w:right="851" w:firstLine="709"/>
        <w:jc w:val="both"/>
        <w:rPr>
          <w:rFonts w:ascii="Times New Roman" w:eastAsia="Times New Roman" w:hAnsi="Times New Roman" w:cs="Times New Roman"/>
          <w:i/>
          <w:iCs/>
          <w:sz w:val="26"/>
          <w:szCs w:val="26"/>
          <w:lang w:val="es-ES" w:eastAsia="es-ES"/>
        </w:rPr>
      </w:pPr>
    </w:p>
    <w:p w14:paraId="6C5A20D6"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i/>
          <w:iCs/>
          <w:sz w:val="26"/>
          <w:szCs w:val="26"/>
          <w:lang w:val="es-ES" w:eastAsia="es-ES"/>
        </w:rPr>
        <w:t>Artículo 349.- Tendrán carácter de autoridad de salud los funcionarios del Ministerio que desempeñen cargos de inspección que hayan sido especialmente comisionados para la comprobación de infracciones a esta ley o a sus reglamentos, tendrán fe pública en cuanto a las denuncias que se formulen contra personas físicas o jurídicas por hechos o actos que involucren infracción a tales disposiciones o que constituyen delito. Tendrán este mismo carácter los Inspectores de Cuarentena Agropecuaria del Ministerio de Agricultura y Ganadería.</w:t>
      </w:r>
      <w:r w:rsidRPr="002A7673">
        <w:rPr>
          <w:rFonts w:ascii="Times New Roman" w:eastAsia="Times New Roman" w:hAnsi="Times New Roman" w:cs="Times New Roman"/>
          <w:sz w:val="26"/>
          <w:szCs w:val="26"/>
          <w:lang w:val="es-ES" w:eastAsia="es-ES"/>
        </w:rPr>
        <w:t>”</w:t>
      </w:r>
    </w:p>
    <w:p w14:paraId="58AA9F49"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
    <w:p w14:paraId="24ADA2F1" w14:textId="77777777" w:rsidR="0046687B" w:rsidRPr="002A7673" w:rsidRDefault="0046687B" w:rsidP="0046687B">
      <w:pPr>
        <w:ind w:left="851" w:right="851" w:firstLine="709"/>
        <w:jc w:val="both"/>
        <w:rPr>
          <w:rFonts w:ascii="Times New Roman" w:eastAsia="Times New Roman" w:hAnsi="Times New Roman" w:cs="Times New Roman"/>
          <w:sz w:val="26"/>
          <w:szCs w:val="26"/>
          <w:shd w:val="clear" w:color="auto" w:fill="FFFFFF"/>
          <w:lang w:val="es-ES" w:eastAsia="es-ES"/>
        </w:rPr>
      </w:pPr>
      <w:r w:rsidRPr="002A7673">
        <w:rPr>
          <w:rFonts w:ascii="Times New Roman" w:eastAsia="Times New Roman" w:hAnsi="Times New Roman" w:cs="Times New Roman"/>
          <w:sz w:val="26"/>
          <w:szCs w:val="26"/>
          <w:shd w:val="clear" w:color="auto" w:fill="FFFFFF"/>
          <w:lang w:val="es-ES" w:eastAsia="es-ES"/>
        </w:rPr>
        <w:t>Según la referida Ley, este tipo de allanamiento tiene como objetivo “</w:t>
      </w:r>
      <w:r w:rsidRPr="002A7673">
        <w:rPr>
          <w:rFonts w:ascii="Times New Roman" w:eastAsia="Times New Roman" w:hAnsi="Times New Roman" w:cs="Times New Roman"/>
          <w:b/>
          <w:bCs/>
          <w:i/>
          <w:iCs/>
          <w:sz w:val="26"/>
          <w:szCs w:val="26"/>
          <w:lang w:val="es-ES" w:eastAsia="es-CR"/>
        </w:rPr>
        <w:t>hacer inspecciones o visitas para practicar operaciones sanitarias, recoger muestras o recolectar antecedentes o pruebas</w:t>
      </w:r>
      <w:r w:rsidRPr="002A7673">
        <w:rPr>
          <w:rFonts w:ascii="Times New Roman" w:eastAsia="Times New Roman" w:hAnsi="Times New Roman" w:cs="Times New Roman"/>
          <w:i/>
          <w:iCs/>
          <w:sz w:val="26"/>
          <w:szCs w:val="26"/>
          <w:lang w:val="es-ES" w:eastAsia="es-CR"/>
        </w:rPr>
        <w:t>”</w:t>
      </w:r>
      <w:r w:rsidRPr="002A7673">
        <w:rPr>
          <w:rFonts w:ascii="Times New Roman" w:eastAsia="Times New Roman" w:hAnsi="Times New Roman" w:cs="Times New Roman"/>
          <w:sz w:val="26"/>
          <w:szCs w:val="26"/>
          <w:shd w:val="clear" w:color="auto" w:fill="FFFFFF"/>
          <w:lang w:val="es-ES" w:eastAsia="es-ES"/>
        </w:rPr>
        <w:t>, de manera que los funcionarios del Ministerio de Salud pueden pedir al juez que dicte la orden de allanamiento y hacerse acompañar por funcionarios (as) de la Fuerza Pública y/o de las Policías Municipales, para lograr su cometido. </w:t>
      </w:r>
    </w:p>
    <w:p w14:paraId="3450AED9"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
    <w:p w14:paraId="1650969F"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lastRenderedPageBreak/>
        <w:t xml:space="preserve">Sobre estos allanamientos, debe tenerse presente que la Comisión de la Jurisdicción Penal ya se ha pronunciado antes, concretamente en la consulta constante en el oficio CJP028-18, en la que se concluyó que los Juzgados contravencionales por la competencia funcional otorgada por la misma Ley General de Salud, también eran competentes para realizar estos allanamientos, conforme a lo dispuesto en el artículo 347. Posteriormente, el Tribunal de Apelación de Sentencia del Segundo Circuito Judicial de San José, conociendo un conflicto de competencia suscitado entre el Juzgado Penal y el Juzgado Contravencional, ambos de aquella misma jurisdicción, mediante sentencia número 00787 – 2018, sostuvo la misma tesis, en el entendido que donde no exista juzgado contravencional o bien se requiera la diligencia en horas no hábiles, debe conocer el juzgado penal. </w:t>
      </w:r>
    </w:p>
    <w:p w14:paraId="2CAF18CC"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
    <w:p w14:paraId="54570514"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Para la realización de estos allanamientos fuera de la jornada ordinaria, también se ha pronunciado el Consejo Superior en la sesión 74-20 del 23 de julio del 2020, artículo XXI, Circular 174-2020 publicada el 20 de agosto de 2020, donde dispuso que en lo “</w:t>
      </w:r>
      <w:r w:rsidRPr="002A7673">
        <w:rPr>
          <w:rFonts w:ascii="Times New Roman" w:eastAsia="Times New Roman" w:hAnsi="Times New Roman" w:cs="Times New Roman"/>
          <w:i/>
          <w:iCs/>
          <w:sz w:val="26"/>
          <w:szCs w:val="26"/>
          <w:lang w:val="es-ES" w:eastAsia="es-ES"/>
        </w:rPr>
        <w:t xml:space="preserve">referente a la competencia funcional de los Juzgados Contravencionales y Penales, tanto de turno ordinario como extraordinario, en general, para abordar las solicitudes de órdenes de allanamiento por parte del Ministerio de Salud </w:t>
      </w:r>
      <w:r w:rsidRPr="002A7673">
        <w:rPr>
          <w:rFonts w:ascii="Times New Roman" w:eastAsia="Times New Roman" w:hAnsi="Times New Roman" w:cs="Times New Roman"/>
          <w:sz w:val="26"/>
          <w:szCs w:val="26"/>
          <w:lang w:val="es-ES" w:eastAsia="es-ES"/>
        </w:rPr>
        <w:t>(…)</w:t>
      </w:r>
      <w:r w:rsidRPr="002A7673">
        <w:rPr>
          <w:rFonts w:ascii="Times New Roman" w:eastAsia="Times New Roman" w:hAnsi="Times New Roman" w:cs="Times New Roman"/>
          <w:i/>
          <w:iCs/>
          <w:sz w:val="26"/>
          <w:szCs w:val="26"/>
          <w:lang w:val="es-ES" w:eastAsia="es-ES"/>
        </w:rPr>
        <w:t xml:space="preserve"> en las causas que corresponden a una contravención, en caso de presentarse la solicitud en horario no hábil y en fines de semana tanto en el Primer como en el Segundo Circuito Judicial de San José, deberán ser atendidas por el Juzgado Penal de Turno Extraordinario de la zona correspondiente; y en los circuitos donde no exista este tipo de despacho (el resto del país menos San José) se atienda con la disponibilidad del Juzgado Penal de cada zona, entendiendo que el Juzgado Contravencional no atiende disponibilidad</w:t>
      </w:r>
      <w:r w:rsidRPr="002A7673">
        <w:rPr>
          <w:rFonts w:ascii="Times New Roman" w:eastAsia="Times New Roman" w:hAnsi="Times New Roman" w:cs="Times New Roman"/>
          <w:sz w:val="26"/>
          <w:szCs w:val="26"/>
          <w:lang w:val="es-ES" w:eastAsia="es-ES"/>
        </w:rPr>
        <w:t>.”</w:t>
      </w:r>
    </w:p>
    <w:p w14:paraId="296AA83C"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
    <w:p w14:paraId="7BC4C2B6"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En criterio de esta Comisión, y de conformidad con la normativa antes referida los funcionarios del Ministerio de Salud están facultados por Ley para solicitar directamente ante el Juez Penal o Contravencional competente, la orden de allanamiento para </w:t>
      </w:r>
      <w:r w:rsidRPr="002A7673">
        <w:rPr>
          <w:rFonts w:ascii="Times New Roman" w:eastAsia="Times New Roman" w:hAnsi="Times New Roman" w:cs="Times New Roman"/>
          <w:sz w:val="26"/>
          <w:szCs w:val="26"/>
          <w:lang w:val="es-ES" w:eastAsia="es-CR"/>
        </w:rPr>
        <w:t xml:space="preserve">hacer inspecciones o visitas para practicar operaciones sanitarias, recoger </w:t>
      </w:r>
      <w:r w:rsidRPr="002A7673">
        <w:rPr>
          <w:rFonts w:ascii="Times New Roman" w:eastAsia="Times New Roman" w:hAnsi="Times New Roman" w:cs="Times New Roman"/>
          <w:sz w:val="26"/>
          <w:szCs w:val="26"/>
          <w:lang w:val="es-ES" w:eastAsia="es-CR"/>
        </w:rPr>
        <w:lastRenderedPageBreak/>
        <w:t xml:space="preserve">muestras o recolectar antecedentes o pruebas, en edificios, viviendas y establecimientos industriales, de comercio y en cualquier lugar en el que pudieran perpetrarse infracciones a las leyes y reglamentos y resoluciones aludidos. Esta gestión deberá hacerse de forma motivada, explicando la urgencia y necesidad de realizar la diligencia, por la existencia de alguna de las situaciones previstas en el artículo 346 de la Ley General de Salud, considerando la franja horaria de las seis a las dieciocho horas que establece la propia normativa entre las seis y las dieciocho horas. </w:t>
      </w:r>
    </w:p>
    <w:p w14:paraId="466EB3CE" w14:textId="77777777" w:rsidR="0046687B" w:rsidRPr="002A7673" w:rsidRDefault="0046687B" w:rsidP="0046687B">
      <w:pPr>
        <w:ind w:left="851" w:right="851" w:firstLine="709"/>
        <w:jc w:val="both"/>
        <w:rPr>
          <w:rFonts w:ascii="Times New Roman" w:eastAsia="Times New Roman" w:hAnsi="Times New Roman" w:cs="Times New Roman"/>
          <w:b/>
          <w:bCs/>
          <w:sz w:val="26"/>
          <w:szCs w:val="26"/>
          <w:lang w:val="es-ES" w:eastAsia="es-ES"/>
        </w:rPr>
      </w:pPr>
    </w:p>
    <w:p w14:paraId="1FF4D110" w14:textId="77777777" w:rsidR="0046687B" w:rsidRPr="002A7673" w:rsidRDefault="0046687B" w:rsidP="0046687B">
      <w:pPr>
        <w:ind w:left="851" w:right="851" w:firstLine="709"/>
        <w:jc w:val="both"/>
        <w:rPr>
          <w:rFonts w:ascii="Times New Roman" w:eastAsia="Times New Roman" w:hAnsi="Times New Roman" w:cs="Times New Roman"/>
          <w:b/>
          <w:bCs/>
          <w:sz w:val="26"/>
          <w:szCs w:val="26"/>
          <w:lang w:val="es-ES" w:eastAsia="es-ES"/>
        </w:rPr>
      </w:pPr>
      <w:r w:rsidRPr="002A7673">
        <w:rPr>
          <w:rFonts w:ascii="Times New Roman" w:eastAsia="Times New Roman" w:hAnsi="Times New Roman" w:cs="Times New Roman"/>
          <w:b/>
          <w:bCs/>
          <w:sz w:val="26"/>
          <w:szCs w:val="26"/>
          <w:lang w:val="es-ES" w:eastAsia="es-ES"/>
        </w:rPr>
        <w:t>En cuanto al delito de “violación de medidas sanitarias”</w:t>
      </w:r>
    </w:p>
    <w:p w14:paraId="0E050385"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Por otra parte, también es preciso señalar que en la Sección IV del Código Penal se establecen los “</w:t>
      </w:r>
      <w:r w:rsidRPr="002A7673">
        <w:rPr>
          <w:rFonts w:ascii="Times New Roman" w:eastAsia="Times New Roman" w:hAnsi="Times New Roman" w:cs="Times New Roman"/>
          <w:i/>
          <w:iCs/>
          <w:sz w:val="26"/>
          <w:szCs w:val="26"/>
          <w:lang w:val="es-ES" w:eastAsia="es-ES"/>
        </w:rPr>
        <w:t>Delitos contra la salud pública</w:t>
      </w:r>
      <w:r w:rsidRPr="002A7673">
        <w:rPr>
          <w:rFonts w:ascii="Times New Roman" w:eastAsia="Times New Roman" w:hAnsi="Times New Roman" w:cs="Times New Roman"/>
          <w:sz w:val="26"/>
          <w:szCs w:val="26"/>
          <w:lang w:val="es-ES" w:eastAsia="es-ES"/>
        </w:rPr>
        <w:t>”, y particularmente el delito de “</w:t>
      </w:r>
      <w:r w:rsidRPr="002A7673">
        <w:rPr>
          <w:rFonts w:ascii="Times New Roman" w:eastAsia="Times New Roman" w:hAnsi="Times New Roman" w:cs="Times New Roman"/>
          <w:i/>
          <w:iCs/>
          <w:sz w:val="26"/>
          <w:szCs w:val="26"/>
          <w:lang w:val="es-ES" w:eastAsia="es-ES"/>
        </w:rPr>
        <w:t>Violación de medidas sanitarias y violación de medidas para la prevención de epizootias o plagas vegetales</w:t>
      </w:r>
      <w:r w:rsidRPr="002A7673">
        <w:rPr>
          <w:rFonts w:ascii="Times New Roman" w:eastAsia="Times New Roman" w:hAnsi="Times New Roman" w:cs="Times New Roman"/>
          <w:sz w:val="26"/>
          <w:szCs w:val="26"/>
          <w:lang w:val="es-ES" w:eastAsia="es-ES"/>
        </w:rPr>
        <w:t xml:space="preserve">”. </w:t>
      </w:r>
    </w:p>
    <w:p w14:paraId="7164BB56"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
    <w:p w14:paraId="3626938B" w14:textId="20EB200B" w:rsidR="0046687B" w:rsidRPr="002A7673" w:rsidRDefault="0046687B" w:rsidP="0037082C">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En el artículo 277 del Código Penal se establece el delito de violación de medida sanitaria, con pena de prisión de uno a tres años o de cincuenta a doscientos días multa, constituyendo la acción típica la violación de las medidas impuestas por la ley o por las autoridades competentes para impedir la introducción o propagación de una epidemia, entre otras acciones.</w:t>
      </w:r>
    </w:p>
    <w:p w14:paraId="00F71677"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La norma dice lo siguiente:</w:t>
      </w:r>
    </w:p>
    <w:p w14:paraId="222573FA"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w:t>
      </w:r>
      <w:r w:rsidRPr="002A7673">
        <w:rPr>
          <w:rFonts w:ascii="Times New Roman" w:eastAsia="Times New Roman" w:hAnsi="Times New Roman" w:cs="Times New Roman"/>
          <w:i/>
          <w:iCs/>
          <w:sz w:val="26"/>
          <w:szCs w:val="26"/>
          <w:lang w:val="es-ES" w:eastAsia="es-ES"/>
        </w:rPr>
        <w:t>Artículo 277.- Será reprimido con prisión de uno a tres años, o de cincuenta a doscientos días multa, el que violare las medidas impuestas por la ley o por las autoridades competentes para impedir la introducción o propagación de una epidemia, y con prisión de uno a seis meses o de veinte a cien días multa, el que violare las medidas impuestas por la ley o por las autoridades competentes para impedir la introducción o propagación de una epizootia o de una plaga vegetal.</w:t>
      </w:r>
      <w:r w:rsidRPr="002A7673">
        <w:rPr>
          <w:rFonts w:ascii="Times New Roman" w:eastAsia="Times New Roman" w:hAnsi="Times New Roman" w:cs="Times New Roman"/>
          <w:sz w:val="26"/>
          <w:szCs w:val="26"/>
          <w:lang w:val="es-ES" w:eastAsia="es-ES"/>
        </w:rPr>
        <w:t>”</w:t>
      </w:r>
    </w:p>
    <w:p w14:paraId="11DEFFC3"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
    <w:p w14:paraId="330694D3"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Es del conocimiento público que el Poder Ejecutivo mediante Decreto Ejecutivo número 42227-MS emitido el día 16 de marzo de </w:t>
      </w:r>
      <w:r w:rsidRPr="002A7673">
        <w:rPr>
          <w:rFonts w:ascii="Times New Roman" w:eastAsia="Times New Roman" w:hAnsi="Times New Roman" w:cs="Times New Roman"/>
          <w:sz w:val="26"/>
          <w:szCs w:val="26"/>
          <w:lang w:val="es-ES" w:eastAsia="es-ES"/>
        </w:rPr>
        <w:lastRenderedPageBreak/>
        <w:t xml:space="preserve">2020, declaró el estado de emergencia nacional en todo el territorio de la República de Costa Rica, debido a la situación de emergencia sanitaria provocada por la enfermedad COVID-19. Debido a lo anterior, en criterio de esta Comisión, para la determinación de la existencia del ilícito mediante la recolección de pruebas e identificación de los autores del delito, los funcionarios del Ministerio de Salud, así como cualquier otra persona, bien podrían comunicar los hechos de los que tengan conocimiento al Ministerio Público, con el fin de que este inicie la investigación en forma oportuna y, según su criterio, solicitar la orden de allanamiento al juez penal. Lo anterior sin perjuicio de que se actúe con la colaboración de los funcionarios del Ministerio de Salud para la comprobación de infracciones a la Ley General de Salud número 5395 o a sus reglamentos y sus consecuencias administrativas, todo esto último a criterio de la Fiscalía General de la República.  </w:t>
      </w:r>
    </w:p>
    <w:p w14:paraId="1E882E98"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p>
    <w:p w14:paraId="6970476F" w14:textId="77777777" w:rsidR="0046687B" w:rsidRPr="002A7673" w:rsidRDefault="0046687B" w:rsidP="0046687B">
      <w:pPr>
        <w:ind w:left="851" w:right="851" w:firstLine="709"/>
        <w:jc w:val="both"/>
        <w:rPr>
          <w:rFonts w:ascii="Times New Roman" w:eastAsia="Times New Roman" w:hAnsi="Times New Roman" w:cs="Times New Roman"/>
          <w:sz w:val="26"/>
          <w:szCs w:val="26"/>
          <w:lang w:val="es-ES" w:eastAsia="es-ES"/>
        </w:rPr>
      </w:pPr>
      <w:r w:rsidRPr="002A7673">
        <w:rPr>
          <w:rFonts w:ascii="Times New Roman" w:eastAsia="Times New Roman" w:hAnsi="Times New Roman" w:cs="Times New Roman"/>
          <w:sz w:val="26"/>
          <w:szCs w:val="26"/>
          <w:lang w:val="es-ES" w:eastAsia="es-ES"/>
        </w:rPr>
        <w:t xml:space="preserve">Es muy importante que todas solicitudes allanamiento se fundamenten considerado el tema de las violaciones a las medidas sanitarias impuestas por ley y por las autoridades competentes con la finalidad de impedir la propagación del COVID-19, así como la urgencia y necesidad de que se realice después de las dieciocho horas, </w:t>
      </w:r>
      <w:proofErr w:type="gramStart"/>
      <w:r w:rsidRPr="002A7673">
        <w:rPr>
          <w:rFonts w:ascii="Times New Roman" w:eastAsia="Times New Roman" w:hAnsi="Times New Roman" w:cs="Times New Roman"/>
          <w:sz w:val="26"/>
          <w:szCs w:val="26"/>
          <w:lang w:val="es-ES" w:eastAsia="es-ES"/>
        </w:rPr>
        <w:t>en razón de</w:t>
      </w:r>
      <w:proofErr w:type="gramEnd"/>
      <w:r w:rsidRPr="002A7673">
        <w:rPr>
          <w:rFonts w:ascii="Times New Roman" w:eastAsia="Times New Roman" w:hAnsi="Times New Roman" w:cs="Times New Roman"/>
          <w:sz w:val="26"/>
          <w:szCs w:val="26"/>
          <w:lang w:val="es-ES" w:eastAsia="es-ES"/>
        </w:rPr>
        <w:t xml:space="preserve"> la propia naturaleza del evento en el que se estima pertinente intervenir para evitar la propagación de la epidemia.”</w:t>
      </w:r>
    </w:p>
    <w:p w14:paraId="13715717" w14:textId="77777777" w:rsidR="0046687B" w:rsidRPr="002A7673" w:rsidRDefault="0046687B" w:rsidP="0046687B">
      <w:pPr>
        <w:ind w:left="851" w:right="851" w:firstLine="709"/>
        <w:jc w:val="both"/>
        <w:rPr>
          <w:rFonts w:ascii="Times New Roman" w:eastAsia="Times New Roman" w:hAnsi="Times New Roman" w:cs="Times New Roman"/>
          <w:color w:val="000099"/>
          <w:sz w:val="26"/>
          <w:szCs w:val="26"/>
          <w:lang w:val="es-ES" w:eastAsia="es-ES"/>
        </w:rPr>
      </w:pPr>
    </w:p>
    <w:p w14:paraId="7E26BC68" w14:textId="77777777" w:rsidR="0046687B" w:rsidRPr="002A7673" w:rsidRDefault="0046687B" w:rsidP="0046687B">
      <w:pPr>
        <w:ind w:right="851"/>
        <w:jc w:val="center"/>
        <w:rPr>
          <w:rFonts w:ascii="Times New Roman" w:eastAsia="Times New Roman" w:hAnsi="Times New Roman" w:cs="Times New Roman"/>
          <w:sz w:val="28"/>
          <w:szCs w:val="28"/>
          <w:lang w:val="es-ES_tradnl" w:eastAsia="es-ES"/>
        </w:rPr>
      </w:pPr>
      <w:r w:rsidRPr="002A7673">
        <w:rPr>
          <w:rFonts w:ascii="Times New Roman" w:eastAsia="Times New Roman" w:hAnsi="Times New Roman" w:cs="Times New Roman"/>
          <w:sz w:val="28"/>
          <w:szCs w:val="28"/>
          <w:lang w:val="es-ES" w:eastAsia="es-ES"/>
        </w:rPr>
        <w:t>-0-</w:t>
      </w:r>
    </w:p>
    <w:p w14:paraId="0BE9D714" w14:textId="77777777"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t xml:space="preserve">Manifiesta el Magistrado Fernando Cruz Castro, Presidente: “Para que quede constando, es un criterio que le permite a los jueces y a las juezas valorar con otros, las conclusiones sobre el tema, porque el núcleo central de este asunto tiene que ver con la independencia de los jueces. </w:t>
      </w:r>
    </w:p>
    <w:p w14:paraId="24ECD7A2" w14:textId="77777777"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t xml:space="preserve">De manera que para las autoridades de la Corte Plena o del Consejo Superior, resulta muy complicado dictar una directriz que para el ciudadano </w:t>
      </w:r>
      <w:r w:rsidRPr="002A7673">
        <w:rPr>
          <w:rFonts w:ascii="Times New Roman" w:hAnsi="Times New Roman" w:cs="Times New Roman"/>
          <w:color w:val="000000"/>
          <w:sz w:val="28"/>
          <w:szCs w:val="28"/>
          <w:bdr w:val="none" w:sz="0" w:space="0" w:color="auto" w:frame="1"/>
          <w:lang w:val="es-ES" w:eastAsia="es-CR"/>
        </w:rPr>
        <w:lastRenderedPageBreak/>
        <w:t>común parece que la directriz es como un mandato para el juez o jueza. Esta directriz no es más que una interpretación de que elementos habría que tomar en cuenta, pero sí, tenemos la limitación de que cada persona juzgadora tendrá que valorarlo en apego a su independencia constitucional conforme a lo que el funcionamiento organizacional establece.</w:t>
      </w:r>
    </w:p>
    <w:p w14:paraId="2D1932A0" w14:textId="77777777"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t>También, hay que comprender que el Artículo 277 del Código Penal puede tender diversas interpretaciones, lo cual un fallo de la Sala Constitucional analizó.</w:t>
      </w:r>
    </w:p>
    <w:p w14:paraId="3AB7F69F" w14:textId="77777777"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t>Creo que hay que prestarle atención ya desde el punto de vista de formulación legislativa de ley refrenda el contenido de este artículo 277 del Código Penal que es cuando hay una pandemia declarada y se dictan directrices. Dependiendo de cómo se interpreta ese artículo se complica mucho el tema y es porque también existe un pronunciamiento de la Sala Constitucional, que creo que sus efectos podrían minimizarse o extenderse dependiendo de cómo se interprete.</w:t>
      </w:r>
    </w:p>
    <w:p w14:paraId="3E7D0B14" w14:textId="77777777"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t xml:space="preserve">La Circular es importante para que </w:t>
      </w:r>
      <w:proofErr w:type="gramStart"/>
      <w:r w:rsidRPr="002A7673">
        <w:rPr>
          <w:rFonts w:ascii="Times New Roman" w:hAnsi="Times New Roman" w:cs="Times New Roman"/>
          <w:color w:val="000000"/>
          <w:sz w:val="28"/>
          <w:szCs w:val="28"/>
          <w:bdr w:val="none" w:sz="0" w:space="0" w:color="auto" w:frame="1"/>
          <w:lang w:val="es-ES" w:eastAsia="es-CR"/>
        </w:rPr>
        <w:t>los jueces y juezas</w:t>
      </w:r>
      <w:proofErr w:type="gramEnd"/>
      <w:r w:rsidRPr="002A7673">
        <w:rPr>
          <w:rFonts w:ascii="Times New Roman" w:hAnsi="Times New Roman" w:cs="Times New Roman"/>
          <w:color w:val="000000"/>
          <w:sz w:val="28"/>
          <w:szCs w:val="28"/>
          <w:bdr w:val="none" w:sz="0" w:space="0" w:color="auto" w:frame="1"/>
          <w:lang w:val="es-ES" w:eastAsia="es-CR"/>
        </w:rPr>
        <w:t xml:space="preserve"> tengan una serie de valoraciones sobre los elementos que están de por medio en esta situación. Pero al inicio puede dar supuesto y respetando siempre la independencia de cada </w:t>
      </w:r>
      <w:r w:rsidRPr="002A7673">
        <w:rPr>
          <w:rFonts w:ascii="Times New Roman" w:hAnsi="Times New Roman" w:cs="Times New Roman"/>
          <w:color w:val="000000"/>
          <w:sz w:val="28"/>
          <w:szCs w:val="28"/>
          <w:bdr w:val="none" w:sz="0" w:space="0" w:color="auto" w:frame="1"/>
          <w:lang w:val="es-ES" w:eastAsia="es-CR"/>
        </w:rPr>
        <w:lastRenderedPageBreak/>
        <w:t>jueza o juez a la hora de valorar las directrices y las peticiones que deben resolver.</w:t>
      </w:r>
    </w:p>
    <w:p w14:paraId="5E1EC585" w14:textId="1F5A43DF"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t xml:space="preserve">Lo hago porque he percibido que en el común del ciudadano y lo comprendo, de que nosotros podemos desde aquí dictarle mandatos a las personas juzgadoras, lo cual no es posible, lo </w:t>
      </w:r>
      <w:r w:rsidR="007F1543" w:rsidRPr="002A7673">
        <w:rPr>
          <w:rFonts w:ascii="Times New Roman" w:hAnsi="Times New Roman" w:cs="Times New Roman"/>
          <w:color w:val="000000"/>
          <w:sz w:val="28"/>
          <w:szCs w:val="28"/>
          <w:bdr w:val="none" w:sz="0" w:space="0" w:color="auto" w:frame="1"/>
          <w:lang w:val="es-ES" w:eastAsia="es-CR"/>
        </w:rPr>
        <w:t xml:space="preserve">que </w:t>
      </w:r>
      <w:r w:rsidRPr="002A7673">
        <w:rPr>
          <w:rFonts w:ascii="Times New Roman" w:hAnsi="Times New Roman" w:cs="Times New Roman"/>
          <w:color w:val="000000"/>
          <w:sz w:val="28"/>
          <w:szCs w:val="28"/>
          <w:bdr w:val="none" w:sz="0" w:space="0" w:color="auto" w:frame="1"/>
          <w:lang w:val="es-ES" w:eastAsia="es-CR"/>
        </w:rPr>
        <w:t>podemos es darles criterios para que se orienten, pero siempre, respetando en todo momento el principio de independencia judicial.”</w:t>
      </w:r>
    </w:p>
    <w:p w14:paraId="5D8C758D" w14:textId="77777777"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t>Expresa la licenciada Sandra Pizarro Gutiérrez: “Me parece muy importante lo que usted está diciendo y que así se haga constar, caso contrario, nos veríamos casi que frente a un amparo, recientemente conocimos que se le concedió lo que había peticionado la licenciada Melissa Benavidez, en un amparo que se estaba cuestionando su independencia judicial cuando ella estaba ejerciendo como jueza y sobre todo porque el martes pasado la misma Magistrada Patricia Solano nos llamó la atención en una circular que solicitó la Comisión de Familia y esa no hacía la referencia que era esa comisión, entonces ella nos decía tengan cuidado con eso, todas las circulares que vienen fuera de agenda nos pueden hacer incurrir en algún error y al final, quién queda mal somos nosotros.”</w:t>
      </w:r>
    </w:p>
    <w:p w14:paraId="70869430" w14:textId="77777777"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lastRenderedPageBreak/>
        <w:t>Entonces sí me parece muy importante lo que usted está mencionando en cuanto a que no somos nosotros solo lo promulgamos, porque al final de cuentas salen los documentos, sabemos que detrás de esto están las solicitudes de las diferentes comisiones, quienes son los que requieren que se publique el documento, como todo tiene que salir a nombre nuestro, van a pensar que nosotros lo estamos ideando.”</w:t>
      </w:r>
    </w:p>
    <w:p w14:paraId="75EFD9D7" w14:textId="77777777"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t>Agrega el Magistrado Fernando Cruz Castro, Presidente: “De todas maneras esto que he dicho está respaldado por fallos de la Sala, el número de voto no lo tengo a mano en este momento pero la sala a propósito de las directrices y circulares de las comisiones jurisdiccionales dijo que eran elementos de juicio que tenía el juez o jueza pero que no tenían ningún efecto vinculante ni eran obligatorias por el tema de la independencia, lo ha dicho la sala en una acción o en un amparo por ahora no lo tengo claro, pero estoy reiterando lo que la propia sala dispuso.”</w:t>
      </w:r>
    </w:p>
    <w:p w14:paraId="0D84F63C" w14:textId="77777777" w:rsidR="00B16307" w:rsidRPr="002A7673" w:rsidRDefault="00B16307" w:rsidP="00B16307">
      <w:pPr>
        <w:shd w:val="clear" w:color="auto" w:fill="FFFFFF"/>
        <w:spacing w:line="480" w:lineRule="auto"/>
        <w:ind w:firstLine="708"/>
        <w:jc w:val="both"/>
        <w:rPr>
          <w:rFonts w:ascii="Times New Roman" w:hAnsi="Times New Roman" w:cs="Times New Roman"/>
          <w:sz w:val="28"/>
          <w:szCs w:val="28"/>
          <w:bdr w:val="none" w:sz="0" w:space="0" w:color="auto" w:frame="1"/>
          <w:lang w:val="es-ES" w:eastAsia="es-CR"/>
        </w:rPr>
      </w:pPr>
      <w:r w:rsidRPr="002A7673">
        <w:rPr>
          <w:rFonts w:ascii="Times New Roman" w:hAnsi="Times New Roman" w:cs="Times New Roman"/>
          <w:color w:val="000000"/>
          <w:sz w:val="28"/>
          <w:szCs w:val="28"/>
          <w:bdr w:val="none" w:sz="0" w:space="0" w:color="auto" w:frame="1"/>
          <w:lang w:val="es-ES" w:eastAsia="es-CR"/>
        </w:rPr>
        <w:t>Indica el licenciado Carlos Mora Rodríguez: “El voto al cual se hace referencia el magistrado Cruz Castro es el Voto N°13357-11 de la Sala Constitucional”</w:t>
      </w:r>
    </w:p>
    <w:p w14:paraId="5E3C7FE4" w14:textId="77777777" w:rsidR="0046687B" w:rsidRPr="002A7673" w:rsidRDefault="0046687B" w:rsidP="00B16307">
      <w:pPr>
        <w:pStyle w:val="xmsonormal"/>
        <w:shd w:val="clear" w:color="auto" w:fill="FFFFFF"/>
        <w:spacing w:line="330" w:lineRule="atLeast"/>
        <w:rPr>
          <w:color w:val="201F1E"/>
          <w:sz w:val="28"/>
          <w:szCs w:val="28"/>
          <w:bdr w:val="none" w:sz="0" w:space="0" w:color="auto" w:frame="1"/>
          <w:lang w:val="es-ES"/>
        </w:rPr>
      </w:pPr>
    </w:p>
    <w:p w14:paraId="18B27E1C" w14:textId="5EFEC8D5" w:rsidR="0046687B" w:rsidRPr="002A7673" w:rsidRDefault="0046687B" w:rsidP="002A7673">
      <w:pPr>
        <w:pStyle w:val="xmsonormal"/>
        <w:shd w:val="clear" w:color="auto" w:fill="FFFFFF"/>
        <w:spacing w:line="480" w:lineRule="auto"/>
        <w:ind w:firstLine="708"/>
        <w:jc w:val="both"/>
        <w:rPr>
          <w:b/>
          <w:bCs/>
          <w:color w:val="201F1E"/>
          <w:sz w:val="28"/>
          <w:szCs w:val="28"/>
          <w:bdr w:val="none" w:sz="0" w:space="0" w:color="auto" w:frame="1"/>
        </w:rPr>
      </w:pPr>
      <w:r w:rsidRPr="002A7673">
        <w:rPr>
          <w:b/>
          <w:bCs/>
          <w:color w:val="201F1E"/>
          <w:sz w:val="28"/>
          <w:szCs w:val="28"/>
          <w:bdr w:val="none" w:sz="0" w:space="0" w:color="auto" w:frame="1"/>
          <w:lang w:val="es-ES"/>
        </w:rPr>
        <w:t xml:space="preserve">Se acordó: 1) </w:t>
      </w:r>
      <w:r w:rsidRPr="002A7673">
        <w:rPr>
          <w:color w:val="201F1E"/>
          <w:sz w:val="28"/>
          <w:szCs w:val="28"/>
          <w:bdr w:val="none" w:sz="0" w:space="0" w:color="auto" w:frame="1"/>
          <w:lang w:val="es-ES"/>
        </w:rPr>
        <w:t xml:space="preserve">Tomar nota de lo indicado por la magistrada Patricia Solano Castro, en su condición de Presidenta de la Comisión de la Jurisdicción </w:t>
      </w:r>
      <w:r w:rsidRPr="002A7673">
        <w:rPr>
          <w:color w:val="201F1E"/>
          <w:sz w:val="28"/>
          <w:szCs w:val="28"/>
          <w:bdr w:val="none" w:sz="0" w:space="0" w:color="auto" w:frame="1"/>
          <w:lang w:val="es-ES"/>
        </w:rPr>
        <w:lastRenderedPageBreak/>
        <w:t>Penal, mediante Oficio N° CJP059-2021 del 29 de abril de 2021, sobre la a</w:t>
      </w:r>
      <w:r w:rsidRPr="002A7673">
        <w:rPr>
          <w:color w:val="201F1E"/>
          <w:sz w:val="28"/>
          <w:szCs w:val="28"/>
          <w:bdr w:val="none" w:sz="0" w:space="0" w:color="auto" w:frame="1"/>
        </w:rPr>
        <w:t>tención oportuna referente a las solicitudes de allanamiento que presentan tanto el Ministerio de Salud como el Ministerio Público.</w:t>
      </w:r>
      <w:r w:rsidRPr="002A7673">
        <w:rPr>
          <w:color w:val="201F1E"/>
          <w:sz w:val="28"/>
          <w:szCs w:val="28"/>
          <w:bdr w:val="none" w:sz="0" w:space="0" w:color="auto" w:frame="1"/>
          <w:lang w:val="es-ES"/>
        </w:rPr>
        <w:t xml:space="preserve"> </w:t>
      </w:r>
      <w:r w:rsidRPr="002A7673">
        <w:rPr>
          <w:b/>
          <w:bCs/>
          <w:color w:val="201F1E"/>
          <w:sz w:val="28"/>
          <w:szCs w:val="28"/>
          <w:bdr w:val="none" w:sz="0" w:space="0" w:color="auto" w:frame="1"/>
          <w:lang w:val="es-ES"/>
        </w:rPr>
        <w:t>2)</w:t>
      </w:r>
      <w:r w:rsidRPr="002A7673">
        <w:rPr>
          <w:color w:val="201F1E"/>
          <w:sz w:val="28"/>
          <w:szCs w:val="28"/>
          <w:bdr w:val="none" w:sz="0" w:space="0" w:color="auto" w:frame="1"/>
          <w:lang w:val="es-ES"/>
        </w:rPr>
        <w:t xml:space="preserve"> </w:t>
      </w:r>
      <w:r w:rsidRPr="002A7673">
        <w:rPr>
          <w:color w:val="201F1E"/>
          <w:sz w:val="28"/>
          <w:szCs w:val="28"/>
          <w:bdr w:val="none" w:sz="0" w:space="0" w:color="auto" w:frame="1"/>
        </w:rPr>
        <w:t>La Secretaría General de la Corte tomará nota para la publicación correspondiente.</w:t>
      </w:r>
      <w:r w:rsidR="002A7673" w:rsidRPr="002A7673">
        <w:rPr>
          <w:color w:val="201F1E"/>
          <w:sz w:val="28"/>
          <w:szCs w:val="28"/>
          <w:bdr w:val="none" w:sz="0" w:space="0" w:color="auto" w:frame="1"/>
        </w:rPr>
        <w:t xml:space="preserve"> </w:t>
      </w:r>
      <w:r w:rsidRPr="002A7673">
        <w:rPr>
          <w:b/>
          <w:bCs/>
          <w:color w:val="201F1E"/>
          <w:sz w:val="28"/>
          <w:szCs w:val="28"/>
          <w:bdr w:val="none" w:sz="0" w:space="0" w:color="auto" w:frame="1"/>
        </w:rPr>
        <w:t>Se declara acuerdo firme</w:t>
      </w:r>
      <w:bookmarkEnd w:id="281"/>
      <w:r w:rsidRPr="002A7673">
        <w:rPr>
          <w:b/>
          <w:bCs/>
          <w:color w:val="201F1E"/>
          <w:sz w:val="28"/>
          <w:szCs w:val="28"/>
          <w:bdr w:val="none" w:sz="0" w:space="0" w:color="auto" w:frame="1"/>
        </w:rPr>
        <w:t>.</w:t>
      </w:r>
    </w:p>
    <w:p w14:paraId="39BD928D" w14:textId="77777777" w:rsidR="00F77EC6" w:rsidRPr="002A7673" w:rsidRDefault="00F77EC6" w:rsidP="00F77EC6">
      <w:pPr>
        <w:pStyle w:val="Ttulo1"/>
        <w:spacing w:line="360" w:lineRule="auto"/>
        <w:jc w:val="center"/>
        <w:rPr>
          <w:rFonts w:ascii="Times New Roman" w:hAnsi="Times New Roman" w:cs="Times New Roman"/>
          <w:b/>
          <w:bCs/>
          <w:color w:val="FF0000"/>
          <w:kern w:val="36"/>
          <w:u w:val="single"/>
        </w:rPr>
      </w:pPr>
      <w:r w:rsidRPr="002A7673">
        <w:rPr>
          <w:rFonts w:ascii="Times New Roman" w:hAnsi="Times New Roman" w:cs="Times New Roman"/>
          <w:b/>
          <w:bCs/>
          <w:color w:val="000000"/>
          <w:kern w:val="36"/>
          <w:u w:val="single"/>
        </w:rPr>
        <w:t>ARTÍCULO XXVI</w:t>
      </w:r>
      <w:r w:rsidRPr="002A7673">
        <w:rPr>
          <w:rFonts w:ascii="Times New Roman" w:hAnsi="Times New Roman" w:cs="Times New Roman"/>
          <w:b/>
          <w:bCs/>
          <w:color w:val="FF0000"/>
          <w:kern w:val="36"/>
          <w:u w:val="single"/>
        </w:rPr>
        <w:t xml:space="preserve"> </w:t>
      </w:r>
    </w:p>
    <w:p w14:paraId="4D5AC719" w14:textId="77777777" w:rsidR="00F77EC6" w:rsidRPr="002A7673" w:rsidRDefault="00F77EC6" w:rsidP="00F77EC6">
      <w:pPr>
        <w:spacing w:before="120" w:line="480" w:lineRule="auto"/>
        <w:jc w:val="both"/>
        <w:rPr>
          <w:rFonts w:ascii="Times New Roman" w:hAnsi="Times New Roman" w:cs="Times New Roman"/>
          <w:b/>
          <w:bCs/>
          <w:sz w:val="28"/>
          <w:szCs w:val="28"/>
        </w:rPr>
      </w:pPr>
      <w:r w:rsidRPr="002A7673">
        <w:rPr>
          <w:rFonts w:ascii="Times New Roman" w:hAnsi="Times New Roman" w:cs="Times New Roman"/>
          <w:b/>
          <w:bCs/>
          <w:sz w:val="28"/>
          <w:szCs w:val="28"/>
        </w:rPr>
        <w:t xml:space="preserve">Documento N° 29, </w:t>
      </w:r>
      <w:r w:rsidRPr="002A7673">
        <w:rPr>
          <w:rFonts w:ascii="Times New Roman" w:hAnsi="Times New Roman" w:cs="Times New Roman"/>
          <w:b/>
          <w:bCs/>
          <w:color w:val="00B050"/>
          <w:sz w:val="28"/>
          <w:szCs w:val="28"/>
        </w:rPr>
        <w:t>4429-2021</w:t>
      </w:r>
    </w:p>
    <w:p w14:paraId="2E94EE6A" w14:textId="77777777" w:rsidR="00F77EC6" w:rsidRPr="002A7673" w:rsidRDefault="00F77EC6" w:rsidP="00F77EC6">
      <w:pPr>
        <w:spacing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color w:val="000000" w:themeColor="text1"/>
          <w:sz w:val="28"/>
          <w:szCs w:val="28"/>
        </w:rPr>
        <w:t>En oficio número 12-VIC-2021 del 30 de abril de 2021, la magistrada Patricia Solano Castro, Vicepresidenta de la Corte Suprema de Justicia, remitió la siguiente solicitud:</w:t>
      </w:r>
    </w:p>
    <w:p w14:paraId="228B144D" w14:textId="77777777" w:rsidR="00F77EC6" w:rsidRPr="002A7673" w:rsidRDefault="00F77EC6" w:rsidP="00F77EC6">
      <w:pPr>
        <w:ind w:left="851" w:right="851" w:firstLine="709"/>
        <w:jc w:val="both"/>
        <w:rPr>
          <w:rFonts w:ascii="Times New Roman" w:hAnsi="Times New Roman" w:cs="Times New Roman"/>
          <w:b/>
          <w:bCs/>
          <w:color w:val="000000" w:themeColor="text1"/>
          <w:sz w:val="26"/>
          <w:szCs w:val="26"/>
        </w:rPr>
      </w:pPr>
      <w:r w:rsidRPr="002A7673">
        <w:rPr>
          <w:rFonts w:ascii="Times New Roman" w:hAnsi="Times New Roman" w:cs="Times New Roman"/>
          <w:color w:val="000000" w:themeColor="text1"/>
          <w:sz w:val="26"/>
          <w:szCs w:val="26"/>
        </w:rPr>
        <w:t>“Presento para lo correspondiente, las propuestas de circulares con relación a las d</w:t>
      </w:r>
      <w:r w:rsidRPr="002A7673">
        <w:rPr>
          <w:rFonts w:ascii="Times New Roman" w:eastAsia="Calibri" w:hAnsi="Times New Roman" w:cs="Times New Roman"/>
          <w:color w:val="000000" w:themeColor="text1"/>
          <w:sz w:val="26"/>
          <w:szCs w:val="26"/>
        </w:rPr>
        <w:t xml:space="preserve">isposiciones a seguir por los despachos judiciales </w:t>
      </w:r>
      <w:r w:rsidRPr="002A7673">
        <w:rPr>
          <w:rFonts w:ascii="Times New Roman" w:eastAsia="Calibri" w:hAnsi="Times New Roman" w:cs="Times New Roman"/>
          <w:b/>
          <w:bCs/>
          <w:color w:val="000000" w:themeColor="text1"/>
          <w:sz w:val="26"/>
          <w:szCs w:val="26"/>
        </w:rPr>
        <w:t>de materia penal (adultos y penal juvenil)</w:t>
      </w:r>
      <w:r w:rsidRPr="002A7673">
        <w:rPr>
          <w:rFonts w:ascii="Times New Roman" w:eastAsia="Calibri" w:hAnsi="Times New Roman" w:cs="Times New Roman"/>
          <w:color w:val="000000" w:themeColor="text1"/>
          <w:sz w:val="26"/>
          <w:szCs w:val="26"/>
        </w:rPr>
        <w:t xml:space="preserve"> ubicados en la denominada zona central del país</w:t>
      </w:r>
      <w:r w:rsidRPr="002A7673">
        <w:rPr>
          <w:rFonts w:ascii="Times New Roman" w:hAnsi="Times New Roman" w:cs="Times New Roman"/>
          <w:color w:val="000000" w:themeColor="text1"/>
          <w:sz w:val="26"/>
          <w:szCs w:val="26"/>
        </w:rPr>
        <w:t xml:space="preserve">, </w:t>
      </w:r>
      <w:r w:rsidRPr="002A7673">
        <w:rPr>
          <w:rFonts w:ascii="Times New Roman" w:hAnsi="Times New Roman" w:cs="Times New Roman"/>
          <w:b/>
          <w:bCs/>
          <w:color w:val="000000" w:themeColor="text1"/>
          <w:sz w:val="26"/>
          <w:szCs w:val="26"/>
        </w:rPr>
        <w:t>vigentes del 3 al 9 de mayo 2021</w:t>
      </w:r>
    </w:p>
    <w:p w14:paraId="4C96A5DD" w14:textId="77777777" w:rsidR="00F77EC6" w:rsidRPr="002A7673" w:rsidRDefault="00F77EC6" w:rsidP="00F77EC6">
      <w:pPr>
        <w:ind w:left="851" w:right="851" w:firstLine="709"/>
        <w:jc w:val="both"/>
        <w:rPr>
          <w:rFonts w:ascii="Times New Roman" w:hAnsi="Times New Roman" w:cs="Times New Roman"/>
          <w:color w:val="000000" w:themeColor="text1"/>
          <w:sz w:val="26"/>
          <w:szCs w:val="26"/>
        </w:rPr>
      </w:pPr>
    </w:p>
    <w:p w14:paraId="4A65EB99" w14:textId="77777777" w:rsidR="00F77EC6" w:rsidRPr="002A7673" w:rsidRDefault="00F77EC6" w:rsidP="00F77EC6">
      <w:pPr>
        <w:ind w:left="851" w:right="851" w:firstLine="709"/>
        <w:jc w:val="both"/>
        <w:rPr>
          <w:rFonts w:ascii="Times New Roman" w:eastAsia="Calibri" w:hAnsi="Times New Roman" w:cs="Times New Roman"/>
          <w:color w:val="000000" w:themeColor="text1"/>
          <w:sz w:val="26"/>
          <w:szCs w:val="26"/>
        </w:rPr>
      </w:pPr>
      <w:r w:rsidRPr="002A7673">
        <w:rPr>
          <w:rFonts w:ascii="Times New Roman" w:hAnsi="Times New Roman" w:cs="Times New Roman"/>
          <w:color w:val="000000" w:themeColor="text1"/>
          <w:sz w:val="26"/>
          <w:szCs w:val="26"/>
        </w:rPr>
        <w:t xml:space="preserve">Así como las regulaciones generales </w:t>
      </w:r>
      <w:r w:rsidRPr="002A7673">
        <w:rPr>
          <w:rFonts w:ascii="Times New Roman" w:hAnsi="Times New Roman" w:cs="Times New Roman"/>
          <w:color w:val="000000" w:themeColor="text1"/>
          <w:sz w:val="26"/>
          <w:szCs w:val="26"/>
          <w:lang w:eastAsia="ar-SA"/>
        </w:rPr>
        <w:t xml:space="preserve">para los despachos </w:t>
      </w:r>
      <w:r w:rsidRPr="002A7673">
        <w:rPr>
          <w:rFonts w:ascii="Times New Roman" w:eastAsia="Calibri" w:hAnsi="Times New Roman" w:cs="Times New Roman"/>
          <w:color w:val="000000" w:themeColor="text1"/>
          <w:sz w:val="26"/>
          <w:szCs w:val="26"/>
        </w:rPr>
        <w:t xml:space="preserve">judiciales </w:t>
      </w:r>
      <w:r w:rsidRPr="002A7673">
        <w:rPr>
          <w:rFonts w:ascii="Times New Roman" w:eastAsia="Calibri" w:hAnsi="Times New Roman" w:cs="Times New Roman"/>
          <w:b/>
          <w:bCs/>
          <w:color w:val="000000" w:themeColor="text1"/>
          <w:sz w:val="26"/>
          <w:szCs w:val="26"/>
        </w:rPr>
        <w:t>de materia penal (adultos y penal juvenil)</w:t>
      </w:r>
      <w:r w:rsidRPr="002A7673">
        <w:rPr>
          <w:rFonts w:ascii="Times New Roman" w:eastAsia="Calibri" w:hAnsi="Times New Roman" w:cs="Times New Roman"/>
          <w:color w:val="000000" w:themeColor="text1"/>
          <w:sz w:val="26"/>
          <w:szCs w:val="26"/>
        </w:rPr>
        <w:t xml:space="preserve"> ubicados en las </w:t>
      </w:r>
      <w:r w:rsidRPr="002A7673">
        <w:rPr>
          <w:rFonts w:ascii="Times New Roman" w:hAnsi="Times New Roman" w:cs="Times New Roman"/>
          <w:color w:val="000000" w:themeColor="text1"/>
          <w:sz w:val="26"/>
          <w:szCs w:val="26"/>
        </w:rPr>
        <w:t>Zonas en las que el Poder Ejecutivo ha decretado alerta naranja debido al COVID-19, vigentes durante el lapso en que se mantenga la alerta.</w:t>
      </w:r>
    </w:p>
    <w:p w14:paraId="430C1E07" w14:textId="77777777" w:rsidR="00F77EC6" w:rsidRPr="002A7673" w:rsidRDefault="00F77EC6" w:rsidP="00F77EC6">
      <w:pPr>
        <w:ind w:left="851" w:right="851" w:firstLine="709"/>
        <w:jc w:val="both"/>
        <w:rPr>
          <w:rFonts w:ascii="Times New Roman" w:hAnsi="Times New Roman" w:cs="Times New Roman"/>
          <w:color w:val="000000" w:themeColor="text1"/>
          <w:sz w:val="26"/>
          <w:szCs w:val="26"/>
        </w:rPr>
      </w:pPr>
    </w:p>
    <w:p w14:paraId="42E8DD64" w14:textId="77777777" w:rsidR="00F77EC6" w:rsidRPr="002A7673" w:rsidRDefault="00F77EC6" w:rsidP="00F77EC6">
      <w:pPr>
        <w:autoSpaceDE w:val="0"/>
        <w:autoSpaceDN w:val="0"/>
        <w:adjustRightInd w:val="0"/>
        <w:ind w:left="851" w:right="851" w:firstLine="709"/>
        <w:jc w:val="both"/>
        <w:rPr>
          <w:rFonts w:ascii="Times New Roman" w:hAnsi="Times New Roman" w:cs="Times New Roman"/>
          <w:b/>
          <w:bCs/>
          <w:color w:val="000000" w:themeColor="text1"/>
          <w:sz w:val="26"/>
          <w:szCs w:val="26"/>
        </w:rPr>
      </w:pPr>
      <w:r w:rsidRPr="002A7673">
        <w:rPr>
          <w:rFonts w:ascii="Times New Roman" w:hAnsi="Times New Roman" w:cs="Times New Roman"/>
          <w:color w:val="000000" w:themeColor="text1"/>
          <w:sz w:val="26"/>
          <w:szCs w:val="26"/>
        </w:rPr>
        <w:t>(…).”</w:t>
      </w:r>
    </w:p>
    <w:p w14:paraId="7A821FEA" w14:textId="77777777" w:rsidR="00F77EC6" w:rsidRPr="002A7673" w:rsidRDefault="00F77EC6" w:rsidP="00F77EC6">
      <w:pPr>
        <w:spacing w:line="480" w:lineRule="auto"/>
        <w:jc w:val="center"/>
        <w:rPr>
          <w:rFonts w:ascii="Times New Roman" w:hAnsi="Times New Roman" w:cs="Times New Roman"/>
          <w:color w:val="000000" w:themeColor="text1"/>
          <w:sz w:val="28"/>
          <w:szCs w:val="28"/>
          <w:lang w:val="es-ES"/>
        </w:rPr>
      </w:pPr>
      <w:r w:rsidRPr="002A7673">
        <w:rPr>
          <w:rFonts w:ascii="Times New Roman" w:hAnsi="Times New Roman" w:cs="Times New Roman"/>
          <w:color w:val="000000" w:themeColor="text1"/>
          <w:sz w:val="28"/>
          <w:szCs w:val="28"/>
          <w:lang w:val="es-ES"/>
        </w:rPr>
        <w:t>-0-</w:t>
      </w:r>
    </w:p>
    <w:p w14:paraId="6D0F44FF" w14:textId="77777777" w:rsidR="00F77EC6" w:rsidRPr="002A7673" w:rsidRDefault="00F77EC6" w:rsidP="00F77EC6">
      <w:pPr>
        <w:spacing w:line="480" w:lineRule="auto"/>
        <w:jc w:val="center"/>
        <w:rPr>
          <w:rFonts w:ascii="Times New Roman" w:hAnsi="Times New Roman" w:cs="Times New Roman"/>
          <w:sz w:val="28"/>
          <w:szCs w:val="28"/>
          <w:lang w:val="es-ES"/>
        </w:rPr>
      </w:pPr>
      <w:r w:rsidRPr="002A7673">
        <w:rPr>
          <w:rFonts w:ascii="Times New Roman" w:hAnsi="Times New Roman" w:cs="Times New Roman"/>
          <w:sz w:val="28"/>
          <w:szCs w:val="28"/>
          <w:lang w:val="es-ES"/>
        </w:rPr>
        <w:object w:dxaOrig="1545" w:dyaOrig="1005" w14:anchorId="360E1F54">
          <v:shape id="_x0000_i1198" type="#_x0000_t75" style="width:78.75pt;height:50.25pt" o:ole="">
            <v:imagedata r:id="rId472" o:title=""/>
          </v:shape>
          <o:OLEObject Type="Embed" ProgID="Word.Document.12" ShapeID="_x0000_i1198" DrawAspect="Icon" ObjectID="_1684067141" r:id="rId473">
            <o:FieldCodes>\s</o:FieldCodes>
          </o:OLEObject>
        </w:object>
      </w:r>
      <w:r w:rsidRPr="002A7673">
        <w:rPr>
          <w:rFonts w:ascii="Times New Roman" w:hAnsi="Times New Roman" w:cs="Times New Roman"/>
          <w:sz w:val="28"/>
          <w:szCs w:val="28"/>
          <w:lang w:val="es-ES"/>
        </w:rPr>
        <w:object w:dxaOrig="1545" w:dyaOrig="1005" w14:anchorId="56D4B8AC">
          <v:shape id="_x0000_i1199" type="#_x0000_t75" style="width:78.75pt;height:50.25pt" o:ole="">
            <v:imagedata r:id="rId474" o:title=""/>
          </v:shape>
          <o:OLEObject Type="Embed" ProgID="Word.Document.12" ShapeID="_x0000_i1199" DrawAspect="Icon" ObjectID="_1684067142" r:id="rId475">
            <o:FieldCodes>\s</o:FieldCodes>
          </o:OLEObject>
        </w:object>
      </w:r>
    </w:p>
    <w:p w14:paraId="7DD6E78A" w14:textId="7378159A" w:rsidR="00F77EC6" w:rsidRPr="002A7673" w:rsidRDefault="00F77EC6" w:rsidP="00E83693">
      <w:pPr>
        <w:spacing w:line="480" w:lineRule="auto"/>
        <w:ind w:firstLine="709"/>
        <w:jc w:val="both"/>
        <w:rPr>
          <w:rFonts w:ascii="Times New Roman" w:hAnsi="Times New Roman" w:cs="Times New Roman"/>
          <w:color w:val="000000" w:themeColor="text1"/>
          <w:sz w:val="28"/>
          <w:szCs w:val="28"/>
        </w:rPr>
      </w:pPr>
      <w:r w:rsidRPr="002A7673">
        <w:rPr>
          <w:rFonts w:ascii="Times New Roman" w:hAnsi="Times New Roman" w:cs="Times New Roman"/>
          <w:b/>
          <w:bCs/>
          <w:color w:val="000000" w:themeColor="text1"/>
          <w:sz w:val="28"/>
          <w:szCs w:val="28"/>
        </w:rPr>
        <w:t>Se acordó:</w:t>
      </w:r>
      <w:r w:rsidR="00E83693" w:rsidRPr="002A7673">
        <w:rPr>
          <w:rFonts w:ascii="Times New Roman" w:hAnsi="Times New Roman" w:cs="Times New Roman"/>
          <w:color w:val="000000" w:themeColor="text1"/>
          <w:sz w:val="28"/>
          <w:szCs w:val="28"/>
        </w:rPr>
        <w:t xml:space="preserve"> Tener por recibido el oficio número 12-VIC-2021 del 30 de abril de 2021, suscrito por la </w:t>
      </w:r>
      <w:r w:rsidRPr="002A7673">
        <w:rPr>
          <w:rFonts w:ascii="Times New Roman" w:hAnsi="Times New Roman" w:cs="Times New Roman"/>
          <w:color w:val="000000" w:themeColor="text1"/>
          <w:sz w:val="28"/>
          <w:szCs w:val="28"/>
        </w:rPr>
        <w:t xml:space="preserve">magistrada Patricia Solano Castro, Vicepresidenta de la Corte Suprema de Justicia, en consecuencia: </w:t>
      </w:r>
      <w:r w:rsidRPr="002A7673">
        <w:rPr>
          <w:rFonts w:ascii="Times New Roman" w:hAnsi="Times New Roman" w:cs="Times New Roman"/>
          <w:b/>
          <w:bCs/>
          <w:color w:val="000000" w:themeColor="text1"/>
          <w:sz w:val="28"/>
          <w:szCs w:val="28"/>
        </w:rPr>
        <w:t>1.)</w:t>
      </w:r>
      <w:r w:rsidRPr="002A7673">
        <w:rPr>
          <w:rFonts w:ascii="Times New Roman" w:hAnsi="Times New Roman" w:cs="Times New Roman"/>
          <w:color w:val="000000" w:themeColor="text1"/>
          <w:sz w:val="28"/>
          <w:szCs w:val="28"/>
        </w:rPr>
        <w:t xml:space="preserve"> Autorizar la publicación de la circular denominada: “</w:t>
      </w:r>
      <w:r w:rsidRPr="002A7673">
        <w:rPr>
          <w:rFonts w:ascii="Times New Roman" w:eastAsia="Calibri" w:hAnsi="Times New Roman" w:cs="Times New Roman"/>
          <w:sz w:val="28"/>
          <w:szCs w:val="28"/>
        </w:rPr>
        <w:t>Disposiciones a seguir por los despachos judiciales de materia penal (adultos y penal juvenil) ubicados en la denominada zona central del país</w:t>
      </w:r>
      <w:r w:rsidRPr="002A7673">
        <w:rPr>
          <w:rFonts w:ascii="Times New Roman" w:hAnsi="Times New Roman" w:cs="Times New Roman"/>
          <w:color w:val="000000" w:themeColor="text1"/>
          <w:sz w:val="28"/>
          <w:szCs w:val="28"/>
        </w:rPr>
        <w:t>, vigentes del 3 al 9 de mayo 2021” así como la publicación de la circular denominada: “</w:t>
      </w:r>
      <w:r w:rsidRPr="002A7673">
        <w:rPr>
          <w:rFonts w:ascii="Times New Roman" w:eastAsia="Calibri" w:hAnsi="Times New Roman" w:cs="Times New Roman"/>
          <w:sz w:val="28"/>
          <w:szCs w:val="28"/>
        </w:rPr>
        <w:t xml:space="preserve">Disposiciones a seguir por los despachos judiciales de materia penal (adultos y penal juvenil) ubicados en las </w:t>
      </w:r>
      <w:r w:rsidRPr="002A7673">
        <w:rPr>
          <w:rFonts w:ascii="Times New Roman" w:hAnsi="Times New Roman" w:cs="Times New Roman"/>
          <w:color w:val="000000" w:themeColor="text1"/>
          <w:sz w:val="28"/>
          <w:szCs w:val="28"/>
        </w:rPr>
        <w:t xml:space="preserve">Zonas en las que el Poder Ejecutivo ha decretado alerta naranja debido al COVID-19, vigentes durante el lapso en que se mantenga la alerta.” </w:t>
      </w:r>
      <w:r w:rsidRPr="002A7673">
        <w:rPr>
          <w:rFonts w:ascii="Times New Roman" w:hAnsi="Times New Roman" w:cs="Times New Roman"/>
          <w:b/>
          <w:bCs/>
          <w:color w:val="000000" w:themeColor="text1"/>
          <w:sz w:val="28"/>
          <w:szCs w:val="28"/>
        </w:rPr>
        <w:t>2.)</w:t>
      </w:r>
      <w:r w:rsidRPr="002A7673">
        <w:rPr>
          <w:rFonts w:ascii="Times New Roman" w:hAnsi="Times New Roman" w:cs="Times New Roman"/>
          <w:color w:val="000000" w:themeColor="text1"/>
          <w:sz w:val="28"/>
          <w:szCs w:val="28"/>
        </w:rPr>
        <w:t xml:space="preserve"> La Secretaría General de la Corte tomará nota para el trámite de publicación de las citadas circulares. </w:t>
      </w:r>
      <w:r w:rsidRPr="002A7673">
        <w:rPr>
          <w:rFonts w:ascii="Times New Roman" w:hAnsi="Times New Roman" w:cs="Times New Roman"/>
          <w:b/>
          <w:bCs/>
          <w:color w:val="000000" w:themeColor="text1"/>
          <w:sz w:val="28"/>
          <w:szCs w:val="28"/>
        </w:rPr>
        <w:t>Se declara acuerdo firme.</w:t>
      </w:r>
    </w:p>
    <w:p w14:paraId="39753646" w14:textId="77777777" w:rsidR="00077D47" w:rsidRPr="002A7673" w:rsidRDefault="00077D47" w:rsidP="00077D47">
      <w:pPr>
        <w:spacing w:before="120" w:after="120" w:line="480" w:lineRule="auto"/>
        <w:contextualSpacing/>
        <w:jc w:val="center"/>
        <w:rPr>
          <w:rFonts w:ascii="Times New Roman" w:eastAsia="Calibri" w:hAnsi="Times New Roman" w:cs="Times New Roman"/>
          <w:color w:val="000000"/>
          <w:sz w:val="28"/>
          <w:szCs w:val="28"/>
          <w:lang w:eastAsia="es-CR"/>
        </w:rPr>
      </w:pPr>
      <w:r w:rsidRPr="002A7673">
        <w:rPr>
          <w:rFonts w:ascii="Times New Roman" w:eastAsia="Calibri" w:hAnsi="Times New Roman" w:cs="Times New Roman"/>
          <w:b/>
          <w:bCs/>
          <w:color w:val="000000"/>
          <w:sz w:val="28"/>
          <w:szCs w:val="28"/>
          <w:lang w:eastAsia="es-CR"/>
        </w:rPr>
        <w:t>-o0o-</w:t>
      </w:r>
    </w:p>
    <w:p w14:paraId="747DC5B4" w14:textId="39E463A5" w:rsidR="0006436A" w:rsidRPr="00CB2D90" w:rsidRDefault="00077D47" w:rsidP="00CB2D90">
      <w:pPr>
        <w:spacing w:before="120" w:after="120" w:line="480" w:lineRule="auto"/>
        <w:contextualSpacing/>
        <w:jc w:val="both"/>
        <w:rPr>
          <w:rFonts w:ascii="Times New Roman" w:eastAsia="Calibri" w:hAnsi="Times New Roman" w:cs="Times New Roman"/>
          <w:color w:val="000000"/>
          <w:sz w:val="28"/>
          <w:szCs w:val="28"/>
          <w:lang w:eastAsia="es-CR"/>
        </w:rPr>
      </w:pPr>
      <w:r w:rsidRPr="002A7673">
        <w:rPr>
          <w:rFonts w:ascii="Times New Roman" w:eastAsia="Calibri" w:hAnsi="Times New Roman" w:cs="Times New Roman"/>
          <w:b/>
          <w:bCs/>
          <w:color w:val="000000"/>
          <w:sz w:val="28"/>
          <w:szCs w:val="28"/>
          <w:lang w:eastAsia="es-CR"/>
        </w:rPr>
        <w:t>A las 12:10 horas terminó la sesión.</w:t>
      </w:r>
    </w:p>
    <w:sectPr w:rsidR="0006436A" w:rsidRPr="00CB2D9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CA31A5" w14:textId="77777777" w:rsidR="00317F53" w:rsidRDefault="00317F53" w:rsidP="00083CA4">
      <w:pPr>
        <w:spacing w:after="0" w:line="240" w:lineRule="auto"/>
      </w:pPr>
      <w:r>
        <w:separator/>
      </w:r>
    </w:p>
  </w:endnote>
  <w:endnote w:type="continuationSeparator" w:id="0">
    <w:p w14:paraId="304F0FD5" w14:textId="77777777" w:rsidR="00317F53" w:rsidRDefault="00317F53" w:rsidP="00083C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Roman">
    <w:altName w:val="Times New Roman"/>
    <w:charset w:val="00"/>
    <w:family w:val="roman"/>
    <w:pitch w:val="default"/>
  </w:font>
  <w:font w:name="Noto Sans Symbols">
    <w:charset w:val="00"/>
    <w:family w:val="auto"/>
    <w:pitch w:val="default"/>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altName w:val="Yu Gothic"/>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atang, 바탕">
    <w:charset w:val="00"/>
    <w:family w:val="auto"/>
    <w:pitch w:val="default"/>
  </w:font>
  <w:font w:name="Batang">
    <w:altName w:val="Batang"/>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StarSymbol">
    <w:altName w:val="MS Mincho"/>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entury Schoolbook">
    <w:panose1 w:val="0204060405050502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Liberation Serif">
    <w:altName w:val="Times New Roman"/>
    <w:charset w:val="00"/>
    <w:family w:val="roman"/>
    <w:pitch w:val="variable"/>
    <w:sig w:usb0="E0000AFF" w:usb1="500078FF" w:usb2="00000021" w:usb3="00000000" w:csb0="000001BF" w:csb1="00000000"/>
  </w:font>
  <w:font w:name="Liberation Sans">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Bookman">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F255C5" w14:textId="77777777" w:rsidR="00317F53" w:rsidRDefault="00317F53" w:rsidP="00083CA4">
      <w:pPr>
        <w:spacing w:after="0" w:line="240" w:lineRule="auto"/>
      </w:pPr>
      <w:r>
        <w:separator/>
      </w:r>
    </w:p>
  </w:footnote>
  <w:footnote w:type="continuationSeparator" w:id="0">
    <w:p w14:paraId="3882E3C3" w14:textId="77777777" w:rsidR="00317F53" w:rsidRDefault="00317F53" w:rsidP="00083CA4">
      <w:pPr>
        <w:spacing w:after="0" w:line="240" w:lineRule="auto"/>
      </w:pPr>
      <w:r>
        <w:continuationSeparator/>
      </w:r>
    </w:p>
  </w:footnote>
  <w:footnote w:id="1">
    <w:p w14:paraId="5B6F4082" w14:textId="77777777" w:rsidR="002D1F17" w:rsidRPr="00E3051C" w:rsidRDefault="002D1F17" w:rsidP="00083CA4">
      <w:r w:rsidRPr="00E3051C">
        <w:t>1</w:t>
      </w:r>
    </w:p>
  </w:footnote>
  <w:footnote w:id="2">
    <w:p w14:paraId="6CEFB079" w14:textId="77777777" w:rsidR="00E147EB" w:rsidRPr="00437DDA" w:rsidRDefault="00E147EB" w:rsidP="00E147EB">
      <w:pPr>
        <w:pStyle w:val="Textonotapie"/>
        <w:jc w:val="both"/>
        <w:rPr>
          <w:rFonts w:ascii="Book Antiqua" w:hAnsi="Book Antiqua"/>
        </w:rPr>
      </w:pPr>
      <w:r w:rsidRPr="00437DDA">
        <w:rPr>
          <w:rStyle w:val="Refdenotaalpie"/>
          <w:rFonts w:ascii="Book Antiqua" w:eastAsia="Arial Unicode MS" w:hAnsi="Book Antiqua"/>
          <w:sz w:val="18"/>
          <w:szCs w:val="18"/>
        </w:rPr>
        <w:footnoteRef/>
      </w:r>
      <w:r w:rsidRPr="00437DDA">
        <w:rPr>
          <w:rFonts w:ascii="Book Antiqua" w:hAnsi="Book Antiqua"/>
          <w:sz w:val="18"/>
          <w:szCs w:val="18"/>
        </w:rPr>
        <w:t xml:space="preserve"> Corresponde a los tiquetes de almuerzo para el personal a capacitar. Se debe presupuestar en la subpartida 2.02.03 denominada “Alimentos y bebidas”.</w:t>
      </w:r>
    </w:p>
  </w:footnote>
  <w:footnote w:id="3">
    <w:p w14:paraId="4252098B" w14:textId="77777777" w:rsidR="00E147EB" w:rsidRPr="004E2A5C" w:rsidRDefault="00E147EB" w:rsidP="00E147EB">
      <w:pPr>
        <w:pStyle w:val="Textonotapie"/>
        <w:rPr>
          <w:rFonts w:ascii="Book Antiqua" w:hAnsi="Book Antiqua"/>
        </w:rPr>
      </w:pPr>
      <w:r w:rsidRPr="004E2A5C">
        <w:rPr>
          <w:rStyle w:val="Refdenotaalpie"/>
          <w:rFonts w:ascii="Book Antiqua" w:eastAsia="Arial Unicode MS" w:hAnsi="Book Antiqua"/>
          <w:sz w:val="18"/>
          <w:szCs w:val="18"/>
        </w:rPr>
        <w:footnoteRef/>
      </w:r>
      <w:r w:rsidRPr="004E2A5C">
        <w:rPr>
          <w:rFonts w:ascii="Book Antiqua" w:hAnsi="Book Antiqua"/>
          <w:sz w:val="18"/>
          <w:szCs w:val="18"/>
        </w:rPr>
        <w:t xml:space="preserve"> Se espera recibir el Edificio Anexo E entre los meses de setiembre y octubre del 2021.</w:t>
      </w:r>
    </w:p>
  </w:footnote>
  <w:footnote w:id="4">
    <w:p w14:paraId="6044EF70" w14:textId="77777777" w:rsidR="00E147EB" w:rsidRPr="00E42245" w:rsidRDefault="00E147EB" w:rsidP="00E147EB">
      <w:pPr>
        <w:pStyle w:val="Textonotapie"/>
        <w:jc w:val="both"/>
        <w:rPr>
          <w:rFonts w:ascii="Book Antiqua" w:hAnsi="Book Antiqua"/>
          <w:sz w:val="18"/>
          <w:szCs w:val="18"/>
        </w:rPr>
      </w:pPr>
      <w:r w:rsidRPr="00E42245">
        <w:rPr>
          <w:rFonts w:ascii="Book Antiqua" w:hAnsi="Book Antiqua"/>
          <w:sz w:val="18"/>
          <w:szCs w:val="18"/>
        </w:rPr>
        <w:footnoteRef/>
      </w:r>
      <w:r w:rsidRPr="00E42245">
        <w:rPr>
          <w:rFonts w:ascii="Book Antiqua" w:hAnsi="Book Antiqua"/>
          <w:sz w:val="18"/>
          <w:szCs w:val="18"/>
        </w:rPr>
        <w:t xml:space="preserve"> Presupuesto paralelo o complementario al presupuesto ordinario del Poder Judicial, de acuerdo con lo dispuesto por el Consejo Superior en la sesión 21-2021 del 12 de marzo de 2021, artículo XI.</w:t>
      </w:r>
    </w:p>
  </w:footnote>
  <w:footnote w:id="5">
    <w:p w14:paraId="4FA282A3" w14:textId="77777777" w:rsidR="00E147EB" w:rsidRPr="007F7DF0" w:rsidRDefault="00E147EB" w:rsidP="00E147EB">
      <w:pPr>
        <w:pStyle w:val="Textonotapie"/>
        <w:jc w:val="both"/>
        <w:rPr>
          <w:rFonts w:ascii="Book Antiqua" w:hAnsi="Book Antiqua"/>
          <w:sz w:val="18"/>
          <w:szCs w:val="18"/>
        </w:rPr>
      </w:pPr>
      <w:r w:rsidRPr="00C46DC3">
        <w:rPr>
          <w:rStyle w:val="Refdenotaalpie"/>
          <w:rFonts w:ascii="Book Antiqua" w:eastAsia="Arial Unicode MS" w:hAnsi="Book Antiqua"/>
          <w:sz w:val="18"/>
          <w:szCs w:val="18"/>
        </w:rPr>
        <w:footnoteRef/>
      </w:r>
      <w:r w:rsidRPr="00C46DC3">
        <w:rPr>
          <w:rFonts w:ascii="Book Antiqua" w:hAnsi="Book Antiqua"/>
          <w:sz w:val="18"/>
          <w:szCs w:val="18"/>
        </w:rPr>
        <w:t xml:space="preserve"> </w:t>
      </w:r>
      <w:r>
        <w:rPr>
          <w:rFonts w:ascii="Book Antiqua" w:hAnsi="Book Antiqua"/>
          <w:sz w:val="18"/>
          <w:szCs w:val="18"/>
        </w:rPr>
        <w:t xml:space="preserve">Durante las dos fases se requiere un total de 429 plazas, sin embargo, al iniciar la Ley 9481 en julio del 2023, únicamente permanecen 417 </w:t>
      </w:r>
      <w:r w:rsidRPr="00C46DC3">
        <w:rPr>
          <w:rFonts w:ascii="Book Antiqua" w:hAnsi="Book Antiqua"/>
          <w:sz w:val="18"/>
          <w:szCs w:val="18"/>
        </w:rPr>
        <w:t>plazas</w:t>
      </w:r>
      <w:r>
        <w:rPr>
          <w:rFonts w:ascii="Book Antiqua" w:hAnsi="Book Antiqua"/>
          <w:sz w:val="18"/>
          <w:szCs w:val="18"/>
        </w:rPr>
        <w:t xml:space="preserve"> para atender la Jurisdicción.</w:t>
      </w:r>
    </w:p>
  </w:footnote>
  <w:footnote w:id="6">
    <w:p w14:paraId="7F64A2C4" w14:textId="77777777" w:rsidR="0093441E" w:rsidRDefault="0093441E" w:rsidP="0093441E">
      <w:pPr>
        <w:pStyle w:val="Textonotapie"/>
      </w:pPr>
    </w:p>
  </w:footnote>
  <w:footnote w:id="7">
    <w:p w14:paraId="3718127D" w14:textId="77777777" w:rsidR="0085505C" w:rsidRPr="00752938" w:rsidRDefault="0085505C" w:rsidP="0085505C">
      <w:pPr>
        <w:pStyle w:val="Textonotapie"/>
        <w:jc w:val="both"/>
        <w:rPr>
          <w:sz w:val="16"/>
          <w:szCs w:val="16"/>
        </w:rPr>
      </w:pPr>
      <w:r w:rsidRPr="00752938">
        <w:rPr>
          <w:rStyle w:val="Refdenotaalpie"/>
          <w:sz w:val="16"/>
          <w:szCs w:val="16"/>
        </w:rPr>
        <w:footnoteRef/>
      </w:r>
      <w:r w:rsidRPr="00752938">
        <w:rPr>
          <w:sz w:val="16"/>
          <w:szCs w:val="16"/>
        </w:rPr>
        <w:t xml:space="preserve"> </w:t>
      </w:r>
      <w:r w:rsidRPr="00752938">
        <w:rPr>
          <w:sz w:val="16"/>
          <w:szCs w:val="16"/>
          <w:lang w:val="es-MX"/>
        </w:rPr>
        <w:t xml:space="preserve">Respecto al criterio técnico que recomendó 33 plazas, se remonta al informe de la Dirección de Planificación 34-PLA-EV-2017, en donde se consideró el servicio para la parte actora conforme al proyecto de ley del expediente 19455 que estaba en la Asamblea Legislativa pendiente de ser convocado por el Poder Ejecutivo para su respectiva discusión y aprobación.   </w:t>
      </w:r>
    </w:p>
  </w:footnote>
  <w:footnote w:id="8">
    <w:p w14:paraId="318A2326" w14:textId="77777777" w:rsidR="0085505C" w:rsidRPr="00752938" w:rsidRDefault="0085505C" w:rsidP="0085505C">
      <w:pPr>
        <w:pStyle w:val="Textonotapie"/>
        <w:rPr>
          <w:sz w:val="16"/>
          <w:szCs w:val="16"/>
          <w:lang w:val="es-CR"/>
        </w:rPr>
      </w:pPr>
      <w:r w:rsidRPr="00752938">
        <w:rPr>
          <w:rStyle w:val="Refdenotaalpie"/>
          <w:sz w:val="16"/>
          <w:szCs w:val="16"/>
        </w:rPr>
        <w:footnoteRef/>
      </w:r>
      <w:r w:rsidRPr="00752938">
        <w:rPr>
          <w:sz w:val="16"/>
          <w:szCs w:val="16"/>
        </w:rPr>
        <w:t xml:space="preserve"> </w:t>
      </w:r>
      <w:r w:rsidRPr="00752938">
        <w:rPr>
          <w:sz w:val="16"/>
          <w:szCs w:val="16"/>
          <w:lang w:val="es-CR"/>
        </w:rPr>
        <w:t xml:space="preserve">Se excluyen las plazas de persona Técnica Jurídica asociadas a la Sección Especializada de Asistencia Social, las cuales son plazas nombradas en Jornadas Completas. </w:t>
      </w:r>
    </w:p>
  </w:footnote>
  <w:footnote w:id="9">
    <w:p w14:paraId="1B732533" w14:textId="77777777" w:rsidR="0085505C" w:rsidRPr="00752938" w:rsidRDefault="0085505C" w:rsidP="0085505C">
      <w:pPr>
        <w:pStyle w:val="Textonotapie"/>
        <w:jc w:val="both"/>
        <w:rPr>
          <w:sz w:val="16"/>
          <w:szCs w:val="16"/>
          <w:lang w:val="es-CR"/>
        </w:rPr>
      </w:pPr>
      <w:r w:rsidRPr="00752938">
        <w:rPr>
          <w:rStyle w:val="Refdenotaalpie"/>
          <w:sz w:val="16"/>
          <w:szCs w:val="16"/>
        </w:rPr>
        <w:footnoteRef/>
      </w:r>
      <w:r w:rsidRPr="00752938">
        <w:rPr>
          <w:sz w:val="16"/>
          <w:szCs w:val="16"/>
        </w:rPr>
        <w:t xml:space="preserve"> </w:t>
      </w:r>
      <w:r w:rsidRPr="00752938">
        <w:rPr>
          <w:sz w:val="16"/>
          <w:szCs w:val="16"/>
          <w:lang w:val="es-CR"/>
        </w:rPr>
        <w:t>Se indican 6 plazas a tiempo completo que es el equivalente a las 12 plazas de Técnica o Técnico Jurídico a medio tiempo que se están analizando modificar.</w:t>
      </w:r>
    </w:p>
  </w:footnote>
  <w:footnote w:id="10">
    <w:p w14:paraId="2B66D871" w14:textId="77777777" w:rsidR="0085505C" w:rsidRPr="00752938" w:rsidRDefault="0085505C" w:rsidP="0085505C">
      <w:pPr>
        <w:pStyle w:val="Textonotapie"/>
        <w:jc w:val="both"/>
        <w:rPr>
          <w:sz w:val="16"/>
          <w:szCs w:val="16"/>
          <w:lang w:val="es-CR"/>
        </w:rPr>
      </w:pPr>
      <w:r w:rsidRPr="00752938">
        <w:rPr>
          <w:rStyle w:val="Refdenotaalpie"/>
          <w:sz w:val="16"/>
          <w:szCs w:val="16"/>
        </w:rPr>
        <w:footnoteRef/>
      </w:r>
      <w:r w:rsidRPr="00752938">
        <w:rPr>
          <w:sz w:val="16"/>
          <w:szCs w:val="16"/>
        </w:rPr>
        <w:t xml:space="preserve"> </w:t>
      </w:r>
      <w:r w:rsidRPr="00752938">
        <w:rPr>
          <w:sz w:val="16"/>
          <w:szCs w:val="16"/>
          <w:lang w:val="es-CR"/>
        </w:rPr>
        <w:t>Seis plazas de Medio tiempo de Técnico Jurídico se convertirían a plazas de tiempo completo.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3BAEA" w14:textId="77777777" w:rsidR="002A7673" w:rsidRDefault="002A7673">
    <w:pPr>
      <w:ind w:right="776"/>
      <w:jc w:val="center"/>
    </w:pPr>
    <w:r>
      <w:rPr>
        <w:noProof/>
      </w:rPr>
      <w:drawing>
        <wp:anchor distT="0" distB="0" distL="114300" distR="114300" simplePos="0" relativeHeight="251659264" behindDoc="0" locked="0" layoutInCell="1" allowOverlap="0" wp14:anchorId="5A39C8BF" wp14:editId="75D73DEC">
          <wp:simplePos x="0" y="0"/>
          <wp:positionH relativeFrom="page">
            <wp:posOffset>3619500</wp:posOffset>
          </wp:positionH>
          <wp:positionV relativeFrom="page">
            <wp:posOffset>449580</wp:posOffset>
          </wp:positionV>
          <wp:extent cx="533400" cy="601980"/>
          <wp:effectExtent l="0" t="0" r="0" b="0"/>
          <wp:wrapSquare wrapText="bothSides"/>
          <wp:docPr id="126326906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3400" cy="601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rPr>
      <w:t xml:space="preserve"> </w:t>
    </w:r>
  </w:p>
  <w:p w14:paraId="5D0663E6" w14:textId="77777777" w:rsidR="002A7673" w:rsidRDefault="002A7673">
    <w:pPr>
      <w:ind w:right="832"/>
      <w:jc w:val="center"/>
    </w:pPr>
    <w:r>
      <w:rPr>
        <w:rFonts w:ascii="Arial" w:eastAsia="Arial" w:hAnsi="Arial" w:cs="Arial"/>
        <w:b/>
        <w:sz w:val="24"/>
      </w:rPr>
      <w:t xml:space="preserve">       PODER JUDICIAL                DIRECCION EJECUTIVA </w:t>
    </w:r>
  </w:p>
  <w:p w14:paraId="59334492" w14:textId="77777777" w:rsidR="002A7673" w:rsidRDefault="002A7673">
    <w:r>
      <w:rPr>
        <w:rFonts w:ascii="Arial" w:eastAsia="Arial" w:hAnsi="Arial" w:cs="Arial"/>
        <w:sz w:val="18"/>
      </w:rPr>
      <w:t xml:space="preserve">Tel. 2295-4322                                                                                                                                       San José </w:t>
    </w:r>
  </w:p>
  <w:p w14:paraId="1EDA82F6" w14:textId="77777777" w:rsidR="002A7673" w:rsidRDefault="002A7673">
    <w:r>
      <w:rPr>
        <w:rFonts w:ascii="Arial" w:eastAsia="Arial" w:hAnsi="Arial" w:cs="Arial"/>
        <w:sz w:val="18"/>
        <w:u w:val="single" w:color="000000"/>
      </w:rPr>
      <w:t xml:space="preserve">Fax 2233-8438                                       </w:t>
    </w:r>
    <w:r>
      <w:rPr>
        <w:rFonts w:ascii="Arial" w:eastAsia="Arial" w:hAnsi="Arial" w:cs="Arial"/>
        <w:color w:val="0000FF"/>
        <w:sz w:val="18"/>
        <w:u w:val="single" w:color="0000FF"/>
      </w:rPr>
      <w:t>direc_ejecutiva@poder-judicial.go.cr</w:t>
    </w:r>
    <w:r>
      <w:rPr>
        <w:rFonts w:ascii="Arial" w:eastAsia="Arial" w:hAnsi="Arial" w:cs="Arial"/>
        <w:sz w:val="18"/>
        <w:u w:val="single" w:color="000000"/>
      </w:rPr>
      <w:t xml:space="preserve">                               Costa Rica</w:t>
    </w:r>
    <w:r>
      <w:rPr>
        <w:rFonts w:ascii="Arial" w:eastAsia="Arial" w:hAnsi="Arial" w:cs="Arial"/>
        <w:sz w:val="1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7933B" w14:textId="77777777" w:rsidR="002A7673" w:rsidRDefault="002A7673">
    <w:pPr>
      <w:ind w:right="776"/>
      <w:jc w:val="center"/>
    </w:pPr>
    <w:r>
      <w:rPr>
        <w:rFonts w:ascii="Arial" w:eastAsia="Arial" w:hAnsi="Arial" w:cs="Arial"/>
      </w:rPr>
      <w:t xml:space="preserve"> </w:t>
    </w:r>
  </w:p>
  <w:p w14:paraId="7A682455" w14:textId="77777777" w:rsidR="002A7673" w:rsidRDefault="002A7673" w:rsidP="00F23B57">
    <w:pPr>
      <w:ind w:right="832"/>
      <w:jc w:val="center"/>
    </w:pPr>
    <w:r>
      <w:rPr>
        <w:rFonts w:ascii="Arial" w:eastAsia="Arial" w:hAnsi="Arial" w:cs="Arial"/>
        <w:b/>
        <w:sz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DE24F" w14:textId="77777777" w:rsidR="002A7673" w:rsidRDefault="002A7673">
    <w:pPr>
      <w:ind w:right="776"/>
      <w:jc w:val="center"/>
    </w:pPr>
    <w:r>
      <w:rPr>
        <w:noProof/>
      </w:rPr>
      <w:drawing>
        <wp:anchor distT="0" distB="0" distL="114300" distR="114300" simplePos="0" relativeHeight="251660288" behindDoc="0" locked="0" layoutInCell="1" allowOverlap="0" wp14:anchorId="5D6F6E35" wp14:editId="16E3E19D">
          <wp:simplePos x="0" y="0"/>
          <wp:positionH relativeFrom="page">
            <wp:posOffset>3619500</wp:posOffset>
          </wp:positionH>
          <wp:positionV relativeFrom="page">
            <wp:posOffset>449580</wp:posOffset>
          </wp:positionV>
          <wp:extent cx="533400" cy="601980"/>
          <wp:effectExtent l="0" t="0" r="0" b="0"/>
          <wp:wrapSquare wrapText="bothSides"/>
          <wp:docPr id="12632690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3400" cy="601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rPr>
      <w:t xml:space="preserve"> </w:t>
    </w:r>
  </w:p>
  <w:p w14:paraId="69DFB57B" w14:textId="77777777" w:rsidR="002A7673" w:rsidRDefault="002A7673">
    <w:pPr>
      <w:ind w:right="832"/>
      <w:jc w:val="center"/>
    </w:pPr>
    <w:r>
      <w:rPr>
        <w:rFonts w:ascii="Arial" w:eastAsia="Arial" w:hAnsi="Arial" w:cs="Arial"/>
        <w:b/>
        <w:sz w:val="24"/>
      </w:rPr>
      <w:t xml:space="preserve">       PODER JUDICIAL                DIRECCION EJECUTIVA </w:t>
    </w:r>
  </w:p>
  <w:p w14:paraId="46422625" w14:textId="77777777" w:rsidR="002A7673" w:rsidRDefault="002A7673">
    <w:r>
      <w:rPr>
        <w:rFonts w:ascii="Arial" w:eastAsia="Arial" w:hAnsi="Arial" w:cs="Arial"/>
        <w:sz w:val="18"/>
      </w:rPr>
      <w:t xml:space="preserve">Tel. 2295-4322                                                                                                                                       San José </w:t>
    </w:r>
  </w:p>
  <w:p w14:paraId="72BE39F2" w14:textId="77777777" w:rsidR="002A7673" w:rsidRDefault="002A7673">
    <w:r>
      <w:rPr>
        <w:rFonts w:ascii="Arial" w:eastAsia="Arial" w:hAnsi="Arial" w:cs="Arial"/>
        <w:sz w:val="18"/>
        <w:u w:val="single" w:color="000000"/>
      </w:rPr>
      <w:t xml:space="preserve">Fax 2233-8438                                       </w:t>
    </w:r>
    <w:r>
      <w:rPr>
        <w:rFonts w:ascii="Arial" w:eastAsia="Arial" w:hAnsi="Arial" w:cs="Arial"/>
        <w:color w:val="0000FF"/>
        <w:sz w:val="18"/>
        <w:u w:val="single" w:color="0000FF"/>
      </w:rPr>
      <w:t>direc_ejecutiva@poder-judicial.go.cr</w:t>
    </w:r>
    <w:r>
      <w:rPr>
        <w:rFonts w:ascii="Arial" w:eastAsia="Arial" w:hAnsi="Arial" w:cs="Arial"/>
        <w:sz w:val="18"/>
        <w:u w:val="single" w:color="000000"/>
      </w:rPr>
      <w:t xml:space="preserve">                               Costa Rica</w:t>
    </w:r>
    <w:r>
      <w:rPr>
        <w:rFonts w:ascii="Arial" w:eastAsia="Arial" w:hAnsi="Arial" w:cs="Arial"/>
        <w:sz w:val="1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00000002"/>
    <w:multiLevelType w:val="multilevel"/>
    <w:tmpl w:val="C5F28588"/>
    <w:lvl w:ilvl="0">
      <w:start w:val="1"/>
      <w:numFmt w:val="decimal"/>
      <w:lvlText w:val="%1."/>
      <w:lvlJc w:val="left"/>
      <w:pPr>
        <w:tabs>
          <w:tab w:val="num" w:pos="-51"/>
        </w:tabs>
        <w:ind w:left="-51" w:hanging="375"/>
      </w:pPr>
      <w:rPr>
        <w:rFonts w:ascii="Arial" w:hAnsi="Arial" w:cs="Arial" w:hint="default"/>
        <w:b/>
        <w:color w:val="auto"/>
        <w:sz w:val="28"/>
        <w:szCs w:val="26"/>
      </w:rPr>
    </w:lvl>
    <w:lvl w:ilvl="1">
      <w:start w:val="1"/>
      <w:numFmt w:val="bullet"/>
      <w:lvlText w:val=""/>
      <w:lvlJc w:val="left"/>
      <w:pPr>
        <w:tabs>
          <w:tab w:val="num" w:pos="-4952"/>
        </w:tabs>
        <w:ind w:left="-4952" w:hanging="720"/>
      </w:pPr>
      <w:rPr>
        <w:rFonts w:ascii="Symbol" w:hAnsi="Symbol" w:hint="default"/>
        <w:color w:val="806000"/>
        <w:sz w:val="32"/>
      </w:rPr>
    </w:lvl>
    <w:lvl w:ilvl="2">
      <w:start w:val="1"/>
      <w:numFmt w:val="decimal"/>
      <w:lvlText w:val="%1.%2.%3."/>
      <w:lvlJc w:val="left"/>
      <w:pPr>
        <w:tabs>
          <w:tab w:val="num" w:pos="-5649"/>
        </w:tabs>
        <w:ind w:left="-5649" w:hanging="720"/>
      </w:pPr>
    </w:lvl>
    <w:lvl w:ilvl="3">
      <w:start w:val="1"/>
      <w:numFmt w:val="decimal"/>
      <w:lvlText w:val="%1.%2.%3.%4."/>
      <w:lvlJc w:val="left"/>
      <w:pPr>
        <w:tabs>
          <w:tab w:val="num" w:pos="-4929"/>
        </w:tabs>
        <w:ind w:left="-4929" w:hanging="1080"/>
      </w:pPr>
    </w:lvl>
    <w:lvl w:ilvl="4">
      <w:start w:val="1"/>
      <w:numFmt w:val="decimal"/>
      <w:lvlText w:val="%1.%2.%3.%4.%5."/>
      <w:lvlJc w:val="left"/>
      <w:pPr>
        <w:tabs>
          <w:tab w:val="num" w:pos="-4569"/>
        </w:tabs>
        <w:ind w:left="-4569" w:hanging="1080"/>
      </w:pPr>
    </w:lvl>
    <w:lvl w:ilvl="5">
      <w:start w:val="1"/>
      <w:numFmt w:val="decimal"/>
      <w:lvlText w:val="%1.%2.%3.%4.%5.%6."/>
      <w:lvlJc w:val="left"/>
      <w:pPr>
        <w:tabs>
          <w:tab w:val="num" w:pos="-3849"/>
        </w:tabs>
        <w:ind w:left="-3849" w:hanging="1440"/>
      </w:pPr>
    </w:lvl>
    <w:lvl w:ilvl="6">
      <w:start w:val="1"/>
      <w:numFmt w:val="decimal"/>
      <w:lvlText w:val="%1.%2.%3.%4.%5.%6.%7."/>
      <w:lvlJc w:val="left"/>
      <w:pPr>
        <w:tabs>
          <w:tab w:val="num" w:pos="-3489"/>
        </w:tabs>
        <w:ind w:left="-3489" w:hanging="1440"/>
      </w:pPr>
    </w:lvl>
    <w:lvl w:ilvl="7">
      <w:start w:val="1"/>
      <w:numFmt w:val="decimal"/>
      <w:lvlText w:val="%1.%2.%3.%4.%5.%6.%7.%8."/>
      <w:lvlJc w:val="left"/>
      <w:pPr>
        <w:tabs>
          <w:tab w:val="num" w:pos="-2769"/>
        </w:tabs>
        <w:ind w:left="-2769" w:hanging="1800"/>
      </w:pPr>
    </w:lvl>
    <w:lvl w:ilvl="8">
      <w:start w:val="1"/>
      <w:numFmt w:val="decimal"/>
      <w:lvlText w:val="%1.%2.%3.%4.%5.%6.%7.%8.%9."/>
      <w:lvlJc w:val="left"/>
      <w:pPr>
        <w:tabs>
          <w:tab w:val="num" w:pos="-2409"/>
        </w:tabs>
        <w:ind w:left="-2409" w:hanging="1800"/>
      </w:pPr>
    </w:lvl>
  </w:abstractNum>
  <w:abstractNum w:abstractNumId="3" w15:restartNumberingAfterBreak="0">
    <w:nsid w:val="005A31BA"/>
    <w:multiLevelType w:val="hybridMultilevel"/>
    <w:tmpl w:val="FFFFFFFF"/>
    <w:lvl w:ilvl="0" w:tplc="E3D87444">
      <w:start w:val="1"/>
      <w:numFmt w:val="bullet"/>
      <w:lvlText w:val=""/>
      <w:lvlJc w:val="left"/>
      <w:pPr>
        <w:ind w:left="720" w:hanging="360"/>
      </w:pPr>
      <w:rPr>
        <w:rFonts w:ascii="Wingdings" w:hAnsi="Wingdings" w:hint="default"/>
      </w:rPr>
    </w:lvl>
    <w:lvl w:ilvl="1" w:tplc="F51828B8">
      <w:start w:val="1"/>
      <w:numFmt w:val="bullet"/>
      <w:lvlText w:val="o"/>
      <w:lvlJc w:val="left"/>
      <w:pPr>
        <w:ind w:left="1440" w:hanging="360"/>
      </w:pPr>
      <w:rPr>
        <w:rFonts w:ascii="Courier New" w:hAnsi="Courier New" w:hint="default"/>
      </w:rPr>
    </w:lvl>
    <w:lvl w:ilvl="2" w:tplc="9992F928">
      <w:start w:val="1"/>
      <w:numFmt w:val="bullet"/>
      <w:lvlText w:val=""/>
      <w:lvlJc w:val="left"/>
      <w:pPr>
        <w:ind w:left="2160" w:hanging="360"/>
      </w:pPr>
      <w:rPr>
        <w:rFonts w:ascii="Wingdings" w:hAnsi="Wingdings" w:hint="default"/>
      </w:rPr>
    </w:lvl>
    <w:lvl w:ilvl="3" w:tplc="F87A1158">
      <w:start w:val="1"/>
      <w:numFmt w:val="bullet"/>
      <w:lvlText w:val=""/>
      <w:lvlJc w:val="left"/>
      <w:pPr>
        <w:ind w:left="2880" w:hanging="360"/>
      </w:pPr>
      <w:rPr>
        <w:rFonts w:ascii="Symbol" w:hAnsi="Symbol" w:hint="default"/>
      </w:rPr>
    </w:lvl>
    <w:lvl w:ilvl="4" w:tplc="D4847B4E">
      <w:start w:val="1"/>
      <w:numFmt w:val="bullet"/>
      <w:lvlText w:val="o"/>
      <w:lvlJc w:val="left"/>
      <w:pPr>
        <w:ind w:left="3600" w:hanging="360"/>
      </w:pPr>
      <w:rPr>
        <w:rFonts w:ascii="Courier New" w:hAnsi="Courier New" w:hint="default"/>
      </w:rPr>
    </w:lvl>
    <w:lvl w:ilvl="5" w:tplc="E00857E2">
      <w:start w:val="1"/>
      <w:numFmt w:val="bullet"/>
      <w:lvlText w:val=""/>
      <w:lvlJc w:val="left"/>
      <w:pPr>
        <w:ind w:left="4320" w:hanging="360"/>
      </w:pPr>
      <w:rPr>
        <w:rFonts w:ascii="Wingdings" w:hAnsi="Wingdings" w:hint="default"/>
      </w:rPr>
    </w:lvl>
    <w:lvl w:ilvl="6" w:tplc="033ED87C">
      <w:start w:val="1"/>
      <w:numFmt w:val="bullet"/>
      <w:lvlText w:val=""/>
      <w:lvlJc w:val="left"/>
      <w:pPr>
        <w:ind w:left="5040" w:hanging="360"/>
      </w:pPr>
      <w:rPr>
        <w:rFonts w:ascii="Symbol" w:hAnsi="Symbol" w:hint="default"/>
      </w:rPr>
    </w:lvl>
    <w:lvl w:ilvl="7" w:tplc="BF96719A">
      <w:start w:val="1"/>
      <w:numFmt w:val="bullet"/>
      <w:lvlText w:val="o"/>
      <w:lvlJc w:val="left"/>
      <w:pPr>
        <w:ind w:left="5760" w:hanging="360"/>
      </w:pPr>
      <w:rPr>
        <w:rFonts w:ascii="Courier New" w:hAnsi="Courier New" w:hint="default"/>
      </w:rPr>
    </w:lvl>
    <w:lvl w:ilvl="8" w:tplc="88267E70">
      <w:start w:val="1"/>
      <w:numFmt w:val="bullet"/>
      <w:lvlText w:val=""/>
      <w:lvlJc w:val="left"/>
      <w:pPr>
        <w:ind w:left="6480" w:hanging="360"/>
      </w:pPr>
      <w:rPr>
        <w:rFonts w:ascii="Wingdings" w:hAnsi="Wingdings" w:hint="default"/>
      </w:rPr>
    </w:lvl>
  </w:abstractNum>
  <w:abstractNum w:abstractNumId="4" w15:restartNumberingAfterBreak="0">
    <w:nsid w:val="0123393D"/>
    <w:multiLevelType w:val="hybridMultilevel"/>
    <w:tmpl w:val="2ECCA3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13F6A7D"/>
    <w:multiLevelType w:val="multilevel"/>
    <w:tmpl w:val="0324D240"/>
    <w:lvl w:ilvl="0">
      <w:start w:val="2"/>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7DA6950"/>
    <w:multiLevelType w:val="hybridMultilevel"/>
    <w:tmpl w:val="03E24A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A5E6CF8"/>
    <w:multiLevelType w:val="hybridMultilevel"/>
    <w:tmpl w:val="8FA40D80"/>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BEB7598"/>
    <w:multiLevelType w:val="hybridMultilevel"/>
    <w:tmpl w:val="19BA4958"/>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9" w15:restartNumberingAfterBreak="0">
    <w:nsid w:val="0C387052"/>
    <w:multiLevelType w:val="hybridMultilevel"/>
    <w:tmpl w:val="27321CDE"/>
    <w:lvl w:ilvl="0" w:tplc="DE7A852A">
      <w:start w:val="1"/>
      <w:numFmt w:val="low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0C39165F"/>
    <w:multiLevelType w:val="hybridMultilevel"/>
    <w:tmpl w:val="024460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DAA63F8"/>
    <w:multiLevelType w:val="multilevel"/>
    <w:tmpl w:val="846A3D56"/>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102C24B4"/>
    <w:multiLevelType w:val="hybridMultilevel"/>
    <w:tmpl w:val="7B8C43A6"/>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3" w15:restartNumberingAfterBreak="0">
    <w:nsid w:val="111C1D1E"/>
    <w:multiLevelType w:val="hybridMultilevel"/>
    <w:tmpl w:val="5DDEA43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 w15:restartNumberingAfterBreak="0">
    <w:nsid w:val="13E203F6"/>
    <w:multiLevelType w:val="hybridMultilevel"/>
    <w:tmpl w:val="632C0854"/>
    <w:lvl w:ilvl="0" w:tplc="140A0017">
      <w:start w:val="1"/>
      <w:numFmt w:val="lowerLetter"/>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15" w15:restartNumberingAfterBreak="0">
    <w:nsid w:val="14A95B9C"/>
    <w:multiLevelType w:val="hybridMultilevel"/>
    <w:tmpl w:val="FFFFFFFF"/>
    <w:lvl w:ilvl="0" w:tplc="6450C488">
      <w:start w:val="1"/>
      <w:numFmt w:val="bullet"/>
      <w:lvlText w:val=""/>
      <w:lvlJc w:val="left"/>
      <w:pPr>
        <w:ind w:left="720" w:hanging="360"/>
      </w:pPr>
      <w:rPr>
        <w:rFonts w:ascii="Wingdings" w:hAnsi="Wingdings" w:hint="default"/>
      </w:rPr>
    </w:lvl>
    <w:lvl w:ilvl="1" w:tplc="3990B4A4">
      <w:start w:val="1"/>
      <w:numFmt w:val="bullet"/>
      <w:lvlText w:val="o"/>
      <w:lvlJc w:val="left"/>
      <w:pPr>
        <w:ind w:left="1440" w:hanging="360"/>
      </w:pPr>
      <w:rPr>
        <w:rFonts w:ascii="Courier New" w:hAnsi="Courier New" w:hint="default"/>
      </w:rPr>
    </w:lvl>
    <w:lvl w:ilvl="2" w:tplc="894E12AA">
      <w:start w:val="1"/>
      <w:numFmt w:val="bullet"/>
      <w:lvlText w:val=""/>
      <w:lvlJc w:val="left"/>
      <w:pPr>
        <w:ind w:left="2160" w:hanging="360"/>
      </w:pPr>
      <w:rPr>
        <w:rFonts w:ascii="Wingdings" w:hAnsi="Wingdings" w:hint="default"/>
      </w:rPr>
    </w:lvl>
    <w:lvl w:ilvl="3" w:tplc="5BD0BF22">
      <w:start w:val="1"/>
      <w:numFmt w:val="bullet"/>
      <w:lvlText w:val=""/>
      <w:lvlJc w:val="left"/>
      <w:pPr>
        <w:ind w:left="2880" w:hanging="360"/>
      </w:pPr>
      <w:rPr>
        <w:rFonts w:ascii="Symbol" w:hAnsi="Symbol" w:hint="default"/>
      </w:rPr>
    </w:lvl>
    <w:lvl w:ilvl="4" w:tplc="01C65E68">
      <w:start w:val="1"/>
      <w:numFmt w:val="bullet"/>
      <w:lvlText w:val="o"/>
      <w:lvlJc w:val="left"/>
      <w:pPr>
        <w:ind w:left="3600" w:hanging="360"/>
      </w:pPr>
      <w:rPr>
        <w:rFonts w:ascii="Courier New" w:hAnsi="Courier New" w:hint="default"/>
      </w:rPr>
    </w:lvl>
    <w:lvl w:ilvl="5" w:tplc="444A2094">
      <w:start w:val="1"/>
      <w:numFmt w:val="bullet"/>
      <w:lvlText w:val=""/>
      <w:lvlJc w:val="left"/>
      <w:pPr>
        <w:ind w:left="4320" w:hanging="360"/>
      </w:pPr>
      <w:rPr>
        <w:rFonts w:ascii="Wingdings" w:hAnsi="Wingdings" w:hint="default"/>
      </w:rPr>
    </w:lvl>
    <w:lvl w:ilvl="6" w:tplc="5260C1A6">
      <w:start w:val="1"/>
      <w:numFmt w:val="bullet"/>
      <w:lvlText w:val=""/>
      <w:lvlJc w:val="left"/>
      <w:pPr>
        <w:ind w:left="5040" w:hanging="360"/>
      </w:pPr>
      <w:rPr>
        <w:rFonts w:ascii="Symbol" w:hAnsi="Symbol" w:hint="default"/>
      </w:rPr>
    </w:lvl>
    <w:lvl w:ilvl="7" w:tplc="B180E968">
      <w:start w:val="1"/>
      <w:numFmt w:val="bullet"/>
      <w:lvlText w:val="o"/>
      <w:lvlJc w:val="left"/>
      <w:pPr>
        <w:ind w:left="5760" w:hanging="360"/>
      </w:pPr>
      <w:rPr>
        <w:rFonts w:ascii="Courier New" w:hAnsi="Courier New" w:hint="default"/>
      </w:rPr>
    </w:lvl>
    <w:lvl w:ilvl="8" w:tplc="F5A08E9A">
      <w:start w:val="1"/>
      <w:numFmt w:val="bullet"/>
      <w:lvlText w:val=""/>
      <w:lvlJc w:val="left"/>
      <w:pPr>
        <w:ind w:left="6480" w:hanging="360"/>
      </w:pPr>
      <w:rPr>
        <w:rFonts w:ascii="Wingdings" w:hAnsi="Wingdings" w:hint="default"/>
      </w:rPr>
    </w:lvl>
  </w:abstractNum>
  <w:abstractNum w:abstractNumId="16" w15:restartNumberingAfterBreak="0">
    <w:nsid w:val="14EC56A1"/>
    <w:multiLevelType w:val="hybridMultilevel"/>
    <w:tmpl w:val="3E384400"/>
    <w:lvl w:ilvl="0" w:tplc="5DF02EAE">
      <w:start w:val="1"/>
      <w:numFmt w:val="decimal"/>
      <w:lvlText w:val="%1."/>
      <w:lvlJc w:val="left"/>
      <w:pPr>
        <w:ind w:left="720" w:hanging="360"/>
      </w:pPr>
      <w:rPr>
        <w:rFonts w:ascii="Book Antiqua" w:hAnsi="Book Antiqua"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6C41FEF"/>
    <w:multiLevelType w:val="hybridMultilevel"/>
    <w:tmpl w:val="B90E02A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8" w15:restartNumberingAfterBreak="0">
    <w:nsid w:val="173F7D98"/>
    <w:multiLevelType w:val="hybridMultilevel"/>
    <w:tmpl w:val="4F3628DC"/>
    <w:lvl w:ilvl="0" w:tplc="4B404FF8">
      <w:start w:val="10"/>
      <w:numFmt w:val="decimal"/>
      <w:lvlText w:val="%1."/>
      <w:lvlJc w:val="left"/>
      <w:pPr>
        <w:ind w:left="809" w:hanging="384"/>
      </w:pPr>
      <w:rPr>
        <w:rFonts w:hint="default"/>
        <w:b/>
      </w:rPr>
    </w:lvl>
    <w:lvl w:ilvl="1" w:tplc="140A0019" w:tentative="1">
      <w:start w:val="1"/>
      <w:numFmt w:val="lowerLetter"/>
      <w:lvlText w:val="%2."/>
      <w:lvlJc w:val="left"/>
      <w:pPr>
        <w:ind w:left="1505" w:hanging="360"/>
      </w:pPr>
    </w:lvl>
    <w:lvl w:ilvl="2" w:tplc="140A001B" w:tentative="1">
      <w:start w:val="1"/>
      <w:numFmt w:val="lowerRoman"/>
      <w:lvlText w:val="%3."/>
      <w:lvlJc w:val="right"/>
      <w:pPr>
        <w:ind w:left="2225" w:hanging="180"/>
      </w:pPr>
    </w:lvl>
    <w:lvl w:ilvl="3" w:tplc="140A000F" w:tentative="1">
      <w:start w:val="1"/>
      <w:numFmt w:val="decimal"/>
      <w:lvlText w:val="%4."/>
      <w:lvlJc w:val="left"/>
      <w:pPr>
        <w:ind w:left="2945" w:hanging="360"/>
      </w:pPr>
    </w:lvl>
    <w:lvl w:ilvl="4" w:tplc="140A0019" w:tentative="1">
      <w:start w:val="1"/>
      <w:numFmt w:val="lowerLetter"/>
      <w:lvlText w:val="%5."/>
      <w:lvlJc w:val="left"/>
      <w:pPr>
        <w:ind w:left="3665" w:hanging="360"/>
      </w:pPr>
    </w:lvl>
    <w:lvl w:ilvl="5" w:tplc="140A001B" w:tentative="1">
      <w:start w:val="1"/>
      <w:numFmt w:val="lowerRoman"/>
      <w:lvlText w:val="%6."/>
      <w:lvlJc w:val="right"/>
      <w:pPr>
        <w:ind w:left="4385" w:hanging="180"/>
      </w:pPr>
    </w:lvl>
    <w:lvl w:ilvl="6" w:tplc="140A000F" w:tentative="1">
      <w:start w:val="1"/>
      <w:numFmt w:val="decimal"/>
      <w:lvlText w:val="%7."/>
      <w:lvlJc w:val="left"/>
      <w:pPr>
        <w:ind w:left="5105" w:hanging="360"/>
      </w:pPr>
    </w:lvl>
    <w:lvl w:ilvl="7" w:tplc="140A0019" w:tentative="1">
      <w:start w:val="1"/>
      <w:numFmt w:val="lowerLetter"/>
      <w:lvlText w:val="%8."/>
      <w:lvlJc w:val="left"/>
      <w:pPr>
        <w:ind w:left="5825" w:hanging="360"/>
      </w:pPr>
    </w:lvl>
    <w:lvl w:ilvl="8" w:tplc="140A001B" w:tentative="1">
      <w:start w:val="1"/>
      <w:numFmt w:val="lowerRoman"/>
      <w:lvlText w:val="%9."/>
      <w:lvlJc w:val="right"/>
      <w:pPr>
        <w:ind w:left="6545" w:hanging="180"/>
      </w:pPr>
    </w:lvl>
  </w:abstractNum>
  <w:abstractNum w:abstractNumId="19" w15:restartNumberingAfterBreak="0">
    <w:nsid w:val="19EF169D"/>
    <w:multiLevelType w:val="hybridMultilevel"/>
    <w:tmpl w:val="F1E0E466"/>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0" w15:restartNumberingAfterBreak="0">
    <w:nsid w:val="1BB06EF0"/>
    <w:multiLevelType w:val="hybridMultilevel"/>
    <w:tmpl w:val="672CA07C"/>
    <w:lvl w:ilvl="0" w:tplc="140A0015">
      <w:start w:val="1"/>
      <w:numFmt w:val="upperLetter"/>
      <w:lvlText w:val="%1."/>
      <w:lvlJc w:val="left"/>
      <w:pPr>
        <w:ind w:left="2505" w:hanging="360"/>
      </w:pPr>
    </w:lvl>
    <w:lvl w:ilvl="1" w:tplc="140A0019" w:tentative="1">
      <w:start w:val="1"/>
      <w:numFmt w:val="lowerLetter"/>
      <w:lvlText w:val="%2."/>
      <w:lvlJc w:val="left"/>
      <w:pPr>
        <w:ind w:left="3225" w:hanging="360"/>
      </w:pPr>
    </w:lvl>
    <w:lvl w:ilvl="2" w:tplc="140A001B" w:tentative="1">
      <w:start w:val="1"/>
      <w:numFmt w:val="lowerRoman"/>
      <w:lvlText w:val="%3."/>
      <w:lvlJc w:val="right"/>
      <w:pPr>
        <w:ind w:left="3945" w:hanging="180"/>
      </w:pPr>
    </w:lvl>
    <w:lvl w:ilvl="3" w:tplc="140A000F" w:tentative="1">
      <w:start w:val="1"/>
      <w:numFmt w:val="decimal"/>
      <w:lvlText w:val="%4."/>
      <w:lvlJc w:val="left"/>
      <w:pPr>
        <w:ind w:left="4665" w:hanging="360"/>
      </w:pPr>
    </w:lvl>
    <w:lvl w:ilvl="4" w:tplc="140A0019" w:tentative="1">
      <w:start w:val="1"/>
      <w:numFmt w:val="lowerLetter"/>
      <w:lvlText w:val="%5."/>
      <w:lvlJc w:val="left"/>
      <w:pPr>
        <w:ind w:left="5385" w:hanging="360"/>
      </w:pPr>
    </w:lvl>
    <w:lvl w:ilvl="5" w:tplc="140A001B" w:tentative="1">
      <w:start w:val="1"/>
      <w:numFmt w:val="lowerRoman"/>
      <w:lvlText w:val="%6."/>
      <w:lvlJc w:val="right"/>
      <w:pPr>
        <w:ind w:left="6105" w:hanging="180"/>
      </w:pPr>
    </w:lvl>
    <w:lvl w:ilvl="6" w:tplc="140A000F" w:tentative="1">
      <w:start w:val="1"/>
      <w:numFmt w:val="decimal"/>
      <w:lvlText w:val="%7."/>
      <w:lvlJc w:val="left"/>
      <w:pPr>
        <w:ind w:left="6825" w:hanging="360"/>
      </w:pPr>
    </w:lvl>
    <w:lvl w:ilvl="7" w:tplc="140A0019" w:tentative="1">
      <w:start w:val="1"/>
      <w:numFmt w:val="lowerLetter"/>
      <w:lvlText w:val="%8."/>
      <w:lvlJc w:val="left"/>
      <w:pPr>
        <w:ind w:left="7545" w:hanging="360"/>
      </w:pPr>
    </w:lvl>
    <w:lvl w:ilvl="8" w:tplc="140A001B" w:tentative="1">
      <w:start w:val="1"/>
      <w:numFmt w:val="lowerRoman"/>
      <w:lvlText w:val="%9."/>
      <w:lvlJc w:val="right"/>
      <w:pPr>
        <w:ind w:left="8265" w:hanging="180"/>
      </w:pPr>
    </w:lvl>
  </w:abstractNum>
  <w:abstractNum w:abstractNumId="21" w15:restartNumberingAfterBreak="0">
    <w:nsid w:val="1E4D3534"/>
    <w:multiLevelType w:val="hybridMultilevel"/>
    <w:tmpl w:val="4C1EA31A"/>
    <w:lvl w:ilvl="0" w:tplc="140A0001">
      <w:start w:val="1"/>
      <w:numFmt w:val="bullet"/>
      <w:lvlText w:val=""/>
      <w:lvlJc w:val="left"/>
      <w:pPr>
        <w:ind w:left="720" w:hanging="360"/>
      </w:pPr>
      <w:rPr>
        <w:rFonts w:ascii="Symbol" w:hAnsi="Symbol" w:cs="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cs="Wingdings" w:hint="default"/>
      </w:rPr>
    </w:lvl>
    <w:lvl w:ilvl="3" w:tplc="140A0001" w:tentative="1">
      <w:start w:val="1"/>
      <w:numFmt w:val="bullet"/>
      <w:lvlText w:val=""/>
      <w:lvlJc w:val="left"/>
      <w:pPr>
        <w:ind w:left="2880" w:hanging="360"/>
      </w:pPr>
      <w:rPr>
        <w:rFonts w:ascii="Symbol" w:hAnsi="Symbol" w:cs="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cs="Wingdings" w:hint="default"/>
      </w:rPr>
    </w:lvl>
    <w:lvl w:ilvl="6" w:tplc="140A0001" w:tentative="1">
      <w:start w:val="1"/>
      <w:numFmt w:val="bullet"/>
      <w:lvlText w:val=""/>
      <w:lvlJc w:val="left"/>
      <w:pPr>
        <w:ind w:left="5040" w:hanging="360"/>
      </w:pPr>
      <w:rPr>
        <w:rFonts w:ascii="Symbol" w:hAnsi="Symbol" w:cs="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1F843CFB"/>
    <w:multiLevelType w:val="hybridMultilevel"/>
    <w:tmpl w:val="EEE4648C"/>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3" w15:restartNumberingAfterBreak="0">
    <w:nsid w:val="204D6589"/>
    <w:multiLevelType w:val="hybridMultilevel"/>
    <w:tmpl w:val="5C325E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cs="Wingdings" w:hint="default"/>
      </w:rPr>
    </w:lvl>
    <w:lvl w:ilvl="3" w:tplc="140A0001" w:tentative="1">
      <w:start w:val="1"/>
      <w:numFmt w:val="bullet"/>
      <w:lvlText w:val=""/>
      <w:lvlJc w:val="left"/>
      <w:pPr>
        <w:ind w:left="2880" w:hanging="360"/>
      </w:pPr>
      <w:rPr>
        <w:rFonts w:ascii="Symbol" w:hAnsi="Symbol" w:cs="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cs="Wingdings" w:hint="default"/>
      </w:rPr>
    </w:lvl>
    <w:lvl w:ilvl="6" w:tplc="140A0001" w:tentative="1">
      <w:start w:val="1"/>
      <w:numFmt w:val="bullet"/>
      <w:lvlText w:val=""/>
      <w:lvlJc w:val="left"/>
      <w:pPr>
        <w:ind w:left="5040" w:hanging="360"/>
      </w:pPr>
      <w:rPr>
        <w:rFonts w:ascii="Symbol" w:hAnsi="Symbol" w:cs="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20C302A9"/>
    <w:multiLevelType w:val="hybridMultilevel"/>
    <w:tmpl w:val="ACEED654"/>
    <w:lvl w:ilvl="0" w:tplc="4832F9CC">
      <w:start w:val="1"/>
      <w:numFmt w:val="bullet"/>
      <w:lvlText w:val=""/>
      <w:lvlJc w:val="left"/>
      <w:pPr>
        <w:ind w:left="1080" w:hanging="360"/>
      </w:pPr>
      <w:rPr>
        <w:rFonts w:ascii="Symbol" w:eastAsia="Calibri" w:hAnsi="Symbol" w:cs="Times New Roman" w:hint="default"/>
      </w:rPr>
    </w:lvl>
    <w:lvl w:ilvl="1" w:tplc="140A0003">
      <w:start w:val="1"/>
      <w:numFmt w:val="bullet"/>
      <w:lvlText w:val="o"/>
      <w:lvlJc w:val="left"/>
      <w:pPr>
        <w:ind w:left="1800" w:hanging="360"/>
      </w:pPr>
      <w:rPr>
        <w:rFonts w:ascii="Courier New" w:hAnsi="Courier New" w:cs="Courier New" w:hint="default"/>
      </w:rPr>
    </w:lvl>
    <w:lvl w:ilvl="2" w:tplc="140A0005">
      <w:start w:val="1"/>
      <w:numFmt w:val="bullet"/>
      <w:lvlText w:val=""/>
      <w:lvlJc w:val="left"/>
      <w:pPr>
        <w:ind w:left="2520" w:hanging="360"/>
      </w:pPr>
      <w:rPr>
        <w:rFonts w:ascii="Wingdings" w:hAnsi="Wingdings" w:hint="default"/>
      </w:rPr>
    </w:lvl>
    <w:lvl w:ilvl="3" w:tplc="140A0001">
      <w:start w:val="1"/>
      <w:numFmt w:val="bullet"/>
      <w:lvlText w:val=""/>
      <w:lvlJc w:val="left"/>
      <w:pPr>
        <w:ind w:left="3240" w:hanging="360"/>
      </w:pPr>
      <w:rPr>
        <w:rFonts w:ascii="Symbol" w:hAnsi="Symbol" w:hint="default"/>
      </w:rPr>
    </w:lvl>
    <w:lvl w:ilvl="4" w:tplc="140A0003">
      <w:start w:val="1"/>
      <w:numFmt w:val="bullet"/>
      <w:lvlText w:val="o"/>
      <w:lvlJc w:val="left"/>
      <w:pPr>
        <w:ind w:left="3960" w:hanging="360"/>
      </w:pPr>
      <w:rPr>
        <w:rFonts w:ascii="Courier New" w:hAnsi="Courier New" w:cs="Courier New" w:hint="default"/>
      </w:rPr>
    </w:lvl>
    <w:lvl w:ilvl="5" w:tplc="140A0005">
      <w:start w:val="1"/>
      <w:numFmt w:val="bullet"/>
      <w:lvlText w:val=""/>
      <w:lvlJc w:val="left"/>
      <w:pPr>
        <w:ind w:left="4680" w:hanging="360"/>
      </w:pPr>
      <w:rPr>
        <w:rFonts w:ascii="Wingdings" w:hAnsi="Wingdings" w:hint="default"/>
      </w:rPr>
    </w:lvl>
    <w:lvl w:ilvl="6" w:tplc="140A0001">
      <w:start w:val="1"/>
      <w:numFmt w:val="bullet"/>
      <w:lvlText w:val=""/>
      <w:lvlJc w:val="left"/>
      <w:pPr>
        <w:ind w:left="5400" w:hanging="360"/>
      </w:pPr>
      <w:rPr>
        <w:rFonts w:ascii="Symbol" w:hAnsi="Symbol" w:hint="default"/>
      </w:rPr>
    </w:lvl>
    <w:lvl w:ilvl="7" w:tplc="140A0003">
      <w:start w:val="1"/>
      <w:numFmt w:val="bullet"/>
      <w:lvlText w:val="o"/>
      <w:lvlJc w:val="left"/>
      <w:pPr>
        <w:ind w:left="6120" w:hanging="360"/>
      </w:pPr>
      <w:rPr>
        <w:rFonts w:ascii="Courier New" w:hAnsi="Courier New" w:cs="Courier New" w:hint="default"/>
      </w:rPr>
    </w:lvl>
    <w:lvl w:ilvl="8" w:tplc="140A0005">
      <w:start w:val="1"/>
      <w:numFmt w:val="bullet"/>
      <w:lvlText w:val=""/>
      <w:lvlJc w:val="left"/>
      <w:pPr>
        <w:ind w:left="6840" w:hanging="360"/>
      </w:pPr>
      <w:rPr>
        <w:rFonts w:ascii="Wingdings" w:hAnsi="Wingdings" w:hint="default"/>
      </w:rPr>
    </w:lvl>
  </w:abstractNum>
  <w:abstractNum w:abstractNumId="25" w15:restartNumberingAfterBreak="0">
    <w:nsid w:val="21F61D0D"/>
    <w:multiLevelType w:val="hybridMultilevel"/>
    <w:tmpl w:val="5B9E20C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21F73B63"/>
    <w:multiLevelType w:val="multilevel"/>
    <w:tmpl w:val="26E226F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24D12D87"/>
    <w:multiLevelType w:val="hybridMultilevel"/>
    <w:tmpl w:val="4950FADA"/>
    <w:lvl w:ilvl="0" w:tplc="76202128">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2563031D"/>
    <w:multiLevelType w:val="hybridMultilevel"/>
    <w:tmpl w:val="760C4B98"/>
    <w:lvl w:ilvl="0" w:tplc="18A020AA">
      <w:start w:val="1"/>
      <w:numFmt w:val="decimal"/>
      <w:lvlText w:val="%1.)"/>
      <w:lvlJc w:val="left"/>
      <w:pPr>
        <w:ind w:left="1069" w:hanging="360"/>
      </w:pPr>
      <w:rPr>
        <w:rFonts w:eastAsia="Times New Roman"/>
        <w:b/>
        <w:color w:val="201F1E"/>
        <w:sz w:val="22"/>
      </w:rPr>
    </w:lvl>
    <w:lvl w:ilvl="1" w:tplc="080A0019">
      <w:start w:val="1"/>
      <w:numFmt w:val="lowerLetter"/>
      <w:lvlText w:val="%2."/>
      <w:lvlJc w:val="left"/>
      <w:pPr>
        <w:ind w:left="1789" w:hanging="360"/>
      </w:pPr>
    </w:lvl>
    <w:lvl w:ilvl="2" w:tplc="080A001B">
      <w:start w:val="1"/>
      <w:numFmt w:val="lowerRoman"/>
      <w:lvlText w:val="%3."/>
      <w:lvlJc w:val="right"/>
      <w:pPr>
        <w:ind w:left="2509" w:hanging="180"/>
      </w:pPr>
    </w:lvl>
    <w:lvl w:ilvl="3" w:tplc="080A000F">
      <w:start w:val="1"/>
      <w:numFmt w:val="decimal"/>
      <w:lvlText w:val="%4."/>
      <w:lvlJc w:val="left"/>
      <w:pPr>
        <w:ind w:left="3229" w:hanging="360"/>
      </w:pPr>
    </w:lvl>
    <w:lvl w:ilvl="4" w:tplc="080A0019">
      <w:start w:val="1"/>
      <w:numFmt w:val="lowerLetter"/>
      <w:lvlText w:val="%5."/>
      <w:lvlJc w:val="left"/>
      <w:pPr>
        <w:ind w:left="3949" w:hanging="360"/>
      </w:pPr>
    </w:lvl>
    <w:lvl w:ilvl="5" w:tplc="080A001B">
      <w:start w:val="1"/>
      <w:numFmt w:val="lowerRoman"/>
      <w:lvlText w:val="%6."/>
      <w:lvlJc w:val="right"/>
      <w:pPr>
        <w:ind w:left="4669" w:hanging="180"/>
      </w:pPr>
    </w:lvl>
    <w:lvl w:ilvl="6" w:tplc="080A000F">
      <w:start w:val="1"/>
      <w:numFmt w:val="decimal"/>
      <w:lvlText w:val="%7."/>
      <w:lvlJc w:val="left"/>
      <w:pPr>
        <w:ind w:left="5389" w:hanging="360"/>
      </w:pPr>
    </w:lvl>
    <w:lvl w:ilvl="7" w:tplc="080A0019">
      <w:start w:val="1"/>
      <w:numFmt w:val="lowerLetter"/>
      <w:lvlText w:val="%8."/>
      <w:lvlJc w:val="left"/>
      <w:pPr>
        <w:ind w:left="6109" w:hanging="360"/>
      </w:pPr>
    </w:lvl>
    <w:lvl w:ilvl="8" w:tplc="080A001B">
      <w:start w:val="1"/>
      <w:numFmt w:val="lowerRoman"/>
      <w:lvlText w:val="%9."/>
      <w:lvlJc w:val="right"/>
      <w:pPr>
        <w:ind w:left="6829" w:hanging="180"/>
      </w:pPr>
    </w:lvl>
  </w:abstractNum>
  <w:abstractNum w:abstractNumId="29" w15:restartNumberingAfterBreak="0">
    <w:nsid w:val="26763898"/>
    <w:multiLevelType w:val="hybridMultilevel"/>
    <w:tmpl w:val="CFBE5412"/>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30" w15:restartNumberingAfterBreak="0">
    <w:nsid w:val="27075FA9"/>
    <w:multiLevelType w:val="hybridMultilevel"/>
    <w:tmpl w:val="08A0460C"/>
    <w:lvl w:ilvl="0" w:tplc="140A000B">
      <w:start w:val="1"/>
      <w:numFmt w:val="bullet"/>
      <w:lvlText w:val=""/>
      <w:lvlJc w:val="left"/>
      <w:pPr>
        <w:ind w:left="916" w:hanging="360"/>
      </w:pPr>
      <w:rPr>
        <w:rFonts w:ascii="Wingdings" w:hAnsi="Wingdings" w:hint="default"/>
      </w:rPr>
    </w:lvl>
    <w:lvl w:ilvl="1" w:tplc="040A0003" w:tentative="1">
      <w:start w:val="1"/>
      <w:numFmt w:val="bullet"/>
      <w:lvlText w:val="o"/>
      <w:lvlJc w:val="left"/>
      <w:pPr>
        <w:ind w:left="1636" w:hanging="360"/>
      </w:pPr>
      <w:rPr>
        <w:rFonts w:ascii="Courier New" w:hAnsi="Courier New" w:cs="Courier New" w:hint="default"/>
      </w:rPr>
    </w:lvl>
    <w:lvl w:ilvl="2" w:tplc="040A0005" w:tentative="1">
      <w:start w:val="1"/>
      <w:numFmt w:val="bullet"/>
      <w:lvlText w:val=""/>
      <w:lvlJc w:val="left"/>
      <w:pPr>
        <w:ind w:left="2356" w:hanging="360"/>
      </w:pPr>
      <w:rPr>
        <w:rFonts w:ascii="Wingdings" w:hAnsi="Wingdings" w:hint="default"/>
      </w:rPr>
    </w:lvl>
    <w:lvl w:ilvl="3" w:tplc="040A0001" w:tentative="1">
      <w:start w:val="1"/>
      <w:numFmt w:val="bullet"/>
      <w:lvlText w:val=""/>
      <w:lvlJc w:val="left"/>
      <w:pPr>
        <w:ind w:left="3076" w:hanging="360"/>
      </w:pPr>
      <w:rPr>
        <w:rFonts w:ascii="Symbol" w:hAnsi="Symbol" w:hint="default"/>
      </w:rPr>
    </w:lvl>
    <w:lvl w:ilvl="4" w:tplc="040A0003" w:tentative="1">
      <w:start w:val="1"/>
      <w:numFmt w:val="bullet"/>
      <w:lvlText w:val="o"/>
      <w:lvlJc w:val="left"/>
      <w:pPr>
        <w:ind w:left="3796" w:hanging="360"/>
      </w:pPr>
      <w:rPr>
        <w:rFonts w:ascii="Courier New" w:hAnsi="Courier New" w:cs="Courier New" w:hint="default"/>
      </w:rPr>
    </w:lvl>
    <w:lvl w:ilvl="5" w:tplc="040A0005" w:tentative="1">
      <w:start w:val="1"/>
      <w:numFmt w:val="bullet"/>
      <w:lvlText w:val=""/>
      <w:lvlJc w:val="left"/>
      <w:pPr>
        <w:ind w:left="4516" w:hanging="360"/>
      </w:pPr>
      <w:rPr>
        <w:rFonts w:ascii="Wingdings" w:hAnsi="Wingdings" w:hint="default"/>
      </w:rPr>
    </w:lvl>
    <w:lvl w:ilvl="6" w:tplc="040A0001" w:tentative="1">
      <w:start w:val="1"/>
      <w:numFmt w:val="bullet"/>
      <w:lvlText w:val=""/>
      <w:lvlJc w:val="left"/>
      <w:pPr>
        <w:ind w:left="5236" w:hanging="360"/>
      </w:pPr>
      <w:rPr>
        <w:rFonts w:ascii="Symbol" w:hAnsi="Symbol" w:hint="default"/>
      </w:rPr>
    </w:lvl>
    <w:lvl w:ilvl="7" w:tplc="040A0003" w:tentative="1">
      <w:start w:val="1"/>
      <w:numFmt w:val="bullet"/>
      <w:lvlText w:val="o"/>
      <w:lvlJc w:val="left"/>
      <w:pPr>
        <w:ind w:left="5956" w:hanging="360"/>
      </w:pPr>
      <w:rPr>
        <w:rFonts w:ascii="Courier New" w:hAnsi="Courier New" w:cs="Courier New" w:hint="default"/>
      </w:rPr>
    </w:lvl>
    <w:lvl w:ilvl="8" w:tplc="040A0005" w:tentative="1">
      <w:start w:val="1"/>
      <w:numFmt w:val="bullet"/>
      <w:lvlText w:val=""/>
      <w:lvlJc w:val="left"/>
      <w:pPr>
        <w:ind w:left="6676" w:hanging="360"/>
      </w:pPr>
      <w:rPr>
        <w:rFonts w:ascii="Wingdings" w:hAnsi="Wingdings" w:hint="default"/>
      </w:rPr>
    </w:lvl>
  </w:abstractNum>
  <w:abstractNum w:abstractNumId="31" w15:restartNumberingAfterBreak="0">
    <w:nsid w:val="275F1432"/>
    <w:multiLevelType w:val="hybridMultilevel"/>
    <w:tmpl w:val="FE0EE388"/>
    <w:lvl w:ilvl="0" w:tplc="46E2BF00">
      <w:start w:val="1"/>
      <w:numFmt w:val="decimal"/>
      <w:lvlText w:val="%1)"/>
      <w:lvlJc w:val="left"/>
      <w:pPr>
        <w:ind w:left="1629" w:hanging="435"/>
      </w:pPr>
    </w:lvl>
    <w:lvl w:ilvl="1" w:tplc="140A0019">
      <w:start w:val="1"/>
      <w:numFmt w:val="lowerLetter"/>
      <w:lvlText w:val="%2."/>
      <w:lvlJc w:val="left"/>
      <w:pPr>
        <w:ind w:left="2274" w:hanging="360"/>
      </w:pPr>
    </w:lvl>
    <w:lvl w:ilvl="2" w:tplc="140A001B">
      <w:start w:val="1"/>
      <w:numFmt w:val="lowerRoman"/>
      <w:lvlText w:val="%3."/>
      <w:lvlJc w:val="right"/>
      <w:pPr>
        <w:ind w:left="2994" w:hanging="180"/>
      </w:pPr>
    </w:lvl>
    <w:lvl w:ilvl="3" w:tplc="140A000F">
      <w:start w:val="1"/>
      <w:numFmt w:val="decimal"/>
      <w:lvlText w:val="%4."/>
      <w:lvlJc w:val="left"/>
      <w:pPr>
        <w:ind w:left="3714" w:hanging="360"/>
      </w:pPr>
    </w:lvl>
    <w:lvl w:ilvl="4" w:tplc="140A0019">
      <w:start w:val="1"/>
      <w:numFmt w:val="lowerLetter"/>
      <w:lvlText w:val="%5."/>
      <w:lvlJc w:val="left"/>
      <w:pPr>
        <w:ind w:left="4434" w:hanging="360"/>
      </w:pPr>
    </w:lvl>
    <w:lvl w:ilvl="5" w:tplc="140A001B">
      <w:start w:val="1"/>
      <w:numFmt w:val="lowerRoman"/>
      <w:lvlText w:val="%6."/>
      <w:lvlJc w:val="right"/>
      <w:pPr>
        <w:ind w:left="5154" w:hanging="180"/>
      </w:pPr>
    </w:lvl>
    <w:lvl w:ilvl="6" w:tplc="140A000F">
      <w:start w:val="1"/>
      <w:numFmt w:val="decimal"/>
      <w:lvlText w:val="%7."/>
      <w:lvlJc w:val="left"/>
      <w:pPr>
        <w:ind w:left="5874" w:hanging="360"/>
      </w:pPr>
    </w:lvl>
    <w:lvl w:ilvl="7" w:tplc="140A0019">
      <w:start w:val="1"/>
      <w:numFmt w:val="lowerLetter"/>
      <w:lvlText w:val="%8."/>
      <w:lvlJc w:val="left"/>
      <w:pPr>
        <w:ind w:left="6594" w:hanging="360"/>
      </w:pPr>
    </w:lvl>
    <w:lvl w:ilvl="8" w:tplc="140A001B">
      <w:start w:val="1"/>
      <w:numFmt w:val="lowerRoman"/>
      <w:lvlText w:val="%9."/>
      <w:lvlJc w:val="right"/>
      <w:pPr>
        <w:ind w:left="7314" w:hanging="180"/>
      </w:pPr>
    </w:lvl>
  </w:abstractNum>
  <w:abstractNum w:abstractNumId="32" w15:restartNumberingAfterBreak="0">
    <w:nsid w:val="297365C9"/>
    <w:multiLevelType w:val="multilevel"/>
    <w:tmpl w:val="2EBC58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2BB2083E"/>
    <w:multiLevelType w:val="hybridMultilevel"/>
    <w:tmpl w:val="5D26E1EE"/>
    <w:lvl w:ilvl="0" w:tplc="B9EC22FA">
      <w:start w:val="457"/>
      <w:numFmt w:val="bullet"/>
      <w:lvlText w:val="-"/>
      <w:lvlJc w:val="left"/>
      <w:pPr>
        <w:ind w:left="720" w:hanging="360"/>
      </w:pPr>
      <w:rPr>
        <w:rFonts w:ascii="Arial" w:eastAsiaTheme="minorHAns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2DAA07C8"/>
    <w:multiLevelType w:val="multilevel"/>
    <w:tmpl w:val="51E4EB68"/>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2E5666B3"/>
    <w:multiLevelType w:val="hybridMultilevel"/>
    <w:tmpl w:val="8A989286"/>
    <w:lvl w:ilvl="0" w:tplc="8AC89D2C">
      <w:start w:val="1"/>
      <w:numFmt w:val="upperLetter"/>
      <w:lvlText w:val="%1)"/>
      <w:lvlJc w:val="left"/>
      <w:pPr>
        <w:ind w:left="1080" w:hanging="360"/>
      </w:pPr>
      <w:rPr>
        <w:rFonts w:hint="default"/>
        <w:b/>
        <w:b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6" w15:restartNumberingAfterBreak="0">
    <w:nsid w:val="32330BC4"/>
    <w:multiLevelType w:val="hybridMultilevel"/>
    <w:tmpl w:val="FFFFFFFF"/>
    <w:lvl w:ilvl="0" w:tplc="270A123A">
      <w:start w:val="1"/>
      <w:numFmt w:val="bullet"/>
      <w:lvlText w:val=""/>
      <w:lvlJc w:val="left"/>
      <w:pPr>
        <w:ind w:left="720" w:hanging="360"/>
      </w:pPr>
      <w:rPr>
        <w:rFonts w:ascii="Wingdings" w:hAnsi="Wingdings" w:hint="default"/>
      </w:rPr>
    </w:lvl>
    <w:lvl w:ilvl="1" w:tplc="7D360640">
      <w:start w:val="1"/>
      <w:numFmt w:val="bullet"/>
      <w:lvlText w:val="o"/>
      <w:lvlJc w:val="left"/>
      <w:pPr>
        <w:ind w:left="1440" w:hanging="360"/>
      </w:pPr>
      <w:rPr>
        <w:rFonts w:ascii="Courier New" w:hAnsi="Courier New" w:hint="default"/>
      </w:rPr>
    </w:lvl>
    <w:lvl w:ilvl="2" w:tplc="00563F32">
      <w:start w:val="1"/>
      <w:numFmt w:val="bullet"/>
      <w:lvlText w:val=""/>
      <w:lvlJc w:val="left"/>
      <w:pPr>
        <w:ind w:left="2160" w:hanging="360"/>
      </w:pPr>
      <w:rPr>
        <w:rFonts w:ascii="Wingdings" w:hAnsi="Wingdings" w:hint="default"/>
      </w:rPr>
    </w:lvl>
    <w:lvl w:ilvl="3" w:tplc="B04CDB94">
      <w:start w:val="1"/>
      <w:numFmt w:val="bullet"/>
      <w:lvlText w:val=""/>
      <w:lvlJc w:val="left"/>
      <w:pPr>
        <w:ind w:left="2880" w:hanging="360"/>
      </w:pPr>
      <w:rPr>
        <w:rFonts w:ascii="Symbol" w:hAnsi="Symbol" w:hint="default"/>
      </w:rPr>
    </w:lvl>
    <w:lvl w:ilvl="4" w:tplc="6D22104E">
      <w:start w:val="1"/>
      <w:numFmt w:val="bullet"/>
      <w:lvlText w:val="o"/>
      <w:lvlJc w:val="left"/>
      <w:pPr>
        <w:ind w:left="3600" w:hanging="360"/>
      </w:pPr>
      <w:rPr>
        <w:rFonts w:ascii="Courier New" w:hAnsi="Courier New" w:hint="default"/>
      </w:rPr>
    </w:lvl>
    <w:lvl w:ilvl="5" w:tplc="D29EB3B2">
      <w:start w:val="1"/>
      <w:numFmt w:val="bullet"/>
      <w:lvlText w:val=""/>
      <w:lvlJc w:val="left"/>
      <w:pPr>
        <w:ind w:left="4320" w:hanging="360"/>
      </w:pPr>
      <w:rPr>
        <w:rFonts w:ascii="Wingdings" w:hAnsi="Wingdings" w:hint="default"/>
      </w:rPr>
    </w:lvl>
    <w:lvl w:ilvl="6" w:tplc="60F8A0D4">
      <w:start w:val="1"/>
      <w:numFmt w:val="bullet"/>
      <w:lvlText w:val=""/>
      <w:lvlJc w:val="left"/>
      <w:pPr>
        <w:ind w:left="5040" w:hanging="360"/>
      </w:pPr>
      <w:rPr>
        <w:rFonts w:ascii="Symbol" w:hAnsi="Symbol" w:hint="default"/>
      </w:rPr>
    </w:lvl>
    <w:lvl w:ilvl="7" w:tplc="94203CFC">
      <w:start w:val="1"/>
      <w:numFmt w:val="bullet"/>
      <w:lvlText w:val="o"/>
      <w:lvlJc w:val="left"/>
      <w:pPr>
        <w:ind w:left="5760" w:hanging="360"/>
      </w:pPr>
      <w:rPr>
        <w:rFonts w:ascii="Courier New" w:hAnsi="Courier New" w:hint="default"/>
      </w:rPr>
    </w:lvl>
    <w:lvl w:ilvl="8" w:tplc="1B143420">
      <w:start w:val="1"/>
      <w:numFmt w:val="bullet"/>
      <w:lvlText w:val=""/>
      <w:lvlJc w:val="left"/>
      <w:pPr>
        <w:ind w:left="6480" w:hanging="360"/>
      </w:pPr>
      <w:rPr>
        <w:rFonts w:ascii="Wingdings" w:hAnsi="Wingdings" w:hint="default"/>
      </w:rPr>
    </w:lvl>
  </w:abstractNum>
  <w:abstractNum w:abstractNumId="37" w15:restartNumberingAfterBreak="0">
    <w:nsid w:val="32B04416"/>
    <w:multiLevelType w:val="multilevel"/>
    <w:tmpl w:val="14D6B492"/>
    <w:lvl w:ilvl="0">
      <w:start w:val="1"/>
      <w:numFmt w:val="decimal"/>
      <w:lvlText w:val="%1."/>
      <w:lvlJc w:val="left"/>
      <w:pPr>
        <w:ind w:left="720" w:hanging="360"/>
      </w:pPr>
      <w:rPr>
        <w:b/>
        <w:bCs w:val="0"/>
      </w:rPr>
    </w:lvl>
    <w:lvl w:ilvl="1">
      <w:start w:val="1"/>
      <w:numFmt w:val="decimal"/>
      <w:lvlText w:val="%1.%2"/>
      <w:lvlJc w:val="left"/>
      <w:pPr>
        <w:ind w:left="760" w:hanging="400"/>
      </w:pPr>
      <w:rPr>
        <w:b/>
        <w:bCs/>
        <w:color w:val="auto"/>
      </w:rPr>
    </w:lvl>
    <w:lvl w:ilvl="2">
      <w:start w:val="1"/>
      <w:numFmt w:val="decimal"/>
      <w:lvlText w:val="%1.%2.%3"/>
      <w:lvlJc w:val="left"/>
      <w:pPr>
        <w:ind w:left="1080" w:hanging="720"/>
      </w:pPr>
      <w:rPr>
        <w:color w:val="auto"/>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15:restartNumberingAfterBreak="0">
    <w:nsid w:val="36FA5874"/>
    <w:multiLevelType w:val="hybridMultilevel"/>
    <w:tmpl w:val="1A8857D0"/>
    <w:lvl w:ilvl="0" w:tplc="46E05E38">
      <w:start w:val="3"/>
      <w:numFmt w:val="bullet"/>
      <w:lvlText w:val="-"/>
      <w:lvlJc w:val="left"/>
      <w:pPr>
        <w:ind w:left="720" w:hanging="360"/>
      </w:pPr>
      <w:rPr>
        <w:rFonts w:ascii="Times New Roman" w:eastAsia="Times New Roman"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372003D3"/>
    <w:multiLevelType w:val="hybridMultilevel"/>
    <w:tmpl w:val="46D00268"/>
    <w:lvl w:ilvl="0" w:tplc="54A4AB04">
      <w:start w:val="1"/>
      <w:numFmt w:val="decimal"/>
      <w:lvlText w:val="%1."/>
      <w:lvlJc w:val="left"/>
      <w:pPr>
        <w:ind w:left="720" w:hanging="360"/>
      </w:pPr>
      <w:rPr>
        <w:rFonts w:ascii="Cambria" w:hAnsi="Cambria" w:cs="Calibri" w:hint="default"/>
        <w:sz w:val="24"/>
      </w:rPr>
    </w:lvl>
    <w:lvl w:ilvl="1" w:tplc="140A0019">
      <w:start w:val="1"/>
      <w:numFmt w:val="lowerLetter"/>
      <w:lvlText w:val="%2."/>
      <w:lvlJc w:val="left"/>
      <w:pPr>
        <w:ind w:left="1440" w:hanging="360"/>
      </w:pPr>
      <w:rPr>
        <w:rFonts w:cs="Times New Roman"/>
      </w:rPr>
    </w:lvl>
    <w:lvl w:ilvl="2" w:tplc="140A001B">
      <w:start w:val="1"/>
      <w:numFmt w:val="lowerRoman"/>
      <w:lvlText w:val="%3."/>
      <w:lvlJc w:val="right"/>
      <w:pPr>
        <w:ind w:left="2160" w:hanging="180"/>
      </w:pPr>
      <w:rPr>
        <w:rFonts w:cs="Times New Roman"/>
      </w:rPr>
    </w:lvl>
    <w:lvl w:ilvl="3" w:tplc="140A000F">
      <w:start w:val="1"/>
      <w:numFmt w:val="decimal"/>
      <w:lvlText w:val="%4."/>
      <w:lvlJc w:val="left"/>
      <w:pPr>
        <w:ind w:left="2880" w:hanging="360"/>
      </w:pPr>
      <w:rPr>
        <w:rFonts w:cs="Times New Roman"/>
      </w:rPr>
    </w:lvl>
    <w:lvl w:ilvl="4" w:tplc="140A0019">
      <w:start w:val="1"/>
      <w:numFmt w:val="lowerLetter"/>
      <w:lvlText w:val="%5."/>
      <w:lvlJc w:val="left"/>
      <w:pPr>
        <w:ind w:left="3600" w:hanging="360"/>
      </w:pPr>
      <w:rPr>
        <w:rFonts w:cs="Times New Roman"/>
      </w:rPr>
    </w:lvl>
    <w:lvl w:ilvl="5" w:tplc="140A001B">
      <w:start w:val="1"/>
      <w:numFmt w:val="lowerRoman"/>
      <w:lvlText w:val="%6."/>
      <w:lvlJc w:val="right"/>
      <w:pPr>
        <w:ind w:left="4320" w:hanging="180"/>
      </w:pPr>
      <w:rPr>
        <w:rFonts w:cs="Times New Roman"/>
      </w:rPr>
    </w:lvl>
    <w:lvl w:ilvl="6" w:tplc="140A000F">
      <w:start w:val="1"/>
      <w:numFmt w:val="decimal"/>
      <w:lvlText w:val="%7."/>
      <w:lvlJc w:val="left"/>
      <w:pPr>
        <w:ind w:left="5040" w:hanging="360"/>
      </w:pPr>
      <w:rPr>
        <w:rFonts w:cs="Times New Roman"/>
      </w:rPr>
    </w:lvl>
    <w:lvl w:ilvl="7" w:tplc="140A0019">
      <w:start w:val="1"/>
      <w:numFmt w:val="lowerLetter"/>
      <w:lvlText w:val="%8."/>
      <w:lvlJc w:val="left"/>
      <w:pPr>
        <w:ind w:left="5760" w:hanging="360"/>
      </w:pPr>
      <w:rPr>
        <w:rFonts w:cs="Times New Roman"/>
      </w:rPr>
    </w:lvl>
    <w:lvl w:ilvl="8" w:tplc="140A001B">
      <w:start w:val="1"/>
      <w:numFmt w:val="lowerRoman"/>
      <w:lvlText w:val="%9."/>
      <w:lvlJc w:val="right"/>
      <w:pPr>
        <w:ind w:left="6480" w:hanging="180"/>
      </w:pPr>
      <w:rPr>
        <w:rFonts w:cs="Times New Roman"/>
      </w:rPr>
    </w:lvl>
  </w:abstractNum>
  <w:abstractNum w:abstractNumId="40" w15:restartNumberingAfterBreak="0">
    <w:nsid w:val="3A0E67D7"/>
    <w:multiLevelType w:val="multilevel"/>
    <w:tmpl w:val="F8EAB908"/>
    <w:lvl w:ilvl="0">
      <w:start w:val="2"/>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3B7A79E3"/>
    <w:multiLevelType w:val="hybridMultilevel"/>
    <w:tmpl w:val="9118E32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2" w15:restartNumberingAfterBreak="0">
    <w:nsid w:val="3D570101"/>
    <w:multiLevelType w:val="hybridMultilevel"/>
    <w:tmpl w:val="1020FA6E"/>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3EB32A16"/>
    <w:multiLevelType w:val="hybridMultilevel"/>
    <w:tmpl w:val="DD5481AA"/>
    <w:lvl w:ilvl="0" w:tplc="64A6CE9C">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4" w15:restartNumberingAfterBreak="0">
    <w:nsid w:val="3F48677A"/>
    <w:multiLevelType w:val="hybridMultilevel"/>
    <w:tmpl w:val="27A64DE4"/>
    <w:lvl w:ilvl="0" w:tplc="140A0019">
      <w:start w:val="1"/>
      <w:numFmt w:val="lowerLetter"/>
      <w:lvlText w:val="%1."/>
      <w:lvlJc w:val="left"/>
      <w:pPr>
        <w:ind w:left="644" w:hanging="360"/>
      </w:pPr>
      <w:rPr>
        <w:rFonts w:hint="default"/>
      </w:rPr>
    </w:lvl>
    <w:lvl w:ilvl="1" w:tplc="140A0019" w:tentative="1">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45" w15:restartNumberingAfterBreak="0">
    <w:nsid w:val="3F6121E2"/>
    <w:multiLevelType w:val="hybridMultilevel"/>
    <w:tmpl w:val="BEC888FE"/>
    <w:lvl w:ilvl="0" w:tplc="140A0001">
      <w:start w:val="1"/>
      <w:numFmt w:val="bullet"/>
      <w:lvlText w:val=""/>
      <w:lvlJc w:val="left"/>
      <w:pPr>
        <w:tabs>
          <w:tab w:val="num" w:pos="720"/>
        </w:tabs>
        <w:ind w:left="720" w:hanging="360"/>
      </w:pPr>
      <w:rPr>
        <w:rFonts w:ascii="Wingdings" w:hAnsi="Wingdings" w:hint="default"/>
      </w:rPr>
    </w:lvl>
    <w:lvl w:ilvl="1" w:tplc="140A0003" w:tentative="1">
      <w:start w:val="1"/>
      <w:numFmt w:val="bullet"/>
      <w:lvlText w:val="o"/>
      <w:lvlJc w:val="left"/>
      <w:pPr>
        <w:tabs>
          <w:tab w:val="num" w:pos="1440"/>
        </w:tabs>
        <w:ind w:left="1440" w:hanging="360"/>
      </w:pPr>
      <w:rPr>
        <w:rFonts w:ascii="Courier New" w:hAnsi="Courier New" w:cs="Courier New" w:hint="default"/>
      </w:rPr>
    </w:lvl>
    <w:lvl w:ilvl="2" w:tplc="140A0005" w:tentative="1">
      <w:start w:val="1"/>
      <w:numFmt w:val="bullet"/>
      <w:lvlText w:val=""/>
      <w:lvlJc w:val="left"/>
      <w:pPr>
        <w:tabs>
          <w:tab w:val="num" w:pos="2160"/>
        </w:tabs>
        <w:ind w:left="2160" w:hanging="360"/>
      </w:pPr>
      <w:rPr>
        <w:rFonts w:ascii="Wingdings" w:hAnsi="Wingdings" w:hint="default"/>
      </w:rPr>
    </w:lvl>
    <w:lvl w:ilvl="3" w:tplc="140A0001" w:tentative="1">
      <w:start w:val="1"/>
      <w:numFmt w:val="bullet"/>
      <w:lvlText w:val=""/>
      <w:lvlJc w:val="left"/>
      <w:pPr>
        <w:tabs>
          <w:tab w:val="num" w:pos="2880"/>
        </w:tabs>
        <w:ind w:left="2880" w:hanging="360"/>
      </w:pPr>
      <w:rPr>
        <w:rFonts w:ascii="Symbol" w:hAnsi="Symbol" w:hint="default"/>
      </w:rPr>
    </w:lvl>
    <w:lvl w:ilvl="4" w:tplc="140A0003" w:tentative="1">
      <w:start w:val="1"/>
      <w:numFmt w:val="bullet"/>
      <w:lvlText w:val="o"/>
      <w:lvlJc w:val="left"/>
      <w:pPr>
        <w:tabs>
          <w:tab w:val="num" w:pos="3600"/>
        </w:tabs>
        <w:ind w:left="3600" w:hanging="360"/>
      </w:pPr>
      <w:rPr>
        <w:rFonts w:ascii="Courier New" w:hAnsi="Courier New" w:cs="Courier New" w:hint="default"/>
      </w:rPr>
    </w:lvl>
    <w:lvl w:ilvl="5" w:tplc="140A0005" w:tentative="1">
      <w:start w:val="1"/>
      <w:numFmt w:val="bullet"/>
      <w:lvlText w:val=""/>
      <w:lvlJc w:val="left"/>
      <w:pPr>
        <w:tabs>
          <w:tab w:val="num" w:pos="4320"/>
        </w:tabs>
        <w:ind w:left="4320" w:hanging="360"/>
      </w:pPr>
      <w:rPr>
        <w:rFonts w:ascii="Wingdings" w:hAnsi="Wingdings" w:hint="default"/>
      </w:rPr>
    </w:lvl>
    <w:lvl w:ilvl="6" w:tplc="140A0001" w:tentative="1">
      <w:start w:val="1"/>
      <w:numFmt w:val="bullet"/>
      <w:lvlText w:val=""/>
      <w:lvlJc w:val="left"/>
      <w:pPr>
        <w:tabs>
          <w:tab w:val="num" w:pos="5040"/>
        </w:tabs>
        <w:ind w:left="5040" w:hanging="360"/>
      </w:pPr>
      <w:rPr>
        <w:rFonts w:ascii="Symbol" w:hAnsi="Symbol" w:hint="default"/>
      </w:rPr>
    </w:lvl>
    <w:lvl w:ilvl="7" w:tplc="140A0003" w:tentative="1">
      <w:start w:val="1"/>
      <w:numFmt w:val="bullet"/>
      <w:lvlText w:val="o"/>
      <w:lvlJc w:val="left"/>
      <w:pPr>
        <w:tabs>
          <w:tab w:val="num" w:pos="5760"/>
        </w:tabs>
        <w:ind w:left="5760" w:hanging="360"/>
      </w:pPr>
      <w:rPr>
        <w:rFonts w:ascii="Courier New" w:hAnsi="Courier New" w:cs="Courier New" w:hint="default"/>
      </w:rPr>
    </w:lvl>
    <w:lvl w:ilvl="8" w:tplc="140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42AA2D7A"/>
    <w:multiLevelType w:val="hybridMultilevel"/>
    <w:tmpl w:val="7E2853DA"/>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43222842"/>
    <w:multiLevelType w:val="hybridMultilevel"/>
    <w:tmpl w:val="11F678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435A2389"/>
    <w:multiLevelType w:val="hybridMultilevel"/>
    <w:tmpl w:val="DCD0D2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435E2C12"/>
    <w:multiLevelType w:val="hybridMultilevel"/>
    <w:tmpl w:val="C374AF94"/>
    <w:lvl w:ilvl="0" w:tplc="1584BDF2">
      <w:start w:val="1"/>
      <w:numFmt w:val="lowerLetter"/>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15:restartNumberingAfterBreak="0">
    <w:nsid w:val="43E3267F"/>
    <w:multiLevelType w:val="hybridMultilevel"/>
    <w:tmpl w:val="9ACE6A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15:restartNumberingAfterBreak="0">
    <w:nsid w:val="452A1460"/>
    <w:multiLevelType w:val="hybridMultilevel"/>
    <w:tmpl w:val="2DA45856"/>
    <w:lvl w:ilvl="0" w:tplc="140A000F">
      <w:start w:val="1"/>
      <w:numFmt w:val="decimal"/>
      <w:lvlText w:val="%1."/>
      <w:lvlJc w:val="left"/>
      <w:pPr>
        <w:ind w:left="360" w:hanging="360"/>
      </w:pPr>
    </w:lvl>
    <w:lvl w:ilvl="1" w:tplc="140A000F">
      <w:start w:val="1"/>
      <w:numFmt w:val="decimal"/>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486D32B9"/>
    <w:multiLevelType w:val="hybridMultilevel"/>
    <w:tmpl w:val="EE42F92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3" w15:restartNumberingAfterBreak="0">
    <w:nsid w:val="491A3791"/>
    <w:multiLevelType w:val="hybridMultilevel"/>
    <w:tmpl w:val="35C064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4A3E01C2"/>
    <w:multiLevelType w:val="hybridMultilevel"/>
    <w:tmpl w:val="2AE4C340"/>
    <w:lvl w:ilvl="0" w:tplc="14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5" w15:restartNumberingAfterBreak="0">
    <w:nsid w:val="4EE910B1"/>
    <w:multiLevelType w:val="hybridMultilevel"/>
    <w:tmpl w:val="1A8CAE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4F693A31"/>
    <w:multiLevelType w:val="hybridMultilevel"/>
    <w:tmpl w:val="B3DED0D6"/>
    <w:lvl w:ilvl="0" w:tplc="10F25470">
      <w:start w:val="1"/>
      <w:numFmt w:val="bullet"/>
      <w:pStyle w:val="Listaconvietas"/>
      <w:lvlText w:val="-"/>
      <w:lvlJc w:val="left"/>
      <w:pPr>
        <w:ind w:left="720" w:hanging="360"/>
      </w:pPr>
      <w:rPr>
        <w:rFonts w:ascii="Arial" w:eastAsiaTheme="minorHAns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50B27C7F"/>
    <w:multiLevelType w:val="hybridMultilevel"/>
    <w:tmpl w:val="D3D42910"/>
    <w:name w:val="List1339519059_1"/>
    <w:lvl w:ilvl="0" w:tplc="96409220">
      <w:start w:val="11"/>
      <w:numFmt w:val="lowerLetter"/>
      <w:pStyle w:val="ListaconvietasTabla"/>
      <w:lvlText w:val="%1."/>
      <w:lvlJc w:val="left"/>
      <w:pPr>
        <w:tabs>
          <w:tab w:val="num" w:pos="1281"/>
        </w:tabs>
        <w:ind w:left="1281" w:hanging="360"/>
      </w:pPr>
      <w:rPr>
        <w:rFonts w:hint="default"/>
      </w:rPr>
    </w:lvl>
    <w:lvl w:ilvl="1" w:tplc="55506404" w:tentative="1">
      <w:start w:val="1"/>
      <w:numFmt w:val="lowerLetter"/>
      <w:lvlText w:val="%2."/>
      <w:lvlJc w:val="left"/>
      <w:pPr>
        <w:tabs>
          <w:tab w:val="num" w:pos="2001"/>
        </w:tabs>
        <w:ind w:left="2001" w:hanging="360"/>
      </w:pPr>
    </w:lvl>
    <w:lvl w:ilvl="2" w:tplc="56B255A4" w:tentative="1">
      <w:start w:val="1"/>
      <w:numFmt w:val="lowerRoman"/>
      <w:lvlText w:val="%3."/>
      <w:lvlJc w:val="right"/>
      <w:pPr>
        <w:tabs>
          <w:tab w:val="num" w:pos="2721"/>
        </w:tabs>
        <w:ind w:left="2721" w:hanging="180"/>
      </w:pPr>
    </w:lvl>
    <w:lvl w:ilvl="3" w:tplc="E8AA48F4" w:tentative="1">
      <w:start w:val="1"/>
      <w:numFmt w:val="decimal"/>
      <w:lvlText w:val="%4."/>
      <w:lvlJc w:val="left"/>
      <w:pPr>
        <w:tabs>
          <w:tab w:val="num" w:pos="3441"/>
        </w:tabs>
        <w:ind w:left="3441" w:hanging="360"/>
      </w:pPr>
    </w:lvl>
    <w:lvl w:ilvl="4" w:tplc="4E00C6B8" w:tentative="1">
      <w:start w:val="1"/>
      <w:numFmt w:val="lowerLetter"/>
      <w:lvlText w:val="%5."/>
      <w:lvlJc w:val="left"/>
      <w:pPr>
        <w:tabs>
          <w:tab w:val="num" w:pos="4161"/>
        </w:tabs>
        <w:ind w:left="4161" w:hanging="360"/>
      </w:pPr>
    </w:lvl>
    <w:lvl w:ilvl="5" w:tplc="158E68D8" w:tentative="1">
      <w:start w:val="1"/>
      <w:numFmt w:val="lowerRoman"/>
      <w:lvlText w:val="%6."/>
      <w:lvlJc w:val="right"/>
      <w:pPr>
        <w:tabs>
          <w:tab w:val="num" w:pos="4881"/>
        </w:tabs>
        <w:ind w:left="4881" w:hanging="180"/>
      </w:pPr>
    </w:lvl>
    <w:lvl w:ilvl="6" w:tplc="A0F2FDE6" w:tentative="1">
      <w:start w:val="1"/>
      <w:numFmt w:val="decimal"/>
      <w:lvlText w:val="%7."/>
      <w:lvlJc w:val="left"/>
      <w:pPr>
        <w:tabs>
          <w:tab w:val="num" w:pos="5601"/>
        </w:tabs>
        <w:ind w:left="5601" w:hanging="360"/>
      </w:pPr>
    </w:lvl>
    <w:lvl w:ilvl="7" w:tplc="2CA053AA" w:tentative="1">
      <w:start w:val="1"/>
      <w:numFmt w:val="lowerLetter"/>
      <w:lvlText w:val="%8."/>
      <w:lvlJc w:val="left"/>
      <w:pPr>
        <w:tabs>
          <w:tab w:val="num" w:pos="6321"/>
        </w:tabs>
        <w:ind w:left="6321" w:hanging="360"/>
      </w:pPr>
    </w:lvl>
    <w:lvl w:ilvl="8" w:tplc="11ECD0EE" w:tentative="1">
      <w:start w:val="1"/>
      <w:numFmt w:val="lowerRoman"/>
      <w:lvlText w:val="%9."/>
      <w:lvlJc w:val="right"/>
      <w:pPr>
        <w:tabs>
          <w:tab w:val="num" w:pos="7041"/>
        </w:tabs>
        <w:ind w:left="7041" w:hanging="180"/>
      </w:pPr>
    </w:lvl>
  </w:abstractNum>
  <w:abstractNum w:abstractNumId="58" w15:restartNumberingAfterBreak="0">
    <w:nsid w:val="54807DBF"/>
    <w:multiLevelType w:val="hybridMultilevel"/>
    <w:tmpl w:val="DD8AAB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9" w15:restartNumberingAfterBreak="0">
    <w:nsid w:val="54E3404A"/>
    <w:multiLevelType w:val="multilevel"/>
    <w:tmpl w:val="1D6E7578"/>
    <w:lvl w:ilvl="0">
      <w:start w:val="2"/>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15:restartNumberingAfterBreak="0">
    <w:nsid w:val="5515607C"/>
    <w:multiLevelType w:val="hybridMultilevel"/>
    <w:tmpl w:val="8048C9B2"/>
    <w:lvl w:ilvl="0" w:tplc="84449CDE">
      <w:start w:val="2"/>
      <w:numFmt w:val="bullet"/>
      <w:lvlText w:val="-"/>
      <w:lvlJc w:val="left"/>
      <w:pPr>
        <w:ind w:left="720" w:hanging="360"/>
      </w:pPr>
      <w:rPr>
        <w:rFonts w:ascii="Arial" w:eastAsiaTheme="minorHAns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56B355B9"/>
    <w:multiLevelType w:val="multilevel"/>
    <w:tmpl w:val="B59CBE60"/>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Zero"/>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2" w15:restartNumberingAfterBreak="0">
    <w:nsid w:val="57592DA5"/>
    <w:multiLevelType w:val="hybridMultilevel"/>
    <w:tmpl w:val="A922F8A8"/>
    <w:lvl w:ilvl="0" w:tplc="4F26E3EC">
      <w:start w:val="26"/>
      <w:numFmt w:val="bullet"/>
      <w:lvlText w:val="-"/>
      <w:lvlJc w:val="left"/>
      <w:pPr>
        <w:ind w:left="360" w:hanging="360"/>
      </w:pPr>
      <w:rPr>
        <w:rFonts w:ascii="Times New Roman" w:eastAsia="Calibri" w:hAnsi="Times New Roman" w:cs="Times New Roman"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63" w15:restartNumberingAfterBreak="0">
    <w:nsid w:val="57EB1B35"/>
    <w:multiLevelType w:val="multilevel"/>
    <w:tmpl w:val="E82EF13C"/>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4" w15:restartNumberingAfterBreak="0">
    <w:nsid w:val="58876CD9"/>
    <w:multiLevelType w:val="hybridMultilevel"/>
    <w:tmpl w:val="9D1233EA"/>
    <w:lvl w:ilvl="0" w:tplc="1FAA38A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596A7A87"/>
    <w:multiLevelType w:val="hybridMultilevel"/>
    <w:tmpl w:val="DD407A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59A14ADF"/>
    <w:multiLevelType w:val="hybridMultilevel"/>
    <w:tmpl w:val="48AAF3B8"/>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7" w15:restartNumberingAfterBreak="0">
    <w:nsid w:val="5AEA0576"/>
    <w:multiLevelType w:val="hybridMultilevel"/>
    <w:tmpl w:val="DC369668"/>
    <w:lvl w:ilvl="0" w:tplc="BD76E410">
      <w:start w:val="1"/>
      <w:numFmt w:val="decimal"/>
      <w:lvlText w:val="%1."/>
      <w:lvlJc w:val="left"/>
      <w:pPr>
        <w:ind w:left="644" w:hanging="360"/>
      </w:pPr>
      <w:rPr>
        <w:rFonts w:hint="default"/>
      </w:rPr>
    </w:lvl>
    <w:lvl w:ilvl="1" w:tplc="140A0019">
      <w:start w:val="1"/>
      <w:numFmt w:val="lowerLetter"/>
      <w:lvlText w:val="%2."/>
      <w:lvlJc w:val="left"/>
      <w:pPr>
        <w:ind w:left="1364" w:hanging="360"/>
      </w:pPr>
    </w:lvl>
    <w:lvl w:ilvl="2" w:tplc="140A001B" w:tentative="1">
      <w:start w:val="1"/>
      <w:numFmt w:val="lowerRoman"/>
      <w:lvlText w:val="%3."/>
      <w:lvlJc w:val="right"/>
      <w:pPr>
        <w:ind w:left="2084" w:hanging="180"/>
      </w:pPr>
    </w:lvl>
    <w:lvl w:ilvl="3" w:tplc="140A000F" w:tentative="1">
      <w:start w:val="1"/>
      <w:numFmt w:val="decimal"/>
      <w:lvlText w:val="%4."/>
      <w:lvlJc w:val="left"/>
      <w:pPr>
        <w:ind w:left="2804" w:hanging="360"/>
      </w:pPr>
    </w:lvl>
    <w:lvl w:ilvl="4" w:tplc="140A0019" w:tentative="1">
      <w:start w:val="1"/>
      <w:numFmt w:val="lowerLetter"/>
      <w:lvlText w:val="%5."/>
      <w:lvlJc w:val="left"/>
      <w:pPr>
        <w:ind w:left="3524" w:hanging="360"/>
      </w:pPr>
    </w:lvl>
    <w:lvl w:ilvl="5" w:tplc="140A001B" w:tentative="1">
      <w:start w:val="1"/>
      <w:numFmt w:val="lowerRoman"/>
      <w:lvlText w:val="%6."/>
      <w:lvlJc w:val="right"/>
      <w:pPr>
        <w:ind w:left="4244" w:hanging="180"/>
      </w:pPr>
    </w:lvl>
    <w:lvl w:ilvl="6" w:tplc="140A000F" w:tentative="1">
      <w:start w:val="1"/>
      <w:numFmt w:val="decimal"/>
      <w:lvlText w:val="%7."/>
      <w:lvlJc w:val="left"/>
      <w:pPr>
        <w:ind w:left="4964" w:hanging="360"/>
      </w:pPr>
    </w:lvl>
    <w:lvl w:ilvl="7" w:tplc="140A0019" w:tentative="1">
      <w:start w:val="1"/>
      <w:numFmt w:val="lowerLetter"/>
      <w:lvlText w:val="%8."/>
      <w:lvlJc w:val="left"/>
      <w:pPr>
        <w:ind w:left="5684" w:hanging="360"/>
      </w:pPr>
    </w:lvl>
    <w:lvl w:ilvl="8" w:tplc="140A001B" w:tentative="1">
      <w:start w:val="1"/>
      <w:numFmt w:val="lowerRoman"/>
      <w:lvlText w:val="%9."/>
      <w:lvlJc w:val="right"/>
      <w:pPr>
        <w:ind w:left="6404" w:hanging="180"/>
      </w:pPr>
    </w:lvl>
  </w:abstractNum>
  <w:abstractNum w:abstractNumId="68" w15:restartNumberingAfterBreak="0">
    <w:nsid w:val="5BB87567"/>
    <w:multiLevelType w:val="hybridMultilevel"/>
    <w:tmpl w:val="6A687C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9" w15:restartNumberingAfterBreak="0">
    <w:nsid w:val="5BFC2C3B"/>
    <w:multiLevelType w:val="multilevel"/>
    <w:tmpl w:val="33CC8CA2"/>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5C5030CD"/>
    <w:multiLevelType w:val="hybridMultilevel"/>
    <w:tmpl w:val="872661A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71" w15:restartNumberingAfterBreak="0">
    <w:nsid w:val="5E8E2B00"/>
    <w:multiLevelType w:val="hybridMultilevel"/>
    <w:tmpl w:val="EC529DCE"/>
    <w:lvl w:ilvl="0" w:tplc="C79EA448">
      <w:start w:val="14"/>
      <w:numFmt w:val="bullet"/>
      <w:lvlText w:val="-"/>
      <w:lvlJc w:val="left"/>
      <w:pPr>
        <w:ind w:left="720" w:hanging="360"/>
      </w:pPr>
      <w:rPr>
        <w:rFonts w:ascii="Times New Roman" w:eastAsiaTheme="minorHAnsi"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60991DF1"/>
    <w:multiLevelType w:val="hybridMultilevel"/>
    <w:tmpl w:val="B04E2826"/>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3" w15:restartNumberingAfterBreak="0">
    <w:nsid w:val="60CE7F39"/>
    <w:multiLevelType w:val="hybridMultilevel"/>
    <w:tmpl w:val="6E8C94BE"/>
    <w:lvl w:ilvl="0" w:tplc="140A0001">
      <w:start w:val="1"/>
      <w:numFmt w:val="bullet"/>
      <w:lvlText w:val=""/>
      <w:lvlJc w:val="left"/>
      <w:pPr>
        <w:ind w:left="1060" w:hanging="360"/>
      </w:pPr>
      <w:rPr>
        <w:rFonts w:ascii="Symbol" w:hAnsi="Symbol" w:hint="default"/>
      </w:rPr>
    </w:lvl>
    <w:lvl w:ilvl="1" w:tplc="140A0003">
      <w:start w:val="1"/>
      <w:numFmt w:val="bullet"/>
      <w:lvlText w:val="o"/>
      <w:lvlJc w:val="left"/>
      <w:pPr>
        <w:ind w:left="1780" w:hanging="360"/>
      </w:pPr>
      <w:rPr>
        <w:rFonts w:ascii="Courier New" w:hAnsi="Courier New" w:cs="Courier New" w:hint="default"/>
      </w:rPr>
    </w:lvl>
    <w:lvl w:ilvl="2" w:tplc="140A0005" w:tentative="1">
      <w:start w:val="1"/>
      <w:numFmt w:val="bullet"/>
      <w:lvlText w:val=""/>
      <w:lvlJc w:val="left"/>
      <w:pPr>
        <w:ind w:left="2500" w:hanging="360"/>
      </w:pPr>
      <w:rPr>
        <w:rFonts w:ascii="Wingdings" w:hAnsi="Wingdings" w:hint="default"/>
      </w:rPr>
    </w:lvl>
    <w:lvl w:ilvl="3" w:tplc="140A0001" w:tentative="1">
      <w:start w:val="1"/>
      <w:numFmt w:val="bullet"/>
      <w:lvlText w:val=""/>
      <w:lvlJc w:val="left"/>
      <w:pPr>
        <w:ind w:left="3220" w:hanging="360"/>
      </w:pPr>
      <w:rPr>
        <w:rFonts w:ascii="Symbol" w:hAnsi="Symbol" w:hint="default"/>
      </w:rPr>
    </w:lvl>
    <w:lvl w:ilvl="4" w:tplc="140A0003" w:tentative="1">
      <w:start w:val="1"/>
      <w:numFmt w:val="bullet"/>
      <w:lvlText w:val="o"/>
      <w:lvlJc w:val="left"/>
      <w:pPr>
        <w:ind w:left="3940" w:hanging="360"/>
      </w:pPr>
      <w:rPr>
        <w:rFonts w:ascii="Courier New" w:hAnsi="Courier New" w:cs="Courier New" w:hint="default"/>
      </w:rPr>
    </w:lvl>
    <w:lvl w:ilvl="5" w:tplc="140A0005" w:tentative="1">
      <w:start w:val="1"/>
      <w:numFmt w:val="bullet"/>
      <w:lvlText w:val=""/>
      <w:lvlJc w:val="left"/>
      <w:pPr>
        <w:ind w:left="4660" w:hanging="360"/>
      </w:pPr>
      <w:rPr>
        <w:rFonts w:ascii="Wingdings" w:hAnsi="Wingdings" w:hint="default"/>
      </w:rPr>
    </w:lvl>
    <w:lvl w:ilvl="6" w:tplc="140A0001" w:tentative="1">
      <w:start w:val="1"/>
      <w:numFmt w:val="bullet"/>
      <w:lvlText w:val=""/>
      <w:lvlJc w:val="left"/>
      <w:pPr>
        <w:ind w:left="5380" w:hanging="360"/>
      </w:pPr>
      <w:rPr>
        <w:rFonts w:ascii="Symbol" w:hAnsi="Symbol" w:hint="default"/>
      </w:rPr>
    </w:lvl>
    <w:lvl w:ilvl="7" w:tplc="140A0003" w:tentative="1">
      <w:start w:val="1"/>
      <w:numFmt w:val="bullet"/>
      <w:lvlText w:val="o"/>
      <w:lvlJc w:val="left"/>
      <w:pPr>
        <w:ind w:left="6100" w:hanging="360"/>
      </w:pPr>
      <w:rPr>
        <w:rFonts w:ascii="Courier New" w:hAnsi="Courier New" w:cs="Courier New" w:hint="default"/>
      </w:rPr>
    </w:lvl>
    <w:lvl w:ilvl="8" w:tplc="140A0005" w:tentative="1">
      <w:start w:val="1"/>
      <w:numFmt w:val="bullet"/>
      <w:lvlText w:val=""/>
      <w:lvlJc w:val="left"/>
      <w:pPr>
        <w:ind w:left="6820" w:hanging="360"/>
      </w:pPr>
      <w:rPr>
        <w:rFonts w:ascii="Wingdings" w:hAnsi="Wingdings" w:hint="default"/>
      </w:rPr>
    </w:lvl>
  </w:abstractNum>
  <w:abstractNum w:abstractNumId="74" w15:restartNumberingAfterBreak="0">
    <w:nsid w:val="61780EDB"/>
    <w:multiLevelType w:val="hybridMultilevel"/>
    <w:tmpl w:val="13D67D1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61E30A4C"/>
    <w:multiLevelType w:val="hybridMultilevel"/>
    <w:tmpl w:val="8BD62862"/>
    <w:lvl w:ilvl="0" w:tplc="140A0019">
      <w:start w:val="1"/>
      <w:numFmt w:val="lowerLetter"/>
      <w:lvlText w:val="%1."/>
      <w:lvlJc w:val="left"/>
      <w:pPr>
        <w:ind w:left="1440" w:hanging="360"/>
      </w:pPr>
    </w:lvl>
    <w:lvl w:ilvl="1" w:tplc="140A0019">
      <w:start w:val="1"/>
      <w:numFmt w:val="lowerLetter"/>
      <w:lvlText w:val="%2."/>
      <w:lvlJc w:val="left"/>
      <w:pPr>
        <w:ind w:left="2160" w:hanging="360"/>
      </w:pPr>
    </w:lvl>
    <w:lvl w:ilvl="2" w:tplc="140A001B">
      <w:start w:val="1"/>
      <w:numFmt w:val="lowerRoman"/>
      <w:lvlText w:val="%3."/>
      <w:lvlJc w:val="right"/>
      <w:pPr>
        <w:ind w:left="2880" w:hanging="180"/>
      </w:pPr>
    </w:lvl>
    <w:lvl w:ilvl="3" w:tplc="140A000F">
      <w:start w:val="1"/>
      <w:numFmt w:val="decimal"/>
      <w:lvlText w:val="%4."/>
      <w:lvlJc w:val="left"/>
      <w:pPr>
        <w:ind w:left="3600" w:hanging="360"/>
      </w:pPr>
    </w:lvl>
    <w:lvl w:ilvl="4" w:tplc="140A0019">
      <w:start w:val="1"/>
      <w:numFmt w:val="lowerLetter"/>
      <w:lvlText w:val="%5."/>
      <w:lvlJc w:val="left"/>
      <w:pPr>
        <w:ind w:left="4320" w:hanging="360"/>
      </w:pPr>
    </w:lvl>
    <w:lvl w:ilvl="5" w:tplc="140A001B">
      <w:start w:val="1"/>
      <w:numFmt w:val="lowerRoman"/>
      <w:lvlText w:val="%6."/>
      <w:lvlJc w:val="right"/>
      <w:pPr>
        <w:ind w:left="5040" w:hanging="180"/>
      </w:pPr>
    </w:lvl>
    <w:lvl w:ilvl="6" w:tplc="140A000F">
      <w:start w:val="1"/>
      <w:numFmt w:val="decimal"/>
      <w:lvlText w:val="%7."/>
      <w:lvlJc w:val="left"/>
      <w:pPr>
        <w:ind w:left="5760" w:hanging="360"/>
      </w:pPr>
    </w:lvl>
    <w:lvl w:ilvl="7" w:tplc="140A0019">
      <w:start w:val="1"/>
      <w:numFmt w:val="lowerLetter"/>
      <w:lvlText w:val="%8."/>
      <w:lvlJc w:val="left"/>
      <w:pPr>
        <w:ind w:left="6480" w:hanging="360"/>
      </w:pPr>
    </w:lvl>
    <w:lvl w:ilvl="8" w:tplc="140A001B">
      <w:start w:val="1"/>
      <w:numFmt w:val="lowerRoman"/>
      <w:lvlText w:val="%9."/>
      <w:lvlJc w:val="right"/>
      <w:pPr>
        <w:ind w:left="7200" w:hanging="180"/>
      </w:pPr>
    </w:lvl>
  </w:abstractNum>
  <w:abstractNum w:abstractNumId="76" w15:restartNumberingAfterBreak="0">
    <w:nsid w:val="627747CE"/>
    <w:multiLevelType w:val="hybridMultilevel"/>
    <w:tmpl w:val="E45C353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7" w15:restartNumberingAfterBreak="0">
    <w:nsid w:val="637A17A3"/>
    <w:multiLevelType w:val="hybridMultilevel"/>
    <w:tmpl w:val="0DCED7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8" w15:restartNumberingAfterBreak="0">
    <w:nsid w:val="6433470C"/>
    <w:multiLevelType w:val="hybridMultilevel"/>
    <w:tmpl w:val="D97C0B7C"/>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9" w15:restartNumberingAfterBreak="0">
    <w:nsid w:val="64DC0941"/>
    <w:multiLevelType w:val="hybridMultilevel"/>
    <w:tmpl w:val="F8C8ABD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0" w15:restartNumberingAfterBreak="0">
    <w:nsid w:val="657E5E5D"/>
    <w:multiLevelType w:val="hybridMultilevel"/>
    <w:tmpl w:val="7AB29486"/>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1" w15:restartNumberingAfterBreak="0">
    <w:nsid w:val="65DA20F4"/>
    <w:multiLevelType w:val="multilevel"/>
    <w:tmpl w:val="BD5E3CB2"/>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Zero"/>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2" w15:restartNumberingAfterBreak="0">
    <w:nsid w:val="66CD22F1"/>
    <w:multiLevelType w:val="hybridMultilevel"/>
    <w:tmpl w:val="FFFFFFFF"/>
    <w:lvl w:ilvl="0" w:tplc="86CE3026">
      <w:start w:val="1"/>
      <w:numFmt w:val="bullet"/>
      <w:lvlText w:val=""/>
      <w:lvlJc w:val="left"/>
      <w:pPr>
        <w:ind w:left="720" w:hanging="360"/>
      </w:pPr>
      <w:rPr>
        <w:rFonts w:ascii="Wingdings" w:hAnsi="Wingdings" w:hint="default"/>
      </w:rPr>
    </w:lvl>
    <w:lvl w:ilvl="1" w:tplc="B1C8C0FE">
      <w:start w:val="1"/>
      <w:numFmt w:val="bullet"/>
      <w:lvlText w:val="o"/>
      <w:lvlJc w:val="left"/>
      <w:pPr>
        <w:ind w:left="1440" w:hanging="360"/>
      </w:pPr>
      <w:rPr>
        <w:rFonts w:ascii="Courier New" w:hAnsi="Courier New" w:hint="default"/>
      </w:rPr>
    </w:lvl>
    <w:lvl w:ilvl="2" w:tplc="461062E0">
      <w:start w:val="1"/>
      <w:numFmt w:val="bullet"/>
      <w:lvlText w:val=""/>
      <w:lvlJc w:val="left"/>
      <w:pPr>
        <w:ind w:left="2160" w:hanging="360"/>
      </w:pPr>
      <w:rPr>
        <w:rFonts w:ascii="Wingdings" w:hAnsi="Wingdings" w:hint="default"/>
      </w:rPr>
    </w:lvl>
    <w:lvl w:ilvl="3" w:tplc="9516F31E">
      <w:start w:val="1"/>
      <w:numFmt w:val="bullet"/>
      <w:lvlText w:val=""/>
      <w:lvlJc w:val="left"/>
      <w:pPr>
        <w:ind w:left="2880" w:hanging="360"/>
      </w:pPr>
      <w:rPr>
        <w:rFonts w:ascii="Symbol" w:hAnsi="Symbol" w:hint="default"/>
      </w:rPr>
    </w:lvl>
    <w:lvl w:ilvl="4" w:tplc="49AE077E">
      <w:start w:val="1"/>
      <w:numFmt w:val="bullet"/>
      <w:lvlText w:val="o"/>
      <w:lvlJc w:val="left"/>
      <w:pPr>
        <w:ind w:left="3600" w:hanging="360"/>
      </w:pPr>
      <w:rPr>
        <w:rFonts w:ascii="Courier New" w:hAnsi="Courier New" w:hint="default"/>
      </w:rPr>
    </w:lvl>
    <w:lvl w:ilvl="5" w:tplc="D3363ECE">
      <w:start w:val="1"/>
      <w:numFmt w:val="bullet"/>
      <w:lvlText w:val=""/>
      <w:lvlJc w:val="left"/>
      <w:pPr>
        <w:ind w:left="4320" w:hanging="360"/>
      </w:pPr>
      <w:rPr>
        <w:rFonts w:ascii="Wingdings" w:hAnsi="Wingdings" w:hint="default"/>
      </w:rPr>
    </w:lvl>
    <w:lvl w:ilvl="6" w:tplc="DB3C26D8">
      <w:start w:val="1"/>
      <w:numFmt w:val="bullet"/>
      <w:lvlText w:val=""/>
      <w:lvlJc w:val="left"/>
      <w:pPr>
        <w:ind w:left="5040" w:hanging="360"/>
      </w:pPr>
      <w:rPr>
        <w:rFonts w:ascii="Symbol" w:hAnsi="Symbol" w:hint="default"/>
      </w:rPr>
    </w:lvl>
    <w:lvl w:ilvl="7" w:tplc="9FCA912C">
      <w:start w:val="1"/>
      <w:numFmt w:val="bullet"/>
      <w:lvlText w:val="o"/>
      <w:lvlJc w:val="left"/>
      <w:pPr>
        <w:ind w:left="5760" w:hanging="360"/>
      </w:pPr>
      <w:rPr>
        <w:rFonts w:ascii="Courier New" w:hAnsi="Courier New" w:hint="default"/>
      </w:rPr>
    </w:lvl>
    <w:lvl w:ilvl="8" w:tplc="BC8E096A">
      <w:start w:val="1"/>
      <w:numFmt w:val="bullet"/>
      <w:lvlText w:val=""/>
      <w:lvlJc w:val="left"/>
      <w:pPr>
        <w:ind w:left="6480" w:hanging="360"/>
      </w:pPr>
      <w:rPr>
        <w:rFonts w:ascii="Wingdings" w:hAnsi="Wingdings" w:hint="default"/>
      </w:rPr>
    </w:lvl>
  </w:abstractNum>
  <w:abstractNum w:abstractNumId="83" w15:restartNumberingAfterBreak="0">
    <w:nsid w:val="68AF5688"/>
    <w:multiLevelType w:val="hybridMultilevel"/>
    <w:tmpl w:val="EE26E2B2"/>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4" w15:restartNumberingAfterBreak="0">
    <w:nsid w:val="69703EB3"/>
    <w:multiLevelType w:val="hybridMultilevel"/>
    <w:tmpl w:val="3918D1E4"/>
    <w:lvl w:ilvl="0" w:tplc="C1FC570C">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5" w15:restartNumberingAfterBreak="0">
    <w:nsid w:val="69DA0EB0"/>
    <w:multiLevelType w:val="multilevel"/>
    <w:tmpl w:val="93D49FDA"/>
    <w:lvl w:ilvl="0">
      <w:start w:val="1"/>
      <w:numFmt w:val="decimal"/>
      <w:lvlText w:val="%1."/>
      <w:lvlJc w:val="left"/>
      <w:pPr>
        <w:ind w:left="2912" w:hanging="360"/>
      </w:pPr>
      <w:rPr>
        <w:rFonts w:hint="default"/>
        <w:b/>
        <w:color w:val="000000" w:themeColor="text1"/>
        <w:lang w:val="es-ES"/>
      </w:rPr>
    </w:lvl>
    <w:lvl w:ilvl="1">
      <w:start w:val="1"/>
      <w:numFmt w:val="decimal"/>
      <w:lvlText w:val="%1.%2."/>
      <w:lvlJc w:val="left"/>
      <w:pPr>
        <w:ind w:left="1440" w:hanging="720"/>
      </w:pPr>
      <w:rPr>
        <w:rFonts w:hint="default"/>
      </w:rPr>
    </w:lvl>
    <w:lvl w:ilvl="2">
      <w:start w:val="1"/>
      <w:numFmt w:val="decimal"/>
      <w:lvlText w:val="%1.%2.%3."/>
      <w:lvlJc w:val="left"/>
      <w:pPr>
        <w:ind w:left="1450" w:hanging="720"/>
      </w:pPr>
      <w:rPr>
        <w:rFonts w:hint="default"/>
      </w:rPr>
    </w:lvl>
    <w:lvl w:ilvl="3">
      <w:start w:val="1"/>
      <w:numFmt w:val="decimal"/>
      <w:lvlText w:val="%1.%2.%3.%4."/>
      <w:lvlJc w:val="left"/>
      <w:pPr>
        <w:ind w:left="1820" w:hanging="1080"/>
      </w:pPr>
      <w:rPr>
        <w:rFonts w:hint="default"/>
      </w:rPr>
    </w:lvl>
    <w:lvl w:ilvl="4">
      <w:start w:val="1"/>
      <w:numFmt w:val="decimal"/>
      <w:lvlText w:val="%1.%2.%3.%4.%5."/>
      <w:lvlJc w:val="left"/>
      <w:pPr>
        <w:ind w:left="1830" w:hanging="1080"/>
      </w:pPr>
      <w:rPr>
        <w:rFonts w:hint="default"/>
      </w:rPr>
    </w:lvl>
    <w:lvl w:ilvl="5">
      <w:start w:val="1"/>
      <w:numFmt w:val="decimal"/>
      <w:lvlText w:val="%1.%2.%3.%4.%5.%6."/>
      <w:lvlJc w:val="left"/>
      <w:pPr>
        <w:ind w:left="2200" w:hanging="1440"/>
      </w:pPr>
      <w:rPr>
        <w:rFonts w:hint="default"/>
      </w:rPr>
    </w:lvl>
    <w:lvl w:ilvl="6">
      <w:start w:val="1"/>
      <w:numFmt w:val="decimal"/>
      <w:lvlText w:val="%1.%2.%3.%4.%5.%6.%7."/>
      <w:lvlJc w:val="left"/>
      <w:pPr>
        <w:ind w:left="2570" w:hanging="1800"/>
      </w:pPr>
      <w:rPr>
        <w:rFonts w:hint="default"/>
      </w:rPr>
    </w:lvl>
    <w:lvl w:ilvl="7">
      <w:start w:val="1"/>
      <w:numFmt w:val="decimal"/>
      <w:lvlText w:val="%1.%2.%3.%4.%5.%6.%7.%8."/>
      <w:lvlJc w:val="left"/>
      <w:pPr>
        <w:ind w:left="2580" w:hanging="1800"/>
      </w:pPr>
      <w:rPr>
        <w:rFonts w:hint="default"/>
      </w:rPr>
    </w:lvl>
    <w:lvl w:ilvl="8">
      <w:start w:val="1"/>
      <w:numFmt w:val="decimal"/>
      <w:lvlText w:val="%1.%2.%3.%4.%5.%6.%7.%8.%9."/>
      <w:lvlJc w:val="left"/>
      <w:pPr>
        <w:ind w:left="2950" w:hanging="2160"/>
      </w:pPr>
      <w:rPr>
        <w:rFonts w:hint="default"/>
      </w:rPr>
    </w:lvl>
  </w:abstractNum>
  <w:abstractNum w:abstractNumId="86" w15:restartNumberingAfterBreak="0">
    <w:nsid w:val="6AAA5A49"/>
    <w:multiLevelType w:val="hybridMultilevel"/>
    <w:tmpl w:val="C9DA29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7" w15:restartNumberingAfterBreak="0">
    <w:nsid w:val="6B015162"/>
    <w:multiLevelType w:val="hybridMultilevel"/>
    <w:tmpl w:val="E7C02FDC"/>
    <w:lvl w:ilvl="0" w:tplc="140A0001">
      <w:start w:val="1"/>
      <w:numFmt w:val="bullet"/>
      <w:lvlText w:val=""/>
      <w:lvlJc w:val="left"/>
      <w:pPr>
        <w:ind w:left="1060" w:hanging="360"/>
      </w:pPr>
      <w:rPr>
        <w:rFonts w:ascii="Symbol" w:hAnsi="Symbol" w:hint="default"/>
      </w:rPr>
    </w:lvl>
    <w:lvl w:ilvl="1" w:tplc="140A0003" w:tentative="1">
      <w:start w:val="1"/>
      <w:numFmt w:val="bullet"/>
      <w:lvlText w:val="o"/>
      <w:lvlJc w:val="left"/>
      <w:pPr>
        <w:ind w:left="1780" w:hanging="360"/>
      </w:pPr>
      <w:rPr>
        <w:rFonts w:ascii="Courier New" w:hAnsi="Courier New" w:cs="Courier New" w:hint="default"/>
      </w:rPr>
    </w:lvl>
    <w:lvl w:ilvl="2" w:tplc="140A0005" w:tentative="1">
      <w:start w:val="1"/>
      <w:numFmt w:val="bullet"/>
      <w:lvlText w:val=""/>
      <w:lvlJc w:val="left"/>
      <w:pPr>
        <w:ind w:left="2500" w:hanging="360"/>
      </w:pPr>
      <w:rPr>
        <w:rFonts w:ascii="Wingdings" w:hAnsi="Wingdings" w:hint="default"/>
      </w:rPr>
    </w:lvl>
    <w:lvl w:ilvl="3" w:tplc="140A0001" w:tentative="1">
      <w:start w:val="1"/>
      <w:numFmt w:val="bullet"/>
      <w:lvlText w:val=""/>
      <w:lvlJc w:val="left"/>
      <w:pPr>
        <w:ind w:left="3220" w:hanging="360"/>
      </w:pPr>
      <w:rPr>
        <w:rFonts w:ascii="Symbol" w:hAnsi="Symbol" w:hint="default"/>
      </w:rPr>
    </w:lvl>
    <w:lvl w:ilvl="4" w:tplc="140A0003" w:tentative="1">
      <w:start w:val="1"/>
      <w:numFmt w:val="bullet"/>
      <w:lvlText w:val="o"/>
      <w:lvlJc w:val="left"/>
      <w:pPr>
        <w:ind w:left="3940" w:hanging="360"/>
      </w:pPr>
      <w:rPr>
        <w:rFonts w:ascii="Courier New" w:hAnsi="Courier New" w:cs="Courier New" w:hint="default"/>
      </w:rPr>
    </w:lvl>
    <w:lvl w:ilvl="5" w:tplc="140A0005" w:tentative="1">
      <w:start w:val="1"/>
      <w:numFmt w:val="bullet"/>
      <w:lvlText w:val=""/>
      <w:lvlJc w:val="left"/>
      <w:pPr>
        <w:ind w:left="4660" w:hanging="360"/>
      </w:pPr>
      <w:rPr>
        <w:rFonts w:ascii="Wingdings" w:hAnsi="Wingdings" w:hint="default"/>
      </w:rPr>
    </w:lvl>
    <w:lvl w:ilvl="6" w:tplc="140A0001" w:tentative="1">
      <w:start w:val="1"/>
      <w:numFmt w:val="bullet"/>
      <w:lvlText w:val=""/>
      <w:lvlJc w:val="left"/>
      <w:pPr>
        <w:ind w:left="5380" w:hanging="360"/>
      </w:pPr>
      <w:rPr>
        <w:rFonts w:ascii="Symbol" w:hAnsi="Symbol" w:hint="default"/>
      </w:rPr>
    </w:lvl>
    <w:lvl w:ilvl="7" w:tplc="140A0003" w:tentative="1">
      <w:start w:val="1"/>
      <w:numFmt w:val="bullet"/>
      <w:lvlText w:val="o"/>
      <w:lvlJc w:val="left"/>
      <w:pPr>
        <w:ind w:left="6100" w:hanging="360"/>
      </w:pPr>
      <w:rPr>
        <w:rFonts w:ascii="Courier New" w:hAnsi="Courier New" w:cs="Courier New" w:hint="default"/>
      </w:rPr>
    </w:lvl>
    <w:lvl w:ilvl="8" w:tplc="140A0005" w:tentative="1">
      <w:start w:val="1"/>
      <w:numFmt w:val="bullet"/>
      <w:lvlText w:val=""/>
      <w:lvlJc w:val="left"/>
      <w:pPr>
        <w:ind w:left="6820" w:hanging="360"/>
      </w:pPr>
      <w:rPr>
        <w:rFonts w:ascii="Wingdings" w:hAnsi="Wingdings" w:hint="default"/>
      </w:rPr>
    </w:lvl>
  </w:abstractNum>
  <w:abstractNum w:abstractNumId="88" w15:restartNumberingAfterBreak="0">
    <w:nsid w:val="6BCC2DE5"/>
    <w:multiLevelType w:val="hybridMultilevel"/>
    <w:tmpl w:val="C756AB4A"/>
    <w:lvl w:ilvl="0" w:tplc="140A000B">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89" w15:restartNumberingAfterBreak="0">
    <w:nsid w:val="6D2D27D0"/>
    <w:multiLevelType w:val="hybridMultilevel"/>
    <w:tmpl w:val="058C38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0" w15:restartNumberingAfterBreak="0">
    <w:nsid w:val="6EB01CC5"/>
    <w:multiLevelType w:val="multilevel"/>
    <w:tmpl w:val="E166B1DA"/>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1" w15:restartNumberingAfterBreak="0">
    <w:nsid w:val="70195028"/>
    <w:multiLevelType w:val="multilevel"/>
    <w:tmpl w:val="AAA02834"/>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Zero"/>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92" w15:restartNumberingAfterBreak="0">
    <w:nsid w:val="71786AFA"/>
    <w:multiLevelType w:val="hybridMultilevel"/>
    <w:tmpl w:val="AB0215A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7318422F"/>
    <w:multiLevelType w:val="hybridMultilevel"/>
    <w:tmpl w:val="19CC1F5E"/>
    <w:lvl w:ilvl="0" w:tplc="A3E64800">
      <w:start w:val="1"/>
      <w:numFmt w:val="decimal"/>
      <w:lvlText w:val="(%1)"/>
      <w:lvlJc w:val="left"/>
      <w:pPr>
        <w:ind w:left="720" w:hanging="360"/>
      </w:pPr>
      <w:rPr>
        <w:rFonts w:hint="default"/>
        <w:sz w:val="18"/>
        <w:szCs w:val="18"/>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4" w15:restartNumberingAfterBreak="0">
    <w:nsid w:val="73C529DF"/>
    <w:multiLevelType w:val="hybridMultilevel"/>
    <w:tmpl w:val="148236C8"/>
    <w:lvl w:ilvl="0" w:tplc="140A0003">
      <w:start w:val="1"/>
      <w:numFmt w:val="bullet"/>
      <w:lvlText w:val="o"/>
      <w:lvlJc w:val="left"/>
      <w:pPr>
        <w:ind w:left="1647" w:hanging="360"/>
      </w:pPr>
      <w:rPr>
        <w:rFonts w:ascii="Courier New" w:hAnsi="Courier New" w:cs="Courier New" w:hint="default"/>
      </w:rPr>
    </w:lvl>
    <w:lvl w:ilvl="1" w:tplc="140A0003">
      <w:start w:val="1"/>
      <w:numFmt w:val="bullet"/>
      <w:lvlText w:val="o"/>
      <w:lvlJc w:val="left"/>
      <w:pPr>
        <w:ind w:left="2367" w:hanging="360"/>
      </w:pPr>
      <w:rPr>
        <w:rFonts w:ascii="Courier New" w:hAnsi="Courier New" w:cs="Courier New" w:hint="default"/>
      </w:rPr>
    </w:lvl>
    <w:lvl w:ilvl="2" w:tplc="140A0005">
      <w:start w:val="1"/>
      <w:numFmt w:val="bullet"/>
      <w:lvlText w:val=""/>
      <w:lvlJc w:val="left"/>
      <w:pPr>
        <w:ind w:left="3087" w:hanging="360"/>
      </w:pPr>
      <w:rPr>
        <w:rFonts w:ascii="Wingdings" w:hAnsi="Wingdings" w:hint="default"/>
      </w:rPr>
    </w:lvl>
    <w:lvl w:ilvl="3" w:tplc="140A0001">
      <w:start w:val="1"/>
      <w:numFmt w:val="bullet"/>
      <w:lvlText w:val=""/>
      <w:lvlJc w:val="left"/>
      <w:pPr>
        <w:ind w:left="3807" w:hanging="360"/>
      </w:pPr>
      <w:rPr>
        <w:rFonts w:ascii="Symbol" w:hAnsi="Symbol" w:hint="default"/>
      </w:rPr>
    </w:lvl>
    <w:lvl w:ilvl="4" w:tplc="140A0003">
      <w:start w:val="1"/>
      <w:numFmt w:val="bullet"/>
      <w:lvlText w:val="o"/>
      <w:lvlJc w:val="left"/>
      <w:pPr>
        <w:ind w:left="4527" w:hanging="360"/>
      </w:pPr>
      <w:rPr>
        <w:rFonts w:ascii="Courier New" w:hAnsi="Courier New" w:cs="Courier New" w:hint="default"/>
      </w:rPr>
    </w:lvl>
    <w:lvl w:ilvl="5" w:tplc="140A0005">
      <w:start w:val="1"/>
      <w:numFmt w:val="bullet"/>
      <w:lvlText w:val=""/>
      <w:lvlJc w:val="left"/>
      <w:pPr>
        <w:ind w:left="5247" w:hanging="360"/>
      </w:pPr>
      <w:rPr>
        <w:rFonts w:ascii="Wingdings" w:hAnsi="Wingdings" w:hint="default"/>
      </w:rPr>
    </w:lvl>
    <w:lvl w:ilvl="6" w:tplc="140A0001">
      <w:start w:val="1"/>
      <w:numFmt w:val="bullet"/>
      <w:lvlText w:val=""/>
      <w:lvlJc w:val="left"/>
      <w:pPr>
        <w:ind w:left="5967" w:hanging="360"/>
      </w:pPr>
      <w:rPr>
        <w:rFonts w:ascii="Symbol" w:hAnsi="Symbol" w:hint="default"/>
      </w:rPr>
    </w:lvl>
    <w:lvl w:ilvl="7" w:tplc="140A0003">
      <w:start w:val="1"/>
      <w:numFmt w:val="bullet"/>
      <w:lvlText w:val="o"/>
      <w:lvlJc w:val="left"/>
      <w:pPr>
        <w:ind w:left="6687" w:hanging="360"/>
      </w:pPr>
      <w:rPr>
        <w:rFonts w:ascii="Courier New" w:hAnsi="Courier New" w:cs="Courier New" w:hint="default"/>
      </w:rPr>
    </w:lvl>
    <w:lvl w:ilvl="8" w:tplc="140A0005">
      <w:start w:val="1"/>
      <w:numFmt w:val="bullet"/>
      <w:lvlText w:val=""/>
      <w:lvlJc w:val="left"/>
      <w:pPr>
        <w:ind w:left="7407" w:hanging="360"/>
      </w:pPr>
      <w:rPr>
        <w:rFonts w:ascii="Wingdings" w:hAnsi="Wingdings" w:hint="default"/>
      </w:rPr>
    </w:lvl>
  </w:abstractNum>
  <w:abstractNum w:abstractNumId="95" w15:restartNumberingAfterBreak="0">
    <w:nsid w:val="77141455"/>
    <w:multiLevelType w:val="hybridMultilevel"/>
    <w:tmpl w:val="5C94FC72"/>
    <w:lvl w:ilvl="0" w:tplc="051A1F3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6" w15:restartNumberingAfterBreak="0">
    <w:nsid w:val="77566F85"/>
    <w:multiLevelType w:val="hybridMultilevel"/>
    <w:tmpl w:val="82100E96"/>
    <w:lvl w:ilvl="0" w:tplc="140A000B">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7" w15:restartNumberingAfterBreak="0">
    <w:nsid w:val="7A7115EB"/>
    <w:multiLevelType w:val="hybridMultilevel"/>
    <w:tmpl w:val="0E5C5A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8" w15:restartNumberingAfterBreak="0">
    <w:nsid w:val="7D347493"/>
    <w:multiLevelType w:val="hybridMultilevel"/>
    <w:tmpl w:val="C5500A30"/>
    <w:lvl w:ilvl="0" w:tplc="F9EC599A">
      <w:start w:val="1"/>
      <w:numFmt w:val="decimal"/>
      <w:lvlText w:val="%1."/>
      <w:lvlJc w:val="left"/>
      <w:pPr>
        <w:ind w:left="1146" w:hanging="360"/>
      </w:pPr>
      <w:rPr>
        <w:rFonts w:hint="default"/>
      </w:r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99" w15:restartNumberingAfterBreak="0">
    <w:nsid w:val="7FD55C9B"/>
    <w:multiLevelType w:val="hybridMultilevel"/>
    <w:tmpl w:val="F9B2CE6A"/>
    <w:lvl w:ilvl="0" w:tplc="140A0005">
      <w:start w:val="1"/>
      <w:numFmt w:val="bullet"/>
      <w:lvlText w:val=""/>
      <w:lvlJc w:val="left"/>
      <w:pPr>
        <w:ind w:left="1428" w:hanging="360"/>
      </w:pPr>
      <w:rPr>
        <w:rFonts w:ascii="Wingdings" w:hAnsi="Wingdings" w:hint="default"/>
      </w:rPr>
    </w:lvl>
    <w:lvl w:ilvl="1" w:tplc="140A0003">
      <w:start w:val="1"/>
      <w:numFmt w:val="bullet"/>
      <w:lvlText w:val="o"/>
      <w:lvlJc w:val="left"/>
      <w:pPr>
        <w:ind w:left="2148" w:hanging="360"/>
      </w:pPr>
      <w:rPr>
        <w:rFonts w:ascii="Courier New" w:hAnsi="Courier New" w:cs="Courier New" w:hint="default"/>
      </w:rPr>
    </w:lvl>
    <w:lvl w:ilvl="2" w:tplc="140A0005">
      <w:start w:val="1"/>
      <w:numFmt w:val="bullet"/>
      <w:lvlText w:val=""/>
      <w:lvlJc w:val="left"/>
      <w:pPr>
        <w:ind w:left="2868" w:hanging="360"/>
      </w:pPr>
      <w:rPr>
        <w:rFonts w:ascii="Wingdings" w:hAnsi="Wingdings" w:hint="default"/>
      </w:rPr>
    </w:lvl>
    <w:lvl w:ilvl="3" w:tplc="140A0001">
      <w:start w:val="1"/>
      <w:numFmt w:val="bullet"/>
      <w:lvlText w:val=""/>
      <w:lvlJc w:val="left"/>
      <w:pPr>
        <w:ind w:left="3588" w:hanging="360"/>
      </w:pPr>
      <w:rPr>
        <w:rFonts w:ascii="Symbol" w:hAnsi="Symbol" w:hint="default"/>
      </w:rPr>
    </w:lvl>
    <w:lvl w:ilvl="4" w:tplc="140A0003">
      <w:start w:val="1"/>
      <w:numFmt w:val="bullet"/>
      <w:lvlText w:val="o"/>
      <w:lvlJc w:val="left"/>
      <w:pPr>
        <w:ind w:left="4308" w:hanging="360"/>
      </w:pPr>
      <w:rPr>
        <w:rFonts w:ascii="Courier New" w:hAnsi="Courier New" w:cs="Courier New" w:hint="default"/>
      </w:rPr>
    </w:lvl>
    <w:lvl w:ilvl="5" w:tplc="140A0005">
      <w:start w:val="1"/>
      <w:numFmt w:val="bullet"/>
      <w:lvlText w:val=""/>
      <w:lvlJc w:val="left"/>
      <w:pPr>
        <w:ind w:left="5028" w:hanging="360"/>
      </w:pPr>
      <w:rPr>
        <w:rFonts w:ascii="Wingdings" w:hAnsi="Wingdings" w:hint="default"/>
      </w:rPr>
    </w:lvl>
    <w:lvl w:ilvl="6" w:tplc="140A0001">
      <w:start w:val="1"/>
      <w:numFmt w:val="bullet"/>
      <w:lvlText w:val=""/>
      <w:lvlJc w:val="left"/>
      <w:pPr>
        <w:ind w:left="5748" w:hanging="360"/>
      </w:pPr>
      <w:rPr>
        <w:rFonts w:ascii="Symbol" w:hAnsi="Symbol" w:hint="default"/>
      </w:rPr>
    </w:lvl>
    <w:lvl w:ilvl="7" w:tplc="140A0003">
      <w:start w:val="1"/>
      <w:numFmt w:val="bullet"/>
      <w:lvlText w:val="o"/>
      <w:lvlJc w:val="left"/>
      <w:pPr>
        <w:ind w:left="6468" w:hanging="360"/>
      </w:pPr>
      <w:rPr>
        <w:rFonts w:ascii="Courier New" w:hAnsi="Courier New" w:cs="Courier New" w:hint="default"/>
      </w:rPr>
    </w:lvl>
    <w:lvl w:ilvl="8" w:tplc="140A0005">
      <w:start w:val="1"/>
      <w:numFmt w:val="bullet"/>
      <w:lvlText w:val=""/>
      <w:lvlJc w:val="left"/>
      <w:pPr>
        <w:ind w:left="7188" w:hanging="360"/>
      </w:pPr>
      <w:rPr>
        <w:rFonts w:ascii="Wingdings" w:hAnsi="Wingdings" w:hint="default"/>
      </w:rPr>
    </w:lvl>
  </w:abstractNum>
  <w:num w:numId="1">
    <w:abstractNumId w:val="56"/>
  </w:num>
  <w:num w:numId="2">
    <w:abstractNumId w:val="46"/>
  </w:num>
  <w:num w:numId="3">
    <w:abstractNumId w:val="27"/>
  </w:num>
  <w:num w:numId="4">
    <w:abstractNumId w:val="25"/>
  </w:num>
  <w:num w:numId="5">
    <w:abstractNumId w:val="79"/>
  </w:num>
  <w:num w:numId="6">
    <w:abstractNumId w:val="41"/>
  </w:num>
  <w:num w:numId="7">
    <w:abstractNumId w:val="37"/>
  </w:num>
  <w:num w:numId="8">
    <w:abstractNumId w:val="89"/>
  </w:num>
  <w:num w:numId="9">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
  </w:num>
  <w:num w:numId="11">
    <w:abstractNumId w:val="62"/>
  </w:num>
  <w:num w:numId="12">
    <w:abstractNumId w:val="81"/>
  </w:num>
  <w:num w:numId="13">
    <w:abstractNumId w:val="61"/>
  </w:num>
  <w:num w:numId="14">
    <w:abstractNumId w:val="91"/>
  </w:num>
  <w:num w:numId="15">
    <w:abstractNumId w:val="6"/>
  </w:num>
  <w:num w:numId="16">
    <w:abstractNumId w:val="77"/>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num>
  <w:num w:numId="19">
    <w:abstractNumId w:val="49"/>
  </w:num>
  <w:num w:numId="20">
    <w:abstractNumId w:val="11"/>
  </w:num>
  <w:num w:numId="21">
    <w:abstractNumId w:val="33"/>
  </w:num>
  <w:num w:numId="22">
    <w:abstractNumId w:val="60"/>
  </w:num>
  <w:num w:numId="23">
    <w:abstractNumId w:val="85"/>
  </w:num>
  <w:num w:numId="24">
    <w:abstractNumId w:val="82"/>
  </w:num>
  <w:num w:numId="25">
    <w:abstractNumId w:val="36"/>
  </w:num>
  <w:num w:numId="26">
    <w:abstractNumId w:val="3"/>
  </w:num>
  <w:num w:numId="27">
    <w:abstractNumId w:val="15"/>
  </w:num>
  <w:num w:numId="28">
    <w:abstractNumId w:val="23"/>
  </w:num>
  <w:num w:numId="29">
    <w:abstractNumId w:val="21"/>
  </w:num>
  <w:num w:numId="30">
    <w:abstractNumId w:val="26"/>
  </w:num>
  <w:num w:numId="31">
    <w:abstractNumId w:val="53"/>
  </w:num>
  <w:num w:numId="32">
    <w:abstractNumId w:val="93"/>
  </w:num>
  <w:num w:numId="33">
    <w:abstractNumId w:val="29"/>
  </w:num>
  <w:num w:numId="34">
    <w:abstractNumId w:val="8"/>
  </w:num>
  <w:num w:numId="35">
    <w:abstractNumId w:val="58"/>
  </w:num>
  <w:num w:numId="36">
    <w:abstractNumId w:val="47"/>
  </w:num>
  <w:num w:numId="37">
    <w:abstractNumId w:val="55"/>
  </w:num>
  <w:num w:numId="38">
    <w:abstractNumId w:val="42"/>
  </w:num>
  <w:num w:numId="39">
    <w:abstractNumId w:val="65"/>
  </w:num>
  <w:num w:numId="40">
    <w:abstractNumId w:val="68"/>
  </w:num>
  <w:num w:numId="41">
    <w:abstractNumId w:val="84"/>
  </w:num>
  <w:num w:numId="42">
    <w:abstractNumId w:val="45"/>
  </w:num>
  <w:num w:numId="43">
    <w:abstractNumId w:val="54"/>
  </w:num>
  <w:num w:numId="44">
    <w:abstractNumId w:val="44"/>
  </w:num>
  <w:num w:numId="45">
    <w:abstractNumId w:val="16"/>
  </w:num>
  <w:num w:numId="46">
    <w:abstractNumId w:val="87"/>
  </w:num>
  <w:num w:numId="47">
    <w:abstractNumId w:val="67"/>
  </w:num>
  <w:num w:numId="48">
    <w:abstractNumId w:val="73"/>
  </w:num>
  <w:num w:numId="49">
    <w:abstractNumId w:val="64"/>
  </w:num>
  <w:num w:numId="50">
    <w:abstractNumId w:val="48"/>
  </w:num>
  <w:num w:numId="51">
    <w:abstractNumId w:val="10"/>
  </w:num>
  <w:num w:numId="52">
    <w:abstractNumId w:val="71"/>
  </w:num>
  <w:num w:numId="5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2"/>
  </w:num>
  <w:num w:numId="55">
    <w:abstractNumId w:val="38"/>
  </w:num>
  <w:num w:numId="56">
    <w:abstractNumId w:val="50"/>
  </w:num>
  <w:num w:numId="57">
    <w:abstractNumId w:val="83"/>
  </w:num>
  <w:num w:numId="58">
    <w:abstractNumId w:val="59"/>
  </w:num>
  <w:num w:numId="59">
    <w:abstractNumId w:val="74"/>
  </w:num>
  <w:num w:numId="60">
    <w:abstractNumId w:val="86"/>
  </w:num>
  <w:num w:numId="61">
    <w:abstractNumId w:val="97"/>
  </w:num>
  <w:num w:numId="62">
    <w:abstractNumId w:val="63"/>
  </w:num>
  <w:num w:numId="63">
    <w:abstractNumId w:val="88"/>
  </w:num>
  <w:num w:numId="64">
    <w:abstractNumId w:val="7"/>
  </w:num>
  <w:num w:numId="65">
    <w:abstractNumId w:val="18"/>
  </w:num>
  <w:num w:numId="66">
    <w:abstractNumId w:val="51"/>
  </w:num>
  <w:num w:numId="67">
    <w:abstractNumId w:val="90"/>
  </w:num>
  <w:num w:numId="68">
    <w:abstractNumId w:val="95"/>
  </w:num>
  <w:num w:numId="69">
    <w:abstractNumId w:val="4"/>
  </w:num>
  <w:num w:numId="7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0"/>
  </w:num>
  <w:num w:numId="72">
    <w:abstractNumId w:val="30"/>
  </w:num>
  <w:num w:numId="73">
    <w:abstractNumId w:val="92"/>
  </w:num>
  <w:num w:numId="74">
    <w:abstractNumId w:val="35"/>
  </w:num>
  <w:num w:numId="75">
    <w:abstractNumId w:val="98"/>
  </w:num>
  <w:num w:numId="76">
    <w:abstractNumId w:val="40"/>
  </w:num>
  <w:num w:numId="77">
    <w:abstractNumId w:val="5"/>
  </w:num>
  <w:num w:numId="78">
    <w:abstractNumId w:val="34"/>
  </w:num>
  <w:num w:numId="7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7"/>
  </w:num>
  <w:num w:numId="8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6"/>
  </w:num>
  <w:num w:numId="84">
    <w:abstractNumId w:val="78"/>
  </w:num>
  <w:num w:numId="85">
    <w:abstractNumId w:val="99"/>
  </w:num>
  <w:num w:numId="86">
    <w:abstractNumId w:val="80"/>
  </w:num>
  <w:num w:numId="8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2"/>
  </w:num>
  <w:num w:numId="89">
    <w:abstractNumId w:val="2"/>
    <w:lvlOverride w:ilvl="0">
      <w:startOverride w:val="1"/>
    </w:lvlOverride>
  </w:num>
  <w:num w:numId="90">
    <w:abstractNumId w:val="9"/>
  </w:num>
  <w:num w:numId="91">
    <w:abstractNumId w:val="69"/>
  </w:num>
  <w:num w:numId="92">
    <w:abstractNumId w:val="1"/>
  </w:num>
  <w:num w:numId="93">
    <w:abstractNumId w:val="0"/>
  </w:num>
  <w:num w:numId="94">
    <w:abstractNumId w:val="57"/>
  </w:num>
  <w:num w:numId="95">
    <w:abstractNumId w:val="96"/>
  </w:num>
  <w:num w:numId="96">
    <w:abstractNumId w:val="12"/>
  </w:num>
  <w:num w:numId="9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2"/>
  </w:num>
  <w:num w:numId="101">
    <w:abstractNumId w:val="94"/>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3CA4"/>
    <w:rsid w:val="00022642"/>
    <w:rsid w:val="000254F0"/>
    <w:rsid w:val="0006436A"/>
    <w:rsid w:val="00077D47"/>
    <w:rsid w:val="00083CA4"/>
    <w:rsid w:val="0008570A"/>
    <w:rsid w:val="00090FF8"/>
    <w:rsid w:val="000E15AB"/>
    <w:rsid w:val="00102DB7"/>
    <w:rsid w:val="001266D4"/>
    <w:rsid w:val="001816ED"/>
    <w:rsid w:val="00187F7C"/>
    <w:rsid w:val="001B721E"/>
    <w:rsid w:val="001C531A"/>
    <w:rsid w:val="001D599D"/>
    <w:rsid w:val="001E463E"/>
    <w:rsid w:val="001F2174"/>
    <w:rsid w:val="001F2636"/>
    <w:rsid w:val="0021131C"/>
    <w:rsid w:val="0024409C"/>
    <w:rsid w:val="00254538"/>
    <w:rsid w:val="0027024F"/>
    <w:rsid w:val="00281050"/>
    <w:rsid w:val="002A7673"/>
    <w:rsid w:val="002B6FA6"/>
    <w:rsid w:val="002C71D4"/>
    <w:rsid w:val="002D1F17"/>
    <w:rsid w:val="002E697C"/>
    <w:rsid w:val="002E756F"/>
    <w:rsid w:val="003105EF"/>
    <w:rsid w:val="00313301"/>
    <w:rsid w:val="00317F53"/>
    <w:rsid w:val="00320D7C"/>
    <w:rsid w:val="00320F66"/>
    <w:rsid w:val="00335018"/>
    <w:rsid w:val="00337B7D"/>
    <w:rsid w:val="003534AF"/>
    <w:rsid w:val="00353544"/>
    <w:rsid w:val="0037082C"/>
    <w:rsid w:val="003774B7"/>
    <w:rsid w:val="00385B2E"/>
    <w:rsid w:val="00396EC7"/>
    <w:rsid w:val="003C0781"/>
    <w:rsid w:val="003D2300"/>
    <w:rsid w:val="00403501"/>
    <w:rsid w:val="0043489F"/>
    <w:rsid w:val="00441867"/>
    <w:rsid w:val="0046687B"/>
    <w:rsid w:val="004851C3"/>
    <w:rsid w:val="00494A1D"/>
    <w:rsid w:val="004B5785"/>
    <w:rsid w:val="004D76F5"/>
    <w:rsid w:val="004E05F0"/>
    <w:rsid w:val="005108DB"/>
    <w:rsid w:val="005218C2"/>
    <w:rsid w:val="005324DA"/>
    <w:rsid w:val="0057402B"/>
    <w:rsid w:val="005B73ED"/>
    <w:rsid w:val="005C4603"/>
    <w:rsid w:val="005F7139"/>
    <w:rsid w:val="00657B3F"/>
    <w:rsid w:val="006979EE"/>
    <w:rsid w:val="006B2D3F"/>
    <w:rsid w:val="006D240C"/>
    <w:rsid w:val="006F7B77"/>
    <w:rsid w:val="007063B0"/>
    <w:rsid w:val="007125D1"/>
    <w:rsid w:val="0073220E"/>
    <w:rsid w:val="00760992"/>
    <w:rsid w:val="007728B3"/>
    <w:rsid w:val="007C290C"/>
    <w:rsid w:val="007C4216"/>
    <w:rsid w:val="007C57B7"/>
    <w:rsid w:val="007D1FEF"/>
    <w:rsid w:val="007D66BD"/>
    <w:rsid w:val="007E451D"/>
    <w:rsid w:val="007F0F53"/>
    <w:rsid w:val="007F1543"/>
    <w:rsid w:val="007F3C68"/>
    <w:rsid w:val="007F706B"/>
    <w:rsid w:val="0083072D"/>
    <w:rsid w:val="00853967"/>
    <w:rsid w:val="0085505C"/>
    <w:rsid w:val="00885CDC"/>
    <w:rsid w:val="008A3FEC"/>
    <w:rsid w:val="008B34E1"/>
    <w:rsid w:val="008B6662"/>
    <w:rsid w:val="008C03A0"/>
    <w:rsid w:val="008E58CD"/>
    <w:rsid w:val="008F2D33"/>
    <w:rsid w:val="009279AF"/>
    <w:rsid w:val="00931F88"/>
    <w:rsid w:val="0093441E"/>
    <w:rsid w:val="009452A2"/>
    <w:rsid w:val="009548F9"/>
    <w:rsid w:val="00980170"/>
    <w:rsid w:val="009B1869"/>
    <w:rsid w:val="009B3FF5"/>
    <w:rsid w:val="009B5D7D"/>
    <w:rsid w:val="009C006A"/>
    <w:rsid w:val="009C2E1A"/>
    <w:rsid w:val="009D55D9"/>
    <w:rsid w:val="009E1A6F"/>
    <w:rsid w:val="00A10286"/>
    <w:rsid w:val="00A10438"/>
    <w:rsid w:val="00A14D32"/>
    <w:rsid w:val="00A2053B"/>
    <w:rsid w:val="00A26EFE"/>
    <w:rsid w:val="00A50108"/>
    <w:rsid w:val="00A60CCD"/>
    <w:rsid w:val="00A616D8"/>
    <w:rsid w:val="00A70427"/>
    <w:rsid w:val="00A74088"/>
    <w:rsid w:val="00A76DD8"/>
    <w:rsid w:val="00AD7E98"/>
    <w:rsid w:val="00AE01C4"/>
    <w:rsid w:val="00B16307"/>
    <w:rsid w:val="00B426F2"/>
    <w:rsid w:val="00B53C4B"/>
    <w:rsid w:val="00B67880"/>
    <w:rsid w:val="00B83A62"/>
    <w:rsid w:val="00BA3C78"/>
    <w:rsid w:val="00BD1254"/>
    <w:rsid w:val="00C1639B"/>
    <w:rsid w:val="00C50C75"/>
    <w:rsid w:val="00C803F4"/>
    <w:rsid w:val="00C92AA8"/>
    <w:rsid w:val="00CB2D90"/>
    <w:rsid w:val="00CB7EB5"/>
    <w:rsid w:val="00CC79B4"/>
    <w:rsid w:val="00CE52AB"/>
    <w:rsid w:val="00D266FC"/>
    <w:rsid w:val="00D3063E"/>
    <w:rsid w:val="00D325F9"/>
    <w:rsid w:val="00D33A38"/>
    <w:rsid w:val="00D445AD"/>
    <w:rsid w:val="00D46C20"/>
    <w:rsid w:val="00D527DE"/>
    <w:rsid w:val="00D56B8B"/>
    <w:rsid w:val="00DC5009"/>
    <w:rsid w:val="00DF2FDA"/>
    <w:rsid w:val="00E147EB"/>
    <w:rsid w:val="00E23D8E"/>
    <w:rsid w:val="00E37699"/>
    <w:rsid w:val="00E402E2"/>
    <w:rsid w:val="00E41D8B"/>
    <w:rsid w:val="00E70C6F"/>
    <w:rsid w:val="00E83693"/>
    <w:rsid w:val="00E85559"/>
    <w:rsid w:val="00EA0E8C"/>
    <w:rsid w:val="00EB5021"/>
    <w:rsid w:val="00EB7278"/>
    <w:rsid w:val="00ED5FAB"/>
    <w:rsid w:val="00EF3209"/>
    <w:rsid w:val="00EF4C62"/>
    <w:rsid w:val="00EF57CF"/>
    <w:rsid w:val="00F129A6"/>
    <w:rsid w:val="00F422DD"/>
    <w:rsid w:val="00F71368"/>
    <w:rsid w:val="00F77EC6"/>
    <w:rsid w:val="00F9283B"/>
    <w:rsid w:val="00F962B6"/>
    <w:rsid w:val="00FA50C8"/>
    <w:rsid w:val="00FB4BF4"/>
    <w:rsid w:val="00FB7AFE"/>
    <w:rsid w:val="00FE3D86"/>
    <w:rsid w:val="00FE5FBE"/>
    <w:rsid w:val="00FF3FA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3FB2D"/>
  <w15:chartTrackingRefBased/>
  <w15:docId w15:val="{288ADDC9-27D6-4EC5-A238-F2D9CB4FD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iPriority="0" w:unhideWhenUsed="1"/>
    <w:lsdException w:name="toc 3" w:semiHidden="1" w:uiPriority="0" w:unhideWhenUsed="1"/>
    <w:lsdException w:name="toc 4" w:semiHidden="1" w:uiPriority="0"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Título Principal"/>
    <w:basedOn w:val="Normal"/>
    <w:link w:val="Ttulo1Car"/>
    <w:qFormat/>
    <w:rsid w:val="00083CA4"/>
    <w:pPr>
      <w:keepNext/>
      <w:shd w:val="clear" w:color="auto" w:fill="FFFFFF"/>
      <w:autoSpaceDE w:val="0"/>
      <w:autoSpaceDN w:val="0"/>
      <w:spacing w:after="0" w:line="240" w:lineRule="auto"/>
      <w:jc w:val="both"/>
      <w:outlineLvl w:val="0"/>
    </w:pPr>
    <w:rPr>
      <w:rFonts w:ascii="Arial" w:hAnsi="Arial" w:cs="Arial"/>
      <w:sz w:val="28"/>
      <w:szCs w:val="28"/>
      <w:lang w:eastAsia="es-ES"/>
    </w:rPr>
  </w:style>
  <w:style w:type="paragraph" w:styleId="Ttulo2">
    <w:name w:val="heading 2"/>
    <w:aliases w:val="Títulos de Hallazgo e Introducción,CAPITULO 2,H21,3. Subtitulos"/>
    <w:basedOn w:val="Normal"/>
    <w:next w:val="Normal"/>
    <w:link w:val="Ttulo2Car"/>
    <w:qFormat/>
    <w:rsid w:val="00083CA4"/>
    <w:pPr>
      <w:keepNext/>
      <w:widowControl w:val="0"/>
      <w:autoSpaceDE w:val="0"/>
      <w:autoSpaceDN w:val="0"/>
      <w:adjustRightInd w:val="0"/>
      <w:spacing w:before="240" w:after="60" w:line="240" w:lineRule="auto"/>
      <w:outlineLvl w:val="1"/>
    </w:pPr>
    <w:rPr>
      <w:rFonts w:ascii="Arial" w:eastAsia="Times New Roman" w:hAnsi="Arial" w:cs="Arial"/>
      <w:b/>
      <w:bCs/>
      <w:i/>
      <w:iCs/>
      <w:sz w:val="28"/>
      <w:szCs w:val="28"/>
      <w:lang w:val="es-ES" w:eastAsia="es-ES"/>
    </w:rPr>
  </w:style>
  <w:style w:type="paragraph" w:styleId="Ttulo3">
    <w:name w:val="heading 3"/>
    <w:aliases w:val="Subtítulos de Hallazgo,Graficos,otros,heading 3"/>
    <w:basedOn w:val="Normal"/>
    <w:next w:val="Normal"/>
    <w:link w:val="Ttulo3Car"/>
    <w:qFormat/>
    <w:rsid w:val="00083CA4"/>
    <w:pPr>
      <w:keepNext/>
      <w:widowControl w:val="0"/>
      <w:autoSpaceDE w:val="0"/>
      <w:autoSpaceDN w:val="0"/>
      <w:adjustRightInd w:val="0"/>
      <w:spacing w:before="240" w:after="60" w:line="240" w:lineRule="auto"/>
      <w:outlineLvl w:val="2"/>
    </w:pPr>
    <w:rPr>
      <w:rFonts w:ascii="Arial" w:eastAsia="Times New Roman" w:hAnsi="Arial" w:cs="Arial"/>
      <w:b/>
      <w:bCs/>
      <w:sz w:val="26"/>
      <w:szCs w:val="26"/>
      <w:lang w:val="es-ES" w:eastAsia="es-ES"/>
    </w:rPr>
  </w:style>
  <w:style w:type="paragraph" w:styleId="Ttulo4">
    <w:name w:val="heading 4"/>
    <w:aliases w:val="h4"/>
    <w:basedOn w:val="Normal"/>
    <w:next w:val="Normal"/>
    <w:link w:val="Ttulo4Car"/>
    <w:qFormat/>
    <w:rsid w:val="00083CA4"/>
    <w:pPr>
      <w:keepNext/>
      <w:widowControl w:val="0"/>
      <w:autoSpaceDE w:val="0"/>
      <w:autoSpaceDN w:val="0"/>
      <w:adjustRightInd w:val="0"/>
      <w:spacing w:after="0" w:line="240" w:lineRule="auto"/>
      <w:outlineLvl w:val="3"/>
    </w:pPr>
    <w:rPr>
      <w:rFonts w:ascii="Book Antiqua" w:eastAsia="Times New Roman" w:hAnsi="Book Antiqua" w:cs="Times New Roman"/>
      <w:b/>
      <w:bCs/>
      <w:sz w:val="24"/>
      <w:szCs w:val="24"/>
      <w:u w:color="000000"/>
      <w:lang w:val="es-ES" w:eastAsia="es-ES"/>
    </w:rPr>
  </w:style>
  <w:style w:type="paragraph" w:styleId="Ttulo5">
    <w:name w:val="heading 5"/>
    <w:basedOn w:val="Normal"/>
    <w:next w:val="Normal"/>
    <w:link w:val="Ttulo5Car"/>
    <w:qFormat/>
    <w:rsid w:val="00083CA4"/>
    <w:pPr>
      <w:keepNext/>
      <w:widowControl w:val="0"/>
      <w:autoSpaceDE w:val="0"/>
      <w:autoSpaceDN w:val="0"/>
      <w:adjustRightInd w:val="0"/>
      <w:spacing w:after="0" w:line="240" w:lineRule="auto"/>
      <w:jc w:val="both"/>
      <w:outlineLvl w:val="4"/>
    </w:pPr>
    <w:rPr>
      <w:rFonts w:ascii="Arial" w:eastAsia="Times New Roman" w:hAnsi="Arial" w:cs="Arial"/>
      <w:b/>
      <w:bCs/>
      <w:i/>
      <w:iCs/>
      <w:color w:val="000000"/>
      <w:sz w:val="24"/>
      <w:szCs w:val="24"/>
      <w:u w:color="000000"/>
      <w:lang w:val="es-ES" w:eastAsia="es-ES"/>
    </w:rPr>
  </w:style>
  <w:style w:type="paragraph" w:styleId="Ttulo6">
    <w:name w:val="heading 6"/>
    <w:basedOn w:val="Normal"/>
    <w:next w:val="Normal"/>
    <w:link w:val="Ttulo6Car"/>
    <w:qFormat/>
    <w:rsid w:val="00083CA4"/>
    <w:pPr>
      <w:widowControl w:val="0"/>
      <w:autoSpaceDE w:val="0"/>
      <w:autoSpaceDN w:val="0"/>
      <w:adjustRightInd w:val="0"/>
      <w:spacing w:before="240" w:after="60" w:line="240" w:lineRule="auto"/>
      <w:outlineLvl w:val="5"/>
    </w:pPr>
    <w:rPr>
      <w:rFonts w:ascii="Times New Roman" w:eastAsia="Times New Roman" w:hAnsi="Times New Roman" w:cs="Times New Roman"/>
      <w:b/>
      <w:bCs/>
      <w:lang w:val="es-ES" w:eastAsia="es-ES"/>
    </w:rPr>
  </w:style>
  <w:style w:type="paragraph" w:styleId="Ttulo7">
    <w:name w:val="heading 7"/>
    <w:basedOn w:val="Normal"/>
    <w:link w:val="Ttulo7Car"/>
    <w:uiPriority w:val="99"/>
    <w:qFormat/>
    <w:rsid w:val="00083CA4"/>
    <w:pPr>
      <w:keepNext/>
      <w:shd w:val="clear" w:color="auto" w:fill="FFFFFF"/>
      <w:tabs>
        <w:tab w:val="num" w:pos="360"/>
      </w:tabs>
      <w:autoSpaceDE w:val="0"/>
      <w:spacing w:after="0" w:line="240" w:lineRule="auto"/>
      <w:jc w:val="right"/>
      <w:outlineLvl w:val="6"/>
    </w:pPr>
    <w:rPr>
      <w:rFonts w:ascii="Arial" w:eastAsia="Times New Roman" w:hAnsi="Arial" w:cs="Arial"/>
      <w:b/>
      <w:bCs/>
      <w:sz w:val="24"/>
      <w:szCs w:val="24"/>
      <w:u w:val="single"/>
      <w:lang w:val="es-ES" w:eastAsia="es-ES"/>
    </w:rPr>
  </w:style>
  <w:style w:type="paragraph" w:styleId="Ttulo8">
    <w:name w:val="heading 8"/>
    <w:basedOn w:val="Normal"/>
    <w:next w:val="Normal"/>
    <w:link w:val="Ttulo8Car"/>
    <w:qFormat/>
    <w:rsid w:val="00083CA4"/>
    <w:pPr>
      <w:keepNext/>
      <w:widowControl w:val="0"/>
      <w:autoSpaceDE w:val="0"/>
      <w:autoSpaceDN w:val="0"/>
      <w:adjustRightInd w:val="0"/>
      <w:spacing w:after="0" w:line="240" w:lineRule="auto"/>
      <w:jc w:val="right"/>
      <w:outlineLvl w:val="7"/>
    </w:pPr>
    <w:rPr>
      <w:rFonts w:ascii="Book Antiqua" w:eastAsia="Times New Roman" w:hAnsi="Book Antiqua" w:cs="Book Antiqua"/>
      <w:sz w:val="24"/>
      <w:szCs w:val="24"/>
      <w:lang w:val="es-ES" w:eastAsia="es-ES"/>
    </w:rPr>
  </w:style>
  <w:style w:type="paragraph" w:styleId="Ttulo9">
    <w:name w:val="heading 9"/>
    <w:basedOn w:val="Normal"/>
    <w:next w:val="Normal"/>
    <w:link w:val="Ttulo9Car"/>
    <w:qFormat/>
    <w:rsid w:val="00083CA4"/>
    <w:pPr>
      <w:keepNext/>
      <w:spacing w:after="0" w:line="240" w:lineRule="auto"/>
      <w:jc w:val="right"/>
      <w:outlineLvl w:val="8"/>
    </w:pPr>
    <w:rPr>
      <w:rFonts w:ascii="Arial" w:eastAsia="Times New Roman" w:hAnsi="Arial" w:cs="Arial"/>
      <w:b/>
      <w:bCs/>
      <w:sz w:val="18"/>
      <w:szCs w:val="18"/>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rsid w:val="00083CA4"/>
    <w:rPr>
      <w:rFonts w:ascii="Arial" w:hAnsi="Arial" w:cs="Arial"/>
      <w:sz w:val="28"/>
      <w:szCs w:val="28"/>
      <w:shd w:val="clear" w:color="auto" w:fill="FFFFFF"/>
      <w:lang w:eastAsia="es-ES"/>
    </w:rPr>
  </w:style>
  <w:style w:type="character" w:customStyle="1" w:styleId="Ttulo2Car">
    <w:name w:val="Título 2 Car"/>
    <w:aliases w:val="Títulos de Hallazgo e Introducción Car,CAPITULO 2 Car,H21 Car,3. Subtitulos Car"/>
    <w:basedOn w:val="Fuentedeprrafopredeter"/>
    <w:link w:val="Ttulo2"/>
    <w:rsid w:val="00083CA4"/>
    <w:rPr>
      <w:rFonts w:ascii="Arial" w:eastAsia="Times New Roman" w:hAnsi="Arial" w:cs="Arial"/>
      <w:b/>
      <w:bCs/>
      <w:i/>
      <w:iCs/>
      <w:sz w:val="28"/>
      <w:szCs w:val="28"/>
      <w:lang w:val="es-ES" w:eastAsia="es-ES"/>
    </w:rPr>
  </w:style>
  <w:style w:type="character" w:customStyle="1" w:styleId="Ttulo3Car">
    <w:name w:val="Título 3 Car"/>
    <w:aliases w:val="Subtítulos de Hallazgo Car,Graficos Car,otros Car,heading 3 Car"/>
    <w:basedOn w:val="Fuentedeprrafopredeter"/>
    <w:link w:val="Ttulo3"/>
    <w:qFormat/>
    <w:rsid w:val="00083CA4"/>
    <w:rPr>
      <w:rFonts w:ascii="Arial" w:eastAsia="Times New Roman" w:hAnsi="Arial" w:cs="Arial"/>
      <w:b/>
      <w:bCs/>
      <w:sz w:val="26"/>
      <w:szCs w:val="26"/>
      <w:lang w:val="es-ES" w:eastAsia="es-ES"/>
    </w:rPr>
  </w:style>
  <w:style w:type="character" w:customStyle="1" w:styleId="Ttulo4Car">
    <w:name w:val="Título 4 Car"/>
    <w:aliases w:val="h4 Car"/>
    <w:basedOn w:val="Fuentedeprrafopredeter"/>
    <w:link w:val="Ttulo4"/>
    <w:rsid w:val="00083CA4"/>
    <w:rPr>
      <w:rFonts w:ascii="Book Antiqua" w:eastAsia="Times New Roman" w:hAnsi="Book Antiqua" w:cs="Times New Roman"/>
      <w:b/>
      <w:bCs/>
      <w:sz w:val="24"/>
      <w:szCs w:val="24"/>
      <w:u w:color="000000"/>
      <w:lang w:val="es-ES" w:eastAsia="es-ES"/>
    </w:rPr>
  </w:style>
  <w:style w:type="character" w:customStyle="1" w:styleId="Ttulo5Car">
    <w:name w:val="Título 5 Car"/>
    <w:basedOn w:val="Fuentedeprrafopredeter"/>
    <w:link w:val="Ttulo5"/>
    <w:rsid w:val="00083CA4"/>
    <w:rPr>
      <w:rFonts w:ascii="Arial" w:eastAsia="Times New Roman" w:hAnsi="Arial" w:cs="Arial"/>
      <w:b/>
      <w:bCs/>
      <w:i/>
      <w:iCs/>
      <w:color w:val="000000"/>
      <w:sz w:val="24"/>
      <w:szCs w:val="24"/>
      <w:u w:color="000000"/>
      <w:lang w:val="es-ES" w:eastAsia="es-ES"/>
    </w:rPr>
  </w:style>
  <w:style w:type="character" w:customStyle="1" w:styleId="Ttulo6Car">
    <w:name w:val="Título 6 Car"/>
    <w:basedOn w:val="Fuentedeprrafopredeter"/>
    <w:link w:val="Ttulo6"/>
    <w:rsid w:val="00083CA4"/>
    <w:rPr>
      <w:rFonts w:ascii="Times New Roman" w:eastAsia="Times New Roman" w:hAnsi="Times New Roman" w:cs="Times New Roman"/>
      <w:b/>
      <w:bCs/>
      <w:lang w:val="es-ES" w:eastAsia="es-ES"/>
    </w:rPr>
  </w:style>
  <w:style w:type="character" w:customStyle="1" w:styleId="Ttulo7Car">
    <w:name w:val="Título 7 Car"/>
    <w:basedOn w:val="Fuentedeprrafopredeter"/>
    <w:link w:val="Ttulo7"/>
    <w:uiPriority w:val="99"/>
    <w:rsid w:val="00083CA4"/>
    <w:rPr>
      <w:rFonts w:ascii="Arial" w:eastAsia="Times New Roman" w:hAnsi="Arial" w:cs="Arial"/>
      <w:b/>
      <w:bCs/>
      <w:sz w:val="24"/>
      <w:szCs w:val="24"/>
      <w:u w:val="single"/>
      <w:shd w:val="clear" w:color="auto" w:fill="FFFFFF"/>
      <w:lang w:val="es-ES" w:eastAsia="es-ES"/>
    </w:rPr>
  </w:style>
  <w:style w:type="character" w:customStyle="1" w:styleId="Ttulo8Car">
    <w:name w:val="Título 8 Car"/>
    <w:basedOn w:val="Fuentedeprrafopredeter"/>
    <w:link w:val="Ttulo8"/>
    <w:rsid w:val="00083CA4"/>
    <w:rPr>
      <w:rFonts w:ascii="Book Antiqua" w:eastAsia="Times New Roman" w:hAnsi="Book Antiqua" w:cs="Book Antiqua"/>
      <w:sz w:val="24"/>
      <w:szCs w:val="24"/>
      <w:lang w:val="es-ES" w:eastAsia="es-ES"/>
    </w:rPr>
  </w:style>
  <w:style w:type="character" w:customStyle="1" w:styleId="Ttulo9Car">
    <w:name w:val="Título 9 Car"/>
    <w:basedOn w:val="Fuentedeprrafopredeter"/>
    <w:link w:val="Ttulo9"/>
    <w:rsid w:val="00083CA4"/>
    <w:rPr>
      <w:rFonts w:ascii="Arial" w:eastAsia="Times New Roman" w:hAnsi="Arial" w:cs="Arial"/>
      <w:b/>
      <w:bCs/>
      <w:sz w:val="18"/>
      <w:szCs w:val="18"/>
      <w:lang w:val="es-ES_tradnl" w:eastAsia="es-ES"/>
    </w:rPr>
  </w:style>
  <w:style w:type="numbering" w:customStyle="1" w:styleId="Sinlista1">
    <w:name w:val="Sin lista1"/>
    <w:next w:val="Sinlista"/>
    <w:uiPriority w:val="99"/>
    <w:semiHidden/>
    <w:unhideWhenUsed/>
    <w:rsid w:val="00083CA4"/>
  </w:style>
  <w:style w:type="character" w:customStyle="1" w:styleId="TextodegloboCar">
    <w:name w:val="Texto de globo Car"/>
    <w:basedOn w:val="Fuentedeprrafopredeter"/>
    <w:link w:val="Textodeglobo"/>
    <w:rsid w:val="00083CA4"/>
    <w:rPr>
      <w:rFonts w:ascii="Tahoma" w:eastAsia="Times New Roman" w:hAnsi="Tahoma" w:cs="Tahoma"/>
      <w:sz w:val="16"/>
      <w:szCs w:val="16"/>
      <w:lang w:val="es-ES" w:eastAsia="es-ES"/>
    </w:rPr>
  </w:style>
  <w:style w:type="paragraph" w:styleId="Textodeglobo">
    <w:name w:val="Balloon Text"/>
    <w:basedOn w:val="Normal"/>
    <w:link w:val="TextodegloboCar"/>
    <w:qFormat/>
    <w:rsid w:val="00083CA4"/>
    <w:pPr>
      <w:spacing w:after="0" w:line="240" w:lineRule="auto"/>
    </w:pPr>
    <w:rPr>
      <w:rFonts w:ascii="Tahoma" w:eastAsia="Times New Roman" w:hAnsi="Tahoma" w:cs="Tahoma"/>
      <w:sz w:val="16"/>
      <w:szCs w:val="16"/>
      <w:lang w:val="es-ES" w:eastAsia="es-ES"/>
    </w:rPr>
  </w:style>
  <w:style w:type="character" w:customStyle="1" w:styleId="TextodegloboCar1">
    <w:name w:val="Texto de globo Car1"/>
    <w:basedOn w:val="Fuentedeprrafopredeter"/>
    <w:uiPriority w:val="99"/>
    <w:semiHidden/>
    <w:rsid w:val="00083CA4"/>
    <w:rPr>
      <w:rFonts w:ascii="Segoe UI" w:hAnsi="Segoe UI" w:cs="Segoe UI"/>
      <w:sz w:val="18"/>
      <w:szCs w:val="18"/>
    </w:rPr>
  </w:style>
  <w:style w:type="paragraph" w:styleId="Textoindependiente2">
    <w:name w:val="Body Text 2"/>
    <w:basedOn w:val="Normal"/>
    <w:link w:val="Textoindependiente2Car"/>
    <w:qFormat/>
    <w:rsid w:val="00083CA4"/>
    <w:pPr>
      <w:spacing w:after="0" w:line="240" w:lineRule="auto"/>
      <w:jc w:val="both"/>
    </w:pPr>
    <w:rPr>
      <w:rFonts w:ascii="Bookman Old Style" w:eastAsia="Times New Roman" w:hAnsi="Bookman Old Style" w:cs="Bookman Old Style"/>
      <w:sz w:val="24"/>
      <w:szCs w:val="24"/>
      <w:lang w:val="es-ES_tradnl" w:eastAsia="es-ES"/>
    </w:rPr>
  </w:style>
  <w:style w:type="character" w:customStyle="1" w:styleId="Textoindependiente2Car">
    <w:name w:val="Texto independiente 2 Car"/>
    <w:basedOn w:val="Fuentedeprrafopredeter"/>
    <w:link w:val="Textoindependiente2"/>
    <w:rsid w:val="00083CA4"/>
    <w:rPr>
      <w:rFonts w:ascii="Bookman Old Style" w:eastAsia="Times New Roman" w:hAnsi="Bookman Old Style" w:cs="Bookman Old Style"/>
      <w:sz w:val="24"/>
      <w:szCs w:val="24"/>
      <w:lang w:val="es-ES_tradnl" w:eastAsia="es-ES"/>
    </w:rPr>
  </w:style>
  <w:style w:type="character" w:styleId="Hipervnculo">
    <w:name w:val="Hyperlink"/>
    <w:rsid w:val="00083CA4"/>
    <w:rPr>
      <w:rFonts w:cs="Times New Roman"/>
      <w:color w:val="0000FF"/>
      <w:u w:val="single"/>
    </w:rPr>
  </w:style>
  <w:style w:type="paragraph" w:styleId="Encabezado">
    <w:name w:val="header"/>
    <w:aliases w:val="encabezado,h"/>
    <w:basedOn w:val="Normal"/>
    <w:link w:val="EncabezadoCar"/>
    <w:qFormat/>
    <w:rsid w:val="00083CA4"/>
    <w:pPr>
      <w:tabs>
        <w:tab w:val="center" w:pos="4252"/>
        <w:tab w:val="right" w:pos="8504"/>
      </w:tabs>
      <w:spacing w:after="0" w:line="240" w:lineRule="auto"/>
    </w:pPr>
    <w:rPr>
      <w:rFonts w:ascii="Times New Roman" w:eastAsia="Times New Roman" w:hAnsi="Times New Roman" w:cs="Times New Roman"/>
      <w:sz w:val="20"/>
      <w:szCs w:val="20"/>
      <w:lang w:eastAsia="es-ES"/>
    </w:rPr>
  </w:style>
  <w:style w:type="character" w:customStyle="1" w:styleId="EncabezadoCar">
    <w:name w:val="Encabezado Car"/>
    <w:aliases w:val="encabezado Car,h Car"/>
    <w:basedOn w:val="Fuentedeprrafopredeter"/>
    <w:link w:val="Encabezado"/>
    <w:rsid w:val="00083CA4"/>
    <w:rPr>
      <w:rFonts w:ascii="Times New Roman" w:eastAsia="Times New Roman" w:hAnsi="Times New Roman" w:cs="Times New Roman"/>
      <w:sz w:val="20"/>
      <w:szCs w:val="20"/>
      <w:lang w:eastAsia="es-ES"/>
    </w:rPr>
  </w:style>
  <w:style w:type="paragraph" w:styleId="Piedepgina">
    <w:name w:val="footer"/>
    <w:basedOn w:val="Normal"/>
    <w:link w:val="PiedepginaCar"/>
    <w:qFormat/>
    <w:rsid w:val="00083CA4"/>
    <w:pPr>
      <w:tabs>
        <w:tab w:val="center" w:pos="4252"/>
        <w:tab w:val="right" w:pos="8504"/>
      </w:tabs>
      <w:spacing w:after="0" w:line="240" w:lineRule="auto"/>
    </w:pPr>
    <w:rPr>
      <w:rFonts w:ascii="Times New Roman" w:eastAsia="Times New Roman" w:hAnsi="Times New Roman" w:cs="Times New Roman"/>
      <w:sz w:val="20"/>
      <w:szCs w:val="20"/>
      <w:lang w:eastAsia="es-ES"/>
    </w:rPr>
  </w:style>
  <w:style w:type="character" w:customStyle="1" w:styleId="PiedepginaCar">
    <w:name w:val="Pie de página Car"/>
    <w:basedOn w:val="Fuentedeprrafopredeter"/>
    <w:link w:val="Piedepgina"/>
    <w:rsid w:val="00083CA4"/>
    <w:rPr>
      <w:rFonts w:ascii="Times New Roman" w:eastAsia="Times New Roman" w:hAnsi="Times New Roman" w:cs="Times New Roman"/>
      <w:sz w:val="20"/>
      <w:szCs w:val="20"/>
      <w:lang w:eastAsia="es-ES"/>
    </w:rPr>
  </w:style>
  <w:style w:type="character" w:styleId="Nmerodepgina">
    <w:name w:val="page number"/>
    <w:rsid w:val="00083CA4"/>
    <w:rPr>
      <w:rFonts w:cs="Times New Roman"/>
    </w:rPr>
  </w:style>
  <w:style w:type="paragraph" w:styleId="NormalWeb">
    <w:name w:val="Normal (Web)"/>
    <w:basedOn w:val="Normal"/>
    <w:link w:val="NormalWebCar"/>
    <w:qFormat/>
    <w:rsid w:val="00083CA4"/>
    <w:pPr>
      <w:widowControl w:val="0"/>
      <w:autoSpaceDE w:val="0"/>
      <w:autoSpaceDN w:val="0"/>
      <w:adjustRightInd w:val="0"/>
      <w:spacing w:after="0" w:line="240" w:lineRule="auto"/>
    </w:pPr>
    <w:rPr>
      <w:rFonts w:ascii="Arial Unicode MS" w:eastAsia="Arial Unicode MS" w:hAnsi="Arial" w:cs="Arial Unicode MS"/>
      <w:color w:val="000000"/>
      <w:sz w:val="24"/>
      <w:szCs w:val="24"/>
      <w:u w:color="000000"/>
      <w:lang w:val="es-ES" w:eastAsia="es-ES"/>
    </w:rPr>
  </w:style>
  <w:style w:type="character" w:customStyle="1" w:styleId="NormalWebCar">
    <w:name w:val="Normal (Web) Car"/>
    <w:basedOn w:val="Fuentedeprrafopredeter"/>
    <w:link w:val="NormalWeb"/>
    <w:qFormat/>
    <w:locked/>
    <w:rsid w:val="00083CA4"/>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083CA4"/>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083CA4"/>
    <w:pPr>
      <w:spacing w:after="120" w:line="240" w:lineRule="auto"/>
    </w:pPr>
    <w:rPr>
      <w:rFonts w:ascii="Times New Roman" w:eastAsia="Times New Roman" w:hAnsi="Times New Roman" w:cs="Times New Roman"/>
      <w:sz w:val="20"/>
      <w:szCs w:val="20"/>
      <w:lang w:eastAsia="es-ES"/>
    </w:rPr>
  </w:style>
  <w:style w:type="character" w:customStyle="1" w:styleId="TextoindependienteCar">
    <w:name w:val="Texto independiente Car"/>
    <w:basedOn w:val="Fuentedeprrafopredeter"/>
    <w:link w:val="Textoindependiente"/>
    <w:rsid w:val="00083CA4"/>
    <w:rPr>
      <w:rFonts w:ascii="Times New Roman" w:eastAsia="Times New Roman" w:hAnsi="Times New Roman" w:cs="Times New Roman"/>
      <w:sz w:val="20"/>
      <w:szCs w:val="20"/>
      <w:lang w:eastAsia="es-ES"/>
    </w:rPr>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Texto,nota,pie,Ref.,al,Ca,Footnote Te"/>
    <w:basedOn w:val="Normal"/>
    <w:link w:val="TextonotapieCar"/>
    <w:qFormat/>
    <w:rsid w:val="00083CA4"/>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aliases w:val="Footnote reference Car,FA Fu Car,Footnote Text Char Char Char Char Char Car,Footnote Text Char Char Char Char Car,Footnote Text Char Char Char Car,Footnote Text Cha Car,FA Fußnotentext Car,FA Fuﬂnotentext Car,Texto Car,nota Car,al Car"/>
    <w:basedOn w:val="Fuentedeprrafopredeter"/>
    <w:link w:val="Textonotapie"/>
    <w:qFormat/>
    <w:rsid w:val="00083CA4"/>
    <w:rPr>
      <w:rFonts w:ascii="Times New Roman" w:eastAsia="Times New Roman" w:hAnsi="Times New Roman" w:cs="Times New Roman"/>
      <w:sz w:val="20"/>
      <w:szCs w:val="20"/>
      <w:lang w:val="es-ES" w:eastAsia="es-ES"/>
    </w:rPr>
  </w:style>
  <w:style w:type="character" w:styleId="Refdenotaalpie">
    <w:name w:val="footnote reference"/>
    <w:aliases w:val="ƒ89,^ƒ89,Footnotes refss,Texto de nota al pie,Appel note de bas de page,Referencia nota al pie,Footnote number,referencia nota al pie,BVI fnr,f,Ref,de nota al pie,FC,ftref,16 Point,Superscript 6 Point,Superscript 6 Point + 11 pt"/>
    <w:qFormat/>
    <w:rsid w:val="00083CA4"/>
    <w:rPr>
      <w:rFonts w:cs="Times New Roman"/>
      <w:vertAlign w:val="superscript"/>
    </w:rPr>
  </w:style>
  <w:style w:type="character" w:styleId="Textoennegrita">
    <w:name w:val="Strong"/>
    <w:qFormat/>
    <w:rsid w:val="00083CA4"/>
    <w:rPr>
      <w:rFonts w:cs="Times New Roman"/>
      <w:b/>
      <w:bCs/>
    </w:rPr>
  </w:style>
  <w:style w:type="paragraph" w:customStyle="1" w:styleId="Estilo">
    <w:name w:val="Estilo"/>
    <w:next w:val="Normal"/>
    <w:rsid w:val="00083CA4"/>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Estilo1">
    <w:name w:val="Estilo1"/>
    <w:next w:val="Normal"/>
    <w:rsid w:val="00083CA4"/>
    <w:pPr>
      <w:widowControl w:val="0"/>
      <w:autoSpaceDE w:val="0"/>
      <w:autoSpaceDN w:val="0"/>
      <w:adjustRightInd w:val="0"/>
      <w:spacing w:after="0" w:line="240" w:lineRule="auto"/>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083CA4"/>
    <w:pPr>
      <w:widowControl w:val="0"/>
      <w:autoSpaceDE w:val="0"/>
      <w:autoSpaceDN w:val="0"/>
      <w:adjustRightInd w:val="0"/>
      <w:spacing w:after="0" w:line="240" w:lineRule="auto"/>
      <w:jc w:val="both"/>
    </w:pPr>
    <w:rPr>
      <w:rFonts w:ascii="Book Antiqua" w:eastAsia="Times New Roman" w:hAnsi="Book Antiqua" w:cs="Book Antiqua"/>
      <w:sz w:val="24"/>
      <w:szCs w:val="24"/>
      <w:lang w:val="es-ES" w:eastAsia="es-ES"/>
    </w:rPr>
  </w:style>
  <w:style w:type="character" w:customStyle="1" w:styleId="Textoindependiente3Car">
    <w:name w:val="Texto independiente 3 Car"/>
    <w:basedOn w:val="Fuentedeprrafopredeter"/>
    <w:link w:val="Textoindependiente3"/>
    <w:rsid w:val="00083CA4"/>
    <w:rPr>
      <w:rFonts w:ascii="Book Antiqua" w:eastAsia="Times New Roman" w:hAnsi="Book Antiqua" w:cs="Book Antiqua"/>
      <w:sz w:val="24"/>
      <w:szCs w:val="24"/>
      <w:lang w:val="es-ES" w:eastAsia="es-ES"/>
    </w:rPr>
  </w:style>
  <w:style w:type="character" w:styleId="Hipervnculovisitado">
    <w:name w:val="FollowedHyperlink"/>
    <w:rsid w:val="00083CA4"/>
    <w:rPr>
      <w:rFonts w:cs="Times New Roman"/>
      <w:color w:val="800080"/>
      <w:u w:val="single"/>
    </w:rPr>
  </w:style>
  <w:style w:type="paragraph" w:customStyle="1" w:styleId="Ttulo30">
    <w:name w:val="TÍtulo 3"/>
    <w:next w:val="Normal"/>
    <w:rsid w:val="00083CA4"/>
    <w:pPr>
      <w:keepNext/>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083CA4"/>
    <w:pPr>
      <w:widowControl w:val="0"/>
      <w:autoSpaceDE w:val="0"/>
      <w:autoSpaceDN w:val="0"/>
      <w:adjustRightInd w:val="0"/>
      <w:spacing w:after="0" w:line="240" w:lineRule="auto"/>
      <w:ind w:left="497"/>
      <w:jc w:val="both"/>
    </w:pPr>
    <w:rPr>
      <w:rFonts w:ascii="Arial" w:eastAsia="Times New Roman" w:hAnsi="Arial" w:cs="Arial"/>
      <w:color w:val="000000"/>
      <w:spacing w:val="-10"/>
      <w:sz w:val="28"/>
      <w:szCs w:val="28"/>
      <w:u w:color="000000"/>
      <w:lang w:val="es-ES" w:eastAsia="es-ES"/>
    </w:rPr>
  </w:style>
  <w:style w:type="character" w:customStyle="1" w:styleId="Sangra2detindependienteCar">
    <w:name w:val="Sangría 2 de t. independiente Car"/>
    <w:basedOn w:val="Fuentedeprrafopredeter"/>
    <w:link w:val="Sangra2detindependiente"/>
    <w:rsid w:val="00083CA4"/>
    <w:rPr>
      <w:rFonts w:ascii="Arial" w:eastAsia="Times New Roman" w:hAnsi="Arial" w:cs="Arial"/>
      <w:color w:val="000000"/>
      <w:spacing w:val="-10"/>
      <w:sz w:val="28"/>
      <w:szCs w:val="28"/>
      <w:u w:color="000000"/>
      <w:lang w:val="es-ES" w:eastAsia="es-ES"/>
    </w:rPr>
  </w:style>
  <w:style w:type="character" w:customStyle="1" w:styleId="MapadeldocumentoCar">
    <w:name w:val="Mapa del documento Car"/>
    <w:basedOn w:val="Fuentedeprrafopredeter"/>
    <w:link w:val="Mapadeldocumento"/>
    <w:rsid w:val="00083CA4"/>
    <w:rPr>
      <w:rFonts w:ascii="Tahoma" w:eastAsia="Times New Roman" w:hAnsi="Tahoma" w:cs="Tahoma"/>
      <w:color w:val="000000"/>
      <w:sz w:val="20"/>
      <w:szCs w:val="20"/>
      <w:u w:color="000000"/>
      <w:shd w:val="clear" w:color="auto" w:fill="000080"/>
      <w:lang w:val="es-ES" w:eastAsia="es-ES"/>
    </w:rPr>
  </w:style>
  <w:style w:type="paragraph" w:styleId="Mapadeldocumento">
    <w:name w:val="Document Map"/>
    <w:basedOn w:val="Normal"/>
    <w:link w:val="MapadeldocumentoCar"/>
    <w:rsid w:val="00083CA4"/>
    <w:pPr>
      <w:widowControl w:val="0"/>
      <w:shd w:val="clear" w:color="auto" w:fill="000080"/>
      <w:autoSpaceDE w:val="0"/>
      <w:autoSpaceDN w:val="0"/>
      <w:adjustRightInd w:val="0"/>
      <w:spacing w:after="0" w:line="240" w:lineRule="auto"/>
    </w:pPr>
    <w:rPr>
      <w:rFonts w:ascii="Tahoma" w:eastAsia="Times New Roman" w:hAnsi="Tahoma" w:cs="Tahoma"/>
      <w:color w:val="000000"/>
      <w:sz w:val="20"/>
      <w:szCs w:val="20"/>
      <w:u w:color="000000"/>
      <w:lang w:val="es-ES" w:eastAsia="es-ES"/>
    </w:rPr>
  </w:style>
  <w:style w:type="character" w:customStyle="1" w:styleId="MapadeldocumentoCar1">
    <w:name w:val="Mapa del documento Car1"/>
    <w:basedOn w:val="Fuentedeprrafopredeter"/>
    <w:uiPriority w:val="99"/>
    <w:semiHidden/>
    <w:rsid w:val="00083CA4"/>
    <w:rPr>
      <w:rFonts w:ascii="Segoe UI" w:hAnsi="Segoe UI" w:cs="Segoe UI"/>
      <w:sz w:val="16"/>
      <w:szCs w:val="16"/>
    </w:rPr>
  </w:style>
  <w:style w:type="paragraph" w:customStyle="1" w:styleId="H5">
    <w:name w:val="H5"/>
    <w:next w:val="Normal"/>
    <w:rsid w:val="00083CA4"/>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paragraph" w:customStyle="1" w:styleId="estilo2">
    <w:name w:val="estilo2"/>
    <w:basedOn w:val="Normal"/>
    <w:rsid w:val="00083CA4"/>
    <w:pPr>
      <w:spacing w:before="100" w:beforeAutospacing="1" w:after="100" w:afterAutospacing="1" w:line="240" w:lineRule="auto"/>
    </w:pPr>
    <w:rPr>
      <w:rFonts w:ascii="Verdana" w:eastAsia="Times New Roman" w:hAnsi="Verdana" w:cs="Verdana"/>
      <w:sz w:val="24"/>
      <w:szCs w:val="24"/>
      <w:lang w:val="es-ES" w:eastAsia="es-ES"/>
    </w:rPr>
  </w:style>
  <w:style w:type="character" w:customStyle="1" w:styleId="estilo51">
    <w:name w:val="estilo51"/>
    <w:rsid w:val="00083CA4"/>
    <w:rPr>
      <w:rFonts w:cs="Times New Roman"/>
      <w:b/>
      <w:bCs/>
    </w:rPr>
  </w:style>
  <w:style w:type="character" w:customStyle="1" w:styleId="estilo41">
    <w:name w:val="estilo41"/>
    <w:rsid w:val="00083CA4"/>
    <w:rPr>
      <w:rFonts w:cs="Times New Roman"/>
    </w:rPr>
  </w:style>
  <w:style w:type="paragraph" w:styleId="Prrafodelista">
    <w:name w:val="List Paragraph"/>
    <w:aliases w:val="Bullet 1,Use Case List Paragraph,Lista vistosa - Énfasis 11,Párrafo de lista Car Car Car,Footnote,List Paragraph2,Informe,3,FooterText,numbered,Paragraphe de liste1,Bulletr List Paragraph,列出段落,列出段落1,lp1,lp11,List Paragraph 1,Bullets"/>
    <w:basedOn w:val="Normal"/>
    <w:link w:val="PrrafodelistaCar"/>
    <w:qFormat/>
    <w:rsid w:val="00083CA4"/>
    <w:pPr>
      <w:spacing w:after="0" w:line="240" w:lineRule="auto"/>
      <w:ind w:left="708"/>
    </w:pPr>
    <w:rPr>
      <w:rFonts w:ascii="Arial" w:eastAsia="Times New Roman" w:hAnsi="Arial" w:cs="Arial"/>
      <w:sz w:val="24"/>
      <w:szCs w:val="24"/>
      <w:lang w:val="es-ES" w:eastAsia="es-ES"/>
    </w:rPr>
  </w:style>
  <w:style w:type="character" w:customStyle="1" w:styleId="PrrafodelistaCar">
    <w:name w:val="Párrafo de lista Car"/>
    <w:aliases w:val="Bullet 1 Car,Use Case List Paragraph Car,Lista vistosa - Énfasis 11 Car,Párrafo de lista Car Car Car Car,Footnote Car,List Paragraph2 Car,Informe Car,3 Car,FooterText Car,numbered Car,Paragraphe de liste1 Car,列出段落 Car,列出段落1 Car"/>
    <w:link w:val="Prrafodelista"/>
    <w:uiPriority w:val="34"/>
    <w:qFormat/>
    <w:locked/>
    <w:rsid w:val="00083CA4"/>
    <w:rPr>
      <w:rFonts w:ascii="Arial" w:eastAsia="Times New Roman" w:hAnsi="Arial" w:cs="Arial"/>
      <w:sz w:val="24"/>
      <w:szCs w:val="24"/>
      <w:lang w:val="es-ES" w:eastAsia="es-ES"/>
    </w:rPr>
  </w:style>
  <w:style w:type="character" w:styleId="nfasis">
    <w:name w:val="Emphasis"/>
    <w:qFormat/>
    <w:rsid w:val="00083CA4"/>
    <w:rPr>
      <w:rFonts w:cs="Times New Roman"/>
      <w:i/>
      <w:iCs/>
    </w:rPr>
  </w:style>
  <w:style w:type="paragraph" w:customStyle="1" w:styleId="Prrafodelista1">
    <w:name w:val="Párrafo de lista1"/>
    <w:basedOn w:val="Normal"/>
    <w:qFormat/>
    <w:rsid w:val="00083CA4"/>
    <w:pPr>
      <w:spacing w:after="200" w:line="276" w:lineRule="auto"/>
      <w:ind w:left="720"/>
    </w:pPr>
    <w:rPr>
      <w:rFonts w:ascii="Calibri" w:eastAsia="Times New Roman" w:hAnsi="Calibri" w:cs="Calibri"/>
    </w:rPr>
  </w:style>
  <w:style w:type="paragraph" w:styleId="Sangradetextonormal">
    <w:name w:val="Body Text Indent"/>
    <w:basedOn w:val="Normal"/>
    <w:link w:val="SangradetextonormalCar"/>
    <w:uiPriority w:val="99"/>
    <w:rsid w:val="00083CA4"/>
    <w:pPr>
      <w:widowControl w:val="0"/>
      <w:autoSpaceDE w:val="0"/>
      <w:autoSpaceDN w:val="0"/>
      <w:adjustRightInd w:val="0"/>
      <w:spacing w:after="120" w:line="240" w:lineRule="auto"/>
      <w:ind w:left="283"/>
    </w:pPr>
    <w:rPr>
      <w:rFonts w:ascii="Arial" w:eastAsia="Times New Roman" w:hAnsi="Arial" w:cs="Arial"/>
      <w:sz w:val="24"/>
      <w:szCs w:val="24"/>
      <w:lang w:val="es-ES" w:eastAsia="es-ES"/>
    </w:rPr>
  </w:style>
  <w:style w:type="character" w:customStyle="1" w:styleId="SangradetextonormalCar">
    <w:name w:val="Sangría de texto normal Car"/>
    <w:basedOn w:val="Fuentedeprrafopredeter"/>
    <w:link w:val="Sangradetextonormal"/>
    <w:uiPriority w:val="99"/>
    <w:rsid w:val="00083CA4"/>
    <w:rPr>
      <w:rFonts w:ascii="Arial" w:eastAsia="Times New Roman" w:hAnsi="Arial" w:cs="Arial"/>
      <w:sz w:val="24"/>
      <w:szCs w:val="24"/>
      <w:lang w:val="es-ES" w:eastAsia="es-ES"/>
    </w:rPr>
  </w:style>
  <w:style w:type="paragraph" w:customStyle="1" w:styleId="BodyText22">
    <w:name w:val="Body Text 22"/>
    <w:qFormat/>
    <w:rsid w:val="00083CA4"/>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val="es-ES" w:eastAsia="es-ES"/>
    </w:rPr>
  </w:style>
  <w:style w:type="paragraph" w:styleId="Textodebloque">
    <w:name w:val="Block Text"/>
    <w:basedOn w:val="Normal"/>
    <w:rsid w:val="00083CA4"/>
    <w:pPr>
      <w:widowControl w:val="0"/>
      <w:autoSpaceDE w:val="0"/>
      <w:autoSpaceDN w:val="0"/>
      <w:adjustRightInd w:val="0"/>
      <w:spacing w:after="0" w:line="240" w:lineRule="auto"/>
      <w:jc w:val="both"/>
    </w:pPr>
    <w:rPr>
      <w:rFonts w:ascii="Arial" w:eastAsia="Times New Roman" w:hAnsi="Arial" w:cs="Arial"/>
      <w:b/>
      <w:bCs/>
      <w:sz w:val="24"/>
      <w:szCs w:val="24"/>
      <w:u w:color="000000"/>
      <w:shd w:val="clear" w:color="auto" w:fill="FFFFFF"/>
      <w:lang w:val="es-ES_tradnl" w:eastAsia="es-ES"/>
    </w:rPr>
  </w:style>
  <w:style w:type="paragraph" w:styleId="Ttulo">
    <w:name w:val="Title"/>
    <w:basedOn w:val="Normal"/>
    <w:link w:val="TtuloCar"/>
    <w:qFormat/>
    <w:rsid w:val="00083CA4"/>
    <w:pPr>
      <w:spacing w:after="0" w:line="240" w:lineRule="auto"/>
      <w:jc w:val="center"/>
    </w:pPr>
    <w:rPr>
      <w:rFonts w:ascii="Arial" w:eastAsia="Times New Roman" w:hAnsi="Arial" w:cs="Times New Roman"/>
      <w:b/>
      <w:bCs/>
      <w:sz w:val="36"/>
      <w:szCs w:val="36"/>
      <w:lang w:eastAsia="es-ES"/>
    </w:rPr>
  </w:style>
  <w:style w:type="character" w:customStyle="1" w:styleId="TtuloCar">
    <w:name w:val="Título Car"/>
    <w:basedOn w:val="Fuentedeprrafopredeter"/>
    <w:link w:val="Ttulo"/>
    <w:rsid w:val="00083CA4"/>
    <w:rPr>
      <w:rFonts w:ascii="Arial" w:eastAsia="Times New Roman" w:hAnsi="Arial" w:cs="Times New Roman"/>
      <w:b/>
      <w:bCs/>
      <w:sz w:val="36"/>
      <w:szCs w:val="36"/>
      <w:lang w:eastAsia="es-ES"/>
    </w:rPr>
  </w:style>
  <w:style w:type="paragraph" w:customStyle="1" w:styleId="Prrafodelista2">
    <w:name w:val="Párrafo de lista2"/>
    <w:basedOn w:val="Normal"/>
    <w:qFormat/>
    <w:rsid w:val="00083CA4"/>
    <w:pPr>
      <w:spacing w:after="200" w:line="276" w:lineRule="auto"/>
      <w:ind w:left="720"/>
      <w:contextualSpacing/>
    </w:pPr>
    <w:rPr>
      <w:rFonts w:ascii="Calibri" w:eastAsia="Times New Roman" w:hAnsi="Calibri" w:cs="Times New Roman"/>
      <w:lang w:val="es-ES"/>
    </w:rPr>
  </w:style>
  <w:style w:type="paragraph" w:customStyle="1" w:styleId="ListParagraph1">
    <w:name w:val="List Paragraph1"/>
    <w:basedOn w:val="Normal"/>
    <w:qFormat/>
    <w:rsid w:val="00083CA4"/>
    <w:pPr>
      <w:spacing w:after="0" w:line="240" w:lineRule="auto"/>
      <w:ind w:left="720"/>
    </w:pPr>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rsid w:val="00083CA4"/>
    <w:pPr>
      <w:spacing w:after="0" w:line="240" w:lineRule="auto"/>
      <w:ind w:left="709" w:hanging="709"/>
      <w:jc w:val="both"/>
    </w:pPr>
    <w:rPr>
      <w:rFonts w:ascii="Bookman Old Style" w:eastAsia="Times New Roman" w:hAnsi="Bookman Old Style" w:cs="Bookman Old Style"/>
      <w:sz w:val="24"/>
      <w:szCs w:val="24"/>
      <w:lang w:val="es-ES_tradnl" w:eastAsia="es-ES"/>
    </w:rPr>
  </w:style>
  <w:style w:type="character" w:customStyle="1" w:styleId="Sangra3detindependienteCar">
    <w:name w:val="Sangría 3 de t. independiente Car"/>
    <w:basedOn w:val="Fuentedeprrafopredeter"/>
    <w:link w:val="Sangra3detindependiente"/>
    <w:rsid w:val="00083CA4"/>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083CA4"/>
    <w:pPr>
      <w:spacing w:after="0" w:line="240" w:lineRule="auto"/>
      <w:jc w:val="center"/>
    </w:pPr>
    <w:rPr>
      <w:rFonts w:ascii="Times New Roman" w:eastAsia="Times New Roman" w:hAnsi="Times New Roman" w:cs="Times New Roman"/>
      <w:b/>
      <w:bCs/>
      <w:sz w:val="32"/>
      <w:szCs w:val="32"/>
      <w:lang w:val="es-ES" w:eastAsia="es-ES"/>
    </w:rPr>
  </w:style>
  <w:style w:type="character" w:customStyle="1" w:styleId="SubttuloCar">
    <w:name w:val="Subtítulo Car"/>
    <w:basedOn w:val="Fuentedeprrafopredeter"/>
    <w:link w:val="Subttulo"/>
    <w:rsid w:val="00083CA4"/>
    <w:rPr>
      <w:rFonts w:ascii="Times New Roman" w:eastAsia="Times New Roman" w:hAnsi="Times New Roman" w:cs="Times New Roman"/>
      <w:b/>
      <w:bCs/>
      <w:sz w:val="32"/>
      <w:szCs w:val="32"/>
      <w:lang w:val="es-ES" w:eastAsia="es-ES"/>
    </w:rPr>
  </w:style>
  <w:style w:type="paragraph" w:styleId="Lista">
    <w:name w:val="List"/>
    <w:basedOn w:val="Normal"/>
    <w:rsid w:val="00083CA4"/>
    <w:pPr>
      <w:spacing w:after="0" w:line="240" w:lineRule="auto"/>
      <w:ind w:left="283" w:hanging="283"/>
    </w:pPr>
    <w:rPr>
      <w:rFonts w:ascii="Times New Roman" w:eastAsia="Times New Roman" w:hAnsi="Times New Roman" w:cs="Times New Roman"/>
      <w:sz w:val="28"/>
      <w:szCs w:val="28"/>
      <w:lang w:val="es-ES" w:eastAsia="es-ES"/>
    </w:rPr>
  </w:style>
  <w:style w:type="paragraph" w:customStyle="1" w:styleId="Ttulo60">
    <w:name w:val="TÍtulo 6"/>
    <w:basedOn w:val="Normal"/>
    <w:next w:val="Normal"/>
    <w:rsid w:val="00083CA4"/>
    <w:pPr>
      <w:keepNext/>
      <w:widowControl w:val="0"/>
      <w:tabs>
        <w:tab w:val="left" w:pos="-720"/>
      </w:tabs>
      <w:suppressAutoHyphens/>
      <w:overflowPunct w:val="0"/>
      <w:autoSpaceDE w:val="0"/>
      <w:autoSpaceDN w:val="0"/>
      <w:adjustRightInd w:val="0"/>
      <w:spacing w:after="0" w:line="240" w:lineRule="auto"/>
      <w:jc w:val="both"/>
      <w:textAlignment w:val="baseline"/>
    </w:pPr>
    <w:rPr>
      <w:rFonts w:ascii="Bookman Old Style" w:eastAsia="Times New Roman" w:hAnsi="Bookman Old Style" w:cs="Bookman Old Style"/>
      <w:spacing w:val="-3"/>
      <w:sz w:val="24"/>
      <w:szCs w:val="24"/>
      <w:lang w:val="es-ES" w:eastAsia="es-ES"/>
    </w:rPr>
  </w:style>
  <w:style w:type="paragraph" w:customStyle="1" w:styleId="Ttulo90">
    <w:name w:val="TÕtulo 9"/>
    <w:basedOn w:val="Normal"/>
    <w:next w:val="Normal"/>
    <w:rsid w:val="00083CA4"/>
    <w:pPr>
      <w:keepNext/>
      <w:tabs>
        <w:tab w:val="left" w:pos="142"/>
      </w:tabs>
      <w:overflowPunct w:val="0"/>
      <w:autoSpaceDE w:val="0"/>
      <w:autoSpaceDN w:val="0"/>
      <w:adjustRightInd w:val="0"/>
      <w:spacing w:after="0" w:line="240" w:lineRule="auto"/>
      <w:jc w:val="both"/>
      <w:textAlignment w:val="baseline"/>
    </w:pPr>
    <w:rPr>
      <w:rFonts w:ascii="Book Antiqua" w:eastAsia="Times New Roman" w:hAnsi="Book Antiqua" w:cs="Book Antiqua"/>
      <w:b/>
      <w:bCs/>
      <w:lang w:val="es-ES" w:eastAsia="es-ES"/>
    </w:rPr>
  </w:style>
  <w:style w:type="paragraph" w:customStyle="1" w:styleId="xl24">
    <w:name w:val="xl24"/>
    <w:basedOn w:val="Normal"/>
    <w:rsid w:val="00083CA4"/>
    <w:pP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Cpi">
    <w:name w:val="Cpi"/>
    <w:basedOn w:val="Normal"/>
    <w:rsid w:val="00083CA4"/>
    <w:pPr>
      <w:widowControl w:val="0"/>
      <w:autoSpaceDE w:val="0"/>
      <w:autoSpaceDN w:val="0"/>
      <w:adjustRightInd w:val="0"/>
      <w:spacing w:after="0" w:line="360" w:lineRule="auto"/>
    </w:pPr>
    <w:rPr>
      <w:rFonts w:ascii="Times New Roman" w:eastAsia="Times New Roman" w:hAnsi="Times New Roman" w:cs="Times New Roman"/>
      <w:sz w:val="28"/>
      <w:szCs w:val="28"/>
      <w:shd w:val="clear" w:color="auto" w:fill="FFFFFF"/>
      <w:lang w:val="es-MX" w:eastAsia="es-ES"/>
    </w:rPr>
  </w:style>
  <w:style w:type="paragraph" w:styleId="Descripcin">
    <w:name w:val="caption"/>
    <w:aliases w:val="Epígrafe,Epígrafe2,Descripción1"/>
    <w:basedOn w:val="Normal"/>
    <w:next w:val="Normal"/>
    <w:uiPriority w:val="35"/>
    <w:qFormat/>
    <w:rsid w:val="00083CA4"/>
    <w:pPr>
      <w:widowControl w:val="0"/>
      <w:autoSpaceDE w:val="0"/>
      <w:autoSpaceDN w:val="0"/>
      <w:adjustRightInd w:val="0"/>
      <w:spacing w:after="0" w:line="240" w:lineRule="auto"/>
    </w:pPr>
    <w:rPr>
      <w:rFonts w:ascii="Arial" w:eastAsia="Times New Roman" w:hAnsi="Arial" w:cs="Arial"/>
      <w:b/>
      <w:bCs/>
      <w:sz w:val="20"/>
      <w:szCs w:val="20"/>
      <w:lang w:val="es-ES" w:eastAsia="es-ES"/>
    </w:rPr>
  </w:style>
  <w:style w:type="paragraph" w:customStyle="1" w:styleId="Prrafodelista21">
    <w:name w:val="Párrafo de lista21"/>
    <w:basedOn w:val="Normal"/>
    <w:uiPriority w:val="34"/>
    <w:qFormat/>
    <w:rsid w:val="00083CA4"/>
    <w:pPr>
      <w:spacing w:after="200" w:line="276" w:lineRule="auto"/>
      <w:ind w:left="720"/>
      <w:contextualSpacing/>
    </w:pPr>
    <w:rPr>
      <w:rFonts w:ascii="Calibri" w:eastAsia="Times New Roman" w:hAnsi="Calibri" w:cs="Times New Roman"/>
      <w:lang w:val="es-ES"/>
    </w:rPr>
  </w:style>
  <w:style w:type="paragraph" w:customStyle="1" w:styleId="Epgrafe1">
    <w:name w:val="Epígrafe1"/>
    <w:basedOn w:val="Normal"/>
    <w:next w:val="Normal"/>
    <w:uiPriority w:val="35"/>
    <w:qFormat/>
    <w:rsid w:val="00083CA4"/>
    <w:pPr>
      <w:widowControl w:val="0"/>
      <w:autoSpaceDE w:val="0"/>
      <w:autoSpaceDN w:val="0"/>
      <w:adjustRightInd w:val="0"/>
      <w:spacing w:after="0" w:line="240" w:lineRule="auto"/>
    </w:pPr>
    <w:rPr>
      <w:rFonts w:ascii="Arial" w:eastAsia="Times New Roman" w:hAnsi="Arial" w:cs="Arial"/>
      <w:b/>
      <w:bCs/>
      <w:sz w:val="20"/>
      <w:szCs w:val="20"/>
      <w:lang w:val="es-ES" w:eastAsia="es-ES"/>
    </w:rPr>
  </w:style>
  <w:style w:type="paragraph" w:customStyle="1" w:styleId="ecxttulo3">
    <w:name w:val="ecxttulo3"/>
    <w:rsid w:val="00083CA4"/>
    <w:pPr>
      <w:widowControl w:val="0"/>
      <w:autoSpaceDE w:val="0"/>
      <w:autoSpaceDN w:val="0"/>
      <w:adjustRightInd w:val="0"/>
      <w:spacing w:after="0" w:line="240" w:lineRule="auto"/>
    </w:pPr>
    <w:rPr>
      <w:rFonts w:ascii="Arial" w:eastAsia="Times New Roman" w:hAnsi="Arial" w:cs="Times New Roman"/>
      <w:sz w:val="24"/>
      <w:szCs w:val="24"/>
      <w:lang w:val="es-ES" w:eastAsia="es-ES"/>
    </w:rPr>
  </w:style>
  <w:style w:type="paragraph" w:customStyle="1" w:styleId="Default">
    <w:name w:val="Default"/>
    <w:qFormat/>
    <w:rsid w:val="00083CA4"/>
    <w:pPr>
      <w:autoSpaceDE w:val="0"/>
      <w:autoSpaceDN w:val="0"/>
      <w:adjustRightInd w:val="0"/>
      <w:spacing w:after="0" w:line="240" w:lineRule="auto"/>
    </w:pPr>
    <w:rPr>
      <w:rFonts w:ascii="Arial" w:eastAsia="Times New Roman" w:hAnsi="Arial" w:cs="Arial"/>
      <w:color w:val="000000"/>
      <w:sz w:val="24"/>
      <w:szCs w:val="24"/>
      <w:lang w:eastAsia="es-CR"/>
    </w:rPr>
  </w:style>
  <w:style w:type="character" w:styleId="Refdecomentario">
    <w:name w:val="annotation reference"/>
    <w:uiPriority w:val="99"/>
    <w:unhideWhenUsed/>
    <w:rsid w:val="00083CA4"/>
    <w:rPr>
      <w:sz w:val="16"/>
      <w:szCs w:val="16"/>
    </w:rPr>
  </w:style>
  <w:style w:type="paragraph" w:styleId="Textocomentario">
    <w:name w:val="annotation text"/>
    <w:basedOn w:val="Normal"/>
    <w:link w:val="TextocomentarioCar"/>
    <w:unhideWhenUsed/>
    <w:rsid w:val="00083CA4"/>
    <w:pPr>
      <w:spacing w:after="0" w:line="240" w:lineRule="auto"/>
    </w:pPr>
    <w:rPr>
      <w:rFonts w:ascii="Times New Roman" w:eastAsia="Times New Roman" w:hAnsi="Times New Roman" w:cs="Times New Roman"/>
      <w:sz w:val="20"/>
      <w:szCs w:val="20"/>
      <w:lang w:eastAsia="es-ES"/>
    </w:rPr>
  </w:style>
  <w:style w:type="character" w:customStyle="1" w:styleId="TextocomentarioCar">
    <w:name w:val="Texto comentario Car"/>
    <w:basedOn w:val="Fuentedeprrafopredeter"/>
    <w:link w:val="Textocomentario"/>
    <w:rsid w:val="00083CA4"/>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unhideWhenUsed/>
    <w:rsid w:val="00083CA4"/>
    <w:rPr>
      <w:b/>
      <w:bCs/>
    </w:rPr>
  </w:style>
  <w:style w:type="character" w:customStyle="1" w:styleId="AsuntodelcomentarioCar">
    <w:name w:val="Asunto del comentario Car"/>
    <w:basedOn w:val="TextocomentarioCar"/>
    <w:link w:val="Asuntodelcomentario"/>
    <w:uiPriority w:val="99"/>
    <w:rsid w:val="00083CA4"/>
    <w:rPr>
      <w:rFonts w:ascii="Times New Roman" w:eastAsia="Times New Roman" w:hAnsi="Times New Roman" w:cs="Times New Roman"/>
      <w:b/>
      <w:bCs/>
      <w:sz w:val="20"/>
      <w:szCs w:val="20"/>
      <w:lang w:eastAsia="es-ES"/>
    </w:rPr>
  </w:style>
  <w:style w:type="paragraph" w:customStyle="1" w:styleId="xmsonormal">
    <w:name w:val="x_msonormal"/>
    <w:basedOn w:val="Normal"/>
    <w:qFormat/>
    <w:rsid w:val="00083CA4"/>
    <w:pPr>
      <w:spacing w:after="0" w:line="240" w:lineRule="auto"/>
    </w:pPr>
    <w:rPr>
      <w:rFonts w:ascii="Times New Roman" w:eastAsia="Calibri" w:hAnsi="Times New Roman" w:cs="Times New Roman"/>
      <w:sz w:val="24"/>
      <w:szCs w:val="24"/>
      <w:lang w:eastAsia="es-CR"/>
    </w:rPr>
  </w:style>
  <w:style w:type="character" w:customStyle="1" w:styleId="ListLabel11">
    <w:name w:val="ListLabel 11"/>
    <w:qFormat/>
    <w:rsid w:val="00083CA4"/>
    <w:rPr>
      <w:b/>
    </w:rPr>
  </w:style>
  <w:style w:type="character" w:customStyle="1" w:styleId="x998142620-04022016">
    <w:name w:val="x_998142620-04022016"/>
    <w:basedOn w:val="Fuentedeprrafopredeter"/>
    <w:rsid w:val="00083CA4"/>
  </w:style>
  <w:style w:type="paragraph" w:customStyle="1" w:styleId="WW-Predeterminado123">
    <w:name w:val="WW-Predeterminado123"/>
    <w:next w:val="Normal"/>
    <w:rsid w:val="00083CA4"/>
    <w:pPr>
      <w:widowControl w:val="0"/>
      <w:suppressAutoHyphens/>
      <w:autoSpaceDE w:val="0"/>
      <w:spacing w:after="0" w:line="240" w:lineRule="auto"/>
    </w:pPr>
    <w:rPr>
      <w:rFonts w:ascii="Times New Roman" w:eastAsia="Times New Roman" w:hAnsi="Times New Roman" w:cs="Times New Roman"/>
      <w:color w:val="000000"/>
      <w:kern w:val="1"/>
      <w:sz w:val="20"/>
      <w:szCs w:val="20"/>
      <w:lang w:val="es-ES" w:eastAsia="hi-IN" w:bidi="hi-IN"/>
    </w:rPr>
  </w:style>
  <w:style w:type="character" w:customStyle="1" w:styleId="TextonotaalfinalCar">
    <w:name w:val="Texto nota al final Car"/>
    <w:basedOn w:val="Fuentedeprrafopredeter"/>
    <w:link w:val="Textonotaalfinal"/>
    <w:rsid w:val="00083CA4"/>
    <w:rPr>
      <w:rFonts w:ascii="Times New Roman" w:eastAsia="Times New Roman" w:hAnsi="Times New Roman" w:cs="Times New Roman"/>
      <w:sz w:val="20"/>
      <w:szCs w:val="20"/>
      <w:lang w:eastAsia="es-ES"/>
    </w:rPr>
  </w:style>
  <w:style w:type="paragraph" w:styleId="Textonotaalfinal">
    <w:name w:val="endnote text"/>
    <w:basedOn w:val="Normal"/>
    <w:link w:val="TextonotaalfinalCar"/>
    <w:unhideWhenUsed/>
    <w:rsid w:val="00083CA4"/>
    <w:pPr>
      <w:spacing w:after="0" w:line="240" w:lineRule="auto"/>
    </w:pPr>
    <w:rPr>
      <w:rFonts w:ascii="Times New Roman" w:eastAsia="Times New Roman" w:hAnsi="Times New Roman" w:cs="Times New Roman"/>
      <w:sz w:val="20"/>
      <w:szCs w:val="20"/>
      <w:lang w:eastAsia="es-ES"/>
    </w:rPr>
  </w:style>
  <w:style w:type="character" w:customStyle="1" w:styleId="TextonotaalfinalCar1">
    <w:name w:val="Texto nota al final Car1"/>
    <w:basedOn w:val="Fuentedeprrafopredeter"/>
    <w:uiPriority w:val="99"/>
    <w:semiHidden/>
    <w:rsid w:val="00083CA4"/>
    <w:rPr>
      <w:sz w:val="20"/>
      <w:szCs w:val="20"/>
    </w:rPr>
  </w:style>
  <w:style w:type="paragraph" w:customStyle="1" w:styleId="app-page-detaildocumentany">
    <w:name w:val="app-page-detail_document_any"/>
    <w:basedOn w:val="Normal"/>
    <w:rsid w:val="00083CA4"/>
    <w:pPr>
      <w:widowControl w:val="0"/>
      <w:spacing w:after="0" w:line="300" w:lineRule="atLeast"/>
    </w:pPr>
    <w:rPr>
      <w:rFonts w:ascii="Arial" w:eastAsia="Times New Roman" w:hAnsi="Arial" w:cs="Arial"/>
      <w:color w:val="000000"/>
      <w:sz w:val="21"/>
      <w:szCs w:val="21"/>
      <w:lang w:eastAsia="es-CR"/>
    </w:rPr>
  </w:style>
  <w:style w:type="table" w:customStyle="1" w:styleId="Cuadrculaclara-nfasis61">
    <w:name w:val="Cuadrícula clara - Énfasis 61"/>
    <w:basedOn w:val="Tablanormal"/>
    <w:next w:val="Cuadrculaclara-nfasis6"/>
    <w:uiPriority w:val="62"/>
    <w:rsid w:val="00083CA4"/>
    <w:pPr>
      <w:spacing w:after="0" w:line="240" w:lineRule="auto"/>
    </w:pPr>
    <w:rPr>
      <w:rFonts w:ascii="Calibri" w:eastAsia="Times New Roman" w:hAnsi="Calibri" w:cs="Calibri"/>
      <w:sz w:val="20"/>
      <w:szCs w:val="20"/>
      <w:lang w:eastAsia="es-CR"/>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character" w:customStyle="1" w:styleId="normaltextrun">
    <w:name w:val="normaltextrun"/>
    <w:basedOn w:val="Fuentedeprrafopredeter"/>
    <w:rsid w:val="00083CA4"/>
  </w:style>
  <w:style w:type="paragraph" w:customStyle="1" w:styleId="1">
    <w:name w:val="1"/>
    <w:basedOn w:val="Normal"/>
    <w:semiHidden/>
    <w:rsid w:val="00083CA4"/>
    <w:pPr>
      <w:spacing w:line="240" w:lineRule="exact"/>
    </w:pPr>
    <w:rPr>
      <w:rFonts w:ascii="Verdana" w:eastAsia="Times New Roman" w:hAnsi="Verdana" w:cs="Times New Roman"/>
      <w:sz w:val="20"/>
      <w:szCs w:val="21"/>
      <w:lang w:val="en-AU"/>
    </w:rPr>
  </w:style>
  <w:style w:type="paragraph" w:customStyle="1" w:styleId="Car">
    <w:name w:val="Car"/>
    <w:basedOn w:val="Normal"/>
    <w:rsid w:val="00083CA4"/>
    <w:pPr>
      <w:spacing w:line="240" w:lineRule="exact"/>
    </w:pPr>
    <w:rPr>
      <w:rFonts w:ascii="Verdana" w:eastAsia="Times New Roman" w:hAnsi="Verdana" w:cs="Verdana"/>
      <w:sz w:val="20"/>
      <w:szCs w:val="20"/>
      <w:lang w:val="en-AU"/>
    </w:rPr>
  </w:style>
  <w:style w:type="paragraph" w:styleId="HTMLconformatoprevio">
    <w:name w:val="HTML Preformatted"/>
    <w:basedOn w:val="Normal"/>
    <w:link w:val="HTMLconformatoprevioCar"/>
    <w:rsid w:val="00083C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val="es-ES" w:eastAsia="es-ES"/>
    </w:rPr>
  </w:style>
  <w:style w:type="character" w:customStyle="1" w:styleId="HTMLconformatoprevioCar">
    <w:name w:val="HTML con formato previo Car"/>
    <w:basedOn w:val="Fuentedeprrafopredeter"/>
    <w:link w:val="HTMLconformatoprevio"/>
    <w:rsid w:val="00083CA4"/>
    <w:rPr>
      <w:rFonts w:ascii="Courier New" w:eastAsia="Times New Roman" w:hAnsi="Courier New" w:cs="Courier New"/>
      <w:color w:val="000000"/>
      <w:sz w:val="20"/>
      <w:szCs w:val="20"/>
      <w:lang w:val="es-ES" w:eastAsia="es-ES"/>
    </w:rPr>
  </w:style>
  <w:style w:type="paragraph" w:customStyle="1" w:styleId="CarCar">
    <w:name w:val="Car Car"/>
    <w:basedOn w:val="Normal"/>
    <w:semiHidden/>
    <w:rsid w:val="00083CA4"/>
    <w:pPr>
      <w:spacing w:line="240" w:lineRule="exact"/>
    </w:pPr>
    <w:rPr>
      <w:rFonts w:ascii="Verdana" w:eastAsia="Times New Roman" w:hAnsi="Verdana" w:cs="Times New Roman"/>
      <w:sz w:val="20"/>
      <w:szCs w:val="21"/>
      <w:lang w:val="en-AU"/>
    </w:rPr>
  </w:style>
  <w:style w:type="paragraph" w:customStyle="1" w:styleId="Car2">
    <w:name w:val="Car2"/>
    <w:basedOn w:val="Normal"/>
    <w:semiHidden/>
    <w:rsid w:val="00083CA4"/>
    <w:pPr>
      <w:spacing w:line="240" w:lineRule="exact"/>
    </w:pPr>
    <w:rPr>
      <w:rFonts w:ascii="Verdana" w:eastAsia="Times New Roman" w:hAnsi="Verdana" w:cs="Times New Roman"/>
      <w:sz w:val="20"/>
      <w:szCs w:val="21"/>
      <w:lang w:val="en-AU"/>
    </w:rPr>
  </w:style>
  <w:style w:type="paragraph" w:customStyle="1" w:styleId="CarCarCarCarCarCarCarCar">
    <w:name w:val="Car Car Car Car Car Car Car Car"/>
    <w:basedOn w:val="Normal"/>
    <w:semiHidden/>
    <w:rsid w:val="00083CA4"/>
    <w:pPr>
      <w:spacing w:line="240" w:lineRule="exact"/>
    </w:pPr>
    <w:rPr>
      <w:rFonts w:ascii="Verdana" w:eastAsia="Times New Roman" w:hAnsi="Verdana" w:cs="Times New Roman"/>
      <w:sz w:val="20"/>
      <w:szCs w:val="21"/>
      <w:lang w:val="en-AU"/>
    </w:rPr>
  </w:style>
  <w:style w:type="paragraph" w:customStyle="1" w:styleId="CarCar1">
    <w:name w:val="Car Car1"/>
    <w:basedOn w:val="Normal"/>
    <w:semiHidden/>
    <w:rsid w:val="00083CA4"/>
    <w:pPr>
      <w:spacing w:line="240" w:lineRule="exact"/>
    </w:pPr>
    <w:rPr>
      <w:rFonts w:ascii="Verdana" w:eastAsia="Times New Roman" w:hAnsi="Verdana" w:cs="Verdana"/>
      <w:sz w:val="20"/>
      <w:szCs w:val="20"/>
      <w:lang w:val="en-AU"/>
    </w:rPr>
  </w:style>
  <w:style w:type="paragraph" w:customStyle="1" w:styleId="Car1">
    <w:name w:val="Car1"/>
    <w:basedOn w:val="Normal"/>
    <w:semiHidden/>
    <w:rsid w:val="00083CA4"/>
    <w:pPr>
      <w:spacing w:line="240" w:lineRule="exact"/>
    </w:pPr>
    <w:rPr>
      <w:rFonts w:ascii="Verdana" w:eastAsia="Times New Roman" w:hAnsi="Verdana" w:cs="Times New Roman"/>
      <w:sz w:val="20"/>
      <w:szCs w:val="21"/>
      <w:lang w:val="en-AU"/>
    </w:rPr>
  </w:style>
  <w:style w:type="paragraph" w:styleId="Revisin">
    <w:name w:val="Revision"/>
    <w:hidden/>
    <w:uiPriority w:val="99"/>
    <w:semiHidden/>
    <w:rsid w:val="00083CA4"/>
    <w:pPr>
      <w:spacing w:after="0" w:line="240" w:lineRule="auto"/>
    </w:pPr>
    <w:rPr>
      <w:rFonts w:ascii="Times New Roman" w:eastAsia="Times New Roman" w:hAnsi="Times New Roman" w:cs="Times New Roman"/>
      <w:sz w:val="24"/>
      <w:szCs w:val="24"/>
      <w:lang w:eastAsia="es-ES"/>
    </w:rPr>
  </w:style>
  <w:style w:type="paragraph" w:customStyle="1" w:styleId="msonormal0">
    <w:name w:val="msonormal"/>
    <w:basedOn w:val="Normal"/>
    <w:rsid w:val="00083CA4"/>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72">
    <w:name w:val="xl72"/>
    <w:basedOn w:val="Normal"/>
    <w:rsid w:val="00083CA4"/>
    <w:pPr>
      <w:spacing w:before="100" w:beforeAutospacing="1" w:after="100" w:afterAutospacing="1" w:line="240" w:lineRule="auto"/>
    </w:pPr>
    <w:rPr>
      <w:rFonts w:ascii="Times New Roman" w:eastAsia="Times New Roman" w:hAnsi="Times New Roman" w:cs="Times New Roman"/>
      <w:lang w:eastAsia="es-CR"/>
    </w:rPr>
  </w:style>
  <w:style w:type="paragraph" w:customStyle="1" w:styleId="xl73">
    <w:name w:val="xl73"/>
    <w:basedOn w:val="Normal"/>
    <w:rsid w:val="00083CA4"/>
    <w:pPr>
      <w:pBdr>
        <w:top w:val="single" w:sz="8" w:space="0" w:color="auto"/>
        <w:left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4">
    <w:name w:val="xl74"/>
    <w:basedOn w:val="Normal"/>
    <w:rsid w:val="00083CA4"/>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5">
    <w:name w:val="xl75"/>
    <w:basedOn w:val="Normal"/>
    <w:rsid w:val="00083CA4"/>
    <w:pPr>
      <w:pBdr>
        <w:left w:val="single" w:sz="8" w:space="0" w:color="auto"/>
        <w:bottom w:val="single" w:sz="8" w:space="0" w:color="auto"/>
      </w:pBdr>
      <w:shd w:val="clear" w:color="000000" w:fill="F3C85B"/>
      <w:spacing w:before="100" w:beforeAutospacing="1" w:after="100" w:afterAutospacing="1" w:line="240" w:lineRule="auto"/>
      <w:jc w:val="right"/>
      <w:textAlignment w:val="center"/>
    </w:pPr>
    <w:rPr>
      <w:rFonts w:ascii="Times New Roman" w:eastAsia="Times New Roman" w:hAnsi="Times New Roman" w:cs="Times New Roman"/>
      <w:b/>
      <w:bCs/>
      <w:lang w:eastAsia="es-CR"/>
    </w:rPr>
  </w:style>
  <w:style w:type="paragraph" w:customStyle="1" w:styleId="xl76">
    <w:name w:val="xl76"/>
    <w:basedOn w:val="Normal"/>
    <w:rsid w:val="00083CA4"/>
    <w:pPr>
      <w:pBdr>
        <w:bottom w:val="single" w:sz="8" w:space="0" w:color="auto"/>
        <w:right w:val="single" w:sz="8" w:space="0" w:color="auto"/>
      </w:pBdr>
      <w:shd w:val="clear" w:color="000000" w:fill="F3C85B"/>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77">
    <w:name w:val="xl77"/>
    <w:basedOn w:val="Normal"/>
    <w:rsid w:val="00083CA4"/>
    <w:pPr>
      <w:pBdr>
        <w:bottom w:val="single" w:sz="8" w:space="0" w:color="auto"/>
        <w:right w:val="single" w:sz="8" w:space="0" w:color="auto"/>
      </w:pBdr>
      <w:shd w:val="clear" w:color="000000" w:fill="F3C85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8">
    <w:name w:val="xl78"/>
    <w:basedOn w:val="Normal"/>
    <w:rsid w:val="00083CA4"/>
    <w:pPr>
      <w:pBdr>
        <w:bottom w:val="single" w:sz="8" w:space="0" w:color="auto"/>
        <w:right w:val="single" w:sz="8" w:space="0" w:color="auto"/>
      </w:pBdr>
      <w:shd w:val="clear" w:color="000000" w:fill="F3C85B"/>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79">
    <w:name w:val="xl79"/>
    <w:basedOn w:val="Normal"/>
    <w:rsid w:val="00083CA4"/>
    <w:pPr>
      <w:pBdr>
        <w:left w:val="single" w:sz="8" w:space="0" w:color="auto"/>
        <w:bottom w:val="single" w:sz="8"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0">
    <w:name w:val="xl80"/>
    <w:basedOn w:val="Normal"/>
    <w:rsid w:val="00083CA4"/>
    <w:pPr>
      <w:pBdr>
        <w:bottom w:val="single" w:sz="8" w:space="0" w:color="auto"/>
        <w:right w:val="single" w:sz="8" w:space="0" w:color="auto"/>
      </w:pBdr>
      <w:shd w:val="clear" w:color="000000" w:fill="92CDDC"/>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1">
    <w:name w:val="xl81"/>
    <w:basedOn w:val="Normal"/>
    <w:rsid w:val="00083CA4"/>
    <w:pPr>
      <w:pBdr>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2">
    <w:name w:val="xl82"/>
    <w:basedOn w:val="Normal"/>
    <w:rsid w:val="00083CA4"/>
    <w:pPr>
      <w:pBdr>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3">
    <w:name w:val="xl83"/>
    <w:basedOn w:val="Normal"/>
    <w:rsid w:val="00083CA4"/>
    <w:pPr>
      <w:pBdr>
        <w:left w:val="single" w:sz="8" w:space="0" w:color="auto"/>
        <w:bottom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4">
    <w:name w:val="xl84"/>
    <w:basedOn w:val="Normal"/>
    <w:rsid w:val="00083CA4"/>
    <w:pPr>
      <w:pBdr>
        <w:bottom w:val="single" w:sz="8"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85">
    <w:name w:val="xl85"/>
    <w:basedOn w:val="Normal"/>
    <w:rsid w:val="00083CA4"/>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6">
    <w:name w:val="xl86"/>
    <w:basedOn w:val="Normal"/>
    <w:rsid w:val="00083CA4"/>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87">
    <w:name w:val="xl87"/>
    <w:basedOn w:val="Normal"/>
    <w:rsid w:val="00083CA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es-CR"/>
    </w:rPr>
  </w:style>
  <w:style w:type="paragraph" w:customStyle="1" w:styleId="xl88">
    <w:name w:val="xl88"/>
    <w:basedOn w:val="Normal"/>
    <w:rsid w:val="00083CA4"/>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lang w:eastAsia="es-CR"/>
    </w:rPr>
  </w:style>
  <w:style w:type="paragraph" w:customStyle="1" w:styleId="xl89">
    <w:name w:val="xl89"/>
    <w:basedOn w:val="Normal"/>
    <w:rsid w:val="00083CA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es-CR"/>
    </w:rPr>
  </w:style>
  <w:style w:type="paragraph" w:customStyle="1" w:styleId="xl90">
    <w:name w:val="xl90"/>
    <w:basedOn w:val="Normal"/>
    <w:rsid w:val="00083CA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es-CR"/>
    </w:rPr>
  </w:style>
  <w:style w:type="paragraph" w:customStyle="1" w:styleId="xl91">
    <w:name w:val="xl91"/>
    <w:basedOn w:val="Normal"/>
    <w:rsid w:val="00083CA4"/>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lang w:eastAsia="es-CR"/>
    </w:rPr>
  </w:style>
  <w:style w:type="paragraph" w:customStyle="1" w:styleId="xl92">
    <w:name w:val="xl92"/>
    <w:basedOn w:val="Normal"/>
    <w:uiPriority w:val="99"/>
    <w:qFormat/>
    <w:rsid w:val="00083CA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3">
    <w:name w:val="xl93"/>
    <w:basedOn w:val="Normal"/>
    <w:rsid w:val="00083CA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4">
    <w:name w:val="xl94"/>
    <w:basedOn w:val="Normal"/>
    <w:rsid w:val="00083CA4"/>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lang w:eastAsia="es-CR"/>
    </w:rPr>
  </w:style>
  <w:style w:type="paragraph" w:customStyle="1" w:styleId="xl95">
    <w:name w:val="xl95"/>
    <w:basedOn w:val="Normal"/>
    <w:rsid w:val="00083CA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es-CR"/>
    </w:rPr>
  </w:style>
  <w:style w:type="paragraph" w:customStyle="1" w:styleId="xl96">
    <w:name w:val="xl96"/>
    <w:basedOn w:val="Normal"/>
    <w:rsid w:val="00083CA4"/>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es-CR"/>
    </w:rPr>
  </w:style>
  <w:style w:type="paragraph" w:customStyle="1" w:styleId="xl97">
    <w:name w:val="xl97"/>
    <w:basedOn w:val="Normal"/>
    <w:rsid w:val="00083CA4"/>
    <w:pPr>
      <w:pBdr>
        <w:bottom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8">
    <w:name w:val="xl98"/>
    <w:basedOn w:val="Normal"/>
    <w:rsid w:val="00083CA4"/>
    <w:pPr>
      <w:pBdr>
        <w:left w:val="single" w:sz="8" w:space="0" w:color="auto"/>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b/>
      <w:bCs/>
      <w:lang w:eastAsia="es-CR"/>
    </w:rPr>
  </w:style>
  <w:style w:type="paragraph" w:customStyle="1" w:styleId="xl99">
    <w:name w:val="xl99"/>
    <w:basedOn w:val="Normal"/>
    <w:rsid w:val="00083CA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es-CR"/>
    </w:rPr>
  </w:style>
  <w:style w:type="paragraph" w:customStyle="1" w:styleId="xl118">
    <w:name w:val="xl118"/>
    <w:basedOn w:val="Normal"/>
    <w:rsid w:val="00083CA4"/>
    <w:pPr>
      <w:spacing w:before="100" w:beforeAutospacing="1" w:after="100" w:afterAutospacing="1" w:line="240" w:lineRule="auto"/>
    </w:pPr>
    <w:rPr>
      <w:rFonts w:ascii="Arial" w:eastAsia="Times New Roman" w:hAnsi="Arial" w:cs="Arial"/>
      <w:sz w:val="16"/>
      <w:szCs w:val="16"/>
      <w:lang w:eastAsia="es-CR"/>
    </w:rPr>
  </w:style>
  <w:style w:type="paragraph" w:customStyle="1" w:styleId="xl119">
    <w:name w:val="xl119"/>
    <w:basedOn w:val="Normal"/>
    <w:rsid w:val="00083CA4"/>
    <w:pPr>
      <w:spacing w:before="100" w:beforeAutospacing="1" w:after="100" w:afterAutospacing="1" w:line="240" w:lineRule="auto"/>
    </w:pPr>
    <w:rPr>
      <w:rFonts w:ascii="Arial" w:eastAsia="Times New Roman" w:hAnsi="Arial" w:cs="Arial"/>
      <w:b/>
      <w:bCs/>
      <w:sz w:val="16"/>
      <w:szCs w:val="16"/>
      <w:lang w:eastAsia="es-CR"/>
    </w:rPr>
  </w:style>
  <w:style w:type="paragraph" w:customStyle="1" w:styleId="xl120">
    <w:name w:val="xl120"/>
    <w:basedOn w:val="Normal"/>
    <w:rsid w:val="00083C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eastAsia="es-CR"/>
    </w:rPr>
  </w:style>
  <w:style w:type="paragraph" w:customStyle="1" w:styleId="xl121">
    <w:name w:val="xl121"/>
    <w:basedOn w:val="Normal"/>
    <w:rsid w:val="00083CA4"/>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textAlignment w:val="center"/>
    </w:pPr>
    <w:rPr>
      <w:rFonts w:ascii="Arial" w:eastAsia="Times New Roman" w:hAnsi="Arial" w:cs="Arial"/>
      <w:b/>
      <w:bCs/>
      <w:sz w:val="16"/>
      <w:szCs w:val="16"/>
      <w:lang w:eastAsia="es-CR"/>
    </w:rPr>
  </w:style>
  <w:style w:type="paragraph" w:customStyle="1" w:styleId="xl122">
    <w:name w:val="xl122"/>
    <w:basedOn w:val="Normal"/>
    <w:rsid w:val="00083CA4"/>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23">
    <w:name w:val="xl123"/>
    <w:basedOn w:val="Normal"/>
    <w:rsid w:val="00083CA4"/>
    <w:pPr>
      <w:spacing w:before="100" w:beforeAutospacing="1" w:after="100" w:afterAutospacing="1" w:line="240" w:lineRule="auto"/>
      <w:jc w:val="center"/>
    </w:pPr>
    <w:rPr>
      <w:rFonts w:ascii="Arial" w:eastAsia="Times New Roman" w:hAnsi="Arial" w:cs="Arial"/>
      <w:sz w:val="16"/>
      <w:szCs w:val="16"/>
      <w:lang w:eastAsia="es-CR"/>
    </w:rPr>
  </w:style>
  <w:style w:type="paragraph" w:customStyle="1" w:styleId="xl124">
    <w:name w:val="xl124"/>
    <w:basedOn w:val="Normal"/>
    <w:rsid w:val="00083CA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Arial" w:eastAsia="Times New Roman" w:hAnsi="Arial" w:cs="Arial"/>
      <w:b/>
      <w:bCs/>
      <w:sz w:val="16"/>
      <w:szCs w:val="16"/>
      <w:lang w:eastAsia="es-CR"/>
    </w:rPr>
  </w:style>
  <w:style w:type="paragraph" w:customStyle="1" w:styleId="xl125">
    <w:name w:val="xl125"/>
    <w:basedOn w:val="Normal"/>
    <w:rsid w:val="00083CA4"/>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pPr>
    <w:rPr>
      <w:rFonts w:ascii="Arial" w:eastAsia="Times New Roman" w:hAnsi="Arial" w:cs="Arial"/>
      <w:b/>
      <w:bCs/>
      <w:sz w:val="20"/>
      <w:szCs w:val="20"/>
      <w:lang w:eastAsia="es-CR"/>
    </w:rPr>
  </w:style>
  <w:style w:type="paragraph" w:customStyle="1" w:styleId="xl126">
    <w:name w:val="xl126"/>
    <w:basedOn w:val="Normal"/>
    <w:rsid w:val="00083CA4"/>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27">
    <w:name w:val="xl127"/>
    <w:basedOn w:val="Normal"/>
    <w:rsid w:val="00083CA4"/>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28">
    <w:name w:val="xl128"/>
    <w:basedOn w:val="Normal"/>
    <w:rsid w:val="00083CA4"/>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29">
    <w:name w:val="xl129"/>
    <w:basedOn w:val="Normal"/>
    <w:rsid w:val="00083CA4"/>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30">
    <w:name w:val="xl130"/>
    <w:basedOn w:val="Normal"/>
    <w:rsid w:val="00083CA4"/>
    <w:pPr>
      <w:pBdr>
        <w:top w:val="single" w:sz="4" w:space="0" w:color="auto"/>
        <w:left w:val="single" w:sz="4" w:space="0" w:color="auto"/>
        <w:bottom w:val="single" w:sz="4" w:space="0" w:color="auto"/>
        <w:right w:val="single" w:sz="4" w:space="0" w:color="auto"/>
      </w:pBdr>
      <w:shd w:val="clear" w:color="C0C0C0" w:fill="4F81BD"/>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1">
    <w:name w:val="xl131"/>
    <w:basedOn w:val="Normal"/>
    <w:rsid w:val="00083CA4"/>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2">
    <w:name w:val="xl132"/>
    <w:basedOn w:val="Normal"/>
    <w:rsid w:val="00083CA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3">
    <w:name w:val="xl133"/>
    <w:basedOn w:val="Normal"/>
    <w:rsid w:val="00083CA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16"/>
      <w:szCs w:val="16"/>
      <w:lang w:eastAsia="es-CR"/>
    </w:rPr>
  </w:style>
  <w:style w:type="paragraph" w:customStyle="1" w:styleId="xl134">
    <w:name w:val="xl134"/>
    <w:basedOn w:val="Normal"/>
    <w:rsid w:val="00083CA4"/>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pPr>
    <w:rPr>
      <w:rFonts w:ascii="Arial" w:eastAsia="Times New Roman" w:hAnsi="Arial" w:cs="Arial"/>
      <w:b/>
      <w:bCs/>
      <w:sz w:val="12"/>
      <w:szCs w:val="12"/>
      <w:lang w:eastAsia="es-CR"/>
    </w:rPr>
  </w:style>
  <w:style w:type="paragraph" w:customStyle="1" w:styleId="xl135">
    <w:name w:val="xl135"/>
    <w:basedOn w:val="Normal"/>
    <w:rsid w:val="00083CA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14"/>
      <w:szCs w:val="14"/>
      <w:lang w:eastAsia="es-CR"/>
    </w:rPr>
  </w:style>
  <w:style w:type="paragraph" w:customStyle="1" w:styleId="xl136">
    <w:name w:val="xl136"/>
    <w:basedOn w:val="Normal"/>
    <w:rsid w:val="00083C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6"/>
      <w:szCs w:val="16"/>
      <w:lang w:eastAsia="es-CR"/>
    </w:rPr>
  </w:style>
  <w:style w:type="paragraph" w:customStyle="1" w:styleId="xl137">
    <w:name w:val="xl137"/>
    <w:basedOn w:val="Normal"/>
    <w:rsid w:val="00083CA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12"/>
      <w:szCs w:val="12"/>
      <w:lang w:eastAsia="es-CR"/>
    </w:rPr>
  </w:style>
  <w:style w:type="paragraph" w:customStyle="1" w:styleId="xl138">
    <w:name w:val="xl138"/>
    <w:basedOn w:val="Normal"/>
    <w:rsid w:val="00083CA4"/>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20"/>
      <w:szCs w:val="20"/>
      <w:lang w:eastAsia="es-CR"/>
    </w:rPr>
  </w:style>
  <w:style w:type="paragraph" w:customStyle="1" w:styleId="xl139">
    <w:name w:val="xl139"/>
    <w:basedOn w:val="Normal"/>
    <w:rsid w:val="00083CA4"/>
    <w:pPr>
      <w:pBdr>
        <w:top w:val="single" w:sz="4" w:space="0" w:color="auto"/>
        <w:left w:val="single" w:sz="4" w:space="0" w:color="auto"/>
        <w:bottom w:val="single" w:sz="4" w:space="0" w:color="auto"/>
      </w:pBdr>
      <w:shd w:val="clear" w:color="C0C0C0" w:fill="4F81BD"/>
      <w:spacing w:before="100" w:beforeAutospacing="1" w:after="100" w:afterAutospacing="1" w:line="240" w:lineRule="auto"/>
      <w:textAlignment w:val="center"/>
    </w:pPr>
    <w:rPr>
      <w:rFonts w:ascii="Arial" w:eastAsia="Times New Roman" w:hAnsi="Arial" w:cs="Arial"/>
      <w:b/>
      <w:bCs/>
      <w:sz w:val="20"/>
      <w:szCs w:val="20"/>
      <w:lang w:eastAsia="es-CR"/>
    </w:rPr>
  </w:style>
  <w:style w:type="paragraph" w:customStyle="1" w:styleId="xl140">
    <w:name w:val="xl140"/>
    <w:basedOn w:val="Normal"/>
    <w:rsid w:val="00083CA4"/>
    <w:pPr>
      <w:pBdr>
        <w:top w:val="single" w:sz="4" w:space="0" w:color="auto"/>
        <w:bottom w:val="single" w:sz="4" w:space="0" w:color="auto"/>
        <w:right w:val="single" w:sz="4" w:space="0" w:color="auto"/>
      </w:pBdr>
      <w:shd w:val="clear" w:color="C0C0C0" w:fill="4F81BD"/>
      <w:spacing w:before="100" w:beforeAutospacing="1" w:after="100" w:afterAutospacing="1" w:line="240" w:lineRule="auto"/>
      <w:textAlignment w:val="center"/>
    </w:pPr>
    <w:rPr>
      <w:rFonts w:ascii="Arial" w:eastAsia="Times New Roman" w:hAnsi="Arial" w:cs="Arial"/>
      <w:b/>
      <w:bCs/>
      <w:sz w:val="20"/>
      <w:szCs w:val="20"/>
      <w:lang w:eastAsia="es-CR"/>
    </w:rPr>
  </w:style>
  <w:style w:type="paragraph" w:customStyle="1" w:styleId="xxxmsonormal">
    <w:name w:val="x_xxmsonormal"/>
    <w:basedOn w:val="Normal"/>
    <w:uiPriority w:val="99"/>
    <w:rsid w:val="00083CA4"/>
    <w:pPr>
      <w:spacing w:before="100" w:beforeAutospacing="1" w:after="100" w:afterAutospacing="1" w:line="240" w:lineRule="auto"/>
    </w:pPr>
    <w:rPr>
      <w:rFonts w:ascii="Calibri" w:hAnsi="Calibri" w:cs="Calibri"/>
      <w:lang w:eastAsia="es-CR"/>
    </w:rPr>
  </w:style>
  <w:style w:type="character" w:customStyle="1" w:styleId="Smbolodenotaalpie">
    <w:name w:val="Símbolo de nota al pie"/>
    <w:basedOn w:val="Fuentedeprrafopredeter"/>
    <w:rsid w:val="00083CA4"/>
    <w:rPr>
      <w:rFonts w:ascii="Times New Roman" w:hAnsi="Times New Roman" w:cs="Times New Roman" w:hint="default"/>
      <w:vertAlign w:val="superscript"/>
    </w:rPr>
  </w:style>
  <w:style w:type="paragraph" w:customStyle="1" w:styleId="Normal2">
    <w:name w:val="Normal2"/>
    <w:rsid w:val="00083CA4"/>
    <w:pPr>
      <w:suppressAutoHyphens/>
      <w:spacing w:after="0" w:line="240" w:lineRule="auto"/>
    </w:pPr>
    <w:rPr>
      <w:rFonts w:ascii="Times New Roman" w:eastAsia="Times New Roman" w:hAnsi="Times New Roman" w:cs="Times New Roman"/>
      <w:sz w:val="24"/>
      <w:szCs w:val="20"/>
      <w:lang w:val="es-ES" w:eastAsia="es-CR"/>
    </w:rPr>
  </w:style>
  <w:style w:type="table" w:customStyle="1" w:styleId="Tablaconcuadrcula1">
    <w:name w:val="Tabla con cuadrícula1"/>
    <w:basedOn w:val="Tablanormal"/>
    <w:next w:val="Tablaconcuadrcula"/>
    <w:uiPriority w:val="39"/>
    <w:rsid w:val="00083CA4"/>
    <w:pPr>
      <w:spacing w:after="0" w:line="240" w:lineRule="auto"/>
    </w:pPr>
    <w:rPr>
      <w:rFonts w:ascii="Times New Roman" w:eastAsia="Times New Roman" w:hAnsi="Times New Roman" w:cs="Times New Roman"/>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083CA4"/>
    <w:pPr>
      <w:spacing w:after="0" w:line="240" w:lineRule="auto"/>
    </w:pPr>
    <w:rPr>
      <w:rFonts w:ascii="Calibri" w:eastAsia="Calibri" w:hAnsi="Calibri" w:cs="Times New Roman"/>
    </w:rPr>
  </w:style>
  <w:style w:type="paragraph" w:styleId="z-Principiodelformulario">
    <w:name w:val="HTML Top of Form"/>
    <w:basedOn w:val="Normal"/>
    <w:next w:val="Normal"/>
    <w:link w:val="z-PrincipiodelformularioCar"/>
    <w:hidden/>
    <w:uiPriority w:val="99"/>
    <w:unhideWhenUsed/>
    <w:rsid w:val="00083CA4"/>
    <w:pPr>
      <w:pBdr>
        <w:bottom w:val="single" w:sz="6" w:space="1" w:color="auto"/>
      </w:pBdr>
      <w:spacing w:after="0" w:line="240" w:lineRule="auto"/>
      <w:jc w:val="center"/>
    </w:pPr>
    <w:rPr>
      <w:rFonts w:ascii="Arial" w:eastAsia="Times New Roman" w:hAnsi="Arial" w:cs="Arial"/>
      <w:vanish/>
      <w:sz w:val="16"/>
      <w:szCs w:val="16"/>
      <w:lang w:eastAsia="es-CR"/>
    </w:rPr>
  </w:style>
  <w:style w:type="character" w:customStyle="1" w:styleId="z-PrincipiodelformularioCar">
    <w:name w:val="z-Principio del formulario Car"/>
    <w:basedOn w:val="Fuentedeprrafopredeter"/>
    <w:link w:val="z-Principiodelformulario"/>
    <w:uiPriority w:val="99"/>
    <w:rsid w:val="00083CA4"/>
    <w:rPr>
      <w:rFonts w:ascii="Arial" w:eastAsia="Times New Roman" w:hAnsi="Arial" w:cs="Arial"/>
      <w:vanish/>
      <w:sz w:val="16"/>
      <w:szCs w:val="16"/>
      <w:lang w:eastAsia="es-CR"/>
    </w:rPr>
  </w:style>
  <w:style w:type="paragraph" w:styleId="z-Finaldelformulario">
    <w:name w:val="HTML Bottom of Form"/>
    <w:basedOn w:val="Normal"/>
    <w:next w:val="Normal"/>
    <w:link w:val="z-FinaldelformularioCar"/>
    <w:hidden/>
    <w:uiPriority w:val="99"/>
    <w:unhideWhenUsed/>
    <w:rsid w:val="00083CA4"/>
    <w:pPr>
      <w:pBdr>
        <w:top w:val="single" w:sz="6" w:space="1" w:color="auto"/>
      </w:pBdr>
      <w:spacing w:after="0" w:line="240" w:lineRule="auto"/>
      <w:jc w:val="center"/>
    </w:pPr>
    <w:rPr>
      <w:rFonts w:ascii="Arial" w:eastAsia="Times New Roman" w:hAnsi="Arial" w:cs="Arial"/>
      <w:vanish/>
      <w:sz w:val="16"/>
      <w:szCs w:val="16"/>
      <w:lang w:eastAsia="es-CR"/>
    </w:rPr>
  </w:style>
  <w:style w:type="character" w:customStyle="1" w:styleId="z-FinaldelformularioCar">
    <w:name w:val="z-Final del formulario Car"/>
    <w:basedOn w:val="Fuentedeprrafopredeter"/>
    <w:link w:val="z-Finaldelformulario"/>
    <w:uiPriority w:val="99"/>
    <w:rsid w:val="00083CA4"/>
    <w:rPr>
      <w:rFonts w:ascii="Arial" w:eastAsia="Times New Roman" w:hAnsi="Arial" w:cs="Arial"/>
      <w:vanish/>
      <w:sz w:val="16"/>
      <w:szCs w:val="16"/>
      <w:lang w:eastAsia="es-CR"/>
    </w:rPr>
  </w:style>
  <w:style w:type="paragraph" w:customStyle="1" w:styleId="Predeterminado">
    <w:name w:val="Predeterminado"/>
    <w:link w:val="PredeterminadoCar"/>
    <w:qFormat/>
    <w:rsid w:val="00083CA4"/>
    <w:pPr>
      <w:suppressAutoHyphens/>
      <w:spacing w:after="0" w:line="240" w:lineRule="auto"/>
    </w:pPr>
    <w:rPr>
      <w:rFonts w:ascii="Arial" w:eastAsia="Courier New" w:hAnsi="Arial" w:cs="Wingdings"/>
      <w:kern w:val="1"/>
      <w:sz w:val="24"/>
      <w:szCs w:val="24"/>
      <w:lang w:eastAsia="zh-CN" w:bidi="hi-IN"/>
    </w:rPr>
  </w:style>
  <w:style w:type="paragraph" w:customStyle="1" w:styleId="Textoindependiente31">
    <w:name w:val="Texto independiente 31"/>
    <w:rsid w:val="00083CA4"/>
    <w:pPr>
      <w:suppressAutoHyphens/>
      <w:spacing w:after="0" w:line="240" w:lineRule="auto"/>
      <w:jc w:val="both"/>
    </w:pPr>
    <w:rPr>
      <w:rFonts w:ascii="Arial" w:eastAsia="Courier New" w:hAnsi="Arial" w:cs="Wingdings"/>
      <w:kern w:val="1"/>
      <w:sz w:val="24"/>
      <w:szCs w:val="24"/>
      <w:lang w:eastAsia="zh-CN" w:bidi="hi-IN"/>
    </w:rPr>
  </w:style>
  <w:style w:type="paragraph" w:customStyle="1" w:styleId="xmsolistparagraph">
    <w:name w:val="x_msolistparagraph"/>
    <w:basedOn w:val="Normal"/>
    <w:rsid w:val="00083CA4"/>
    <w:pPr>
      <w:spacing w:after="0" w:line="240" w:lineRule="auto"/>
    </w:pPr>
    <w:rPr>
      <w:rFonts w:ascii="Calibri" w:eastAsia="SimSun" w:hAnsi="Calibri" w:cs="Calibri"/>
      <w:lang w:val="es-ES" w:eastAsia="es-ES"/>
    </w:rPr>
  </w:style>
  <w:style w:type="paragraph" w:customStyle="1" w:styleId="paragraph">
    <w:name w:val="paragraph"/>
    <w:basedOn w:val="Normal"/>
    <w:qFormat/>
    <w:rsid w:val="00083CA4"/>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eop">
    <w:name w:val="eop"/>
    <w:basedOn w:val="Fuentedeprrafopredeter"/>
    <w:rsid w:val="00083CA4"/>
  </w:style>
  <w:style w:type="character" w:customStyle="1" w:styleId="PuestoCar">
    <w:name w:val="Puesto Car"/>
    <w:locked/>
    <w:rsid w:val="00083CA4"/>
    <w:rPr>
      <w:rFonts w:ascii="Arial" w:hAnsi="Arial"/>
      <w:b/>
      <w:bCs/>
      <w:sz w:val="36"/>
      <w:szCs w:val="36"/>
      <w:lang w:val="es-CR" w:eastAsia="es-ES" w:bidi="ar-SA"/>
    </w:rPr>
  </w:style>
  <w:style w:type="paragraph" w:customStyle="1" w:styleId="Cita1">
    <w:name w:val="Cita1"/>
    <w:basedOn w:val="Normal"/>
    <w:next w:val="Normal"/>
    <w:uiPriority w:val="29"/>
    <w:qFormat/>
    <w:rsid w:val="00083CA4"/>
    <w:pPr>
      <w:spacing w:before="120" w:after="120"/>
      <w:ind w:left="720"/>
    </w:pPr>
    <w:rPr>
      <w:rFonts w:eastAsia="Times New Roman"/>
      <w:color w:val="44546A"/>
      <w:sz w:val="24"/>
      <w:szCs w:val="24"/>
    </w:rPr>
  </w:style>
  <w:style w:type="character" w:customStyle="1" w:styleId="CitaCar">
    <w:name w:val="Cita Car"/>
    <w:basedOn w:val="Fuentedeprrafopredeter"/>
    <w:link w:val="Cita"/>
    <w:uiPriority w:val="29"/>
    <w:rsid w:val="00083CA4"/>
    <w:rPr>
      <w:rFonts w:eastAsia="Times New Roman"/>
      <w:color w:val="44546A"/>
      <w:sz w:val="24"/>
      <w:szCs w:val="24"/>
    </w:rPr>
  </w:style>
  <w:style w:type="paragraph" w:customStyle="1" w:styleId="Citadestacada1">
    <w:name w:val="Cita destacada1"/>
    <w:basedOn w:val="Normal"/>
    <w:next w:val="Normal"/>
    <w:uiPriority w:val="30"/>
    <w:qFormat/>
    <w:rsid w:val="00083CA4"/>
    <w:pPr>
      <w:spacing w:before="100" w:beforeAutospacing="1" w:after="240" w:line="240" w:lineRule="auto"/>
      <w:ind w:left="720"/>
      <w:jc w:val="center"/>
    </w:pPr>
    <w:rPr>
      <w:rFonts w:ascii="Calibri Light" w:eastAsia="Times New Roman" w:hAnsi="Calibri Light" w:cs="Times New Roman"/>
      <w:color w:val="44546A"/>
      <w:spacing w:val="-6"/>
      <w:sz w:val="32"/>
      <w:szCs w:val="32"/>
    </w:rPr>
  </w:style>
  <w:style w:type="character" w:customStyle="1" w:styleId="CitadestacadaCar">
    <w:name w:val="Cita destacada Car"/>
    <w:basedOn w:val="Fuentedeprrafopredeter"/>
    <w:link w:val="Citadestacada"/>
    <w:uiPriority w:val="30"/>
    <w:rsid w:val="00083CA4"/>
    <w:rPr>
      <w:rFonts w:ascii="Calibri Light" w:eastAsia="Times New Roman" w:hAnsi="Calibri Light" w:cs="Times New Roman"/>
      <w:color w:val="44546A"/>
      <w:spacing w:val="-6"/>
      <w:sz w:val="32"/>
      <w:szCs w:val="32"/>
    </w:rPr>
  </w:style>
  <w:style w:type="character" w:customStyle="1" w:styleId="nfasissutil1">
    <w:name w:val="Énfasis sutil1"/>
    <w:basedOn w:val="Fuentedeprrafopredeter"/>
    <w:uiPriority w:val="19"/>
    <w:qFormat/>
    <w:rsid w:val="00083CA4"/>
    <w:rPr>
      <w:i/>
      <w:iCs/>
      <w:color w:val="595959"/>
    </w:rPr>
  </w:style>
  <w:style w:type="character" w:styleId="nfasisintenso">
    <w:name w:val="Intense Emphasis"/>
    <w:basedOn w:val="Fuentedeprrafopredeter"/>
    <w:uiPriority w:val="21"/>
    <w:qFormat/>
    <w:rsid w:val="00083CA4"/>
    <w:rPr>
      <w:b/>
      <w:bCs/>
      <w:i/>
      <w:iCs/>
    </w:rPr>
  </w:style>
  <w:style w:type="character" w:customStyle="1" w:styleId="Referenciasutil1">
    <w:name w:val="Referencia sutil1"/>
    <w:basedOn w:val="Fuentedeprrafopredeter"/>
    <w:uiPriority w:val="31"/>
    <w:qFormat/>
    <w:rsid w:val="00083CA4"/>
    <w:rPr>
      <w:smallCaps/>
      <w:color w:val="595959"/>
      <w:u w:val="none" w:color="7F7F7F"/>
      <w:bdr w:val="none" w:sz="0" w:space="0" w:color="auto"/>
    </w:rPr>
  </w:style>
  <w:style w:type="character" w:customStyle="1" w:styleId="Referenciaintensa1">
    <w:name w:val="Referencia intensa1"/>
    <w:basedOn w:val="Fuentedeprrafopredeter"/>
    <w:uiPriority w:val="32"/>
    <w:qFormat/>
    <w:rsid w:val="00083CA4"/>
    <w:rPr>
      <w:b/>
      <w:bCs/>
      <w:smallCaps/>
      <w:color w:val="44546A"/>
      <w:u w:val="single"/>
    </w:rPr>
  </w:style>
  <w:style w:type="character" w:styleId="Ttulodellibro">
    <w:name w:val="Book Title"/>
    <w:basedOn w:val="Fuentedeprrafopredeter"/>
    <w:uiPriority w:val="33"/>
    <w:qFormat/>
    <w:rsid w:val="00083CA4"/>
    <w:rPr>
      <w:b/>
      <w:bCs/>
      <w:smallCaps/>
      <w:spacing w:val="10"/>
    </w:rPr>
  </w:style>
  <w:style w:type="paragraph" w:customStyle="1" w:styleId="TtuloTDC1">
    <w:name w:val="Título TDC1"/>
    <w:basedOn w:val="Ttulo1"/>
    <w:next w:val="Normal"/>
    <w:uiPriority w:val="39"/>
    <w:unhideWhenUsed/>
    <w:qFormat/>
    <w:rsid w:val="00083CA4"/>
    <w:pPr>
      <w:keepLines/>
      <w:shd w:val="clear" w:color="auto" w:fill="auto"/>
      <w:autoSpaceDE/>
      <w:autoSpaceDN/>
      <w:spacing w:before="400" w:after="40"/>
      <w:jc w:val="left"/>
      <w:outlineLvl w:val="9"/>
    </w:pPr>
    <w:rPr>
      <w:rFonts w:ascii="Calibri Light" w:eastAsia="Times New Roman" w:hAnsi="Calibri Light" w:cs="Times New Roman"/>
      <w:color w:val="1F3864"/>
      <w:sz w:val="36"/>
      <w:szCs w:val="36"/>
      <w:lang w:eastAsia="en-US"/>
    </w:rPr>
  </w:style>
  <w:style w:type="character" w:customStyle="1" w:styleId="Ancladenotaalpie">
    <w:name w:val="Ancla de nota al pie"/>
    <w:rsid w:val="00083CA4"/>
    <w:rPr>
      <w:vertAlign w:val="superscript"/>
    </w:rPr>
  </w:style>
  <w:style w:type="character" w:customStyle="1" w:styleId="Caracteresdenotaalpie">
    <w:name w:val="Caracteres de nota al pie"/>
    <w:qFormat/>
    <w:rsid w:val="00083CA4"/>
  </w:style>
  <w:style w:type="table" w:customStyle="1" w:styleId="Tablaconcuadrcula4-nfasis11">
    <w:name w:val="Tabla con cuadrícula 4 - Énfasis 11"/>
    <w:basedOn w:val="Tablanormal"/>
    <w:uiPriority w:val="49"/>
    <w:rsid w:val="00083CA4"/>
    <w:pPr>
      <w:spacing w:after="0" w:line="240" w:lineRule="auto"/>
    </w:pPr>
    <w:rPr>
      <w:sz w:val="24"/>
      <w:szCs w:val="24"/>
      <w:lang w:val="es-ES_tradn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normaltextrun1">
    <w:name w:val="normaltextrun1"/>
    <w:basedOn w:val="Fuentedeprrafopredeter"/>
    <w:qFormat/>
    <w:rsid w:val="00083CA4"/>
    <w:rPr>
      <w:rFonts w:ascii="Arial" w:hAnsi="Arial" w:cs="Arial"/>
    </w:rPr>
  </w:style>
  <w:style w:type="table" w:customStyle="1" w:styleId="Tabladecuadrcula1clara-nfasis11">
    <w:name w:val="Tabla de cuadrícula 1 clara - Énfasis 11"/>
    <w:basedOn w:val="Tablanormal"/>
    <w:next w:val="Tablaconcuadrcula1clara-nfasis1"/>
    <w:uiPriority w:val="46"/>
    <w:rsid w:val="00083CA4"/>
    <w:pPr>
      <w:spacing w:after="0" w:line="240" w:lineRule="auto"/>
    </w:p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Grid0">
    <w:name w:val="Table Grid0"/>
    <w:rsid w:val="00083CA4"/>
    <w:pPr>
      <w:spacing w:after="0" w:line="240" w:lineRule="auto"/>
    </w:pPr>
    <w:rPr>
      <w:rFonts w:eastAsia="Times New Roman"/>
      <w:lang w:eastAsia="es-CR"/>
    </w:rPr>
    <w:tblPr>
      <w:tblCellMar>
        <w:top w:w="0" w:type="dxa"/>
        <w:left w:w="0" w:type="dxa"/>
        <w:bottom w:w="0" w:type="dxa"/>
        <w:right w:w="0" w:type="dxa"/>
      </w:tblCellMar>
    </w:tblPr>
  </w:style>
  <w:style w:type="paragraph" w:customStyle="1" w:styleId="Informal1">
    <w:name w:val="Informal1"/>
    <w:uiPriority w:val="99"/>
    <w:rsid w:val="00083CA4"/>
    <w:pPr>
      <w:widowControl w:val="0"/>
      <w:autoSpaceDE w:val="0"/>
      <w:autoSpaceDN w:val="0"/>
      <w:adjustRightInd w:val="0"/>
      <w:spacing w:before="60" w:after="60" w:line="240" w:lineRule="auto"/>
    </w:pPr>
    <w:rPr>
      <w:rFonts w:ascii="Arial" w:eastAsia="Times New Roman" w:hAnsi="Arial" w:cs="Arial"/>
      <w:sz w:val="20"/>
      <w:szCs w:val="20"/>
      <w:lang w:eastAsia="es-CR"/>
    </w:rPr>
  </w:style>
  <w:style w:type="paragraph" w:customStyle="1" w:styleId="Textodecampo">
    <w:name w:val="Texto de campo"/>
    <w:basedOn w:val="Normal"/>
    <w:rsid w:val="00083CA4"/>
    <w:pPr>
      <w:spacing w:before="60" w:after="60" w:line="240" w:lineRule="auto"/>
      <w:jc w:val="both"/>
    </w:pPr>
    <w:rPr>
      <w:rFonts w:ascii="Arial" w:eastAsia="Times New Roman" w:hAnsi="Arial" w:cs="Arial"/>
      <w:sz w:val="19"/>
      <w:szCs w:val="19"/>
      <w:lang w:val="en-US" w:bidi="en-US"/>
    </w:rPr>
  </w:style>
  <w:style w:type="paragraph" w:customStyle="1" w:styleId="Etiquetadecampo">
    <w:name w:val="Etiqueta de campo"/>
    <w:basedOn w:val="Normal"/>
    <w:rsid w:val="00083CA4"/>
    <w:pPr>
      <w:spacing w:before="60" w:after="60" w:line="240" w:lineRule="auto"/>
      <w:jc w:val="both"/>
    </w:pPr>
    <w:rPr>
      <w:rFonts w:ascii="Arial" w:eastAsia="Times New Roman" w:hAnsi="Arial" w:cs="Arial"/>
      <w:b/>
      <w:sz w:val="19"/>
      <w:szCs w:val="19"/>
      <w:lang w:val="en-US" w:bidi="en-US"/>
    </w:rPr>
  </w:style>
  <w:style w:type="character" w:customStyle="1" w:styleId="st1">
    <w:name w:val="st1"/>
    <w:rsid w:val="00083CA4"/>
  </w:style>
  <w:style w:type="paragraph" w:customStyle="1" w:styleId="western">
    <w:name w:val="western"/>
    <w:basedOn w:val="Normal"/>
    <w:link w:val="westernCar"/>
    <w:uiPriority w:val="99"/>
    <w:qFormat/>
    <w:rsid w:val="00083CA4"/>
    <w:pPr>
      <w:spacing w:before="100" w:beforeAutospacing="1" w:after="119" w:line="240" w:lineRule="auto"/>
      <w:jc w:val="both"/>
    </w:pPr>
    <w:rPr>
      <w:rFonts w:ascii="Times New Roman" w:eastAsia="Times New Roman" w:hAnsi="Times New Roman" w:cs="Times New Roman"/>
      <w:color w:val="000000"/>
      <w:sz w:val="24"/>
      <w:szCs w:val="24"/>
      <w:lang w:eastAsia="es-CR"/>
    </w:rPr>
  </w:style>
  <w:style w:type="paragraph" w:customStyle="1" w:styleId="Estilopredeterminado">
    <w:name w:val="Estilo predeterminado"/>
    <w:rsid w:val="00083CA4"/>
    <w:pPr>
      <w:suppressAutoHyphens/>
      <w:spacing w:after="0" w:line="100" w:lineRule="atLeast"/>
    </w:pPr>
    <w:rPr>
      <w:rFonts w:ascii="Times New Roman" w:eastAsia="SimSun" w:hAnsi="Times New Roman" w:cs="Times New Roman"/>
      <w:color w:val="000000"/>
      <w:sz w:val="24"/>
      <w:szCs w:val="24"/>
      <w:lang w:val="es-ES"/>
    </w:rPr>
  </w:style>
  <w:style w:type="paragraph" w:customStyle="1" w:styleId="ListParagraph0">
    <w:name w:val="List Paragraph0"/>
    <w:basedOn w:val="Normal"/>
    <w:qFormat/>
    <w:rsid w:val="00083CA4"/>
    <w:pPr>
      <w:spacing w:before="240" w:after="240" w:line="360" w:lineRule="auto"/>
      <w:ind w:left="720"/>
      <w:contextualSpacing/>
      <w:jc w:val="both"/>
    </w:pPr>
    <w:rPr>
      <w:rFonts w:ascii="Arial" w:eastAsia="Times New Roman" w:hAnsi="Arial" w:cs="Times New Roman"/>
      <w:sz w:val="24"/>
      <w:lang w:val="es-ES"/>
    </w:rPr>
  </w:style>
  <w:style w:type="character" w:customStyle="1" w:styleId="Mencionar1">
    <w:name w:val="Mencionar1"/>
    <w:uiPriority w:val="99"/>
    <w:unhideWhenUsed/>
    <w:rsid w:val="00083CA4"/>
    <w:rPr>
      <w:color w:val="2B579A"/>
      <w:shd w:val="clear" w:color="auto" w:fill="E6E6E6"/>
    </w:rPr>
  </w:style>
  <w:style w:type="paragraph" w:customStyle="1" w:styleId="Fuente">
    <w:name w:val="Fuente"/>
    <w:basedOn w:val="Normal"/>
    <w:link w:val="FuenteCar"/>
    <w:rsid w:val="00083CA4"/>
    <w:pPr>
      <w:spacing w:after="0" w:line="240" w:lineRule="auto"/>
      <w:jc w:val="center"/>
    </w:pPr>
    <w:rPr>
      <w:rFonts w:ascii="Book Antiqua" w:hAnsi="Book Antiqua"/>
      <w:b/>
      <w:i/>
      <w:sz w:val="20"/>
    </w:rPr>
  </w:style>
  <w:style w:type="character" w:customStyle="1" w:styleId="FuenteCar">
    <w:name w:val="Fuente Car"/>
    <w:basedOn w:val="Fuentedeprrafopredeter"/>
    <w:link w:val="Fuente"/>
    <w:rsid w:val="00083CA4"/>
    <w:rPr>
      <w:rFonts w:ascii="Book Antiqua" w:hAnsi="Book Antiqua"/>
      <w:b/>
      <w:i/>
      <w:sz w:val="20"/>
    </w:rPr>
  </w:style>
  <w:style w:type="character" w:customStyle="1" w:styleId="Mencinsinresolver1">
    <w:name w:val="Mención sin resolver1"/>
    <w:basedOn w:val="Fuentedeprrafopredeter"/>
    <w:uiPriority w:val="99"/>
    <w:unhideWhenUsed/>
    <w:rsid w:val="00083CA4"/>
    <w:rPr>
      <w:color w:val="605E5C"/>
      <w:shd w:val="clear" w:color="auto" w:fill="E1DFDD"/>
    </w:rPr>
  </w:style>
  <w:style w:type="paragraph" w:customStyle="1" w:styleId="Fuentes">
    <w:name w:val="Fuentes"/>
    <w:basedOn w:val="Fuente"/>
    <w:link w:val="FuentesCar"/>
    <w:autoRedefine/>
    <w:qFormat/>
    <w:rsid w:val="00083CA4"/>
    <w:pPr>
      <w:tabs>
        <w:tab w:val="left" w:pos="8364"/>
      </w:tabs>
      <w:spacing w:line="276" w:lineRule="auto"/>
      <w:ind w:right="49"/>
      <w:jc w:val="both"/>
    </w:pPr>
    <w:rPr>
      <w:b w:val="0"/>
      <w:bCs/>
      <w:szCs w:val="20"/>
    </w:rPr>
  </w:style>
  <w:style w:type="character" w:customStyle="1" w:styleId="FuentesCar">
    <w:name w:val="Fuentes Car"/>
    <w:basedOn w:val="FuenteCar"/>
    <w:link w:val="Fuentes"/>
    <w:rsid w:val="00083CA4"/>
    <w:rPr>
      <w:rFonts w:ascii="Book Antiqua" w:hAnsi="Book Antiqua"/>
      <w:b w:val="0"/>
      <w:bCs/>
      <w:i/>
      <w:sz w:val="20"/>
      <w:szCs w:val="20"/>
    </w:rPr>
  </w:style>
  <w:style w:type="paragraph" w:customStyle="1" w:styleId="Trabajo2">
    <w:name w:val="Trabajo2"/>
    <w:rsid w:val="00083CA4"/>
    <w:pPr>
      <w:suppressAutoHyphens/>
      <w:spacing w:after="0" w:line="360" w:lineRule="auto"/>
      <w:jc w:val="both"/>
    </w:pPr>
    <w:rPr>
      <w:rFonts w:ascii="Arial" w:eastAsia="Times New Roman" w:hAnsi="Arial" w:cs="Arial"/>
      <w:sz w:val="20"/>
      <w:szCs w:val="20"/>
      <w:lang w:val="es-ES" w:eastAsia="ar-SA"/>
    </w:rPr>
  </w:style>
  <w:style w:type="numbering" w:customStyle="1" w:styleId="Sinlista11">
    <w:name w:val="Sin lista11"/>
    <w:next w:val="Sinlista"/>
    <w:uiPriority w:val="99"/>
    <w:semiHidden/>
    <w:unhideWhenUsed/>
    <w:rsid w:val="00083CA4"/>
  </w:style>
  <w:style w:type="table" w:customStyle="1" w:styleId="Tablaconcuadrcula2">
    <w:name w:val="Tabla con cuadrícula2"/>
    <w:basedOn w:val="Tablanormal"/>
    <w:next w:val="Tablaconcuadrcula"/>
    <w:uiPriority w:val="39"/>
    <w:rsid w:val="00083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BulletBold">
    <w:name w:val="List Bullet Bold"/>
    <w:basedOn w:val="Listaconvietas"/>
    <w:next w:val="Continuarlista"/>
    <w:rsid w:val="00083CA4"/>
    <w:pPr>
      <w:keepNext/>
      <w:keepLines/>
      <w:numPr>
        <w:numId w:val="0"/>
      </w:numPr>
      <w:tabs>
        <w:tab w:val="num" w:pos="720"/>
        <w:tab w:val="num" w:pos="1080"/>
      </w:tabs>
      <w:spacing w:before="60" w:after="60" w:line="240" w:lineRule="auto"/>
      <w:ind w:left="432" w:hanging="432"/>
      <w:contextualSpacing w:val="0"/>
      <w:jc w:val="both"/>
    </w:pPr>
    <w:rPr>
      <w:rFonts w:ascii="Tahoma" w:eastAsia="Times New Roman" w:hAnsi="Tahoma" w:cs="Tahoma"/>
      <w:b/>
      <w:bCs/>
      <w:sz w:val="20"/>
      <w:szCs w:val="20"/>
      <w:lang w:val="es-CL"/>
    </w:rPr>
  </w:style>
  <w:style w:type="paragraph" w:customStyle="1" w:styleId="heading2">
    <w:name w:val="heading2"/>
    <w:basedOn w:val="Normal"/>
    <w:rsid w:val="00083CA4"/>
    <w:pPr>
      <w:keepNext/>
      <w:numPr>
        <w:ilvl w:val="1"/>
        <w:numId w:val="19"/>
      </w:numPr>
      <w:shd w:val="clear" w:color="auto" w:fill="FFFFFF"/>
      <w:autoSpaceDE w:val="0"/>
      <w:spacing w:after="0" w:line="480" w:lineRule="auto"/>
      <w:jc w:val="both"/>
    </w:pPr>
    <w:rPr>
      <w:rFonts w:ascii="Arial" w:eastAsia="Times New Roman" w:hAnsi="Arial" w:cs="Arial"/>
      <w:b/>
      <w:bCs/>
      <w:sz w:val="24"/>
      <w:szCs w:val="24"/>
      <w:u w:val="single"/>
      <w:lang w:val="es-ES" w:eastAsia="es-ES"/>
    </w:rPr>
  </w:style>
  <w:style w:type="paragraph" w:customStyle="1" w:styleId="Listaconvietas1">
    <w:name w:val="Lista con viñetas1"/>
    <w:basedOn w:val="Normal"/>
    <w:next w:val="Listaconvietas"/>
    <w:unhideWhenUsed/>
    <w:rsid w:val="00083CA4"/>
    <w:pPr>
      <w:tabs>
        <w:tab w:val="num" w:pos="720"/>
      </w:tabs>
      <w:spacing w:after="0" w:line="240" w:lineRule="auto"/>
      <w:ind w:left="720" w:hanging="360"/>
      <w:contextualSpacing/>
      <w:jc w:val="both"/>
    </w:pPr>
    <w:rPr>
      <w:rFonts w:ascii="Book Antiqua" w:hAnsi="Book Antiqua"/>
    </w:rPr>
  </w:style>
  <w:style w:type="paragraph" w:customStyle="1" w:styleId="Continuarlista1">
    <w:name w:val="Continuar lista1"/>
    <w:basedOn w:val="Normal"/>
    <w:next w:val="Continuarlista"/>
    <w:uiPriority w:val="99"/>
    <w:semiHidden/>
    <w:unhideWhenUsed/>
    <w:rsid w:val="00083CA4"/>
    <w:pPr>
      <w:spacing w:after="120" w:line="240" w:lineRule="auto"/>
      <w:ind w:left="283"/>
      <w:contextualSpacing/>
      <w:jc w:val="both"/>
    </w:pPr>
    <w:rPr>
      <w:rFonts w:ascii="Book Antiqua" w:hAnsi="Book Antiqua"/>
    </w:rPr>
  </w:style>
  <w:style w:type="paragraph" w:customStyle="1" w:styleId="pa4">
    <w:name w:val="pa4"/>
    <w:basedOn w:val="Normal"/>
    <w:rsid w:val="00083CA4"/>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default0">
    <w:name w:val="default"/>
    <w:basedOn w:val="Normal"/>
    <w:rsid w:val="00083CA4"/>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pa18">
    <w:name w:val="pa18"/>
    <w:basedOn w:val="Normal"/>
    <w:rsid w:val="00083CA4"/>
    <w:pPr>
      <w:spacing w:before="100" w:beforeAutospacing="1" w:after="100" w:afterAutospacing="1" w:line="240" w:lineRule="auto"/>
    </w:pPr>
    <w:rPr>
      <w:rFonts w:ascii="Times New Roman" w:eastAsia="Times New Roman" w:hAnsi="Times New Roman" w:cs="Times New Roman"/>
      <w:sz w:val="24"/>
      <w:szCs w:val="24"/>
      <w:lang w:eastAsia="es-CR"/>
    </w:rPr>
  </w:style>
  <w:style w:type="table" w:customStyle="1" w:styleId="Tablaconcuadrcula81">
    <w:name w:val="Tabla con cuadrícula 81"/>
    <w:basedOn w:val="Tablanormal"/>
    <w:next w:val="Tablaconcuadrcula8"/>
    <w:rsid w:val="00083CA4"/>
    <w:pPr>
      <w:spacing w:after="0" w:line="240" w:lineRule="auto"/>
    </w:pPr>
    <w:rPr>
      <w:rFonts w:ascii="Times New Roman" w:eastAsia="Times New Roman" w:hAnsi="Times New Roman" w:cs="Times New Roman"/>
      <w:sz w:val="20"/>
      <w:szCs w:val="20"/>
      <w:lang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8">
    <w:name w:val="Table Grid 8"/>
    <w:basedOn w:val="Tablanormal"/>
    <w:uiPriority w:val="99"/>
    <w:semiHidden/>
    <w:unhideWhenUsed/>
    <w:rsid w:val="00083CA4"/>
    <w:pPr>
      <w:spacing w:after="0" w:line="24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TDC1">
    <w:name w:val="toc 1"/>
    <w:basedOn w:val="Normal"/>
    <w:next w:val="Normal"/>
    <w:link w:val="TDC1Car"/>
    <w:autoRedefine/>
    <w:uiPriority w:val="99"/>
    <w:unhideWhenUsed/>
    <w:qFormat/>
    <w:rsid w:val="00083CA4"/>
    <w:pPr>
      <w:spacing w:after="100" w:line="240" w:lineRule="auto"/>
    </w:pPr>
    <w:rPr>
      <w:rFonts w:ascii="Calibri" w:hAnsi="Calibri" w:cs="Calibri"/>
    </w:rPr>
  </w:style>
  <w:style w:type="paragraph" w:styleId="TDC3">
    <w:name w:val="toc 3"/>
    <w:basedOn w:val="Normal"/>
    <w:next w:val="Normal"/>
    <w:autoRedefine/>
    <w:unhideWhenUsed/>
    <w:rsid w:val="00083CA4"/>
    <w:pPr>
      <w:spacing w:after="100" w:line="240" w:lineRule="auto"/>
      <w:ind w:left="440"/>
    </w:pPr>
    <w:rPr>
      <w:rFonts w:ascii="Calibri" w:hAnsi="Calibri" w:cs="Calibri"/>
    </w:rPr>
  </w:style>
  <w:style w:type="paragraph" w:styleId="TDC2">
    <w:name w:val="toc 2"/>
    <w:basedOn w:val="Normal"/>
    <w:next w:val="Normal"/>
    <w:autoRedefine/>
    <w:unhideWhenUsed/>
    <w:rsid w:val="00083CA4"/>
    <w:pPr>
      <w:spacing w:after="100" w:line="240" w:lineRule="auto"/>
      <w:ind w:left="220"/>
    </w:pPr>
    <w:rPr>
      <w:rFonts w:ascii="Calibri" w:hAnsi="Calibri" w:cs="Calibri"/>
    </w:rPr>
  </w:style>
  <w:style w:type="paragraph" w:customStyle="1" w:styleId="Titulo3">
    <w:name w:val="Titulo 3"/>
    <w:basedOn w:val="Ttulo3"/>
    <w:rsid w:val="00083CA4"/>
    <w:pPr>
      <w:numPr>
        <w:ilvl w:val="2"/>
        <w:numId w:val="20"/>
      </w:numPr>
      <w:autoSpaceDE/>
      <w:autoSpaceDN/>
      <w:adjustRightInd/>
      <w:spacing w:after="240"/>
      <w:jc w:val="both"/>
    </w:pPr>
    <w:rPr>
      <w:rFonts w:ascii="Book Antiqua" w:hAnsi="Book Antiqua" w:cs="Times New Roman"/>
      <w:bCs w:val="0"/>
      <w:color w:val="1F3864"/>
      <w:sz w:val="22"/>
      <w:szCs w:val="18"/>
      <w:lang w:val="es-MX"/>
    </w:rPr>
  </w:style>
  <w:style w:type="paragraph" w:customStyle="1" w:styleId="Pa2">
    <w:name w:val="Pa2"/>
    <w:next w:val="Normal"/>
    <w:uiPriority w:val="99"/>
    <w:rsid w:val="00083CA4"/>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paragraph" w:customStyle="1" w:styleId="pf0">
    <w:name w:val="pf0"/>
    <w:basedOn w:val="Normal"/>
    <w:rsid w:val="00083CA4"/>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cf01">
    <w:name w:val="cf01"/>
    <w:basedOn w:val="Fuentedeprrafopredeter"/>
    <w:rsid w:val="00083CA4"/>
    <w:rPr>
      <w:rFonts w:ascii="Segoe UI" w:hAnsi="Segoe UI" w:cs="Segoe UI" w:hint="default"/>
      <w:sz w:val="18"/>
      <w:szCs w:val="18"/>
    </w:rPr>
  </w:style>
  <w:style w:type="character" w:customStyle="1" w:styleId="cf11">
    <w:name w:val="cf11"/>
    <w:basedOn w:val="Fuentedeprrafopredeter"/>
    <w:rsid w:val="00083CA4"/>
    <w:rPr>
      <w:rFonts w:ascii="Segoe UI" w:hAnsi="Segoe UI" w:cs="Segoe UI" w:hint="default"/>
      <w:sz w:val="18"/>
      <w:szCs w:val="18"/>
    </w:rPr>
  </w:style>
  <w:style w:type="table" w:customStyle="1" w:styleId="Tabladecuadrcula4-nfasis51">
    <w:name w:val="Tabla de cuadrícula 4 - Énfasis 51"/>
    <w:basedOn w:val="Tablanormal"/>
    <w:next w:val="Tablaconcuadrcula4-nfasis5"/>
    <w:uiPriority w:val="49"/>
    <w:rsid w:val="00083CA4"/>
    <w:pPr>
      <w:spacing w:after="0" w:line="240" w:lineRule="auto"/>
    </w:pPr>
    <w:rPr>
      <w:rFonts w:ascii="Calibri" w:eastAsia="Calibri" w:hAnsi="Calibri" w:cs="Times New Roman"/>
      <w:sz w:val="20"/>
      <w:szCs w:val="20"/>
      <w:lang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CharChar">
    <w:name w:val="Char Char"/>
    <w:basedOn w:val="Normal"/>
    <w:semiHidden/>
    <w:rsid w:val="00083CA4"/>
    <w:pPr>
      <w:spacing w:line="240" w:lineRule="exact"/>
    </w:pPr>
    <w:rPr>
      <w:rFonts w:ascii="Verdana" w:eastAsia="Times New Roman" w:hAnsi="Verdana" w:cs="Verdana"/>
      <w:sz w:val="20"/>
      <w:szCs w:val="20"/>
      <w:lang w:val="en-AU"/>
    </w:rPr>
  </w:style>
  <w:style w:type="character" w:customStyle="1" w:styleId="CarCar2">
    <w:name w:val="Car Car2"/>
    <w:rsid w:val="00083CA4"/>
    <w:rPr>
      <w:rFonts w:cs="Times New Roman"/>
      <w:lang w:val="es-ES" w:eastAsia="es-ES"/>
    </w:rPr>
  </w:style>
  <w:style w:type="paragraph" w:customStyle="1" w:styleId="Textbody">
    <w:name w:val="Text body"/>
    <w:basedOn w:val="Normal"/>
    <w:rsid w:val="00083CA4"/>
    <w:pPr>
      <w:suppressAutoHyphens/>
      <w:autoSpaceDN w:val="0"/>
      <w:spacing w:after="0" w:line="240" w:lineRule="auto"/>
    </w:pPr>
    <w:rPr>
      <w:rFonts w:ascii="Times New Roman" w:eastAsia="Batang, 바탕" w:hAnsi="Times New Roman" w:cs="Times New Roman"/>
      <w:kern w:val="3"/>
      <w:sz w:val="18"/>
      <w:szCs w:val="24"/>
      <w:lang w:eastAsia="zh-CN"/>
    </w:rPr>
  </w:style>
  <w:style w:type="paragraph" w:customStyle="1" w:styleId="Normal1">
    <w:name w:val="Normal1"/>
    <w:rsid w:val="00083CA4"/>
    <w:pPr>
      <w:spacing w:after="200" w:line="276" w:lineRule="auto"/>
    </w:pPr>
    <w:rPr>
      <w:rFonts w:ascii="Calibri" w:eastAsia="Calibri" w:hAnsi="Calibri" w:cs="Calibri"/>
      <w:color w:val="000000"/>
      <w:lang w:val="es-ES" w:eastAsia="es-ES"/>
    </w:rPr>
  </w:style>
  <w:style w:type="character" w:styleId="Refdenotaalfinal">
    <w:name w:val="endnote reference"/>
    <w:rsid w:val="00083CA4"/>
    <w:rPr>
      <w:vertAlign w:val="superscript"/>
    </w:rPr>
  </w:style>
  <w:style w:type="character" w:customStyle="1" w:styleId="apple-converted-space">
    <w:name w:val="apple-converted-space"/>
    <w:rsid w:val="00083CA4"/>
  </w:style>
  <w:style w:type="character" w:customStyle="1" w:styleId="ElacuerdoCar">
    <w:name w:val="El acuerdo Car"/>
    <w:link w:val="Elacuerdo"/>
    <w:locked/>
    <w:rsid w:val="00083CA4"/>
  </w:style>
  <w:style w:type="paragraph" w:customStyle="1" w:styleId="Elacuerdo">
    <w:name w:val="El acuerdo"/>
    <w:basedOn w:val="Normal"/>
    <w:link w:val="ElacuerdoCar"/>
    <w:rsid w:val="00083CA4"/>
    <w:pPr>
      <w:autoSpaceDE w:val="0"/>
      <w:autoSpaceDN w:val="0"/>
      <w:spacing w:before="120" w:after="120" w:line="480" w:lineRule="auto"/>
      <w:ind w:firstLine="708"/>
      <w:jc w:val="both"/>
    </w:pPr>
  </w:style>
  <w:style w:type="character" w:customStyle="1" w:styleId="AcueryAnteCar">
    <w:name w:val="Acuer y Ante Car"/>
    <w:link w:val="AcueryAnte"/>
    <w:locked/>
    <w:rsid w:val="00083CA4"/>
    <w:rPr>
      <w:rFonts w:ascii="Batang" w:eastAsia="Batang"/>
      <w:color w:val="000099"/>
    </w:rPr>
  </w:style>
  <w:style w:type="paragraph" w:customStyle="1" w:styleId="AcueryAnte">
    <w:name w:val="Acuer y Ante"/>
    <w:basedOn w:val="Normal"/>
    <w:link w:val="AcueryAnteCar"/>
    <w:rsid w:val="00083CA4"/>
    <w:pPr>
      <w:spacing w:after="0" w:line="480" w:lineRule="auto"/>
      <w:ind w:firstLine="708"/>
      <w:jc w:val="both"/>
    </w:pPr>
    <w:rPr>
      <w:rFonts w:ascii="Batang" w:eastAsia="Batang"/>
      <w:color w:val="000099"/>
    </w:rPr>
  </w:style>
  <w:style w:type="paragraph" w:customStyle="1" w:styleId="SingleTxtG">
    <w:name w:val="_ Single Txt_G"/>
    <w:basedOn w:val="Normal"/>
    <w:uiPriority w:val="99"/>
    <w:rsid w:val="00083CA4"/>
    <w:pPr>
      <w:spacing w:after="120" w:line="240" w:lineRule="atLeast"/>
      <w:ind w:left="1134" w:right="1134"/>
      <w:jc w:val="both"/>
    </w:pPr>
    <w:rPr>
      <w:rFonts w:ascii="Times New Roman" w:eastAsia="Calibri" w:hAnsi="Times New Roman" w:cs="Times New Roman"/>
      <w:sz w:val="20"/>
      <w:szCs w:val="20"/>
      <w:lang w:eastAsia="es-CR"/>
    </w:rPr>
  </w:style>
  <w:style w:type="character" w:customStyle="1" w:styleId="AgestinCar">
    <w:name w:val="A gestión Car"/>
    <w:link w:val="Agestin"/>
    <w:locked/>
    <w:rsid w:val="00083CA4"/>
    <w:rPr>
      <w:color w:val="000099"/>
    </w:rPr>
  </w:style>
  <w:style w:type="paragraph" w:customStyle="1" w:styleId="Agestin">
    <w:name w:val="A gestión"/>
    <w:basedOn w:val="Normal"/>
    <w:link w:val="AgestinCar"/>
    <w:rsid w:val="00083CA4"/>
    <w:pPr>
      <w:spacing w:before="120" w:after="120" w:line="240" w:lineRule="auto"/>
      <w:ind w:left="851" w:right="851" w:firstLine="567"/>
      <w:jc w:val="both"/>
    </w:pPr>
    <w:rPr>
      <w:color w:val="000099"/>
    </w:rPr>
  </w:style>
  <w:style w:type="paragraph" w:customStyle="1" w:styleId="Contenidodelatabla">
    <w:name w:val="Contenido de la tabla"/>
    <w:basedOn w:val="Predeterminado"/>
    <w:qFormat/>
    <w:rsid w:val="00083CA4"/>
  </w:style>
  <w:style w:type="paragraph" w:customStyle="1" w:styleId="xxmsonormal">
    <w:name w:val="x_x_msonormal"/>
    <w:basedOn w:val="Normal"/>
    <w:uiPriority w:val="99"/>
    <w:rsid w:val="00083CA4"/>
    <w:pPr>
      <w:spacing w:after="0" w:line="240" w:lineRule="auto"/>
    </w:pPr>
    <w:rPr>
      <w:rFonts w:ascii="Times New Roman" w:eastAsia="Calibri" w:hAnsi="Times New Roman" w:cs="Times New Roman"/>
      <w:sz w:val="24"/>
      <w:szCs w:val="24"/>
      <w:lang w:eastAsia="es-CR"/>
    </w:rPr>
  </w:style>
  <w:style w:type="table" w:styleId="Tablamoderna">
    <w:name w:val="Table Contemporary"/>
    <w:basedOn w:val="Tablanormal"/>
    <w:rsid w:val="00083CA4"/>
    <w:pPr>
      <w:spacing w:after="0" w:line="240" w:lineRule="auto"/>
    </w:pPr>
    <w:rPr>
      <w:rFonts w:ascii="Times New Roman" w:eastAsia="Times New Roman" w:hAnsi="Times New Roman" w:cs="Times New Roman"/>
      <w:sz w:val="20"/>
      <w:szCs w:val="20"/>
      <w:lang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cuadrcula4-nfasis3">
    <w:name w:val="Grid Table 4 Accent 3"/>
    <w:basedOn w:val="Tablanormal"/>
    <w:uiPriority w:val="49"/>
    <w:rsid w:val="00083CA4"/>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Textosinformato">
    <w:name w:val="Plain Text"/>
    <w:basedOn w:val="Normal"/>
    <w:link w:val="TextosinformatoCar"/>
    <w:uiPriority w:val="99"/>
    <w:unhideWhenUsed/>
    <w:qFormat/>
    <w:rsid w:val="00083CA4"/>
    <w:pPr>
      <w:spacing w:before="100" w:beforeAutospacing="1" w:after="100" w:afterAutospacing="1" w:line="240" w:lineRule="auto"/>
    </w:pPr>
    <w:rPr>
      <w:rFonts w:ascii="Calibri" w:hAnsi="Calibri" w:cs="Times New Roman"/>
      <w:color w:val="000000"/>
    </w:rPr>
  </w:style>
  <w:style w:type="character" w:customStyle="1" w:styleId="TextosinformatoCar">
    <w:name w:val="Texto sin formato Car"/>
    <w:basedOn w:val="Fuentedeprrafopredeter"/>
    <w:link w:val="Textosinformato"/>
    <w:uiPriority w:val="99"/>
    <w:rsid w:val="00083CA4"/>
    <w:rPr>
      <w:rFonts w:ascii="Calibri" w:hAnsi="Calibri" w:cs="Times New Roman"/>
      <w:color w:val="000000"/>
    </w:rPr>
  </w:style>
  <w:style w:type="character" w:customStyle="1" w:styleId="Fuentedeprrafopredeter21">
    <w:name w:val="Fuente de párrafo predeter.21"/>
    <w:rsid w:val="00083CA4"/>
  </w:style>
  <w:style w:type="paragraph" w:customStyle="1" w:styleId="xmsofootnotetext">
    <w:name w:val="x_msofootnotetext"/>
    <w:basedOn w:val="Normal"/>
    <w:rsid w:val="00083CA4"/>
    <w:pPr>
      <w:spacing w:before="100" w:beforeAutospacing="1" w:after="100" w:afterAutospacing="1" w:line="240" w:lineRule="auto"/>
    </w:pPr>
    <w:rPr>
      <w:rFonts w:ascii="Times New Roman" w:eastAsia="Times New Roman" w:hAnsi="Times New Roman" w:cs="Times New Roman"/>
      <w:sz w:val="24"/>
      <w:szCs w:val="24"/>
      <w:u w:color="000000"/>
      <w:lang w:val="es-ES" w:eastAsia="es-ES"/>
    </w:rPr>
  </w:style>
  <w:style w:type="paragraph" w:customStyle="1" w:styleId="n">
    <w:name w:val="n"/>
    <w:basedOn w:val="Normal"/>
    <w:rsid w:val="00083CA4"/>
    <w:pPr>
      <w:spacing w:after="0" w:line="240" w:lineRule="auto"/>
    </w:pPr>
    <w:rPr>
      <w:rFonts w:ascii="Calibri" w:eastAsia="Times New Roman" w:hAnsi="Calibri" w:cs="Times New Roman"/>
      <w:sz w:val="24"/>
      <w:szCs w:val="24"/>
      <w:u w:color="000000"/>
      <w:lang w:val="es-ES" w:eastAsia="es-ES"/>
    </w:rPr>
  </w:style>
  <w:style w:type="paragraph" w:customStyle="1" w:styleId="Cuerpodetexto">
    <w:name w:val="Cuerpo de texto"/>
    <w:basedOn w:val="Normal"/>
    <w:rsid w:val="00083CA4"/>
    <w:pPr>
      <w:tabs>
        <w:tab w:val="left" w:pos="708"/>
      </w:tabs>
      <w:suppressAutoHyphens/>
      <w:spacing w:after="120" w:line="100" w:lineRule="atLeast"/>
    </w:pPr>
    <w:rPr>
      <w:rFonts w:ascii="Times New Roman" w:eastAsia="Times New Roman" w:hAnsi="Times New Roman" w:cs="Times New Roman"/>
      <w:sz w:val="24"/>
      <w:szCs w:val="24"/>
      <w:u w:color="000000"/>
      <w:lang w:eastAsia="es-ES" w:bidi="hi-IN"/>
    </w:rPr>
  </w:style>
  <w:style w:type="paragraph" w:customStyle="1" w:styleId="yiv33492148msolistparagraph">
    <w:name w:val="yiv33492148msolistparagraph"/>
    <w:basedOn w:val="Normal"/>
    <w:rsid w:val="00083CA4"/>
    <w:pPr>
      <w:spacing w:before="100" w:beforeAutospacing="1" w:after="100" w:afterAutospacing="1" w:line="240" w:lineRule="auto"/>
    </w:pPr>
    <w:rPr>
      <w:rFonts w:ascii="Times New Roman" w:eastAsia="Times New Roman" w:hAnsi="Times New Roman" w:cs="Times New Roman"/>
      <w:sz w:val="24"/>
      <w:szCs w:val="24"/>
      <w:u w:color="000000"/>
      <w:lang w:eastAsia="es-CR"/>
    </w:rPr>
  </w:style>
  <w:style w:type="character" w:customStyle="1" w:styleId="TextosinformatoCar1">
    <w:name w:val="Texto sin formato Car1"/>
    <w:basedOn w:val="Fuentedeprrafopredeter"/>
    <w:uiPriority w:val="99"/>
    <w:semiHidden/>
    <w:rsid w:val="00083CA4"/>
    <w:rPr>
      <w:rFonts w:ascii="Consolas" w:eastAsia="Times New Roman" w:hAnsi="Consolas" w:cs="Arial"/>
      <w:sz w:val="21"/>
      <w:szCs w:val="21"/>
      <w:u w:color="000000"/>
      <w:shd w:val="clear" w:color="auto" w:fill="FFFFFF"/>
      <w:lang w:val="es-ES" w:eastAsia="es-ES"/>
    </w:rPr>
  </w:style>
  <w:style w:type="paragraph" w:customStyle="1" w:styleId="heading5">
    <w:name w:val="heading5"/>
    <w:basedOn w:val="Normal"/>
    <w:rsid w:val="00083CA4"/>
    <w:pPr>
      <w:keepNext/>
      <w:shd w:val="clear" w:color="auto" w:fill="FFFFFF"/>
      <w:spacing w:after="0" w:line="240" w:lineRule="auto"/>
      <w:jc w:val="center"/>
    </w:pPr>
    <w:rPr>
      <w:rFonts w:ascii="Times New Roman" w:eastAsia="Times New Roman" w:hAnsi="Times New Roman" w:cs="Times New Roman"/>
      <w:b/>
      <w:bCs/>
      <w:i/>
      <w:iCs/>
      <w:sz w:val="26"/>
      <w:szCs w:val="26"/>
      <w:u w:val="single" w:color="000000"/>
      <w:lang w:val="es-ES" w:eastAsia="es-ES"/>
    </w:rPr>
  </w:style>
  <w:style w:type="paragraph" w:styleId="Textoindependienteprimerasangra2">
    <w:name w:val="Body Text First Indent 2"/>
    <w:basedOn w:val="Sangradetextonormal"/>
    <w:link w:val="Textoindependienteprimerasangra2Car"/>
    <w:uiPriority w:val="99"/>
    <w:unhideWhenUsed/>
    <w:rsid w:val="00083CA4"/>
    <w:pPr>
      <w:shd w:val="clear" w:color="auto" w:fill="FFFFFF"/>
      <w:spacing w:after="0"/>
      <w:ind w:left="360" w:firstLine="360"/>
      <w:jc w:val="both"/>
    </w:pPr>
    <w:rPr>
      <w:u w:color="000000"/>
    </w:rPr>
  </w:style>
  <w:style w:type="character" w:customStyle="1" w:styleId="Textoindependienteprimerasangra2Car">
    <w:name w:val="Texto independiente primera sangría 2 Car"/>
    <w:basedOn w:val="SangradetextonormalCar"/>
    <w:link w:val="Textoindependienteprimerasangra2"/>
    <w:uiPriority w:val="99"/>
    <w:rsid w:val="00083CA4"/>
    <w:rPr>
      <w:rFonts w:ascii="Arial" w:eastAsia="Times New Roman" w:hAnsi="Arial" w:cs="Arial"/>
      <w:sz w:val="24"/>
      <w:szCs w:val="24"/>
      <w:u w:color="000000"/>
      <w:shd w:val="clear" w:color="auto" w:fill="FFFFFF"/>
      <w:lang w:val="es-ES" w:eastAsia="es-ES"/>
    </w:rPr>
  </w:style>
  <w:style w:type="paragraph" w:styleId="Lista2">
    <w:name w:val="List 2"/>
    <w:basedOn w:val="Normal"/>
    <w:rsid w:val="00083CA4"/>
    <w:pPr>
      <w:spacing w:after="0" w:line="240" w:lineRule="auto"/>
      <w:ind w:left="566" w:hanging="283"/>
      <w:contextualSpacing/>
    </w:pPr>
    <w:rPr>
      <w:rFonts w:ascii="Times New Roman" w:eastAsia="Times New Roman" w:hAnsi="Times New Roman" w:cs="Times New Roman"/>
      <w:sz w:val="24"/>
      <w:szCs w:val="24"/>
      <w:u w:color="000000"/>
      <w:lang w:eastAsia="es-ES"/>
    </w:rPr>
  </w:style>
  <w:style w:type="paragraph" w:styleId="Lista3">
    <w:name w:val="List 3"/>
    <w:basedOn w:val="Normal"/>
    <w:unhideWhenUsed/>
    <w:rsid w:val="00083CA4"/>
    <w:pPr>
      <w:spacing w:after="0" w:line="240" w:lineRule="auto"/>
      <w:ind w:left="849" w:hanging="283"/>
      <w:contextualSpacing/>
    </w:pPr>
    <w:rPr>
      <w:rFonts w:ascii="Times New Roman" w:eastAsia="Times New Roman" w:hAnsi="Times New Roman" w:cs="Times New Roman"/>
      <w:sz w:val="24"/>
      <w:szCs w:val="24"/>
      <w:u w:color="000000"/>
      <w:lang w:eastAsia="es-ES"/>
    </w:rPr>
  </w:style>
  <w:style w:type="character" w:customStyle="1" w:styleId="contextualspellingandgrammarerror">
    <w:name w:val="contextualspellingandgrammarerror"/>
    <w:basedOn w:val="Fuentedeprrafopredeter"/>
    <w:rsid w:val="00083CA4"/>
  </w:style>
  <w:style w:type="character" w:customStyle="1" w:styleId="WW8Num13z2">
    <w:name w:val="WW8Num13z2"/>
    <w:rsid w:val="00083CA4"/>
    <w:rPr>
      <w:rFonts w:ascii="Wingdings" w:hAnsi="Wingdings" w:cs="Wingdings"/>
    </w:rPr>
  </w:style>
  <w:style w:type="table" w:styleId="Cuadrculaclara-nfasis6">
    <w:name w:val="Light Grid Accent 6"/>
    <w:basedOn w:val="Tablanormal"/>
    <w:uiPriority w:val="62"/>
    <w:unhideWhenUsed/>
    <w:rsid w:val="00083CA4"/>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paragraph" w:styleId="Cita">
    <w:name w:val="Quote"/>
    <w:basedOn w:val="Normal"/>
    <w:next w:val="Normal"/>
    <w:link w:val="CitaCar"/>
    <w:uiPriority w:val="29"/>
    <w:qFormat/>
    <w:rsid w:val="00083CA4"/>
    <w:pPr>
      <w:spacing w:before="200"/>
      <w:ind w:left="864" w:right="864"/>
      <w:jc w:val="center"/>
    </w:pPr>
    <w:rPr>
      <w:rFonts w:eastAsia="Times New Roman"/>
      <w:color w:val="44546A"/>
      <w:sz w:val="24"/>
      <w:szCs w:val="24"/>
    </w:rPr>
  </w:style>
  <w:style w:type="character" w:customStyle="1" w:styleId="CitaCar1">
    <w:name w:val="Cita Car1"/>
    <w:basedOn w:val="Fuentedeprrafopredeter"/>
    <w:uiPriority w:val="29"/>
    <w:rsid w:val="00083CA4"/>
    <w:rPr>
      <w:i/>
      <w:iCs/>
      <w:color w:val="404040" w:themeColor="text1" w:themeTint="BF"/>
    </w:rPr>
  </w:style>
  <w:style w:type="paragraph" w:styleId="Citadestacada">
    <w:name w:val="Intense Quote"/>
    <w:basedOn w:val="Normal"/>
    <w:next w:val="Normal"/>
    <w:link w:val="CitadestacadaCar"/>
    <w:uiPriority w:val="30"/>
    <w:qFormat/>
    <w:rsid w:val="00083CA4"/>
    <w:pPr>
      <w:pBdr>
        <w:top w:val="single" w:sz="4" w:space="10" w:color="5B9BD5" w:themeColor="accent1"/>
        <w:bottom w:val="single" w:sz="4" w:space="10" w:color="5B9BD5" w:themeColor="accent1"/>
      </w:pBdr>
      <w:spacing w:before="360" w:after="360"/>
      <w:ind w:left="864" w:right="864"/>
      <w:jc w:val="center"/>
    </w:pPr>
    <w:rPr>
      <w:rFonts w:ascii="Calibri Light" w:eastAsia="Times New Roman" w:hAnsi="Calibri Light" w:cs="Times New Roman"/>
      <w:color w:val="44546A"/>
      <w:spacing w:val="-6"/>
      <w:sz w:val="32"/>
      <w:szCs w:val="32"/>
    </w:rPr>
  </w:style>
  <w:style w:type="character" w:customStyle="1" w:styleId="CitadestacadaCar1">
    <w:name w:val="Cita destacada Car1"/>
    <w:basedOn w:val="Fuentedeprrafopredeter"/>
    <w:uiPriority w:val="30"/>
    <w:rsid w:val="00083CA4"/>
    <w:rPr>
      <w:i/>
      <w:iCs/>
      <w:color w:val="5B9BD5" w:themeColor="accent1"/>
    </w:rPr>
  </w:style>
  <w:style w:type="character" w:styleId="nfasissutil">
    <w:name w:val="Subtle Emphasis"/>
    <w:basedOn w:val="Fuentedeprrafopredeter"/>
    <w:uiPriority w:val="19"/>
    <w:qFormat/>
    <w:rsid w:val="00083CA4"/>
    <w:rPr>
      <w:i/>
      <w:iCs/>
      <w:color w:val="404040" w:themeColor="text1" w:themeTint="BF"/>
    </w:rPr>
  </w:style>
  <w:style w:type="character" w:styleId="Referenciasutil">
    <w:name w:val="Subtle Reference"/>
    <w:basedOn w:val="Fuentedeprrafopredeter"/>
    <w:uiPriority w:val="31"/>
    <w:qFormat/>
    <w:rsid w:val="00083CA4"/>
    <w:rPr>
      <w:smallCaps/>
      <w:color w:val="5A5A5A" w:themeColor="text1" w:themeTint="A5"/>
    </w:rPr>
  </w:style>
  <w:style w:type="character" w:styleId="Referenciaintensa">
    <w:name w:val="Intense Reference"/>
    <w:basedOn w:val="Fuentedeprrafopredeter"/>
    <w:uiPriority w:val="32"/>
    <w:qFormat/>
    <w:rsid w:val="00083CA4"/>
    <w:rPr>
      <w:b/>
      <w:bCs/>
      <w:smallCaps/>
      <w:color w:val="5B9BD5" w:themeColor="accent1"/>
      <w:spacing w:val="5"/>
    </w:rPr>
  </w:style>
  <w:style w:type="table" w:styleId="Tablaconcuadrcula1clara-nfasis1">
    <w:name w:val="Grid Table 1 Light Accent 1"/>
    <w:basedOn w:val="Tablanormal"/>
    <w:uiPriority w:val="46"/>
    <w:rsid w:val="00083CA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Listaconvietas">
    <w:name w:val="List Bullet"/>
    <w:aliases w:val="UL"/>
    <w:basedOn w:val="Normal"/>
    <w:uiPriority w:val="99"/>
    <w:unhideWhenUsed/>
    <w:rsid w:val="00083CA4"/>
    <w:pPr>
      <w:numPr>
        <w:numId w:val="1"/>
      </w:numPr>
      <w:contextualSpacing/>
    </w:pPr>
  </w:style>
  <w:style w:type="paragraph" w:styleId="Continuarlista">
    <w:name w:val="List Continue"/>
    <w:basedOn w:val="Normal"/>
    <w:uiPriority w:val="99"/>
    <w:unhideWhenUsed/>
    <w:rsid w:val="00083CA4"/>
    <w:pPr>
      <w:spacing w:after="120"/>
      <w:ind w:left="283"/>
      <w:contextualSpacing/>
    </w:pPr>
  </w:style>
  <w:style w:type="table" w:styleId="Tablaconcuadrcula4-nfasis5">
    <w:name w:val="Grid Table 4 Accent 5"/>
    <w:basedOn w:val="Tablanormal"/>
    <w:uiPriority w:val="49"/>
    <w:rsid w:val="00083CA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ng-binding">
    <w:name w:val="ng-binding"/>
    <w:basedOn w:val="Fuentedeprrafopredeter"/>
    <w:rsid w:val="004D76F5"/>
  </w:style>
  <w:style w:type="paragraph" w:styleId="TtuloTDC">
    <w:name w:val="TOC Heading"/>
    <w:basedOn w:val="Ttulo1"/>
    <w:next w:val="Normal"/>
    <w:uiPriority w:val="39"/>
    <w:unhideWhenUsed/>
    <w:qFormat/>
    <w:rsid w:val="005218C2"/>
    <w:pPr>
      <w:keepLines/>
      <w:shd w:val="clear" w:color="auto" w:fill="auto"/>
      <w:autoSpaceDE/>
      <w:autoSpaceDN/>
      <w:spacing w:before="400" w:after="40"/>
      <w:jc w:val="left"/>
      <w:outlineLvl w:val="9"/>
    </w:pPr>
    <w:rPr>
      <w:rFonts w:asciiTheme="majorHAnsi" w:eastAsiaTheme="majorEastAsia" w:hAnsiTheme="majorHAnsi" w:cstheme="majorBidi"/>
      <w:color w:val="1F4E79" w:themeColor="accent1" w:themeShade="80"/>
      <w:sz w:val="36"/>
      <w:szCs w:val="36"/>
      <w:lang w:eastAsia="en-US"/>
    </w:rPr>
  </w:style>
  <w:style w:type="character" w:styleId="Mencionar">
    <w:name w:val="Mention"/>
    <w:uiPriority w:val="99"/>
    <w:unhideWhenUsed/>
    <w:rsid w:val="005218C2"/>
    <w:rPr>
      <w:color w:val="2B579A"/>
      <w:shd w:val="clear" w:color="auto" w:fill="E6E6E6"/>
    </w:rPr>
  </w:style>
  <w:style w:type="character" w:styleId="Mencinsinresolver">
    <w:name w:val="Unresolved Mention"/>
    <w:basedOn w:val="Fuentedeprrafopredeter"/>
    <w:uiPriority w:val="99"/>
    <w:unhideWhenUsed/>
    <w:rsid w:val="005218C2"/>
    <w:rPr>
      <w:color w:val="605E5C"/>
      <w:shd w:val="clear" w:color="auto" w:fill="E1DFDD"/>
    </w:rPr>
  </w:style>
  <w:style w:type="paragraph" w:customStyle="1" w:styleId="Normal0">
    <w:name w:val="[Normal]"/>
    <w:uiPriority w:val="99"/>
    <w:rsid w:val="005218C2"/>
    <w:pPr>
      <w:widowControl w:val="0"/>
      <w:autoSpaceDE w:val="0"/>
      <w:autoSpaceDN w:val="0"/>
      <w:adjustRightInd w:val="0"/>
      <w:spacing w:after="0" w:line="240" w:lineRule="auto"/>
    </w:pPr>
    <w:rPr>
      <w:rFonts w:ascii="Arial" w:hAnsi="Arial" w:cs="Arial"/>
      <w:sz w:val="24"/>
      <w:szCs w:val="24"/>
      <w:lang w:val="x-none"/>
    </w:rPr>
  </w:style>
  <w:style w:type="paragraph" w:customStyle="1" w:styleId="BODY">
    <w:name w:val="BODY"/>
    <w:basedOn w:val="Normal0"/>
    <w:uiPriority w:val="99"/>
    <w:rsid w:val="008A3FEC"/>
  </w:style>
  <w:style w:type="numbering" w:customStyle="1" w:styleId="Sinlista2">
    <w:name w:val="Sin lista2"/>
    <w:next w:val="Sinlista"/>
    <w:uiPriority w:val="99"/>
    <w:semiHidden/>
    <w:unhideWhenUsed/>
    <w:rsid w:val="0085505C"/>
  </w:style>
  <w:style w:type="numbering" w:customStyle="1" w:styleId="Sinlista12">
    <w:name w:val="Sin lista12"/>
    <w:next w:val="Sinlista"/>
    <w:uiPriority w:val="99"/>
    <w:semiHidden/>
    <w:unhideWhenUsed/>
    <w:rsid w:val="0085505C"/>
  </w:style>
  <w:style w:type="paragraph" w:customStyle="1" w:styleId="antecedente">
    <w:name w:val="antecedente"/>
    <w:basedOn w:val="Normal"/>
    <w:link w:val="antecedenteCar"/>
    <w:qFormat/>
    <w:rsid w:val="002A7673"/>
    <w:pPr>
      <w:suppressAutoHyphens/>
      <w:spacing w:before="100" w:beforeAutospacing="1" w:after="100" w:afterAutospacing="1" w:line="480" w:lineRule="auto"/>
      <w:ind w:firstLine="708"/>
      <w:jc w:val="both"/>
    </w:pPr>
    <w:rPr>
      <w:rFonts w:ascii="Times New Roman" w:eastAsia="Times New Roman" w:hAnsi="Times New Roman" w:cs="Times New Roman"/>
      <w:bCs/>
      <w:sz w:val="28"/>
      <w:szCs w:val="28"/>
      <w:lang w:val="es-ES" w:eastAsia="x-none"/>
    </w:rPr>
  </w:style>
  <w:style w:type="character" w:customStyle="1" w:styleId="antecedenteCar">
    <w:name w:val="antecedente Car"/>
    <w:link w:val="antecedente"/>
    <w:rsid w:val="002A7673"/>
    <w:rPr>
      <w:rFonts w:ascii="Times New Roman" w:eastAsia="Times New Roman" w:hAnsi="Times New Roman" w:cs="Times New Roman"/>
      <w:bCs/>
      <w:sz w:val="28"/>
      <w:szCs w:val="28"/>
      <w:lang w:val="es-ES" w:eastAsia="x-none"/>
    </w:rPr>
  </w:style>
  <w:style w:type="paragraph" w:customStyle="1" w:styleId="Antecedente0">
    <w:name w:val="Antecedente"/>
    <w:basedOn w:val="Normal"/>
    <w:link w:val="AntecedenteCar0"/>
    <w:qFormat/>
    <w:rsid w:val="002A7673"/>
    <w:pPr>
      <w:suppressAutoHyphens/>
      <w:spacing w:before="100" w:beforeAutospacing="1" w:after="100" w:afterAutospacing="1" w:line="480" w:lineRule="auto"/>
      <w:ind w:firstLine="708"/>
      <w:jc w:val="both"/>
    </w:pPr>
    <w:rPr>
      <w:rFonts w:ascii="Times New Roman" w:eastAsia="Times New Roman" w:hAnsi="Times New Roman" w:cs="Times New Roman"/>
      <w:bCs/>
      <w:sz w:val="28"/>
      <w:szCs w:val="28"/>
      <w:lang w:val="es-ES" w:eastAsia="es-CR"/>
    </w:rPr>
  </w:style>
  <w:style w:type="character" w:customStyle="1" w:styleId="AntecedenteCar0">
    <w:name w:val="Antecedente Car"/>
    <w:link w:val="Antecedente0"/>
    <w:rsid w:val="002A7673"/>
    <w:rPr>
      <w:rFonts w:ascii="Times New Roman" w:eastAsia="Times New Roman" w:hAnsi="Times New Roman" w:cs="Times New Roman"/>
      <w:bCs/>
      <w:sz w:val="28"/>
      <w:szCs w:val="28"/>
      <w:lang w:val="es-ES" w:eastAsia="es-CR"/>
    </w:rPr>
  </w:style>
  <w:style w:type="paragraph" w:customStyle="1" w:styleId="AAGestin">
    <w:name w:val="AA Gestión"/>
    <w:basedOn w:val="Normal"/>
    <w:link w:val="AAGestinCar"/>
    <w:qFormat/>
    <w:rsid w:val="002A7673"/>
    <w:pPr>
      <w:spacing w:before="120" w:after="120" w:line="240" w:lineRule="auto"/>
      <w:ind w:left="851" w:right="851" w:firstLine="709"/>
      <w:jc w:val="both"/>
    </w:pPr>
    <w:rPr>
      <w:rFonts w:ascii="Times New Roman" w:eastAsia="Times New Roman" w:hAnsi="Times New Roman" w:cs="Times New Roman"/>
      <w:color w:val="000099"/>
      <w:sz w:val="26"/>
      <w:szCs w:val="26"/>
      <w:lang w:val="es-ES_tradnl" w:eastAsia="ar-SA"/>
    </w:rPr>
  </w:style>
  <w:style w:type="character" w:customStyle="1" w:styleId="AAGestinCar">
    <w:name w:val="AA Gestión Car"/>
    <w:link w:val="AAGestin"/>
    <w:rsid w:val="002A7673"/>
    <w:rPr>
      <w:rFonts w:ascii="Times New Roman" w:eastAsia="Times New Roman" w:hAnsi="Times New Roman" w:cs="Times New Roman"/>
      <w:color w:val="000099"/>
      <w:sz w:val="26"/>
      <w:szCs w:val="26"/>
      <w:lang w:val="es-ES_tradnl" w:eastAsia="ar-SA"/>
    </w:rPr>
  </w:style>
  <w:style w:type="table" w:customStyle="1" w:styleId="TableGrid">
    <w:name w:val="TableGrid"/>
    <w:rsid w:val="002A7673"/>
    <w:pPr>
      <w:spacing w:after="0" w:line="240" w:lineRule="auto"/>
    </w:pPr>
    <w:rPr>
      <w:rFonts w:ascii="Calibri" w:eastAsia="Times New Roman" w:hAnsi="Calibri" w:cs="Times New Roman"/>
      <w:lang w:eastAsia="es-CR"/>
    </w:rPr>
    <w:tblPr>
      <w:tblCellMar>
        <w:top w:w="0" w:type="dxa"/>
        <w:left w:w="0" w:type="dxa"/>
        <w:bottom w:w="0" w:type="dxa"/>
        <w:right w:w="0" w:type="dxa"/>
      </w:tblCellMar>
    </w:tblPr>
  </w:style>
  <w:style w:type="numbering" w:customStyle="1" w:styleId="Sinlista3">
    <w:name w:val="Sin lista3"/>
    <w:next w:val="Sinlista"/>
    <w:uiPriority w:val="99"/>
    <w:semiHidden/>
    <w:unhideWhenUsed/>
    <w:rsid w:val="002A7673"/>
  </w:style>
  <w:style w:type="character" w:customStyle="1" w:styleId="TDC1Car">
    <w:name w:val="TDC 1 Car"/>
    <w:link w:val="TDC1"/>
    <w:uiPriority w:val="99"/>
    <w:rsid w:val="002A7673"/>
    <w:rPr>
      <w:rFonts w:ascii="Calibri" w:hAnsi="Calibri" w:cs="Calibri"/>
    </w:rPr>
  </w:style>
  <w:style w:type="character" w:customStyle="1" w:styleId="Fuentedeprrafopredeter3">
    <w:name w:val="Fuente de párrafo predeter.3"/>
    <w:rsid w:val="002A7673"/>
  </w:style>
  <w:style w:type="character" w:customStyle="1" w:styleId="Absatz-Standardschriftart">
    <w:name w:val="Absatz-Standardschriftart"/>
    <w:rsid w:val="002A7673"/>
  </w:style>
  <w:style w:type="character" w:customStyle="1" w:styleId="WW-Absatz-Standardschriftart">
    <w:name w:val="WW-Absatz-Standardschriftart"/>
    <w:rsid w:val="002A7673"/>
  </w:style>
  <w:style w:type="character" w:customStyle="1" w:styleId="Fuentedeprrafopredeter2">
    <w:name w:val="Fuente de párrafo predeter.2"/>
    <w:rsid w:val="002A7673"/>
  </w:style>
  <w:style w:type="character" w:customStyle="1" w:styleId="WW8Num1z0">
    <w:name w:val="WW8Num1z0"/>
    <w:rsid w:val="002A7673"/>
    <w:rPr>
      <w:rFonts w:ascii="Symbol" w:hAnsi="Symbol"/>
    </w:rPr>
  </w:style>
  <w:style w:type="character" w:customStyle="1" w:styleId="Fuentedeprrafopredeter1">
    <w:name w:val="Fuente de párrafo predeter.1"/>
    <w:rsid w:val="002A7673"/>
  </w:style>
  <w:style w:type="character" w:customStyle="1" w:styleId="Vietas">
    <w:name w:val="Viñetas"/>
    <w:rsid w:val="002A7673"/>
    <w:rPr>
      <w:rFonts w:ascii="StarSymbol" w:eastAsia="StarSymbol" w:hAnsi="StarSymbol" w:cs="StarSymbol"/>
      <w:sz w:val="18"/>
      <w:szCs w:val="18"/>
    </w:rPr>
  </w:style>
  <w:style w:type="paragraph" w:customStyle="1" w:styleId="Encabezado3">
    <w:name w:val="Encabezado3"/>
    <w:basedOn w:val="Normal"/>
    <w:next w:val="Textoindependiente"/>
    <w:rsid w:val="002A7673"/>
    <w:pPr>
      <w:keepNext/>
      <w:suppressAutoHyphens/>
      <w:spacing w:before="240" w:after="120" w:line="240" w:lineRule="auto"/>
    </w:pPr>
    <w:rPr>
      <w:rFonts w:ascii="Arial" w:eastAsia="Arial Unicode MS" w:hAnsi="Arial" w:cs="Tahoma"/>
      <w:sz w:val="28"/>
      <w:szCs w:val="28"/>
      <w:lang w:val="es-ES_tradnl" w:eastAsia="ar-SA"/>
    </w:rPr>
  </w:style>
  <w:style w:type="paragraph" w:customStyle="1" w:styleId="Etiqueta">
    <w:name w:val="Etiqueta"/>
    <w:basedOn w:val="Normal"/>
    <w:rsid w:val="002A7673"/>
    <w:pPr>
      <w:suppressLineNumbers/>
      <w:suppressAutoHyphens/>
      <w:spacing w:before="120" w:after="120" w:line="240" w:lineRule="auto"/>
    </w:pPr>
    <w:rPr>
      <w:rFonts w:ascii="Times New Roman" w:eastAsia="Times New Roman" w:hAnsi="Times New Roman" w:cs="Tahoma"/>
      <w:i/>
      <w:iCs/>
      <w:sz w:val="24"/>
      <w:szCs w:val="24"/>
      <w:lang w:val="es-ES_tradnl" w:eastAsia="ar-SA"/>
    </w:rPr>
  </w:style>
  <w:style w:type="paragraph" w:customStyle="1" w:styleId="ndice">
    <w:name w:val="Índice"/>
    <w:basedOn w:val="Normal"/>
    <w:rsid w:val="002A7673"/>
    <w:pPr>
      <w:suppressLineNumbers/>
      <w:suppressAutoHyphens/>
      <w:spacing w:after="0" w:line="240" w:lineRule="auto"/>
    </w:pPr>
    <w:rPr>
      <w:rFonts w:ascii="Times New Roman" w:eastAsia="Times New Roman" w:hAnsi="Times New Roman" w:cs="Tahoma"/>
      <w:sz w:val="20"/>
      <w:szCs w:val="20"/>
      <w:lang w:val="es-ES_tradnl" w:eastAsia="ar-SA"/>
    </w:rPr>
  </w:style>
  <w:style w:type="paragraph" w:customStyle="1" w:styleId="Encabezado2">
    <w:name w:val="Encabezado2"/>
    <w:basedOn w:val="Normal"/>
    <w:next w:val="Textoindependiente"/>
    <w:rsid w:val="002A7673"/>
    <w:pPr>
      <w:keepNext/>
      <w:suppressAutoHyphens/>
      <w:spacing w:before="240" w:after="120" w:line="240" w:lineRule="auto"/>
    </w:pPr>
    <w:rPr>
      <w:rFonts w:ascii="Arial" w:eastAsia="Arial Unicode MS" w:hAnsi="Arial" w:cs="Tahoma"/>
      <w:sz w:val="28"/>
      <w:szCs w:val="28"/>
      <w:lang w:val="es-ES_tradnl" w:eastAsia="ar-SA"/>
    </w:rPr>
  </w:style>
  <w:style w:type="paragraph" w:customStyle="1" w:styleId="Encabezado1">
    <w:name w:val="Encabezado1"/>
    <w:basedOn w:val="Normal"/>
    <w:next w:val="Textoindependiente"/>
    <w:rsid w:val="002A7673"/>
    <w:pPr>
      <w:keepNext/>
      <w:suppressAutoHyphens/>
      <w:spacing w:before="240" w:after="120" w:line="240" w:lineRule="auto"/>
    </w:pPr>
    <w:rPr>
      <w:rFonts w:ascii="Arial" w:eastAsia="Arial Unicode MS" w:hAnsi="Arial" w:cs="Tahoma"/>
      <w:sz w:val="28"/>
      <w:szCs w:val="28"/>
      <w:lang w:val="es-ES_tradnl" w:eastAsia="ar-SA"/>
    </w:rPr>
  </w:style>
  <w:style w:type="character" w:customStyle="1" w:styleId="NormalWebCar1">
    <w:name w:val="Normal (Web) Car1"/>
    <w:locked/>
    <w:rsid w:val="002A7673"/>
    <w:rPr>
      <w:sz w:val="24"/>
      <w:szCs w:val="24"/>
      <w:lang w:val="es-ES" w:eastAsia="ar-SA" w:bidi="ar-SA"/>
    </w:rPr>
  </w:style>
  <w:style w:type="paragraph" w:customStyle="1" w:styleId="style3">
    <w:name w:val="style3"/>
    <w:basedOn w:val="Normal"/>
    <w:rsid w:val="002A7673"/>
    <w:pPr>
      <w:spacing w:before="280" w:after="280" w:line="240" w:lineRule="auto"/>
    </w:pPr>
    <w:rPr>
      <w:rFonts w:ascii="Times New Roman" w:eastAsia="Times New Roman" w:hAnsi="Times New Roman" w:cs="Times New Roman"/>
      <w:b/>
      <w:bCs/>
      <w:color w:val="000000"/>
      <w:sz w:val="24"/>
      <w:szCs w:val="24"/>
      <w:lang w:val="es-ES" w:eastAsia="es-ES"/>
    </w:rPr>
  </w:style>
  <w:style w:type="character" w:customStyle="1" w:styleId="WW8Num46z0">
    <w:name w:val="WW8Num46z0"/>
    <w:rsid w:val="002A7673"/>
    <w:rPr>
      <w:rFonts w:ascii="Symbol" w:hAnsi="Symbol" w:cs="Symbol"/>
    </w:rPr>
  </w:style>
  <w:style w:type="character" w:customStyle="1" w:styleId="SinespaciadoCar">
    <w:name w:val="Sin espaciado Car"/>
    <w:link w:val="Sinespaciado"/>
    <w:uiPriority w:val="1"/>
    <w:rsid w:val="002A7673"/>
    <w:rPr>
      <w:rFonts w:ascii="Calibri" w:eastAsia="Calibri" w:hAnsi="Calibri" w:cs="Times New Roman"/>
    </w:rPr>
  </w:style>
  <w:style w:type="paragraph" w:customStyle="1" w:styleId="CarCarCarCar">
    <w:name w:val="Car Car Car Car"/>
    <w:basedOn w:val="Normal"/>
    <w:semiHidden/>
    <w:rsid w:val="002A7673"/>
    <w:pPr>
      <w:spacing w:line="240" w:lineRule="exact"/>
    </w:pPr>
    <w:rPr>
      <w:rFonts w:ascii="Verdana" w:eastAsia="Times New Roman" w:hAnsi="Verdana" w:cs="Verdana"/>
      <w:sz w:val="20"/>
      <w:szCs w:val="20"/>
      <w:lang w:val="en-AU"/>
    </w:rPr>
  </w:style>
  <w:style w:type="paragraph" w:customStyle="1" w:styleId="CarCarCarCarCarCar">
    <w:name w:val="Car Car Car Car Car Car"/>
    <w:basedOn w:val="Normal"/>
    <w:semiHidden/>
    <w:rsid w:val="002A7673"/>
    <w:pPr>
      <w:spacing w:line="240" w:lineRule="exact"/>
    </w:pPr>
    <w:rPr>
      <w:rFonts w:ascii="Verdana" w:eastAsia="Times New Roman" w:hAnsi="Verdana" w:cs="Verdana"/>
      <w:sz w:val="20"/>
      <w:szCs w:val="20"/>
      <w:lang w:val="en-AU"/>
    </w:rPr>
  </w:style>
  <w:style w:type="table" w:customStyle="1" w:styleId="Tablaconcuadrcula3">
    <w:name w:val="Tabla con cuadrícula3"/>
    <w:basedOn w:val="Tablanormal"/>
    <w:next w:val="Tablaconcuadrcula"/>
    <w:uiPriority w:val="39"/>
    <w:rsid w:val="002A7673"/>
    <w:pPr>
      <w:suppressAutoHyphens/>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edeterminado0">
    <w:name w:val="predeterminado"/>
    <w:basedOn w:val="Normal"/>
    <w:rsid w:val="002A767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DC5">
    <w:name w:val="toc 5"/>
    <w:basedOn w:val="Normal"/>
    <w:next w:val="Normal"/>
    <w:autoRedefine/>
    <w:uiPriority w:val="39"/>
    <w:rsid w:val="002A7673"/>
    <w:pPr>
      <w:tabs>
        <w:tab w:val="right" w:leader="dot" w:pos="8828"/>
      </w:tabs>
      <w:suppressAutoHyphens/>
      <w:spacing w:before="360" w:after="240" w:line="240" w:lineRule="auto"/>
      <w:jc w:val="center"/>
    </w:pPr>
    <w:rPr>
      <w:rFonts w:ascii="Times New Roman" w:eastAsia="StarSymbol" w:hAnsi="Times New Roman" w:cs="Times New Roman"/>
      <w:b/>
      <w:noProof/>
      <w:color w:val="000080"/>
      <w:sz w:val="28"/>
      <w:szCs w:val="28"/>
      <w:u w:val="single"/>
      <w:lang w:eastAsia="ar-SA"/>
    </w:rPr>
  </w:style>
  <w:style w:type="character" w:customStyle="1" w:styleId="hhernandez">
    <w:name w:val="hhernandez"/>
    <w:semiHidden/>
    <w:rsid w:val="002A7673"/>
    <w:rPr>
      <w:rFonts w:ascii="Arial" w:hAnsi="Arial" w:cs="Arial"/>
      <w:color w:val="000080"/>
      <w:sz w:val="20"/>
      <w:szCs w:val="20"/>
    </w:rPr>
  </w:style>
  <w:style w:type="paragraph" w:styleId="TDC4">
    <w:name w:val="toc 4"/>
    <w:basedOn w:val="Normal"/>
    <w:next w:val="Normal"/>
    <w:autoRedefine/>
    <w:semiHidden/>
    <w:rsid w:val="002A7673"/>
    <w:pPr>
      <w:suppressAutoHyphens/>
      <w:spacing w:before="360" w:after="240" w:line="240" w:lineRule="auto"/>
      <w:jc w:val="center"/>
    </w:pPr>
    <w:rPr>
      <w:rFonts w:ascii="Times New Roman" w:eastAsia="Times New Roman" w:hAnsi="Times New Roman" w:cs="Times New Roman"/>
      <w:b/>
      <w:color w:val="000080"/>
      <w:sz w:val="36"/>
      <w:u w:val="single"/>
      <w:lang w:val="es-ES_tradnl" w:eastAsia="ar-SA"/>
    </w:rPr>
  </w:style>
  <w:style w:type="paragraph" w:styleId="TDC6">
    <w:name w:val="toc 6"/>
    <w:basedOn w:val="Normal"/>
    <w:next w:val="Normal"/>
    <w:autoRedefine/>
    <w:semiHidden/>
    <w:rsid w:val="002A7673"/>
    <w:pPr>
      <w:suppressAutoHyphens/>
      <w:spacing w:after="0" w:line="240" w:lineRule="auto"/>
    </w:pPr>
    <w:rPr>
      <w:rFonts w:ascii="Times New Roman" w:eastAsia="Times New Roman" w:hAnsi="Times New Roman" w:cs="Times New Roman"/>
      <w:lang w:val="es-ES_tradnl" w:eastAsia="ar-SA"/>
    </w:rPr>
  </w:style>
  <w:style w:type="paragraph" w:styleId="TDC7">
    <w:name w:val="toc 7"/>
    <w:basedOn w:val="Normal"/>
    <w:next w:val="Normal"/>
    <w:autoRedefine/>
    <w:semiHidden/>
    <w:rsid w:val="002A7673"/>
    <w:pPr>
      <w:suppressAutoHyphens/>
      <w:spacing w:after="0" w:line="240" w:lineRule="auto"/>
    </w:pPr>
    <w:rPr>
      <w:rFonts w:ascii="Times New Roman" w:eastAsia="Times New Roman" w:hAnsi="Times New Roman" w:cs="Times New Roman"/>
      <w:lang w:val="es-ES_tradnl" w:eastAsia="ar-SA"/>
    </w:rPr>
  </w:style>
  <w:style w:type="paragraph" w:styleId="TDC8">
    <w:name w:val="toc 8"/>
    <w:basedOn w:val="Normal"/>
    <w:next w:val="Normal"/>
    <w:autoRedefine/>
    <w:semiHidden/>
    <w:rsid w:val="002A7673"/>
    <w:pPr>
      <w:suppressAutoHyphens/>
      <w:spacing w:after="0" w:line="240" w:lineRule="auto"/>
    </w:pPr>
    <w:rPr>
      <w:rFonts w:ascii="Times New Roman" w:eastAsia="Times New Roman" w:hAnsi="Times New Roman" w:cs="Times New Roman"/>
      <w:lang w:val="es-ES_tradnl" w:eastAsia="ar-SA"/>
    </w:rPr>
  </w:style>
  <w:style w:type="paragraph" w:styleId="TDC9">
    <w:name w:val="toc 9"/>
    <w:basedOn w:val="Normal"/>
    <w:next w:val="Normal"/>
    <w:autoRedefine/>
    <w:semiHidden/>
    <w:rsid w:val="002A7673"/>
    <w:pPr>
      <w:suppressAutoHyphens/>
      <w:spacing w:after="0" w:line="240" w:lineRule="auto"/>
    </w:pPr>
    <w:rPr>
      <w:rFonts w:ascii="Times New Roman" w:eastAsia="Times New Roman" w:hAnsi="Times New Roman" w:cs="Times New Roman"/>
      <w:lang w:val="es-ES_tradnl" w:eastAsia="ar-SA"/>
    </w:rPr>
  </w:style>
  <w:style w:type="paragraph" w:customStyle="1" w:styleId="EstiloTtulo3Rojo">
    <w:name w:val="Estilo Título 3 + Rojo"/>
    <w:basedOn w:val="Ttulo3"/>
    <w:link w:val="EstiloTtulo3RojoCar"/>
    <w:rsid w:val="002A7673"/>
    <w:pPr>
      <w:widowControl/>
      <w:suppressAutoHyphens/>
      <w:autoSpaceDE/>
      <w:autoSpaceDN/>
      <w:adjustRightInd/>
      <w:jc w:val="both"/>
    </w:pPr>
    <w:rPr>
      <w:rFonts w:ascii="Times New Roman" w:hAnsi="Times New Roman"/>
      <w:color w:val="000080"/>
      <w:sz w:val="28"/>
      <w:lang w:val="es-ES_tradnl" w:eastAsia="ar-SA"/>
    </w:rPr>
  </w:style>
  <w:style w:type="character" w:customStyle="1" w:styleId="EstiloTtulo3RojoCar">
    <w:name w:val="Estilo Título 3 + Rojo Car"/>
    <w:link w:val="EstiloTtulo3Rojo"/>
    <w:rsid w:val="002A7673"/>
    <w:rPr>
      <w:rFonts w:ascii="Times New Roman" w:eastAsia="Times New Roman" w:hAnsi="Times New Roman" w:cs="Arial"/>
      <w:b/>
      <w:bCs/>
      <w:color w:val="000080"/>
      <w:sz w:val="28"/>
      <w:szCs w:val="26"/>
      <w:lang w:val="es-ES_tradnl" w:eastAsia="ar-SA"/>
    </w:rPr>
  </w:style>
  <w:style w:type="paragraph" w:customStyle="1" w:styleId="Estilo14ptNegritaCentrado">
    <w:name w:val="Estilo 14 pt Negrita Centrado"/>
    <w:basedOn w:val="Normal"/>
    <w:rsid w:val="002A7673"/>
    <w:pPr>
      <w:suppressAutoHyphens/>
      <w:spacing w:after="0" w:line="480" w:lineRule="auto"/>
      <w:jc w:val="center"/>
    </w:pPr>
    <w:rPr>
      <w:rFonts w:ascii="Times New Roman" w:eastAsia="Times New Roman" w:hAnsi="Times New Roman" w:cs="Times New Roman"/>
      <w:b/>
      <w:bCs/>
      <w:sz w:val="32"/>
      <w:szCs w:val="20"/>
      <w:u w:val="single"/>
      <w:lang w:val="es-ES_tradnl" w:eastAsia="ar-SA"/>
    </w:rPr>
  </w:style>
  <w:style w:type="paragraph" w:customStyle="1" w:styleId="Estilo14ptNegritaCentradoInterlineadoDoble">
    <w:name w:val="Estilo 14 pt Negrita Centrado Interlineado:  Doble"/>
    <w:basedOn w:val="Normal"/>
    <w:rsid w:val="002A7673"/>
    <w:pPr>
      <w:suppressAutoHyphens/>
      <w:spacing w:after="0" w:line="480" w:lineRule="auto"/>
      <w:jc w:val="center"/>
    </w:pPr>
    <w:rPr>
      <w:rFonts w:ascii="Times New Roman" w:eastAsia="Times New Roman" w:hAnsi="Times New Roman" w:cs="Times New Roman"/>
      <w:b/>
      <w:bCs/>
      <w:sz w:val="40"/>
      <w:szCs w:val="20"/>
      <w:u w:val="single"/>
      <w:lang w:val="es-ES_tradnl" w:eastAsia="ar-SA"/>
    </w:rPr>
  </w:style>
  <w:style w:type="paragraph" w:customStyle="1" w:styleId="Textoindependiente21">
    <w:name w:val="Texto independiente 21"/>
    <w:basedOn w:val="Normal"/>
    <w:rsid w:val="002A7673"/>
    <w:pPr>
      <w:suppressAutoHyphens/>
      <w:spacing w:after="0" w:line="240" w:lineRule="auto"/>
      <w:jc w:val="both"/>
    </w:pPr>
    <w:rPr>
      <w:rFonts w:ascii="Verdana" w:eastAsia="Times New Roman" w:hAnsi="Verdana" w:cs="Times New Roman"/>
      <w:i/>
      <w:sz w:val="24"/>
      <w:szCs w:val="20"/>
      <w:lang w:val="es-ES_tradnl" w:eastAsia="ar-SA"/>
    </w:rPr>
  </w:style>
  <w:style w:type="paragraph" w:customStyle="1" w:styleId="Titulo6">
    <w:name w:val="Titulo 6"/>
    <w:basedOn w:val="TDC1"/>
    <w:rsid w:val="002A7673"/>
    <w:pPr>
      <w:tabs>
        <w:tab w:val="right" w:leader="dot" w:pos="8828"/>
      </w:tabs>
      <w:suppressAutoHyphens/>
      <w:spacing w:before="120" w:after="120"/>
      <w:jc w:val="both"/>
    </w:pPr>
    <w:rPr>
      <w:rFonts w:ascii="Times New Roman" w:eastAsia="Times New Roman" w:hAnsi="Times New Roman" w:cs="Times New Roman"/>
      <w:bCs/>
      <w:caps/>
      <w:noProof/>
      <w:color w:val="000080"/>
      <w:sz w:val="28"/>
      <w:szCs w:val="20"/>
      <w:u w:val="single"/>
      <w:lang w:val="es-ES_tradnl" w:eastAsia="ar-SA"/>
    </w:rPr>
  </w:style>
  <w:style w:type="paragraph" w:customStyle="1" w:styleId="Estilo18ptNegritaSubrayadoCentrado">
    <w:name w:val="Estilo 18 pt Negrita Subrayado Centrado"/>
    <w:basedOn w:val="Normal"/>
    <w:rsid w:val="002A7673"/>
    <w:pPr>
      <w:suppressAutoHyphens/>
      <w:spacing w:after="0" w:line="240" w:lineRule="auto"/>
      <w:jc w:val="both"/>
    </w:pPr>
    <w:rPr>
      <w:rFonts w:ascii="Times New Roman" w:eastAsia="Times New Roman" w:hAnsi="Times New Roman" w:cs="Times New Roman"/>
      <w:b/>
      <w:bCs/>
      <w:sz w:val="36"/>
      <w:szCs w:val="20"/>
      <w:u w:val="single"/>
      <w:lang w:val="es-ES_tradnl" w:eastAsia="ar-SA"/>
    </w:rPr>
  </w:style>
  <w:style w:type="paragraph" w:customStyle="1" w:styleId="Estilo14ptAzuloscuroJustificadoPrimeralnea125cmAnt">
    <w:name w:val="Estilo 14 pt Azul oscuro Justificado Primera línea:  125 cm Ant..."/>
    <w:basedOn w:val="Normal"/>
    <w:rsid w:val="002A7673"/>
    <w:pPr>
      <w:suppressAutoHyphens/>
      <w:spacing w:before="100" w:after="100" w:line="480" w:lineRule="auto"/>
      <w:ind w:firstLine="708"/>
      <w:jc w:val="both"/>
    </w:pPr>
    <w:rPr>
      <w:rFonts w:ascii="Times New Roman" w:eastAsia="Times New Roman" w:hAnsi="Times New Roman" w:cs="Times New Roman"/>
      <w:color w:val="000080"/>
      <w:sz w:val="28"/>
      <w:szCs w:val="20"/>
      <w:lang w:val="es-ES_tradnl" w:eastAsia="ar-SA"/>
    </w:rPr>
  </w:style>
  <w:style w:type="paragraph" w:customStyle="1" w:styleId="Estilo14ptJustificadoPrimeralnea125cmInterlineadoD">
    <w:name w:val="Estilo 14 pt Justificado Primera línea:  125 cm Interlineado:  D..."/>
    <w:basedOn w:val="Normal"/>
    <w:rsid w:val="002A7673"/>
    <w:pPr>
      <w:suppressAutoHyphens/>
      <w:spacing w:after="0" w:line="480" w:lineRule="auto"/>
      <w:ind w:firstLine="708"/>
      <w:jc w:val="both"/>
    </w:pPr>
    <w:rPr>
      <w:rFonts w:ascii="Times New Roman" w:eastAsia="Times New Roman" w:hAnsi="Times New Roman" w:cs="Times New Roman"/>
      <w:sz w:val="28"/>
      <w:szCs w:val="20"/>
      <w:lang w:val="es-ES_tradnl" w:eastAsia="ar-SA"/>
    </w:rPr>
  </w:style>
  <w:style w:type="character" w:customStyle="1" w:styleId="wjimenez">
    <w:name w:val="wjimenez"/>
    <w:semiHidden/>
    <w:rsid w:val="002A7673"/>
    <w:rPr>
      <w:rFonts w:ascii="Arial" w:hAnsi="Arial" w:cs="Arial"/>
      <w:color w:val="auto"/>
      <w:sz w:val="20"/>
      <w:szCs w:val="20"/>
    </w:rPr>
  </w:style>
  <w:style w:type="character" w:customStyle="1" w:styleId="mherreras">
    <w:name w:val="mherreras"/>
    <w:semiHidden/>
    <w:rsid w:val="002A7673"/>
    <w:rPr>
      <w:rFonts w:ascii="Arial" w:hAnsi="Arial" w:cs="Arial"/>
      <w:color w:val="000080"/>
      <w:sz w:val="20"/>
      <w:szCs w:val="20"/>
    </w:rPr>
  </w:style>
  <w:style w:type="character" w:customStyle="1" w:styleId="Refdenotaalpie1">
    <w:name w:val="Ref. de nota al pie1"/>
    <w:rsid w:val="002A7673"/>
    <w:rPr>
      <w:vertAlign w:val="superscript"/>
    </w:rPr>
  </w:style>
  <w:style w:type="paragraph" w:customStyle="1" w:styleId="Sangra3detindependiente1">
    <w:name w:val="Sangría 3 de t. independiente1"/>
    <w:basedOn w:val="Normal"/>
    <w:rsid w:val="002A7673"/>
    <w:pPr>
      <w:suppressAutoHyphens/>
      <w:spacing w:after="120" w:line="240" w:lineRule="auto"/>
      <w:ind w:left="283"/>
    </w:pPr>
    <w:rPr>
      <w:rFonts w:ascii="Times New Roman" w:eastAsia="Times New Roman" w:hAnsi="Times New Roman" w:cs="Times New Roman"/>
      <w:sz w:val="16"/>
      <w:szCs w:val="16"/>
      <w:lang w:val="es-ES" w:eastAsia="ar-SA"/>
    </w:rPr>
  </w:style>
  <w:style w:type="paragraph" w:styleId="Remitedesobre">
    <w:name w:val="envelope return"/>
    <w:basedOn w:val="Normal"/>
    <w:rsid w:val="002A7673"/>
    <w:pPr>
      <w:widowControl w:val="0"/>
      <w:autoSpaceDE w:val="0"/>
      <w:autoSpaceDN w:val="0"/>
      <w:adjustRightInd w:val="0"/>
      <w:spacing w:after="0" w:line="240" w:lineRule="auto"/>
    </w:pPr>
    <w:rPr>
      <w:rFonts w:ascii="Arial" w:eastAsia="Times New Roman" w:hAnsi="Arial" w:cs="Arial"/>
      <w:spacing w:val="-3"/>
      <w:sz w:val="24"/>
      <w:szCs w:val="24"/>
      <w:lang w:eastAsia="es-CR"/>
    </w:rPr>
  </w:style>
  <w:style w:type="paragraph" w:customStyle="1" w:styleId="lcon">
    <w:name w:val="lcon"/>
    <w:rsid w:val="002A7673"/>
    <w:pPr>
      <w:widowControl w:val="0"/>
      <w:autoSpaceDE w:val="0"/>
      <w:autoSpaceDN w:val="0"/>
      <w:adjustRightInd w:val="0"/>
      <w:spacing w:after="0" w:line="240" w:lineRule="auto"/>
      <w:jc w:val="both"/>
    </w:pPr>
    <w:rPr>
      <w:rFonts w:ascii="Courier New" w:eastAsia="Times New Roman" w:hAnsi="Courier New" w:cs="Courier New"/>
      <w:spacing w:val="-3"/>
      <w:sz w:val="24"/>
      <w:szCs w:val="24"/>
      <w:lang w:eastAsia="es-CR"/>
    </w:rPr>
  </w:style>
  <w:style w:type="paragraph" w:customStyle="1" w:styleId="CaracterCaracterCharCharCaracterCaracterCarCarCarCarChar">
    <w:name w:val="Caracter Caracter Char Char Caracter Caracter Car Car Car Car Char"/>
    <w:basedOn w:val="Normal"/>
    <w:rsid w:val="002A7673"/>
    <w:pPr>
      <w:spacing w:after="0" w:line="240" w:lineRule="auto"/>
      <w:jc w:val="both"/>
    </w:pPr>
    <w:rPr>
      <w:rFonts w:ascii="Arial" w:eastAsia="Times New Roman" w:hAnsi="Arial" w:cs="Arial"/>
      <w:sz w:val="24"/>
      <w:szCs w:val="24"/>
      <w:lang w:val="pl-PL" w:eastAsia="pl-PL"/>
    </w:rPr>
  </w:style>
  <w:style w:type="paragraph" w:customStyle="1" w:styleId="Textoindependiente22">
    <w:name w:val="Texto independiente 22"/>
    <w:basedOn w:val="Normal"/>
    <w:rsid w:val="002A7673"/>
    <w:pPr>
      <w:widowControl w:val="0"/>
      <w:spacing w:after="0" w:line="240" w:lineRule="auto"/>
      <w:jc w:val="both"/>
    </w:pPr>
    <w:rPr>
      <w:rFonts w:ascii="Times New Roman" w:eastAsia="Times New Roman" w:hAnsi="Times New Roman" w:cs="Times New Roman"/>
      <w:sz w:val="24"/>
      <w:szCs w:val="20"/>
      <w:lang w:val="en-US" w:eastAsia="es-ES"/>
    </w:rPr>
  </w:style>
  <w:style w:type="paragraph" w:customStyle="1" w:styleId="Style1">
    <w:name w:val="Style 1"/>
    <w:basedOn w:val="Normal"/>
    <w:rsid w:val="002A7673"/>
    <w:pPr>
      <w:widowControl w:val="0"/>
      <w:autoSpaceDE w:val="0"/>
      <w:autoSpaceDN w:val="0"/>
      <w:adjustRightInd w:val="0"/>
      <w:spacing w:after="0" w:line="240" w:lineRule="auto"/>
    </w:pPr>
    <w:rPr>
      <w:rFonts w:ascii="Times New Roman" w:eastAsia="Times New Roman" w:hAnsi="Times New Roman" w:cs="Times New Roman"/>
      <w:sz w:val="24"/>
      <w:szCs w:val="24"/>
      <w:lang w:val="en-US" w:eastAsia="es-ES"/>
    </w:rPr>
  </w:style>
  <w:style w:type="paragraph" w:customStyle="1" w:styleId="bodytext2">
    <w:name w:val="bodytext2"/>
    <w:basedOn w:val="Normal"/>
    <w:rsid w:val="002A7673"/>
    <w:pPr>
      <w:spacing w:after="0" w:line="240" w:lineRule="auto"/>
      <w:ind w:right="334" w:hanging="283"/>
      <w:jc w:val="both"/>
    </w:pPr>
    <w:rPr>
      <w:rFonts w:ascii="Arial" w:eastAsia="Times New Roman" w:hAnsi="Arial" w:cs="Arial"/>
      <w:sz w:val="24"/>
      <w:szCs w:val="24"/>
      <w:lang w:val="es-ES" w:eastAsia="es-ES"/>
    </w:rPr>
  </w:style>
  <w:style w:type="character" w:customStyle="1" w:styleId="CarCar4">
    <w:name w:val="Car Car4"/>
    <w:semiHidden/>
    <w:rsid w:val="002A7673"/>
    <w:rPr>
      <w:rFonts w:ascii="Calibri" w:eastAsia="Times New Roman" w:hAnsi="Calibri" w:cs="Times New Roman"/>
      <w:b/>
      <w:bCs/>
      <w:sz w:val="28"/>
      <w:szCs w:val="28"/>
      <w:lang w:val="es-ES_tradnl" w:eastAsia="ar-SA"/>
    </w:rPr>
  </w:style>
  <w:style w:type="paragraph" w:customStyle="1" w:styleId="WW-Predeterminado">
    <w:name w:val="WW-Predeterminado"/>
    <w:uiPriority w:val="99"/>
    <w:rsid w:val="002A7673"/>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WW-Predeterminado1">
    <w:name w:val="WW-Predeterminado1"/>
    <w:uiPriority w:val="99"/>
    <w:rsid w:val="002A7673"/>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Sangra2detindependiente1">
    <w:name w:val="Sangría 2 de t. independiente1"/>
    <w:rsid w:val="002A7673"/>
    <w:pPr>
      <w:widowControl w:val="0"/>
      <w:suppressAutoHyphens/>
      <w:autoSpaceDE w:val="0"/>
      <w:spacing w:after="0" w:line="480" w:lineRule="auto"/>
      <w:ind w:firstLine="708"/>
      <w:jc w:val="both"/>
    </w:pPr>
    <w:rPr>
      <w:rFonts w:ascii="Arial" w:eastAsia="Arial" w:hAnsi="Arial" w:cs="Arial"/>
      <w:sz w:val="24"/>
      <w:szCs w:val="24"/>
      <w:u w:val="single"/>
      <w:lang w:val="es-ES" w:eastAsia="es-ES" w:bidi="es-ES"/>
    </w:rPr>
  </w:style>
  <w:style w:type="paragraph" w:customStyle="1" w:styleId="CM1">
    <w:name w:val="CM1"/>
    <w:basedOn w:val="Default"/>
    <w:next w:val="Default"/>
    <w:rsid w:val="002A7673"/>
    <w:pPr>
      <w:widowControl w:val="0"/>
      <w:spacing w:after="225"/>
    </w:pPr>
    <w:rPr>
      <w:rFonts w:ascii="Verdana" w:hAnsi="Verdana" w:cs="Times New Roman"/>
      <w:color w:val="auto"/>
      <w:lang w:val="es-ES" w:eastAsia="es-ES"/>
    </w:rPr>
  </w:style>
  <w:style w:type="paragraph" w:customStyle="1" w:styleId="prrafodelista0">
    <w:name w:val="prrafodelista"/>
    <w:basedOn w:val="Normal"/>
    <w:rsid w:val="002A767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normalprueba1">
    <w:name w:val="normalprueba1"/>
    <w:basedOn w:val="Normal"/>
    <w:rsid w:val="002A767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Jonathan4Car">
    <w:name w:val="Jonathan 4 Car"/>
    <w:link w:val="Jonathan4"/>
    <w:locked/>
    <w:rsid w:val="002A7673"/>
    <w:rPr>
      <w:b/>
      <w:color w:val="000099"/>
      <w:sz w:val="26"/>
      <w:lang w:val="es-ES" w:eastAsia="x-none"/>
    </w:rPr>
  </w:style>
  <w:style w:type="paragraph" w:customStyle="1" w:styleId="Jonathan4">
    <w:name w:val="Jonathan 4"/>
    <w:basedOn w:val="Normal"/>
    <w:link w:val="Jonathan4Car"/>
    <w:autoRedefine/>
    <w:qFormat/>
    <w:rsid w:val="002A7673"/>
    <w:pPr>
      <w:spacing w:after="0" w:line="240" w:lineRule="auto"/>
      <w:ind w:left="851" w:right="851"/>
      <w:jc w:val="center"/>
    </w:pPr>
    <w:rPr>
      <w:b/>
      <w:color w:val="000099"/>
      <w:sz w:val="26"/>
      <w:lang w:val="es-ES" w:eastAsia="x-none"/>
    </w:rPr>
  </w:style>
  <w:style w:type="paragraph" w:customStyle="1" w:styleId="Body1">
    <w:name w:val="Body 1"/>
    <w:rsid w:val="002A7673"/>
    <w:pPr>
      <w:spacing w:after="0" w:line="240" w:lineRule="auto"/>
    </w:pPr>
    <w:rPr>
      <w:rFonts w:ascii="Helvetica" w:eastAsia="Arial Unicode MS" w:hAnsi="Helvetica" w:cs="Times New Roman"/>
      <w:color w:val="000000"/>
      <w:sz w:val="24"/>
      <w:szCs w:val="20"/>
      <w:lang w:eastAsia="es-CR"/>
    </w:rPr>
  </w:style>
  <w:style w:type="character" w:customStyle="1" w:styleId="Destacado">
    <w:name w:val="Destacado"/>
    <w:rsid w:val="002A7673"/>
    <w:rPr>
      <w:i/>
      <w:iCs/>
    </w:rPr>
  </w:style>
  <w:style w:type="character" w:customStyle="1" w:styleId="EstiloCorreo17">
    <w:name w:val="EstiloCorreo17"/>
    <w:semiHidden/>
    <w:rsid w:val="002A7673"/>
    <w:rPr>
      <w:rFonts w:ascii="Arial" w:hAnsi="Arial" w:cs="Arial"/>
      <w:color w:val="auto"/>
      <w:sz w:val="20"/>
      <w:szCs w:val="20"/>
    </w:rPr>
  </w:style>
  <w:style w:type="character" w:customStyle="1" w:styleId="EstiloCorreo171">
    <w:name w:val="EstiloCorreo171"/>
    <w:semiHidden/>
    <w:rsid w:val="002A7673"/>
    <w:rPr>
      <w:rFonts w:ascii="Arial" w:hAnsi="Arial" w:cs="Arial"/>
      <w:color w:val="auto"/>
      <w:sz w:val="20"/>
      <w:szCs w:val="20"/>
    </w:rPr>
  </w:style>
  <w:style w:type="paragraph" w:customStyle="1" w:styleId="bodytext220">
    <w:name w:val="bodytext22"/>
    <w:basedOn w:val="Normal"/>
    <w:rsid w:val="002A7673"/>
    <w:pPr>
      <w:autoSpaceDE w:val="0"/>
      <w:autoSpaceDN w:val="0"/>
      <w:spacing w:after="0" w:line="240" w:lineRule="auto"/>
      <w:jc w:val="both"/>
    </w:pPr>
    <w:rPr>
      <w:rFonts w:ascii="Arial" w:eastAsia="Times New Roman" w:hAnsi="Arial" w:cs="Arial"/>
      <w:sz w:val="24"/>
      <w:szCs w:val="24"/>
      <w:lang w:val="es-ES" w:eastAsia="es-ES"/>
    </w:rPr>
  </w:style>
  <w:style w:type="character" w:customStyle="1" w:styleId="tittextos1">
    <w:name w:val="tittextos1"/>
    <w:rsid w:val="002A7673"/>
    <w:rPr>
      <w:rFonts w:ascii="Arial" w:hAnsi="Arial" w:cs="Arial" w:hint="default"/>
      <w:b/>
      <w:bCs/>
      <w:strike w:val="0"/>
      <w:dstrike w:val="0"/>
      <w:color w:val="4C2E24"/>
      <w:sz w:val="20"/>
      <w:szCs w:val="20"/>
      <w:u w:val="none"/>
      <w:effect w:val="none"/>
    </w:rPr>
  </w:style>
  <w:style w:type="character" w:customStyle="1" w:styleId="apple-style-span">
    <w:name w:val="apple-style-span"/>
    <w:rsid w:val="002A7673"/>
  </w:style>
  <w:style w:type="character" w:customStyle="1" w:styleId="Carcterdecarcter">
    <w:name w:val="Carácter de carácter"/>
    <w:rsid w:val="002A7673"/>
    <w:rPr>
      <w:rFonts w:ascii="Tahoma" w:hAnsi="Tahoma" w:cs="Tahoma"/>
      <w:b/>
      <w:bCs/>
      <w:color w:val="FFFFFF"/>
    </w:rPr>
  </w:style>
  <w:style w:type="character" w:customStyle="1" w:styleId="Programa">
    <w:name w:val="Programa"/>
    <w:rsid w:val="002A7673"/>
    <w:rPr>
      <w:rFonts w:ascii="Tahoma" w:hAnsi="Tahoma" w:cs="Tahoma"/>
      <w:color w:val="000000"/>
    </w:rPr>
  </w:style>
  <w:style w:type="character" w:customStyle="1" w:styleId="WW8Num1z1">
    <w:name w:val="WW8Num1z1"/>
    <w:rsid w:val="002A7673"/>
    <w:rPr>
      <w:rFonts w:ascii="Courier New" w:hAnsi="Courier New" w:cs="Courier New"/>
    </w:rPr>
  </w:style>
  <w:style w:type="character" w:customStyle="1" w:styleId="WW8Num1z2">
    <w:name w:val="WW8Num1z2"/>
    <w:rsid w:val="002A7673"/>
    <w:rPr>
      <w:rFonts w:ascii="Wingdings" w:hAnsi="Wingdings" w:cs="Wingdings"/>
    </w:rPr>
  </w:style>
  <w:style w:type="character" w:customStyle="1" w:styleId="WW8Num1z3">
    <w:name w:val="WW8Num1z3"/>
    <w:rsid w:val="002A7673"/>
    <w:rPr>
      <w:rFonts w:ascii="Symbol" w:hAnsi="Symbol" w:cs="Symbol"/>
    </w:rPr>
  </w:style>
  <w:style w:type="paragraph" w:customStyle="1" w:styleId="DefinitionTerm">
    <w:name w:val="Definition Term"/>
    <w:next w:val="DefinitionList"/>
    <w:rsid w:val="002A7673"/>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DefinitionList">
    <w:name w:val="Definition List"/>
    <w:next w:val="DefinitionTerm"/>
    <w:rsid w:val="002A7673"/>
    <w:pPr>
      <w:widowControl w:val="0"/>
      <w:autoSpaceDE w:val="0"/>
      <w:autoSpaceDN w:val="0"/>
      <w:adjustRightInd w:val="0"/>
      <w:spacing w:after="0" w:line="240" w:lineRule="auto"/>
      <w:ind w:left="360"/>
    </w:pPr>
    <w:rPr>
      <w:rFonts w:ascii="Arial" w:eastAsia="Times New Roman" w:hAnsi="Arial" w:cs="Arial"/>
      <w:sz w:val="24"/>
      <w:szCs w:val="24"/>
      <w:lang w:val="es-ES" w:eastAsia="es-ES"/>
    </w:rPr>
  </w:style>
  <w:style w:type="character" w:customStyle="1" w:styleId="Definition">
    <w:name w:val="Definition"/>
    <w:rsid w:val="002A7673"/>
    <w:rPr>
      <w:i/>
      <w:iCs/>
    </w:rPr>
  </w:style>
  <w:style w:type="paragraph" w:customStyle="1" w:styleId="H1">
    <w:name w:val="H1"/>
    <w:next w:val="Normal"/>
    <w:rsid w:val="002A7673"/>
    <w:pPr>
      <w:keepNext/>
      <w:widowControl w:val="0"/>
      <w:autoSpaceDE w:val="0"/>
      <w:autoSpaceDN w:val="0"/>
      <w:adjustRightInd w:val="0"/>
      <w:spacing w:before="100" w:after="100" w:line="240" w:lineRule="auto"/>
      <w:outlineLvl w:val="1"/>
    </w:pPr>
    <w:rPr>
      <w:rFonts w:ascii="Arial" w:eastAsia="Times New Roman" w:hAnsi="Arial" w:cs="Arial"/>
      <w:b/>
      <w:bCs/>
      <w:sz w:val="48"/>
      <w:szCs w:val="48"/>
      <w:lang w:val="es-ES" w:eastAsia="es-ES"/>
    </w:rPr>
  </w:style>
  <w:style w:type="paragraph" w:customStyle="1" w:styleId="H2">
    <w:name w:val="H2"/>
    <w:next w:val="Normal"/>
    <w:rsid w:val="002A7673"/>
    <w:pPr>
      <w:keepNext/>
      <w:widowControl w:val="0"/>
      <w:autoSpaceDE w:val="0"/>
      <w:autoSpaceDN w:val="0"/>
      <w:adjustRightInd w:val="0"/>
      <w:spacing w:before="100" w:after="100" w:line="240" w:lineRule="auto"/>
      <w:outlineLvl w:val="2"/>
    </w:pPr>
    <w:rPr>
      <w:rFonts w:ascii="Arial" w:eastAsia="Times New Roman" w:hAnsi="Arial" w:cs="Arial"/>
      <w:b/>
      <w:bCs/>
      <w:sz w:val="36"/>
      <w:szCs w:val="36"/>
      <w:lang w:val="es-ES" w:eastAsia="es-ES"/>
    </w:rPr>
  </w:style>
  <w:style w:type="paragraph" w:customStyle="1" w:styleId="H3">
    <w:name w:val="H3"/>
    <w:next w:val="Normal"/>
    <w:rsid w:val="002A7673"/>
    <w:pPr>
      <w:keepNext/>
      <w:widowControl w:val="0"/>
      <w:autoSpaceDE w:val="0"/>
      <w:autoSpaceDN w:val="0"/>
      <w:adjustRightInd w:val="0"/>
      <w:spacing w:before="100" w:after="100" w:line="240" w:lineRule="auto"/>
      <w:outlineLvl w:val="3"/>
    </w:pPr>
    <w:rPr>
      <w:rFonts w:ascii="Arial" w:eastAsia="Times New Roman" w:hAnsi="Arial" w:cs="Arial"/>
      <w:b/>
      <w:bCs/>
      <w:sz w:val="28"/>
      <w:szCs w:val="28"/>
      <w:lang w:val="es-ES" w:eastAsia="es-ES"/>
    </w:rPr>
  </w:style>
  <w:style w:type="paragraph" w:customStyle="1" w:styleId="H4">
    <w:name w:val="H4"/>
    <w:next w:val="Normal"/>
    <w:rsid w:val="002A7673"/>
    <w:pPr>
      <w:keepNext/>
      <w:widowControl w:val="0"/>
      <w:autoSpaceDE w:val="0"/>
      <w:autoSpaceDN w:val="0"/>
      <w:adjustRightInd w:val="0"/>
      <w:spacing w:before="100" w:after="100" w:line="240" w:lineRule="auto"/>
      <w:outlineLvl w:val="4"/>
    </w:pPr>
    <w:rPr>
      <w:rFonts w:ascii="Arial" w:eastAsia="Times New Roman" w:hAnsi="Arial" w:cs="Arial"/>
      <w:b/>
      <w:bCs/>
      <w:sz w:val="24"/>
      <w:szCs w:val="24"/>
      <w:lang w:val="es-ES" w:eastAsia="es-ES"/>
    </w:rPr>
  </w:style>
  <w:style w:type="paragraph" w:customStyle="1" w:styleId="H6">
    <w:name w:val="H6"/>
    <w:next w:val="Normal"/>
    <w:rsid w:val="002A7673"/>
    <w:pPr>
      <w:keepNext/>
      <w:widowControl w:val="0"/>
      <w:autoSpaceDE w:val="0"/>
      <w:autoSpaceDN w:val="0"/>
      <w:adjustRightInd w:val="0"/>
      <w:spacing w:before="100" w:after="100" w:line="240" w:lineRule="auto"/>
      <w:outlineLvl w:val="6"/>
    </w:pPr>
    <w:rPr>
      <w:rFonts w:ascii="Arial" w:eastAsia="Times New Roman" w:hAnsi="Arial" w:cs="Arial"/>
      <w:b/>
      <w:bCs/>
      <w:sz w:val="16"/>
      <w:szCs w:val="16"/>
      <w:lang w:val="es-ES" w:eastAsia="es-ES"/>
    </w:rPr>
  </w:style>
  <w:style w:type="paragraph" w:customStyle="1" w:styleId="Address">
    <w:name w:val="Address"/>
    <w:next w:val="Normal"/>
    <w:rsid w:val="002A7673"/>
    <w:pPr>
      <w:widowControl w:val="0"/>
      <w:autoSpaceDE w:val="0"/>
      <w:autoSpaceDN w:val="0"/>
      <w:adjustRightInd w:val="0"/>
      <w:spacing w:after="0" w:line="240" w:lineRule="auto"/>
    </w:pPr>
    <w:rPr>
      <w:rFonts w:ascii="Arial" w:eastAsia="Times New Roman" w:hAnsi="Arial" w:cs="Arial"/>
      <w:i/>
      <w:iCs/>
      <w:sz w:val="24"/>
      <w:szCs w:val="24"/>
      <w:lang w:val="es-ES" w:eastAsia="es-ES"/>
    </w:rPr>
  </w:style>
  <w:style w:type="paragraph" w:customStyle="1" w:styleId="Blockquote">
    <w:name w:val="Blockquote"/>
    <w:next w:val="Normal"/>
    <w:rsid w:val="002A7673"/>
    <w:pPr>
      <w:widowControl w:val="0"/>
      <w:autoSpaceDE w:val="0"/>
      <w:autoSpaceDN w:val="0"/>
      <w:adjustRightInd w:val="0"/>
      <w:spacing w:before="100" w:after="100" w:line="240" w:lineRule="auto"/>
      <w:ind w:left="360" w:right="360"/>
    </w:pPr>
    <w:rPr>
      <w:rFonts w:ascii="Arial" w:eastAsia="Times New Roman" w:hAnsi="Arial" w:cs="Arial"/>
      <w:sz w:val="24"/>
      <w:szCs w:val="24"/>
      <w:lang w:val="es-ES" w:eastAsia="es-ES"/>
    </w:rPr>
  </w:style>
  <w:style w:type="character" w:customStyle="1" w:styleId="CITE">
    <w:name w:val="CITE"/>
    <w:rsid w:val="002A7673"/>
    <w:rPr>
      <w:i/>
      <w:iCs/>
    </w:rPr>
  </w:style>
  <w:style w:type="character" w:customStyle="1" w:styleId="CODE">
    <w:name w:val="CODE"/>
    <w:rsid w:val="002A7673"/>
    <w:rPr>
      <w:rFonts w:ascii="Courier New" w:hAnsi="Courier New" w:cs="Courier New"/>
      <w:sz w:val="20"/>
      <w:szCs w:val="20"/>
    </w:rPr>
  </w:style>
  <w:style w:type="character" w:customStyle="1" w:styleId="Keyboard">
    <w:name w:val="Keyboard"/>
    <w:rsid w:val="002A7673"/>
    <w:rPr>
      <w:rFonts w:ascii="Courier New" w:hAnsi="Courier New" w:cs="Courier New"/>
      <w:b/>
      <w:bCs/>
      <w:sz w:val="20"/>
      <w:szCs w:val="20"/>
    </w:rPr>
  </w:style>
  <w:style w:type="paragraph" w:customStyle="1" w:styleId="Preformatted">
    <w:name w:val="Preformatted"/>
    <w:next w:val="Normal"/>
    <w:rsid w:val="002A7673"/>
    <w:pPr>
      <w:widowControl w:val="0"/>
      <w:autoSpaceDE w:val="0"/>
      <w:autoSpaceDN w:val="0"/>
      <w:adjustRightInd w:val="0"/>
      <w:spacing w:after="0" w:line="240" w:lineRule="auto"/>
    </w:pPr>
    <w:rPr>
      <w:rFonts w:ascii="Courier New" w:eastAsia="Times New Roman" w:hAnsi="Courier New" w:cs="Courier New"/>
      <w:sz w:val="20"/>
      <w:szCs w:val="20"/>
      <w:lang w:val="es-ES" w:eastAsia="es-ES"/>
    </w:rPr>
  </w:style>
  <w:style w:type="paragraph" w:customStyle="1" w:styleId="z-BottomofForm">
    <w:name w:val="z-Bottom of Form"/>
    <w:next w:val="Normal"/>
    <w:rsid w:val="002A7673"/>
    <w:pPr>
      <w:widowControl w:val="0"/>
      <w:pBdr>
        <w:top w:val="double" w:sz="6" w:space="0" w:color="000000"/>
      </w:pBdr>
      <w:autoSpaceDE w:val="0"/>
      <w:autoSpaceDN w:val="0"/>
      <w:adjustRightInd w:val="0"/>
      <w:spacing w:after="0" w:line="240" w:lineRule="auto"/>
      <w:jc w:val="center"/>
    </w:pPr>
    <w:rPr>
      <w:rFonts w:ascii="Arial" w:eastAsia="Times New Roman" w:hAnsi="Arial" w:cs="Arial"/>
      <w:vanish/>
      <w:sz w:val="16"/>
      <w:szCs w:val="16"/>
      <w:lang w:val="es-ES" w:eastAsia="es-ES"/>
    </w:rPr>
  </w:style>
  <w:style w:type="paragraph" w:customStyle="1" w:styleId="z-TopofForm">
    <w:name w:val="z-Top of Form"/>
    <w:next w:val="Normal"/>
    <w:rsid w:val="002A7673"/>
    <w:pPr>
      <w:widowControl w:val="0"/>
      <w:pBdr>
        <w:bottom w:val="double" w:sz="6" w:space="0" w:color="000000"/>
      </w:pBdr>
      <w:autoSpaceDE w:val="0"/>
      <w:autoSpaceDN w:val="0"/>
      <w:adjustRightInd w:val="0"/>
      <w:spacing w:after="0" w:line="240" w:lineRule="auto"/>
      <w:jc w:val="center"/>
    </w:pPr>
    <w:rPr>
      <w:rFonts w:ascii="Arial" w:eastAsia="Times New Roman" w:hAnsi="Arial" w:cs="Arial"/>
      <w:vanish/>
      <w:sz w:val="16"/>
      <w:szCs w:val="16"/>
      <w:lang w:val="es-ES" w:eastAsia="es-ES"/>
    </w:rPr>
  </w:style>
  <w:style w:type="character" w:customStyle="1" w:styleId="Sample">
    <w:name w:val="Sample"/>
    <w:rsid w:val="002A7673"/>
    <w:rPr>
      <w:rFonts w:ascii="Courier New" w:hAnsi="Courier New" w:cs="Courier New"/>
    </w:rPr>
  </w:style>
  <w:style w:type="character" w:customStyle="1" w:styleId="Typewriter">
    <w:name w:val="Typewriter"/>
    <w:rsid w:val="002A7673"/>
    <w:rPr>
      <w:rFonts w:ascii="Courier New" w:hAnsi="Courier New" w:cs="Courier New"/>
      <w:sz w:val="20"/>
      <w:szCs w:val="20"/>
    </w:rPr>
  </w:style>
  <w:style w:type="character" w:customStyle="1" w:styleId="Variable">
    <w:name w:val="Variable"/>
    <w:rsid w:val="002A7673"/>
    <w:rPr>
      <w:i/>
      <w:iCs/>
    </w:rPr>
  </w:style>
  <w:style w:type="character" w:customStyle="1" w:styleId="HTMLMarkup">
    <w:name w:val="HTML Markup"/>
    <w:rsid w:val="002A7673"/>
    <w:rPr>
      <w:vanish/>
      <w:color w:val="FF0000"/>
    </w:rPr>
  </w:style>
  <w:style w:type="character" w:customStyle="1" w:styleId="Comment">
    <w:name w:val="Comment"/>
    <w:rsid w:val="002A7673"/>
    <w:rPr>
      <w:vanish/>
    </w:rPr>
  </w:style>
  <w:style w:type="paragraph" w:customStyle="1" w:styleId="TableContents">
    <w:name w:val="Table Contents"/>
    <w:rsid w:val="002A7673"/>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TableHeading">
    <w:name w:val="Table Heading"/>
    <w:rsid w:val="002A7673"/>
    <w:pPr>
      <w:widowControl w:val="0"/>
      <w:autoSpaceDE w:val="0"/>
      <w:autoSpaceDN w:val="0"/>
      <w:adjustRightInd w:val="0"/>
      <w:spacing w:after="0" w:line="240" w:lineRule="auto"/>
      <w:jc w:val="center"/>
    </w:pPr>
    <w:rPr>
      <w:rFonts w:ascii="Arial" w:eastAsia="Times New Roman" w:hAnsi="Arial" w:cs="Arial"/>
      <w:b/>
      <w:bCs/>
      <w:color w:val="000000"/>
      <w:sz w:val="24"/>
      <w:szCs w:val="24"/>
      <w:lang w:val="es-ES" w:eastAsia="es-ES"/>
    </w:rPr>
  </w:style>
  <w:style w:type="paragraph" w:customStyle="1" w:styleId="titulomembrete">
    <w:name w:val="titulomembrete"/>
    <w:rsid w:val="002A7673"/>
    <w:pPr>
      <w:keepNext/>
      <w:widowControl w:val="0"/>
      <w:autoSpaceDE w:val="0"/>
      <w:autoSpaceDN w:val="0"/>
      <w:adjustRightInd w:val="0"/>
      <w:spacing w:after="0" w:line="240" w:lineRule="auto"/>
      <w:jc w:val="center"/>
    </w:pPr>
    <w:rPr>
      <w:rFonts w:ascii="Arial" w:eastAsia="Times New Roman" w:hAnsi="Arial" w:cs="Arial"/>
      <w:b/>
      <w:bCs/>
      <w:sz w:val="20"/>
      <w:szCs w:val="20"/>
      <w:lang w:val="es-ES" w:eastAsia="es-ES"/>
    </w:rPr>
  </w:style>
  <w:style w:type="paragraph" w:customStyle="1" w:styleId="membrete">
    <w:name w:val="membrete"/>
    <w:rsid w:val="002A7673"/>
    <w:pPr>
      <w:widowControl w:val="0"/>
      <w:autoSpaceDE w:val="0"/>
      <w:autoSpaceDN w:val="0"/>
      <w:adjustRightInd w:val="0"/>
      <w:spacing w:after="0" w:line="240" w:lineRule="auto"/>
      <w:jc w:val="center"/>
    </w:pPr>
    <w:rPr>
      <w:rFonts w:ascii="Arial" w:eastAsia="Times New Roman" w:hAnsi="Arial" w:cs="Arial"/>
      <w:sz w:val="18"/>
      <w:szCs w:val="18"/>
      <w:lang w:val="es-ES" w:eastAsia="es-ES"/>
    </w:rPr>
  </w:style>
  <w:style w:type="paragraph" w:customStyle="1" w:styleId="fomulas">
    <w:name w:val="fomulas"/>
    <w:rsid w:val="002A7673"/>
    <w:pPr>
      <w:widowControl w:val="0"/>
      <w:autoSpaceDE w:val="0"/>
      <w:autoSpaceDN w:val="0"/>
      <w:adjustRightInd w:val="0"/>
      <w:spacing w:after="0" w:line="432" w:lineRule="auto"/>
      <w:jc w:val="both"/>
    </w:pPr>
    <w:rPr>
      <w:rFonts w:ascii="Arial" w:eastAsia="Times New Roman" w:hAnsi="Arial" w:cs="Arial"/>
      <w:b/>
      <w:bCs/>
      <w:lang w:val="es-ES" w:eastAsia="es-ES"/>
    </w:rPr>
  </w:style>
  <w:style w:type="paragraph" w:customStyle="1" w:styleId="WW-TableContents12345">
    <w:name w:val="WW-Table Contents12345"/>
    <w:basedOn w:val="Normal"/>
    <w:rsid w:val="002A7673"/>
    <w:pPr>
      <w:widowControl w:val="0"/>
      <w:autoSpaceDE w:val="0"/>
      <w:autoSpaceDN w:val="0"/>
      <w:adjustRightInd w:val="0"/>
      <w:spacing w:after="0" w:line="240" w:lineRule="auto"/>
    </w:pPr>
    <w:rPr>
      <w:rFonts w:ascii="Arial" w:eastAsia="Times New Roman" w:hAnsi="Arial" w:cs="Arial"/>
      <w:sz w:val="24"/>
      <w:szCs w:val="24"/>
      <w:u w:val="single"/>
      <w:shd w:val="clear" w:color="auto" w:fill="FFFFFF"/>
      <w:lang w:val="es-ES" w:eastAsia="es-ES"/>
    </w:rPr>
  </w:style>
  <w:style w:type="paragraph" w:customStyle="1" w:styleId="Normalprueba10">
    <w:name w:val="Normal.prueba1"/>
    <w:rsid w:val="002A7673"/>
    <w:pPr>
      <w:widowControl w:val="0"/>
      <w:spacing w:after="0" w:line="240" w:lineRule="auto"/>
    </w:pPr>
    <w:rPr>
      <w:rFonts w:ascii="Times New Roman" w:eastAsia="Times New Roman" w:hAnsi="Times New Roman" w:cs="Times New Roman"/>
      <w:sz w:val="28"/>
      <w:szCs w:val="28"/>
      <w:lang w:val="es-ES_tradnl" w:eastAsia="es-ES"/>
    </w:rPr>
  </w:style>
  <w:style w:type="table" w:styleId="Tablaprofesional">
    <w:name w:val="Table Professional"/>
    <w:basedOn w:val="Tablanormal"/>
    <w:rsid w:val="002A7673"/>
    <w:pPr>
      <w:suppressAutoHyphens/>
      <w:spacing w:after="0" w:line="240" w:lineRule="auto"/>
    </w:pPr>
    <w:rPr>
      <w:rFonts w:ascii="Times New Roman" w:eastAsia="Times New Roman" w:hAnsi="Times New Roman" w:cs="Times New Roman"/>
      <w:sz w:val="20"/>
      <w:szCs w:val="20"/>
      <w:lang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
    <w:name w:val="2"/>
    <w:basedOn w:val="Normal"/>
    <w:semiHidden/>
    <w:rsid w:val="002A7673"/>
    <w:pPr>
      <w:spacing w:line="240" w:lineRule="exact"/>
    </w:pPr>
    <w:rPr>
      <w:rFonts w:ascii="Verdana" w:eastAsia="Times New Roman" w:hAnsi="Verdana" w:cs="Times New Roman"/>
      <w:sz w:val="20"/>
      <w:szCs w:val="21"/>
      <w:lang w:val="en-AU"/>
    </w:rPr>
  </w:style>
  <w:style w:type="paragraph" w:customStyle="1" w:styleId="Ttulo41">
    <w:name w:val="Título 41"/>
    <w:next w:val="Normal"/>
    <w:rsid w:val="002A7673"/>
    <w:pPr>
      <w:keepNext/>
      <w:widowControl w:val="0"/>
      <w:tabs>
        <w:tab w:val="num" w:pos="2880"/>
      </w:tabs>
      <w:suppressAutoHyphens/>
      <w:autoSpaceDE w:val="0"/>
      <w:spacing w:after="0" w:line="480" w:lineRule="auto"/>
      <w:ind w:left="2880" w:hanging="360"/>
      <w:jc w:val="center"/>
      <w:outlineLvl w:val="3"/>
    </w:pPr>
    <w:rPr>
      <w:rFonts w:ascii="Arial" w:eastAsia="Times New Roman" w:hAnsi="Arial" w:cs="Times New Roman"/>
      <w:b/>
      <w:bCs/>
      <w:sz w:val="24"/>
      <w:szCs w:val="24"/>
      <w:u w:val="single"/>
      <w:shd w:val="clear" w:color="auto" w:fill="FFFFFF"/>
      <w:lang w:val="es-ES"/>
    </w:rPr>
  </w:style>
  <w:style w:type="character" w:customStyle="1" w:styleId="hps">
    <w:name w:val="hps"/>
    <w:basedOn w:val="Fuentedeprrafopredeter"/>
    <w:rsid w:val="002A7673"/>
  </w:style>
  <w:style w:type="paragraph" w:customStyle="1" w:styleId="arial">
    <w:name w:val="arial"/>
    <w:rsid w:val="002A7673"/>
    <w:pPr>
      <w:keepNext/>
      <w:widowControl w:val="0"/>
      <w:autoSpaceDE w:val="0"/>
      <w:autoSpaceDN w:val="0"/>
      <w:adjustRightInd w:val="0"/>
      <w:spacing w:after="0" w:line="240" w:lineRule="auto"/>
      <w:jc w:val="both"/>
    </w:pPr>
    <w:rPr>
      <w:rFonts w:ascii="Arial" w:eastAsia="Times New Roman" w:hAnsi="Arial" w:cs="Times New Roman"/>
      <w:i/>
      <w:iCs/>
      <w:sz w:val="28"/>
      <w:szCs w:val="28"/>
      <w:lang w:val="es-ES" w:eastAsia="es-ES"/>
    </w:rPr>
  </w:style>
  <w:style w:type="paragraph" w:customStyle="1" w:styleId="standard">
    <w:name w:val="standard"/>
    <w:basedOn w:val="Normal"/>
    <w:rsid w:val="002A7673"/>
    <w:pPr>
      <w:autoSpaceDN w:val="0"/>
      <w:spacing w:after="0" w:line="240" w:lineRule="auto"/>
    </w:pPr>
    <w:rPr>
      <w:rFonts w:ascii="Times New Roman" w:eastAsia="Times New Roman" w:hAnsi="Times New Roman" w:cs="Times New Roman"/>
      <w:sz w:val="24"/>
      <w:szCs w:val="24"/>
      <w:lang w:val="es-ES" w:eastAsia="es-ES"/>
    </w:rPr>
  </w:style>
  <w:style w:type="paragraph" w:customStyle="1" w:styleId="heading11">
    <w:name w:val="heading11"/>
    <w:basedOn w:val="Normal"/>
    <w:rsid w:val="002A7673"/>
    <w:pPr>
      <w:keepNext/>
      <w:autoSpaceDN w:val="0"/>
      <w:spacing w:after="0" w:line="240" w:lineRule="auto"/>
      <w:jc w:val="right"/>
    </w:pPr>
    <w:rPr>
      <w:rFonts w:ascii="Times New Roman" w:eastAsia="Times New Roman" w:hAnsi="Times New Roman" w:cs="Times New Roman"/>
      <w:b/>
      <w:bCs/>
      <w:sz w:val="21"/>
      <w:szCs w:val="21"/>
      <w:lang w:val="es-ES" w:eastAsia="es-ES"/>
    </w:rPr>
  </w:style>
  <w:style w:type="paragraph" w:styleId="ndice1">
    <w:name w:val="index 1"/>
    <w:aliases w:val="0"/>
    <w:basedOn w:val="Normal"/>
    <w:next w:val="Normal"/>
    <w:autoRedefine/>
    <w:semiHidden/>
    <w:rsid w:val="002A7673"/>
    <w:pPr>
      <w:suppressAutoHyphens/>
      <w:spacing w:after="0" w:line="240" w:lineRule="auto"/>
      <w:ind w:left="200" w:hanging="200"/>
    </w:pPr>
    <w:rPr>
      <w:rFonts w:ascii="Times New Roman" w:eastAsia="Times New Roman" w:hAnsi="Times New Roman" w:cs="Times New Roman"/>
      <w:b/>
      <w:color w:val="000080"/>
      <w:sz w:val="28"/>
      <w:szCs w:val="20"/>
      <w:u w:val="single"/>
      <w:lang w:val="es-ES_tradnl" w:eastAsia="ar-SA"/>
    </w:rPr>
  </w:style>
  <w:style w:type="paragraph" w:styleId="Textoindependienteprimerasangra">
    <w:name w:val="Body Text First Indent"/>
    <w:basedOn w:val="Textoindependiente"/>
    <w:link w:val="TextoindependienteprimerasangraCar"/>
    <w:rsid w:val="002A7673"/>
    <w:pPr>
      <w:suppressAutoHyphens/>
      <w:ind w:firstLine="210"/>
    </w:pPr>
    <w:rPr>
      <w:lang w:val="es-ES_tradnl" w:eastAsia="ar-SA"/>
    </w:rPr>
  </w:style>
  <w:style w:type="character" w:customStyle="1" w:styleId="TextoindependienteprimerasangraCar">
    <w:name w:val="Texto independiente primera sangría Car"/>
    <w:basedOn w:val="TextoindependienteCar"/>
    <w:link w:val="Textoindependienteprimerasangra"/>
    <w:rsid w:val="002A7673"/>
    <w:rPr>
      <w:rFonts w:ascii="Times New Roman" w:eastAsia="Times New Roman" w:hAnsi="Times New Roman" w:cs="Times New Roman"/>
      <w:sz w:val="20"/>
      <w:szCs w:val="20"/>
      <w:lang w:val="es-ES_tradnl" w:eastAsia="ar-SA"/>
    </w:rPr>
  </w:style>
  <w:style w:type="character" w:customStyle="1" w:styleId="CarCar6">
    <w:name w:val="Car Car6"/>
    <w:locked/>
    <w:rsid w:val="002A7673"/>
    <w:rPr>
      <w:rFonts w:cs="Arial"/>
      <w:color w:val="000000"/>
      <w:lang w:val="es-ES_tradnl" w:eastAsia="es-ES" w:bidi="ar-SA"/>
    </w:rPr>
  </w:style>
  <w:style w:type="paragraph" w:customStyle="1" w:styleId="xl63">
    <w:name w:val="xl63"/>
    <w:basedOn w:val="Normal"/>
    <w:rsid w:val="002A76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en-US"/>
    </w:rPr>
  </w:style>
  <w:style w:type="paragraph" w:customStyle="1" w:styleId="xl64">
    <w:name w:val="xl64"/>
    <w:basedOn w:val="Normal"/>
    <w:rsid w:val="002A76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5">
    <w:name w:val="xl65"/>
    <w:basedOn w:val="Normal"/>
    <w:rsid w:val="002A76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US"/>
    </w:rPr>
  </w:style>
  <w:style w:type="paragraph" w:customStyle="1" w:styleId="xl66">
    <w:name w:val="xl66"/>
    <w:basedOn w:val="Normal"/>
    <w:rsid w:val="002A76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n-US"/>
    </w:rPr>
  </w:style>
  <w:style w:type="paragraph" w:customStyle="1" w:styleId="xl67">
    <w:name w:val="xl67"/>
    <w:basedOn w:val="Normal"/>
    <w:rsid w:val="002A76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val="en-US"/>
    </w:rPr>
  </w:style>
  <w:style w:type="paragraph" w:customStyle="1" w:styleId="xl68">
    <w:name w:val="xl68"/>
    <w:basedOn w:val="Normal"/>
    <w:rsid w:val="002A76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US"/>
    </w:rPr>
  </w:style>
  <w:style w:type="paragraph" w:customStyle="1" w:styleId="xl69">
    <w:name w:val="xl69"/>
    <w:basedOn w:val="Normal"/>
    <w:rsid w:val="002A76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lang w:val="en-US"/>
    </w:rPr>
  </w:style>
  <w:style w:type="paragraph" w:customStyle="1" w:styleId="xl70">
    <w:name w:val="xl70"/>
    <w:basedOn w:val="Normal"/>
    <w:rsid w:val="002A767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1">
    <w:name w:val="xl71"/>
    <w:basedOn w:val="Normal"/>
    <w:rsid w:val="002A767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val="en-US"/>
    </w:rPr>
  </w:style>
  <w:style w:type="character" w:customStyle="1" w:styleId="spelle">
    <w:name w:val="spelle"/>
    <w:rsid w:val="002A7673"/>
  </w:style>
  <w:style w:type="paragraph" w:customStyle="1" w:styleId="Pa3">
    <w:name w:val="Pa3"/>
    <w:basedOn w:val="Normal"/>
    <w:next w:val="Normal"/>
    <w:rsid w:val="002A7673"/>
    <w:pPr>
      <w:autoSpaceDE w:val="0"/>
      <w:autoSpaceDN w:val="0"/>
      <w:adjustRightInd w:val="0"/>
      <w:spacing w:after="0" w:line="181" w:lineRule="atLeast"/>
    </w:pPr>
    <w:rPr>
      <w:rFonts w:ascii="Times New Roman" w:eastAsia="Calibri" w:hAnsi="Times New Roman" w:cs="Times New Roman"/>
      <w:sz w:val="24"/>
      <w:szCs w:val="24"/>
      <w:lang w:eastAsia="es-CR"/>
    </w:rPr>
  </w:style>
  <w:style w:type="paragraph" w:customStyle="1" w:styleId="Pa5">
    <w:name w:val="Pa5"/>
    <w:basedOn w:val="Normal"/>
    <w:next w:val="Normal"/>
    <w:rsid w:val="002A7673"/>
    <w:pPr>
      <w:autoSpaceDE w:val="0"/>
      <w:autoSpaceDN w:val="0"/>
      <w:adjustRightInd w:val="0"/>
      <w:spacing w:after="0" w:line="181" w:lineRule="atLeast"/>
    </w:pPr>
    <w:rPr>
      <w:rFonts w:ascii="Times New Roman" w:eastAsia="Calibri" w:hAnsi="Times New Roman" w:cs="Times New Roman"/>
      <w:sz w:val="24"/>
      <w:szCs w:val="24"/>
      <w:lang w:eastAsia="es-CR"/>
    </w:rPr>
  </w:style>
  <w:style w:type="paragraph" w:customStyle="1" w:styleId="Pa6">
    <w:name w:val="Pa6"/>
    <w:basedOn w:val="Normal"/>
    <w:next w:val="Normal"/>
    <w:rsid w:val="002A7673"/>
    <w:pPr>
      <w:autoSpaceDE w:val="0"/>
      <w:autoSpaceDN w:val="0"/>
      <w:adjustRightInd w:val="0"/>
      <w:spacing w:after="0" w:line="181" w:lineRule="atLeast"/>
    </w:pPr>
    <w:rPr>
      <w:rFonts w:ascii="Times New Roman" w:eastAsia="Calibri" w:hAnsi="Times New Roman" w:cs="Times New Roman"/>
      <w:sz w:val="24"/>
      <w:szCs w:val="24"/>
      <w:lang w:eastAsia="es-CR"/>
    </w:rPr>
  </w:style>
  <w:style w:type="paragraph" w:customStyle="1" w:styleId="Textodebloque1">
    <w:name w:val="Texto de bloque1"/>
    <w:rsid w:val="002A7673"/>
    <w:pPr>
      <w:widowControl w:val="0"/>
      <w:suppressAutoHyphens/>
      <w:autoSpaceDE w:val="0"/>
      <w:spacing w:after="0" w:line="240" w:lineRule="auto"/>
      <w:ind w:firstLine="709"/>
      <w:jc w:val="both"/>
    </w:pPr>
    <w:rPr>
      <w:rFonts w:ascii="Century" w:eastAsia="Century" w:hAnsi="Century" w:cs="Times New Roman"/>
      <w:color w:val="000000"/>
      <w:kern w:val="1"/>
      <w:sz w:val="24"/>
      <w:szCs w:val="24"/>
      <w:u w:val="single"/>
      <w:lang w:eastAsia="es-CR"/>
    </w:rPr>
  </w:style>
  <w:style w:type="paragraph" w:customStyle="1" w:styleId="textos">
    <w:name w:val="textos"/>
    <w:basedOn w:val="Normal"/>
    <w:rsid w:val="002A7673"/>
    <w:pPr>
      <w:spacing w:before="100" w:beforeAutospacing="1" w:after="100" w:afterAutospacing="1" w:line="240" w:lineRule="auto"/>
    </w:pPr>
    <w:rPr>
      <w:rFonts w:ascii="Arial" w:eastAsia="Times New Roman" w:hAnsi="Arial" w:cs="Arial"/>
      <w:color w:val="000066"/>
      <w:sz w:val="28"/>
      <w:szCs w:val="28"/>
      <w:lang w:val="es-ES" w:eastAsia="es-ES"/>
    </w:rPr>
  </w:style>
  <w:style w:type="paragraph" w:customStyle="1" w:styleId="subtitulo">
    <w:name w:val="subtitulo"/>
    <w:basedOn w:val="Normal"/>
    <w:rsid w:val="002A7673"/>
    <w:pPr>
      <w:spacing w:before="100" w:beforeAutospacing="1" w:after="100" w:afterAutospacing="1" w:line="240" w:lineRule="auto"/>
    </w:pPr>
    <w:rPr>
      <w:rFonts w:ascii="Arial" w:eastAsia="Times New Roman" w:hAnsi="Arial" w:cs="Arial"/>
      <w:b/>
      <w:bCs/>
      <w:i/>
      <w:iCs/>
      <w:color w:val="333300"/>
      <w:sz w:val="23"/>
      <w:szCs w:val="23"/>
      <w:lang w:val="es-ES" w:eastAsia="es-ES"/>
    </w:rPr>
  </w:style>
  <w:style w:type="paragraph" w:customStyle="1" w:styleId="ecxjuris">
    <w:name w:val="ecxjuris"/>
    <w:rsid w:val="002A7673"/>
    <w:pPr>
      <w:widowControl w:val="0"/>
      <w:autoSpaceDE w:val="0"/>
      <w:autoSpaceDN w:val="0"/>
      <w:adjustRightInd w:val="0"/>
      <w:spacing w:after="324" w:line="240" w:lineRule="auto"/>
    </w:pPr>
    <w:rPr>
      <w:rFonts w:ascii="Arial" w:eastAsia="Times New Roman" w:hAnsi="Arial" w:cs="Times New Roman"/>
      <w:sz w:val="24"/>
      <w:szCs w:val="24"/>
      <w:lang w:val="es-ES" w:eastAsia="es-ES"/>
    </w:rPr>
  </w:style>
  <w:style w:type="paragraph" w:styleId="Fecha">
    <w:name w:val="Date"/>
    <w:basedOn w:val="Normal"/>
    <w:link w:val="FechaCar"/>
    <w:rsid w:val="002A7673"/>
    <w:pPr>
      <w:spacing w:after="0" w:line="240" w:lineRule="auto"/>
    </w:pPr>
    <w:rPr>
      <w:rFonts w:ascii="Courier New" w:eastAsia="Times New Roman" w:hAnsi="Courier New" w:cs="Times New Roman"/>
      <w:sz w:val="24"/>
      <w:szCs w:val="20"/>
      <w:lang w:val="es-ES_tradnl" w:eastAsia="es-ES"/>
    </w:rPr>
  </w:style>
  <w:style w:type="character" w:customStyle="1" w:styleId="FechaCar">
    <w:name w:val="Fecha Car"/>
    <w:basedOn w:val="Fuentedeprrafopredeter"/>
    <w:link w:val="Fecha"/>
    <w:rsid w:val="002A7673"/>
    <w:rPr>
      <w:rFonts w:ascii="Courier New" w:eastAsia="Times New Roman" w:hAnsi="Courier New" w:cs="Times New Roman"/>
      <w:sz w:val="24"/>
      <w:szCs w:val="20"/>
      <w:lang w:val="es-ES_tradnl" w:eastAsia="es-ES"/>
    </w:rPr>
  </w:style>
  <w:style w:type="table" w:customStyle="1" w:styleId="TablaWeb1">
    <w:name w:val="Tabla Web 1"/>
    <w:basedOn w:val="Tablanormal"/>
    <w:rsid w:val="002A7673"/>
    <w:pPr>
      <w:spacing w:after="0" w:line="240" w:lineRule="auto"/>
    </w:pPr>
    <w:rPr>
      <w:rFonts w:ascii="Times New Roman" w:eastAsia="Times New Roman" w:hAnsi="Times New Roman" w:cs="Times New Roman"/>
      <w:sz w:val="20"/>
      <w:szCs w:val="20"/>
      <w:lang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estilocorreo170">
    <w:name w:val="estilocorreo17"/>
    <w:semiHidden/>
    <w:rsid w:val="002A7673"/>
    <w:rPr>
      <w:rFonts w:ascii="Palatino Linotype" w:hAnsi="Palatino Linotype" w:cs="Arial" w:hint="default"/>
      <w:b/>
      <w:bCs w:val="0"/>
      <w:color w:val="auto"/>
      <w:sz w:val="26"/>
      <w:szCs w:val="26"/>
    </w:rPr>
  </w:style>
  <w:style w:type="paragraph" w:customStyle="1" w:styleId="msolistparagraph0">
    <w:name w:val="msolistparagraph"/>
    <w:basedOn w:val="Normal"/>
    <w:rsid w:val="002A7673"/>
    <w:pPr>
      <w:spacing w:after="0" w:line="240" w:lineRule="auto"/>
      <w:ind w:left="708"/>
    </w:pPr>
    <w:rPr>
      <w:rFonts w:ascii="Courier 10cpi" w:eastAsia="Times New Roman" w:hAnsi="Courier 10cpi" w:cs="Times New Roman"/>
      <w:sz w:val="20"/>
      <w:szCs w:val="20"/>
      <w:lang w:val="es-ES" w:eastAsia="es-ES"/>
    </w:rPr>
  </w:style>
  <w:style w:type="paragraph" w:customStyle="1" w:styleId="textosinformato1">
    <w:name w:val="textosinformato1"/>
    <w:rsid w:val="002A7673"/>
    <w:pPr>
      <w:widowControl w:val="0"/>
      <w:autoSpaceDE w:val="0"/>
      <w:autoSpaceDN w:val="0"/>
      <w:adjustRightInd w:val="0"/>
      <w:spacing w:after="0" w:line="240" w:lineRule="auto"/>
    </w:pPr>
    <w:rPr>
      <w:rFonts w:ascii="Courier New" w:eastAsia="Times New Roman" w:hAnsi="Courier New" w:cs="Courier New"/>
      <w:sz w:val="20"/>
      <w:szCs w:val="20"/>
      <w:lang w:val="es-ES" w:eastAsia="es-ES"/>
    </w:rPr>
  </w:style>
  <w:style w:type="paragraph" w:customStyle="1" w:styleId="listparagraph">
    <w:name w:val="listparagraph"/>
    <w:basedOn w:val="Normal"/>
    <w:rsid w:val="002A7673"/>
    <w:pPr>
      <w:spacing w:after="0" w:line="240" w:lineRule="auto"/>
      <w:ind w:left="720"/>
    </w:pPr>
    <w:rPr>
      <w:rFonts w:ascii="Times New Roman" w:eastAsia="Times New Roman" w:hAnsi="Times New Roman" w:cs="Times New Roman"/>
      <w:sz w:val="24"/>
      <w:szCs w:val="24"/>
      <w:lang w:val="es-ES" w:eastAsia="es-ES"/>
    </w:rPr>
  </w:style>
  <w:style w:type="paragraph" w:customStyle="1" w:styleId="Encabezado10">
    <w:name w:val="Encabezado 1"/>
    <w:next w:val="Normal"/>
    <w:rsid w:val="002A7673"/>
    <w:pPr>
      <w:keepNext/>
      <w:widowControl w:val="0"/>
      <w:autoSpaceDE w:val="0"/>
      <w:autoSpaceDN w:val="0"/>
      <w:adjustRightInd w:val="0"/>
      <w:spacing w:after="0" w:line="240" w:lineRule="auto"/>
      <w:jc w:val="both"/>
      <w:outlineLvl w:val="0"/>
    </w:pPr>
    <w:rPr>
      <w:rFonts w:ascii="Comic Sans MS" w:eastAsia="Times New Roman" w:hAnsi="Comic Sans MS" w:cs="Comic Sans MS"/>
      <w:b/>
      <w:bCs/>
      <w:sz w:val="28"/>
      <w:szCs w:val="28"/>
      <w:lang w:val="es-ES" w:eastAsia="es-ES"/>
    </w:rPr>
  </w:style>
  <w:style w:type="character" w:customStyle="1" w:styleId="Muydestacado">
    <w:name w:val="Muy destacado"/>
    <w:rsid w:val="002A7673"/>
    <w:rPr>
      <w:b/>
      <w:bCs/>
    </w:rPr>
  </w:style>
  <w:style w:type="paragraph" w:customStyle="1" w:styleId="encabezado20">
    <w:name w:val="encabezado2"/>
    <w:basedOn w:val="Normal"/>
    <w:rsid w:val="002A7673"/>
    <w:pPr>
      <w:keepNext/>
      <w:spacing w:after="0" w:line="240" w:lineRule="auto"/>
    </w:pPr>
    <w:rPr>
      <w:rFonts w:ascii="Times New Roman" w:eastAsia="Times New Roman" w:hAnsi="Times New Roman" w:cs="Times New Roman"/>
      <w:b/>
      <w:bCs/>
      <w:sz w:val="18"/>
      <w:szCs w:val="18"/>
      <w:lang w:val="es-ES" w:eastAsia="es-ES"/>
    </w:rPr>
  </w:style>
  <w:style w:type="paragraph" w:customStyle="1" w:styleId="encabezado30">
    <w:name w:val="encabezado3"/>
    <w:basedOn w:val="Normal"/>
    <w:rsid w:val="002A7673"/>
    <w:pPr>
      <w:keepNext/>
      <w:spacing w:after="0" w:line="240" w:lineRule="auto"/>
      <w:jc w:val="center"/>
    </w:pPr>
    <w:rPr>
      <w:rFonts w:ascii="Times New Roman" w:eastAsia="Times New Roman" w:hAnsi="Times New Roman" w:cs="Times New Roman"/>
      <w:b/>
      <w:bCs/>
      <w:sz w:val="18"/>
      <w:szCs w:val="18"/>
      <w:lang w:val="es-ES" w:eastAsia="es-ES"/>
    </w:rPr>
  </w:style>
  <w:style w:type="character" w:customStyle="1" w:styleId="a">
    <w:name w:val="."/>
    <w:semiHidden/>
    <w:rsid w:val="002A7673"/>
    <w:rPr>
      <w:color w:val="000000"/>
    </w:rPr>
  </w:style>
  <w:style w:type="paragraph" w:customStyle="1" w:styleId="estilo14ptazuloscurojustificadoprimeralnea125cmant0">
    <w:name w:val="estilo14ptazuloscurojustificadoprimeralnea125cmant"/>
    <w:basedOn w:val="Normal"/>
    <w:rsid w:val="002A767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Encabezado21">
    <w:name w:val="Encabezado 2"/>
    <w:basedOn w:val="Predeterminado"/>
    <w:next w:val="Predeterminado"/>
    <w:rsid w:val="002A7673"/>
    <w:pPr>
      <w:keepNext/>
      <w:widowControl w:val="0"/>
      <w:suppressAutoHyphens w:val="0"/>
      <w:autoSpaceDE w:val="0"/>
      <w:autoSpaceDN w:val="0"/>
      <w:adjustRightInd w:val="0"/>
    </w:pPr>
    <w:rPr>
      <w:rFonts w:ascii="Times New Roman" w:eastAsia="Times New Roman" w:hAnsi="Times New Roman" w:cs="Times New Roman"/>
      <w:b/>
      <w:bCs/>
      <w:kern w:val="0"/>
      <w:sz w:val="18"/>
      <w:szCs w:val="18"/>
      <w:lang w:val="es-ES" w:eastAsia="es-ES" w:bidi="ar-SA"/>
    </w:rPr>
  </w:style>
  <w:style w:type="paragraph" w:customStyle="1" w:styleId="Encabezado31">
    <w:name w:val="Encabezado 3"/>
    <w:basedOn w:val="Predeterminado"/>
    <w:next w:val="Predeterminado"/>
    <w:rsid w:val="002A7673"/>
    <w:pPr>
      <w:keepNext/>
      <w:widowControl w:val="0"/>
      <w:suppressAutoHyphens w:val="0"/>
      <w:autoSpaceDE w:val="0"/>
      <w:autoSpaceDN w:val="0"/>
      <w:adjustRightInd w:val="0"/>
      <w:jc w:val="center"/>
    </w:pPr>
    <w:rPr>
      <w:rFonts w:ascii="Times New Roman" w:eastAsia="Times New Roman" w:hAnsi="Times New Roman" w:cs="Times New Roman"/>
      <w:b/>
      <w:bCs/>
      <w:kern w:val="0"/>
      <w:sz w:val="18"/>
      <w:szCs w:val="18"/>
      <w:lang w:val="es-ES" w:eastAsia="es-ES" w:bidi="ar-SA"/>
    </w:rPr>
  </w:style>
  <w:style w:type="paragraph" w:customStyle="1" w:styleId="Fecha1">
    <w:name w:val="Fecha1"/>
    <w:basedOn w:val="Normal"/>
    <w:rsid w:val="002A7673"/>
    <w:pPr>
      <w:spacing w:after="0" w:line="240" w:lineRule="auto"/>
    </w:pPr>
    <w:rPr>
      <w:rFonts w:ascii="Courier New" w:eastAsia="Times New Roman" w:hAnsi="Courier New" w:cs="Times New Roman"/>
      <w:sz w:val="24"/>
      <w:szCs w:val="20"/>
      <w:lang w:val="es-ES" w:eastAsia="ar-SA"/>
    </w:rPr>
  </w:style>
  <w:style w:type="paragraph" w:customStyle="1" w:styleId="Sinespaciado1">
    <w:name w:val="Sin espaciado1"/>
    <w:qFormat/>
    <w:rsid w:val="002A7673"/>
    <w:pPr>
      <w:spacing w:after="0" w:line="240" w:lineRule="auto"/>
    </w:pPr>
    <w:rPr>
      <w:rFonts w:ascii="Calibri" w:eastAsia="Times New Roman" w:hAnsi="Calibri" w:cs="Times New Roman"/>
      <w:lang w:val="en-US"/>
    </w:rPr>
  </w:style>
  <w:style w:type="paragraph" w:customStyle="1" w:styleId="framecontents">
    <w:name w:val="framecontents"/>
    <w:basedOn w:val="Normal"/>
    <w:rsid w:val="002A767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contenidodelatabla0">
    <w:name w:val="contenidodelatabla"/>
    <w:basedOn w:val="Normal"/>
    <w:rsid w:val="002A7673"/>
    <w:pPr>
      <w:suppressAutoHyphens/>
      <w:spacing w:after="0" w:line="240" w:lineRule="auto"/>
    </w:pPr>
    <w:rPr>
      <w:rFonts w:ascii="Times New Roman" w:eastAsia="Calibri" w:hAnsi="Times New Roman" w:cs="Times New Roman"/>
      <w:sz w:val="24"/>
      <w:szCs w:val="24"/>
      <w:lang w:eastAsia="ar-SA"/>
    </w:rPr>
  </w:style>
  <w:style w:type="paragraph" w:styleId="Listaconnmeros">
    <w:name w:val="List Number"/>
    <w:basedOn w:val="Normal"/>
    <w:rsid w:val="002A7673"/>
    <w:pPr>
      <w:numPr>
        <w:numId w:val="92"/>
      </w:numPr>
      <w:suppressAutoHyphens/>
      <w:spacing w:after="0" w:line="240" w:lineRule="auto"/>
    </w:pPr>
    <w:rPr>
      <w:rFonts w:ascii="Times New Roman" w:eastAsia="Times New Roman" w:hAnsi="Times New Roman" w:cs="Times New Roman"/>
      <w:sz w:val="20"/>
      <w:szCs w:val="20"/>
      <w:lang w:val="es-ES_tradnl" w:eastAsia="ar-SA"/>
    </w:rPr>
  </w:style>
  <w:style w:type="character" w:customStyle="1" w:styleId="encabezadoCarCar1">
    <w:name w:val="encabezado Car Car1"/>
    <w:locked/>
    <w:rsid w:val="002A7673"/>
    <w:rPr>
      <w:sz w:val="24"/>
      <w:szCs w:val="24"/>
      <w:lang w:val="es-CR" w:eastAsia="es-ES" w:bidi="ar-SA"/>
    </w:rPr>
  </w:style>
  <w:style w:type="paragraph" w:customStyle="1" w:styleId="ww-predeterminado0">
    <w:name w:val="ww-predeterminado0"/>
    <w:basedOn w:val="Normal"/>
    <w:rsid w:val="002A7673"/>
    <w:pPr>
      <w:spacing w:after="0" w:line="240" w:lineRule="auto"/>
    </w:pPr>
    <w:rPr>
      <w:rFonts w:ascii="Times New Roman" w:eastAsia="Times New Roman" w:hAnsi="Times New Roman" w:cs="Times New Roman"/>
      <w:sz w:val="24"/>
      <w:szCs w:val="24"/>
      <w:lang w:val="es-ES" w:eastAsia="es-ES"/>
    </w:rPr>
  </w:style>
  <w:style w:type="paragraph" w:customStyle="1" w:styleId="ww-encabezado20">
    <w:name w:val="ww-encabezado20"/>
    <w:basedOn w:val="Normal"/>
    <w:rsid w:val="002A7673"/>
    <w:pPr>
      <w:keepNext/>
      <w:autoSpaceDE w:val="0"/>
      <w:spacing w:after="0" w:line="240" w:lineRule="auto"/>
    </w:pPr>
    <w:rPr>
      <w:rFonts w:ascii="Times New Roman" w:eastAsia="Times New Roman" w:hAnsi="Times New Roman" w:cs="Times New Roman"/>
      <w:b/>
      <w:bCs/>
      <w:sz w:val="18"/>
      <w:szCs w:val="18"/>
      <w:lang w:val="es-ES" w:eastAsia="es-ES"/>
    </w:rPr>
  </w:style>
  <w:style w:type="paragraph" w:customStyle="1" w:styleId="ww-encabezado30">
    <w:name w:val="ww-encabezado30"/>
    <w:basedOn w:val="Normal"/>
    <w:rsid w:val="002A7673"/>
    <w:pPr>
      <w:keepNext/>
      <w:autoSpaceDE w:val="0"/>
      <w:spacing w:after="0" w:line="240" w:lineRule="auto"/>
      <w:jc w:val="center"/>
    </w:pPr>
    <w:rPr>
      <w:rFonts w:ascii="Times New Roman" w:eastAsia="Times New Roman" w:hAnsi="Times New Roman" w:cs="Times New Roman"/>
      <w:b/>
      <w:bCs/>
      <w:sz w:val="18"/>
      <w:szCs w:val="18"/>
      <w:lang w:val="es-ES" w:eastAsia="es-ES"/>
    </w:rPr>
  </w:style>
  <w:style w:type="paragraph" w:customStyle="1" w:styleId="Encabezadoencabezado">
    <w:name w:val="Encabezado.encabezado"/>
    <w:basedOn w:val="Normal"/>
    <w:rsid w:val="002A7673"/>
    <w:pPr>
      <w:tabs>
        <w:tab w:val="center" w:pos="4252"/>
        <w:tab w:val="right" w:pos="8504"/>
      </w:tabs>
      <w:overflowPunct w:val="0"/>
      <w:autoSpaceDE w:val="0"/>
      <w:autoSpaceDN w:val="0"/>
      <w:adjustRightInd w:val="0"/>
      <w:spacing w:after="0" w:line="240" w:lineRule="auto"/>
      <w:textAlignment w:val="baseline"/>
    </w:pPr>
    <w:rPr>
      <w:rFonts w:ascii="Times New Roman" w:eastAsia="Times New Roman" w:hAnsi="Times New Roman" w:cs="Times New Roman"/>
      <w:szCs w:val="20"/>
      <w:lang w:val="es-ES" w:eastAsia="es-ES"/>
    </w:rPr>
  </w:style>
  <w:style w:type="paragraph" w:customStyle="1" w:styleId="cuerpocarta">
    <w:name w:val="cuerpo carta"/>
    <w:basedOn w:val="Normal"/>
    <w:rsid w:val="002A7673"/>
    <w:pPr>
      <w:widowControl w:val="0"/>
      <w:suppressAutoHyphens/>
      <w:spacing w:after="0" w:line="240" w:lineRule="auto"/>
      <w:ind w:left="1080"/>
      <w:jc w:val="both"/>
    </w:pPr>
    <w:rPr>
      <w:rFonts w:ascii="Toronto" w:eastAsia="Times New Roman" w:hAnsi="Toronto" w:cs="Times New Roman"/>
      <w:i/>
      <w:sz w:val="24"/>
      <w:szCs w:val="20"/>
      <w:lang w:eastAsia="ar-SA"/>
    </w:rPr>
  </w:style>
  <w:style w:type="paragraph" w:customStyle="1" w:styleId="sangra2detindependiente10">
    <w:name w:val="sangra2detindependiente1"/>
    <w:basedOn w:val="Normal"/>
    <w:rsid w:val="002A767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TtulodeTDC">
    <w:name w:val="Título de TDC"/>
    <w:basedOn w:val="Ttulo1"/>
    <w:next w:val="Normal"/>
    <w:qFormat/>
    <w:rsid w:val="002A7673"/>
    <w:pPr>
      <w:keepNext w:val="0"/>
      <w:pBdr>
        <w:top w:val="single" w:sz="24" w:space="0" w:color="4F81BD"/>
        <w:left w:val="single" w:sz="24" w:space="0" w:color="4F81BD"/>
        <w:bottom w:val="single" w:sz="24" w:space="0" w:color="4F81BD"/>
        <w:right w:val="single" w:sz="24" w:space="0" w:color="4F81BD"/>
      </w:pBdr>
      <w:shd w:val="clear" w:color="auto" w:fill="4F81BD"/>
      <w:autoSpaceDE/>
      <w:autoSpaceDN/>
      <w:jc w:val="left"/>
      <w:outlineLvl w:val="9"/>
    </w:pPr>
    <w:rPr>
      <w:rFonts w:eastAsia="Times New Roman" w:cs="Times New Roman"/>
      <w:b/>
      <w:bCs/>
      <w:smallCaps/>
      <w:color w:val="000080"/>
      <w:spacing w:val="15"/>
      <w:szCs w:val="22"/>
      <w:lang w:val="es-ES" w:eastAsia="en-US" w:bidi="en-US"/>
    </w:rPr>
  </w:style>
  <w:style w:type="paragraph" w:customStyle="1" w:styleId="Textosinformato10">
    <w:name w:val="Texto sin formato1"/>
    <w:rsid w:val="002A7673"/>
    <w:pPr>
      <w:widowControl w:val="0"/>
      <w:autoSpaceDE w:val="0"/>
      <w:autoSpaceDN w:val="0"/>
      <w:adjustRightInd w:val="0"/>
      <w:spacing w:after="0" w:line="240" w:lineRule="auto"/>
    </w:pPr>
    <w:rPr>
      <w:rFonts w:ascii="Verdana" w:eastAsia="Times New Roman" w:hAnsi="Verdana" w:cs="Verdana"/>
      <w:sz w:val="20"/>
      <w:szCs w:val="20"/>
      <w:lang w:val="es-ES" w:eastAsia="es-ES"/>
    </w:rPr>
  </w:style>
  <w:style w:type="character" w:customStyle="1" w:styleId="apple-tab-span">
    <w:name w:val="apple-tab-span"/>
    <w:basedOn w:val="Fuentedeprrafopredeter"/>
    <w:rsid w:val="002A7673"/>
  </w:style>
  <w:style w:type="paragraph" w:styleId="Listaconvietas2">
    <w:name w:val="List Bullet 2"/>
    <w:basedOn w:val="Normal"/>
    <w:rsid w:val="002A7673"/>
    <w:pPr>
      <w:numPr>
        <w:numId w:val="93"/>
      </w:numPr>
      <w:suppressAutoHyphens/>
      <w:spacing w:after="0" w:line="240" w:lineRule="auto"/>
    </w:pPr>
    <w:rPr>
      <w:rFonts w:ascii="Times New Roman" w:eastAsia="Times New Roman" w:hAnsi="Times New Roman" w:cs="Times New Roman"/>
      <w:sz w:val="20"/>
      <w:szCs w:val="20"/>
      <w:lang w:val="es-ES_tradnl" w:eastAsia="ar-SA"/>
    </w:rPr>
  </w:style>
  <w:style w:type="paragraph" w:customStyle="1" w:styleId="Encabezadodelatabla">
    <w:name w:val="Encabezado de la tabla"/>
    <w:basedOn w:val="Contenidodelatabla"/>
    <w:rsid w:val="002A7673"/>
    <w:pPr>
      <w:widowControl w:val="0"/>
      <w:autoSpaceDE w:val="0"/>
      <w:jc w:val="center"/>
    </w:pPr>
    <w:rPr>
      <w:rFonts w:ascii="Times New Roman" w:eastAsia="Times New Roman" w:hAnsi="Times New Roman" w:cs="Times New Roman"/>
      <w:b/>
      <w:bCs/>
      <w:i/>
      <w:iCs/>
      <w:lang w:val="en-US" w:eastAsia="en-US" w:bidi="en-US"/>
    </w:rPr>
  </w:style>
  <w:style w:type="paragraph" w:customStyle="1" w:styleId="epgrafe">
    <w:name w:val="epígrafe"/>
    <w:basedOn w:val="Normal"/>
    <w:rsid w:val="002A7673"/>
    <w:pPr>
      <w:widowControl w:val="0"/>
      <w:spacing w:after="0" w:line="240" w:lineRule="auto"/>
    </w:pPr>
    <w:rPr>
      <w:rFonts w:ascii="Times New Roman" w:eastAsia="Times New Roman" w:hAnsi="Times New Roman" w:cs="Times New Roman"/>
      <w:snapToGrid w:val="0"/>
      <w:sz w:val="24"/>
      <w:szCs w:val="20"/>
      <w:lang w:val="es-ES_tradnl" w:eastAsia="es-ES"/>
    </w:rPr>
  </w:style>
  <w:style w:type="character" w:customStyle="1" w:styleId="estilocorreo21">
    <w:name w:val="estilocorreo21"/>
    <w:semiHidden/>
    <w:rsid w:val="002A7673"/>
    <w:rPr>
      <w:rFonts w:ascii="Arial" w:hAnsi="Arial" w:cs="Arial" w:hint="default"/>
      <w:color w:val="000080"/>
    </w:rPr>
  </w:style>
  <w:style w:type="character" w:customStyle="1" w:styleId="yvalverdech">
    <w:name w:val="yvalverdech"/>
    <w:semiHidden/>
    <w:rsid w:val="002A7673"/>
    <w:rPr>
      <w:rFonts w:ascii="Arial" w:hAnsi="Arial" w:cs="Arial"/>
      <w:color w:val="auto"/>
      <w:sz w:val="20"/>
      <w:szCs w:val="20"/>
    </w:rPr>
  </w:style>
  <w:style w:type="character" w:customStyle="1" w:styleId="estilocorreo22">
    <w:name w:val="estilocorreo22"/>
    <w:semiHidden/>
    <w:rsid w:val="002A7673"/>
    <w:rPr>
      <w:rFonts w:ascii="Arial" w:hAnsi="Arial" w:cs="Arial" w:hint="default"/>
      <w:color w:val="000080"/>
    </w:rPr>
  </w:style>
  <w:style w:type="paragraph" w:customStyle="1" w:styleId="Style10">
    <w:name w:val="Style1"/>
    <w:basedOn w:val="Prrafodelista1"/>
    <w:rsid w:val="002A7673"/>
    <w:pPr>
      <w:suppressAutoHyphens/>
      <w:spacing w:after="0"/>
      <w:ind w:left="561"/>
      <w:jc w:val="both"/>
    </w:pPr>
    <w:rPr>
      <w:rFonts w:cs="Times New Roman"/>
      <w:kern w:val="1"/>
      <w:sz w:val="24"/>
      <w:szCs w:val="24"/>
      <w:lang w:eastAsia="ar-SA"/>
    </w:rPr>
  </w:style>
  <w:style w:type="character" w:customStyle="1" w:styleId="CarCar13">
    <w:name w:val="Car Car13"/>
    <w:locked/>
    <w:rsid w:val="002A7673"/>
    <w:rPr>
      <w:sz w:val="28"/>
      <w:szCs w:val="28"/>
      <w:lang w:val="es-ES" w:eastAsia="ar-SA" w:bidi="ar-SA"/>
    </w:rPr>
  </w:style>
  <w:style w:type="character" w:customStyle="1" w:styleId="TtuloPrincipalCarCar">
    <w:name w:val="Título Principal Car Car"/>
    <w:rsid w:val="002A7673"/>
    <w:rPr>
      <w:rFonts w:ascii="Arial" w:hAnsi="Arial" w:cs="Arial"/>
      <w:b/>
      <w:bCs/>
      <w:kern w:val="1"/>
      <w:sz w:val="28"/>
      <w:szCs w:val="28"/>
      <w:lang w:val="es-ES" w:eastAsia="ar-SA" w:bidi="ar-SA"/>
    </w:rPr>
  </w:style>
  <w:style w:type="character" w:customStyle="1" w:styleId="CarCar20">
    <w:name w:val="Car Car20"/>
    <w:rsid w:val="002A7673"/>
    <w:rPr>
      <w:b/>
      <w:bCs/>
      <w:sz w:val="28"/>
      <w:szCs w:val="28"/>
      <w:u w:val="single"/>
      <w:lang w:val="es-ES" w:eastAsia="ar-SA" w:bidi="ar-SA"/>
    </w:rPr>
  </w:style>
  <w:style w:type="character" w:customStyle="1" w:styleId="SubttulosdeHallazgoCarCar">
    <w:name w:val="Subtítulos de Hallazgo Car Car"/>
    <w:rsid w:val="002A7673"/>
    <w:rPr>
      <w:rFonts w:ascii="Arial" w:hAnsi="Arial" w:cs="Arial"/>
      <w:b/>
      <w:bCs/>
      <w:sz w:val="26"/>
      <w:szCs w:val="26"/>
      <w:lang w:val="es-ES" w:eastAsia="ar-SA" w:bidi="ar-SA"/>
    </w:rPr>
  </w:style>
  <w:style w:type="character" w:customStyle="1" w:styleId="CarCar15">
    <w:name w:val="Car Car15"/>
    <w:rsid w:val="002A7673"/>
    <w:rPr>
      <w:i/>
      <w:iCs/>
      <w:sz w:val="24"/>
      <w:szCs w:val="24"/>
      <w:lang w:val="es-ES" w:eastAsia="ar-SA" w:bidi="ar-SA"/>
    </w:rPr>
  </w:style>
  <w:style w:type="character" w:customStyle="1" w:styleId="CarCar9">
    <w:name w:val="Car Car9"/>
    <w:locked/>
    <w:rsid w:val="002A7673"/>
    <w:rPr>
      <w:lang w:val="es-ES" w:eastAsia="es-ES" w:bidi="ar-SA"/>
    </w:rPr>
  </w:style>
  <w:style w:type="paragraph" w:customStyle="1" w:styleId="BodyTextIndent21">
    <w:name w:val="Body Text Indent 21"/>
    <w:rsid w:val="002A7673"/>
    <w:pPr>
      <w:widowControl w:val="0"/>
      <w:suppressAutoHyphens/>
      <w:autoSpaceDE w:val="0"/>
      <w:spacing w:after="0" w:line="480" w:lineRule="auto"/>
      <w:ind w:firstLine="708"/>
      <w:jc w:val="both"/>
    </w:pPr>
    <w:rPr>
      <w:rFonts w:ascii="Arial" w:eastAsia="Arial" w:hAnsi="Arial" w:cs="Arial"/>
      <w:sz w:val="24"/>
      <w:szCs w:val="24"/>
      <w:u w:val="single"/>
      <w:lang w:val="es-ES" w:eastAsia="es-ES" w:bidi="es-ES"/>
    </w:rPr>
  </w:style>
  <w:style w:type="character" w:customStyle="1" w:styleId="grame">
    <w:name w:val="grame"/>
    <w:basedOn w:val="Fuentedeprrafopredeter"/>
    <w:rsid w:val="002A7673"/>
  </w:style>
  <w:style w:type="character" w:customStyle="1" w:styleId="h4CarCar">
    <w:name w:val="h4 Car Car"/>
    <w:rsid w:val="002A7673"/>
    <w:rPr>
      <w:rFonts w:ascii="Book Antiqua" w:hAnsi="Book Antiqua" w:cs="Book Antiqua"/>
      <w:b/>
      <w:bCs/>
      <w:sz w:val="24"/>
      <w:szCs w:val="24"/>
      <w:u w:color="000000"/>
      <w:lang w:val="es-ES" w:eastAsia="es-ES" w:bidi="ar-SA"/>
    </w:rPr>
  </w:style>
  <w:style w:type="character" w:customStyle="1" w:styleId="CarCar18">
    <w:name w:val="Car Car18"/>
    <w:rsid w:val="002A7673"/>
    <w:rPr>
      <w:rFonts w:ascii="Arial" w:hAnsi="Arial" w:cs="Arial"/>
      <w:sz w:val="24"/>
      <w:szCs w:val="24"/>
      <w:lang w:val="es-ES" w:eastAsia="es-ES" w:bidi="ar-SA"/>
    </w:rPr>
  </w:style>
  <w:style w:type="character" w:customStyle="1" w:styleId="CarCar10">
    <w:name w:val="Car Car10"/>
    <w:rsid w:val="002A7673"/>
    <w:rPr>
      <w:rFonts w:ascii="Arial" w:hAnsi="Arial" w:cs="Arial"/>
      <w:lang w:val="es-ES" w:eastAsia="es-ES" w:bidi="ar-SA"/>
    </w:rPr>
  </w:style>
  <w:style w:type="paragraph" w:styleId="Saludo">
    <w:name w:val="Salutation"/>
    <w:basedOn w:val="Normal"/>
    <w:next w:val="Normal"/>
    <w:link w:val="SaludoCar"/>
    <w:rsid w:val="002A7673"/>
    <w:pPr>
      <w:spacing w:after="0" w:line="240" w:lineRule="auto"/>
    </w:pPr>
    <w:rPr>
      <w:rFonts w:ascii="Calibri" w:eastAsia="Times New Roman" w:hAnsi="Calibri" w:cs="Times New Roman"/>
      <w:sz w:val="20"/>
      <w:szCs w:val="20"/>
    </w:rPr>
  </w:style>
  <w:style w:type="character" w:customStyle="1" w:styleId="SaludoCar">
    <w:name w:val="Saludo Car"/>
    <w:basedOn w:val="Fuentedeprrafopredeter"/>
    <w:link w:val="Saludo"/>
    <w:rsid w:val="002A7673"/>
    <w:rPr>
      <w:rFonts w:ascii="Calibri" w:eastAsia="Times New Roman" w:hAnsi="Calibri" w:cs="Times New Roman"/>
      <w:sz w:val="20"/>
      <w:szCs w:val="20"/>
    </w:rPr>
  </w:style>
  <w:style w:type="paragraph" w:customStyle="1" w:styleId="ListaconvietasTabla">
    <w:name w:val="Lista con viñetas Tabla"/>
    <w:basedOn w:val="Listaconvietas"/>
    <w:rsid w:val="002A7673"/>
    <w:pPr>
      <w:keepLines/>
      <w:numPr>
        <w:numId w:val="94"/>
      </w:numPr>
      <w:tabs>
        <w:tab w:val="num" w:pos="720"/>
      </w:tabs>
      <w:spacing w:before="60" w:after="60" w:line="240" w:lineRule="auto"/>
      <w:contextualSpacing w:val="0"/>
      <w:jc w:val="both"/>
    </w:pPr>
    <w:rPr>
      <w:rFonts w:ascii="Tahoma" w:eastAsia="MS Mincho" w:hAnsi="Tahoma" w:cs="Tahoma"/>
      <w:sz w:val="20"/>
      <w:szCs w:val="20"/>
      <w:lang w:val="es-CL" w:eastAsia="es-ES"/>
    </w:rPr>
  </w:style>
  <w:style w:type="character" w:customStyle="1" w:styleId="SaludoCar1">
    <w:name w:val="Saludo Car1"/>
    <w:rsid w:val="002A7673"/>
    <w:rPr>
      <w:sz w:val="24"/>
      <w:szCs w:val="24"/>
      <w:lang w:val="es-ES" w:eastAsia="es-ES"/>
    </w:rPr>
  </w:style>
  <w:style w:type="paragraph" w:customStyle="1" w:styleId="BodyText21">
    <w:name w:val="Body Text 21"/>
    <w:basedOn w:val="Normal"/>
    <w:rsid w:val="002A7673"/>
    <w:pPr>
      <w:spacing w:after="0" w:line="240" w:lineRule="auto"/>
      <w:ind w:right="334" w:hanging="283"/>
      <w:jc w:val="both"/>
    </w:pPr>
    <w:rPr>
      <w:rFonts w:ascii="Arial" w:eastAsia="Times New Roman" w:hAnsi="Arial" w:cs="Times New Roman"/>
      <w:sz w:val="24"/>
      <w:szCs w:val="20"/>
      <w:lang w:eastAsia="es-ES"/>
    </w:rPr>
  </w:style>
  <w:style w:type="paragraph" w:customStyle="1" w:styleId="BlockText1">
    <w:name w:val="Block Text1"/>
    <w:basedOn w:val="Normal"/>
    <w:rsid w:val="002A7673"/>
    <w:pPr>
      <w:spacing w:after="0" w:line="240" w:lineRule="auto"/>
      <w:ind w:left="283" w:right="334" w:hanging="283"/>
      <w:jc w:val="both"/>
    </w:pPr>
    <w:rPr>
      <w:rFonts w:ascii="Arial" w:eastAsia="Times New Roman" w:hAnsi="Arial" w:cs="Times New Roman"/>
      <w:sz w:val="24"/>
      <w:szCs w:val="20"/>
      <w:lang w:eastAsia="es-ES"/>
    </w:rPr>
  </w:style>
  <w:style w:type="paragraph" w:customStyle="1" w:styleId="BodyText31">
    <w:name w:val="Body Text 31"/>
    <w:basedOn w:val="Normal"/>
    <w:rsid w:val="002A7673"/>
    <w:pPr>
      <w:spacing w:after="0" w:line="240" w:lineRule="auto"/>
      <w:ind w:right="334"/>
      <w:jc w:val="both"/>
    </w:pPr>
    <w:rPr>
      <w:rFonts w:ascii="Arial" w:eastAsia="Times New Roman" w:hAnsi="Arial" w:cs="Times New Roman"/>
      <w:b/>
      <w:sz w:val="24"/>
      <w:szCs w:val="20"/>
      <w:lang w:eastAsia="es-ES"/>
    </w:rPr>
  </w:style>
  <w:style w:type="paragraph" w:styleId="Cierre">
    <w:name w:val="Closing"/>
    <w:basedOn w:val="Normal"/>
    <w:link w:val="CierreCar"/>
    <w:rsid w:val="002A7673"/>
    <w:pPr>
      <w:spacing w:after="0" w:line="240" w:lineRule="auto"/>
      <w:ind w:left="4252"/>
    </w:pPr>
    <w:rPr>
      <w:rFonts w:ascii="Century Schoolbook" w:eastAsia="Times New Roman" w:hAnsi="Century Schoolbook" w:cs="Times New Roman"/>
      <w:i/>
      <w:sz w:val="24"/>
      <w:szCs w:val="20"/>
      <w:lang w:eastAsia="es-ES"/>
    </w:rPr>
  </w:style>
  <w:style w:type="character" w:customStyle="1" w:styleId="CierreCar">
    <w:name w:val="Cierre Car"/>
    <w:basedOn w:val="Fuentedeprrafopredeter"/>
    <w:link w:val="Cierre"/>
    <w:rsid w:val="002A7673"/>
    <w:rPr>
      <w:rFonts w:ascii="Century Schoolbook" w:eastAsia="Times New Roman" w:hAnsi="Century Schoolbook" w:cs="Times New Roman"/>
      <w:i/>
      <w:sz w:val="24"/>
      <w:szCs w:val="20"/>
      <w:lang w:eastAsia="es-ES"/>
    </w:rPr>
  </w:style>
  <w:style w:type="paragraph" w:styleId="Firma">
    <w:name w:val="Signature"/>
    <w:basedOn w:val="Normal"/>
    <w:link w:val="FirmaCar"/>
    <w:rsid w:val="002A7673"/>
    <w:pPr>
      <w:spacing w:after="0" w:line="240" w:lineRule="auto"/>
      <w:ind w:left="4252"/>
    </w:pPr>
    <w:rPr>
      <w:rFonts w:ascii="Century Schoolbook" w:eastAsia="Times New Roman" w:hAnsi="Century Schoolbook" w:cs="Times New Roman"/>
      <w:i/>
      <w:sz w:val="24"/>
      <w:szCs w:val="20"/>
      <w:lang w:eastAsia="es-ES"/>
    </w:rPr>
  </w:style>
  <w:style w:type="character" w:customStyle="1" w:styleId="FirmaCar">
    <w:name w:val="Firma Car"/>
    <w:basedOn w:val="Fuentedeprrafopredeter"/>
    <w:link w:val="Firma"/>
    <w:rsid w:val="002A7673"/>
    <w:rPr>
      <w:rFonts w:ascii="Century Schoolbook" w:eastAsia="Times New Roman" w:hAnsi="Century Schoolbook" w:cs="Times New Roman"/>
      <w:i/>
      <w:sz w:val="24"/>
      <w:szCs w:val="20"/>
      <w:lang w:eastAsia="es-ES"/>
    </w:rPr>
  </w:style>
  <w:style w:type="paragraph" w:customStyle="1" w:styleId="toa">
    <w:name w:val="toa"/>
    <w:basedOn w:val="Normal"/>
    <w:rsid w:val="002A7673"/>
    <w:pPr>
      <w:tabs>
        <w:tab w:val="left" w:pos="9000"/>
        <w:tab w:val="right" w:pos="9360"/>
      </w:tabs>
      <w:suppressAutoHyphens/>
      <w:spacing w:after="0" w:line="240" w:lineRule="auto"/>
    </w:pPr>
    <w:rPr>
      <w:rFonts w:ascii="Courier New" w:eastAsia="Times New Roman" w:hAnsi="Courier New" w:cs="Times New Roman"/>
      <w:sz w:val="24"/>
      <w:szCs w:val="20"/>
      <w:lang w:val="en-US" w:eastAsia="es-ES"/>
    </w:rPr>
  </w:style>
  <w:style w:type="paragraph" w:styleId="Continuarlista2">
    <w:name w:val="List Continue 2"/>
    <w:basedOn w:val="Normal"/>
    <w:rsid w:val="002A7673"/>
    <w:pPr>
      <w:spacing w:after="120" w:line="240" w:lineRule="auto"/>
      <w:ind w:left="566"/>
    </w:pPr>
    <w:rPr>
      <w:rFonts w:ascii="Times New Roman" w:eastAsia="Times New Roman" w:hAnsi="Times New Roman" w:cs="Times New Roman"/>
      <w:sz w:val="24"/>
      <w:szCs w:val="24"/>
      <w:lang w:eastAsia="es-ES"/>
    </w:rPr>
  </w:style>
  <w:style w:type="paragraph" w:customStyle="1" w:styleId="Lneadeasunto">
    <w:name w:val="Línea de asunto"/>
    <w:basedOn w:val="Normal"/>
    <w:rsid w:val="002A7673"/>
    <w:pPr>
      <w:widowControl w:val="0"/>
      <w:overflowPunct w:val="0"/>
      <w:autoSpaceDE w:val="0"/>
      <w:autoSpaceDN w:val="0"/>
      <w:adjustRightInd w:val="0"/>
      <w:spacing w:after="0" w:line="240" w:lineRule="auto"/>
      <w:textAlignment w:val="baseline"/>
    </w:pPr>
    <w:rPr>
      <w:rFonts w:ascii="Courier" w:eastAsia="Times New Roman" w:hAnsi="Courier" w:cs="Times New Roman"/>
      <w:sz w:val="20"/>
      <w:szCs w:val="20"/>
      <w:lang w:val="es-ES" w:eastAsia="es-ES"/>
    </w:rPr>
  </w:style>
  <w:style w:type="character" w:customStyle="1" w:styleId="estilocorreo25">
    <w:name w:val="estilocorreo25"/>
    <w:semiHidden/>
    <w:rsid w:val="002A7673"/>
    <w:rPr>
      <w:rFonts w:ascii="Tahoma" w:hAnsi="Tahoma" w:cs="Tahoma" w:hint="default"/>
      <w:b w:val="0"/>
      <w:bCs w:val="0"/>
      <w:i w:val="0"/>
      <w:iCs w:val="0"/>
      <w:color w:val="auto"/>
    </w:rPr>
  </w:style>
  <w:style w:type="character" w:customStyle="1" w:styleId="estilocorreo23">
    <w:name w:val="estilocorreo23"/>
    <w:semiHidden/>
    <w:rsid w:val="002A7673"/>
    <w:rPr>
      <w:rFonts w:ascii="Tahoma" w:hAnsi="Tahoma" w:cs="Tahoma" w:hint="default"/>
      <w:b w:val="0"/>
      <w:bCs w:val="0"/>
      <w:i w:val="0"/>
      <w:iCs w:val="0"/>
      <w:color w:val="auto"/>
    </w:rPr>
  </w:style>
  <w:style w:type="paragraph" w:customStyle="1" w:styleId="Standard0">
    <w:name w:val="Standard"/>
    <w:rsid w:val="002A7673"/>
    <w:pPr>
      <w:suppressAutoHyphens/>
      <w:autoSpaceDE w:val="0"/>
      <w:autoSpaceDN w:val="0"/>
      <w:adjustRightInd w:val="0"/>
      <w:spacing w:after="0" w:line="240" w:lineRule="auto"/>
    </w:pPr>
    <w:rPr>
      <w:rFonts w:ascii="Arial" w:eastAsia="Times New Roman" w:hAnsi="Liberation Serif" w:cs="Arial"/>
      <w:color w:val="000000"/>
      <w:kern w:val="1"/>
      <w:lang w:eastAsia="zh-CN" w:bidi="hi-IN"/>
    </w:rPr>
  </w:style>
  <w:style w:type="character" w:customStyle="1" w:styleId="WW8Num1z4">
    <w:name w:val="WW8Num1z4"/>
    <w:rsid w:val="002A7673"/>
  </w:style>
  <w:style w:type="character" w:customStyle="1" w:styleId="WW8Num1z5">
    <w:name w:val="WW8Num1z5"/>
    <w:rsid w:val="002A7673"/>
  </w:style>
  <w:style w:type="character" w:customStyle="1" w:styleId="WW8Num1z6">
    <w:name w:val="WW8Num1z6"/>
    <w:rsid w:val="002A7673"/>
  </w:style>
  <w:style w:type="character" w:customStyle="1" w:styleId="WW8Num1z7">
    <w:name w:val="WW8Num1z7"/>
    <w:rsid w:val="002A7673"/>
  </w:style>
  <w:style w:type="character" w:customStyle="1" w:styleId="WW8Num1z8">
    <w:name w:val="WW8Num1z8"/>
    <w:rsid w:val="002A7673"/>
  </w:style>
  <w:style w:type="character" w:customStyle="1" w:styleId="WW8Num2z0">
    <w:name w:val="WW8Num2z0"/>
    <w:rsid w:val="002A7673"/>
  </w:style>
  <w:style w:type="character" w:customStyle="1" w:styleId="WW8Num2z1">
    <w:name w:val="WW8Num2z1"/>
    <w:rsid w:val="002A7673"/>
  </w:style>
  <w:style w:type="character" w:customStyle="1" w:styleId="WW8Num2z2">
    <w:name w:val="WW8Num2z2"/>
    <w:rsid w:val="002A7673"/>
  </w:style>
  <w:style w:type="character" w:customStyle="1" w:styleId="WW8Num2z3">
    <w:name w:val="WW8Num2z3"/>
    <w:rsid w:val="002A7673"/>
  </w:style>
  <w:style w:type="character" w:customStyle="1" w:styleId="WW8Num2z4">
    <w:name w:val="WW8Num2z4"/>
    <w:rsid w:val="002A7673"/>
  </w:style>
  <w:style w:type="character" w:customStyle="1" w:styleId="WW8Num2z5">
    <w:name w:val="WW8Num2z5"/>
    <w:rsid w:val="002A7673"/>
  </w:style>
  <w:style w:type="character" w:customStyle="1" w:styleId="WW8Num2z6">
    <w:name w:val="WW8Num2z6"/>
    <w:rsid w:val="002A7673"/>
  </w:style>
  <w:style w:type="character" w:customStyle="1" w:styleId="WW8Num2z7">
    <w:name w:val="WW8Num2z7"/>
    <w:rsid w:val="002A7673"/>
  </w:style>
  <w:style w:type="character" w:customStyle="1" w:styleId="WW8Num2z8">
    <w:name w:val="WW8Num2z8"/>
    <w:rsid w:val="002A7673"/>
  </w:style>
  <w:style w:type="character" w:customStyle="1" w:styleId="Fuentedeprrafopredeter4">
    <w:name w:val="Fuente de párrafo predeter.4"/>
    <w:rsid w:val="002A7673"/>
  </w:style>
  <w:style w:type="character" w:customStyle="1" w:styleId="Heading2Char">
    <w:name w:val="Heading 2 Char"/>
    <w:rsid w:val="002A7673"/>
    <w:rPr>
      <w:rFonts w:ascii="Book Antiqua" w:hAnsi="Book Antiqua" w:cs="Book Antiqua"/>
      <w:b/>
      <w:bCs/>
      <w:i/>
      <w:iCs/>
      <w:sz w:val="28"/>
      <w:szCs w:val="28"/>
      <w:u w:val="double"/>
    </w:rPr>
  </w:style>
  <w:style w:type="character" w:customStyle="1" w:styleId="ListLabel1">
    <w:name w:val="ListLabel 1"/>
    <w:rsid w:val="002A7673"/>
    <w:rPr>
      <w:rFonts w:cs="Times New Roman"/>
      <w:b w:val="0"/>
      <w:sz w:val="24"/>
    </w:rPr>
  </w:style>
  <w:style w:type="character" w:customStyle="1" w:styleId="ListLabel2">
    <w:name w:val="ListLabel 2"/>
    <w:rsid w:val="002A7673"/>
    <w:rPr>
      <w:rFonts w:ascii="Times New Roman" w:hAnsi="Times New Roman" w:cs="Times New Roman"/>
    </w:rPr>
  </w:style>
  <w:style w:type="character" w:customStyle="1" w:styleId="Smbolosdenumeracin">
    <w:name w:val="Símbolos de numeración"/>
    <w:rsid w:val="002A7673"/>
  </w:style>
  <w:style w:type="paragraph" w:customStyle="1" w:styleId="Ttulo10">
    <w:name w:val="Título1"/>
    <w:basedOn w:val="Normal"/>
    <w:next w:val="Textoindependiente"/>
    <w:rsid w:val="002A7673"/>
    <w:pPr>
      <w:keepNext/>
      <w:widowControl w:val="0"/>
      <w:suppressAutoHyphens/>
      <w:spacing w:before="240" w:after="120" w:line="252" w:lineRule="auto"/>
      <w:textAlignment w:val="baseline"/>
    </w:pPr>
    <w:rPr>
      <w:rFonts w:ascii="Liberation Sans" w:eastAsia="Microsoft YaHei" w:hAnsi="Liberation Sans" w:cs="Lucida Sans"/>
      <w:color w:val="00000A"/>
      <w:kern w:val="1"/>
      <w:sz w:val="28"/>
      <w:szCs w:val="28"/>
      <w:lang w:eastAsia="zh-CN" w:bidi="es-CR"/>
    </w:rPr>
  </w:style>
  <w:style w:type="paragraph" w:customStyle="1" w:styleId="Epgrafe3">
    <w:name w:val="Epígrafe3"/>
    <w:basedOn w:val="Normal"/>
    <w:rsid w:val="002A7673"/>
    <w:pPr>
      <w:widowControl w:val="0"/>
      <w:suppressLineNumbers/>
      <w:suppressAutoHyphens/>
      <w:spacing w:before="120" w:after="120" w:line="252" w:lineRule="auto"/>
      <w:textAlignment w:val="baseline"/>
    </w:pPr>
    <w:rPr>
      <w:rFonts w:ascii="Book Antiqua" w:eastAsia="Book Antiqua" w:hAnsi="Book Antiqua" w:cs="Lucida Sans"/>
      <w:i/>
      <w:iCs/>
      <w:color w:val="00000A"/>
      <w:kern w:val="1"/>
      <w:sz w:val="24"/>
      <w:szCs w:val="24"/>
      <w:lang w:eastAsia="zh-CN" w:bidi="es-CR"/>
    </w:rPr>
  </w:style>
  <w:style w:type="paragraph" w:customStyle="1" w:styleId="TableContents1">
    <w:name w:val="Table Contents1"/>
    <w:rsid w:val="002A7673"/>
    <w:pPr>
      <w:suppressAutoHyphens/>
      <w:spacing w:after="0" w:line="240" w:lineRule="auto"/>
      <w:jc w:val="both"/>
    </w:pPr>
    <w:rPr>
      <w:rFonts w:ascii="Arial" w:eastAsia="Times New Roman" w:hAnsi="Arial" w:cs="Arial"/>
      <w:color w:val="00000A"/>
      <w:kern w:val="1"/>
      <w:szCs w:val="24"/>
      <w:lang w:eastAsia="zh-CN" w:bidi="hi-IN"/>
    </w:rPr>
  </w:style>
  <w:style w:type="paragraph" w:customStyle="1" w:styleId="Ttulo21">
    <w:name w:val="Título 21"/>
    <w:rsid w:val="002A7673"/>
    <w:pPr>
      <w:keepNext/>
      <w:suppressAutoHyphens/>
      <w:spacing w:before="240" w:after="60" w:line="240" w:lineRule="auto"/>
      <w:jc w:val="center"/>
    </w:pPr>
    <w:rPr>
      <w:rFonts w:ascii="Arial" w:eastAsia="Times New Roman" w:hAnsi="Arial" w:cs="Arial"/>
      <w:b/>
      <w:i/>
      <w:color w:val="00000A"/>
      <w:kern w:val="1"/>
      <w:sz w:val="28"/>
      <w:szCs w:val="24"/>
      <w:u w:val="double"/>
      <w:lang w:eastAsia="zh-CN" w:bidi="hi-IN"/>
    </w:rPr>
  </w:style>
  <w:style w:type="paragraph" w:customStyle="1" w:styleId="Prrafodelista3">
    <w:name w:val="Párrafo de lista3"/>
    <w:rsid w:val="002A7673"/>
    <w:pPr>
      <w:suppressAutoHyphens/>
      <w:spacing w:line="240" w:lineRule="auto"/>
      <w:ind w:left="720"/>
    </w:pPr>
    <w:rPr>
      <w:rFonts w:ascii="Times New Roman" w:eastAsia="Times New Roman" w:hAnsi="Times New Roman" w:cs="Arial"/>
      <w:color w:val="00000A"/>
      <w:kern w:val="1"/>
      <w:sz w:val="24"/>
      <w:szCs w:val="24"/>
      <w:lang w:eastAsia="zh-CN" w:bidi="hi-IN"/>
    </w:rPr>
  </w:style>
  <w:style w:type="paragraph" w:customStyle="1" w:styleId="Ttulodelatabla">
    <w:name w:val="Título de la tabla"/>
    <w:basedOn w:val="Contenidodelatabla"/>
    <w:rsid w:val="002A7673"/>
    <w:pPr>
      <w:suppressLineNumbers/>
      <w:spacing w:after="160" w:line="252" w:lineRule="auto"/>
      <w:jc w:val="center"/>
      <w:textAlignment w:val="baseline"/>
    </w:pPr>
    <w:rPr>
      <w:rFonts w:eastAsia="Times New Roman" w:cs="Arial"/>
      <w:b/>
      <w:bCs/>
      <w:color w:val="00000A"/>
      <w:sz w:val="22"/>
    </w:rPr>
  </w:style>
  <w:style w:type="paragraph" w:customStyle="1" w:styleId="Jonathan1">
    <w:name w:val="Jonathan 1"/>
    <w:basedOn w:val="Normal"/>
    <w:link w:val="Jonathan1Car"/>
    <w:qFormat/>
    <w:rsid w:val="002A7673"/>
    <w:pPr>
      <w:suppressAutoHyphens/>
      <w:spacing w:before="120" w:after="120" w:line="480" w:lineRule="auto"/>
      <w:ind w:firstLine="709"/>
      <w:jc w:val="both"/>
    </w:pPr>
    <w:rPr>
      <w:rFonts w:ascii="Times New Roman" w:eastAsia="Times New Roman" w:hAnsi="Times New Roman" w:cs="Times New Roman"/>
      <w:color w:val="000099"/>
      <w:sz w:val="28"/>
      <w:szCs w:val="28"/>
      <w:lang w:eastAsia="ar-SA"/>
    </w:rPr>
  </w:style>
  <w:style w:type="paragraph" w:customStyle="1" w:styleId="Jonathan2">
    <w:name w:val="Jonathan 2"/>
    <w:basedOn w:val="Normal"/>
    <w:link w:val="Jonathan2Car"/>
    <w:qFormat/>
    <w:rsid w:val="002A7673"/>
    <w:pPr>
      <w:suppressAutoHyphens/>
      <w:spacing w:after="0" w:line="240" w:lineRule="auto"/>
      <w:ind w:left="851" w:right="851" w:firstLine="709"/>
      <w:jc w:val="both"/>
    </w:pPr>
    <w:rPr>
      <w:rFonts w:ascii="Times New Roman" w:eastAsia="Times New Roman" w:hAnsi="Times New Roman" w:cs="Times New Roman"/>
      <w:color w:val="000099"/>
      <w:sz w:val="26"/>
      <w:szCs w:val="26"/>
      <w:lang w:val="es-ES_tradnl" w:eastAsia="ar-SA"/>
    </w:rPr>
  </w:style>
  <w:style w:type="character" w:customStyle="1" w:styleId="Jonathan1Car">
    <w:name w:val="Jonathan 1 Car"/>
    <w:link w:val="Jonathan1"/>
    <w:rsid w:val="002A7673"/>
    <w:rPr>
      <w:rFonts w:ascii="Times New Roman" w:eastAsia="Times New Roman" w:hAnsi="Times New Roman" w:cs="Times New Roman"/>
      <w:color w:val="000099"/>
      <w:sz w:val="28"/>
      <w:szCs w:val="28"/>
      <w:lang w:eastAsia="ar-SA"/>
    </w:rPr>
  </w:style>
  <w:style w:type="character" w:customStyle="1" w:styleId="Jonathan2Car">
    <w:name w:val="Jonathan 2 Car"/>
    <w:link w:val="Jonathan2"/>
    <w:rsid w:val="002A7673"/>
    <w:rPr>
      <w:rFonts w:ascii="Times New Roman" w:eastAsia="Times New Roman" w:hAnsi="Times New Roman" w:cs="Times New Roman"/>
      <w:color w:val="000099"/>
      <w:sz w:val="26"/>
      <w:szCs w:val="26"/>
      <w:lang w:val="es-ES_tradnl" w:eastAsia="ar-SA"/>
    </w:rPr>
  </w:style>
  <w:style w:type="paragraph" w:customStyle="1" w:styleId="Jonathan3">
    <w:name w:val="Jonathan 3"/>
    <w:basedOn w:val="Normal"/>
    <w:link w:val="Jonathan3Car"/>
    <w:qFormat/>
    <w:rsid w:val="002A7673"/>
    <w:pPr>
      <w:suppressAutoHyphens/>
      <w:spacing w:before="120" w:after="120" w:line="480" w:lineRule="auto"/>
      <w:ind w:firstLine="709"/>
      <w:jc w:val="both"/>
    </w:pPr>
    <w:rPr>
      <w:rFonts w:ascii="Times New Roman" w:eastAsia="Times New Roman" w:hAnsi="Times New Roman" w:cs="Times New Roman"/>
      <w:bCs/>
      <w:color w:val="000000"/>
      <w:sz w:val="28"/>
      <w:szCs w:val="28"/>
      <w:lang w:val="pt-BR" w:eastAsia="ar-SA"/>
    </w:rPr>
  </w:style>
  <w:style w:type="paragraph" w:customStyle="1" w:styleId="TableContentsuser">
    <w:name w:val="Table Contents (user)"/>
    <w:uiPriority w:val="99"/>
    <w:rsid w:val="002A7673"/>
    <w:pPr>
      <w:autoSpaceDE w:val="0"/>
      <w:autoSpaceDN w:val="0"/>
      <w:adjustRightInd w:val="0"/>
      <w:spacing w:after="0" w:line="240" w:lineRule="auto"/>
    </w:pPr>
    <w:rPr>
      <w:rFonts w:ascii="Times New Roman" w:eastAsia="Times New Roman" w:hAnsi="Times New Roman" w:cs="Times New Roman"/>
      <w:lang w:val="es-ES" w:eastAsia="es-CR"/>
    </w:rPr>
  </w:style>
  <w:style w:type="character" w:customStyle="1" w:styleId="Jonathan3Car">
    <w:name w:val="Jonathan 3 Car"/>
    <w:link w:val="Jonathan3"/>
    <w:rsid w:val="002A7673"/>
    <w:rPr>
      <w:rFonts w:ascii="Times New Roman" w:eastAsia="Times New Roman" w:hAnsi="Times New Roman" w:cs="Times New Roman"/>
      <w:bCs/>
      <w:color w:val="000000"/>
      <w:sz w:val="28"/>
      <w:szCs w:val="28"/>
      <w:lang w:val="pt-BR" w:eastAsia="ar-SA"/>
    </w:rPr>
  </w:style>
  <w:style w:type="paragraph" w:customStyle="1" w:styleId="Jonathan5">
    <w:name w:val="Jonathan 5"/>
    <w:basedOn w:val="western"/>
    <w:link w:val="Jonathan5Car"/>
    <w:autoRedefine/>
    <w:qFormat/>
    <w:rsid w:val="002A7673"/>
    <w:pPr>
      <w:spacing w:before="0" w:beforeAutospacing="0" w:after="0"/>
      <w:ind w:left="851" w:right="851"/>
    </w:pPr>
    <w:rPr>
      <w:color w:val="000099"/>
      <w:sz w:val="26"/>
      <w:szCs w:val="26"/>
      <w:lang w:val="es-MX" w:eastAsia="es-ES"/>
    </w:rPr>
  </w:style>
  <w:style w:type="paragraph" w:customStyle="1" w:styleId="JonDispositiva">
    <w:name w:val="Jon (Dispositiva)"/>
    <w:basedOn w:val="Normal"/>
    <w:link w:val="JonDispositivaCar"/>
    <w:rsid w:val="002A7673"/>
    <w:pPr>
      <w:suppressAutoHyphens/>
      <w:spacing w:before="120" w:after="120" w:line="480" w:lineRule="auto"/>
      <w:ind w:firstLine="709"/>
      <w:jc w:val="both"/>
    </w:pPr>
    <w:rPr>
      <w:rFonts w:ascii="Times New Roman" w:eastAsia="Times New Roman" w:hAnsi="Times New Roman" w:cs="Times New Roman"/>
      <w:bCs/>
      <w:color w:val="000000"/>
      <w:sz w:val="28"/>
      <w:szCs w:val="28"/>
      <w:lang w:val="pt-BR" w:eastAsia="ar-SA"/>
    </w:rPr>
  </w:style>
  <w:style w:type="character" w:customStyle="1" w:styleId="westernCar">
    <w:name w:val="western Car"/>
    <w:link w:val="western"/>
    <w:uiPriority w:val="99"/>
    <w:rsid w:val="002A7673"/>
    <w:rPr>
      <w:rFonts w:ascii="Times New Roman" w:eastAsia="Times New Roman" w:hAnsi="Times New Roman" w:cs="Times New Roman"/>
      <w:color w:val="000000"/>
      <w:sz w:val="24"/>
      <w:szCs w:val="24"/>
      <w:lang w:eastAsia="es-CR"/>
    </w:rPr>
  </w:style>
  <w:style w:type="character" w:customStyle="1" w:styleId="Jonathan5Car">
    <w:name w:val="Jonathan 5 Car"/>
    <w:link w:val="Jonathan5"/>
    <w:rsid w:val="002A7673"/>
    <w:rPr>
      <w:rFonts w:ascii="Times New Roman" w:eastAsia="Times New Roman" w:hAnsi="Times New Roman" w:cs="Times New Roman"/>
      <w:color w:val="000099"/>
      <w:sz w:val="26"/>
      <w:szCs w:val="26"/>
      <w:lang w:val="es-MX" w:eastAsia="es-ES"/>
    </w:rPr>
  </w:style>
  <w:style w:type="paragraph" w:customStyle="1" w:styleId="Sinespaciado2">
    <w:name w:val="Sin espaciado2"/>
    <w:rsid w:val="002A7673"/>
    <w:pPr>
      <w:widowControl w:val="0"/>
      <w:suppressAutoHyphens/>
      <w:spacing w:after="0" w:line="100" w:lineRule="atLeast"/>
    </w:pPr>
    <w:rPr>
      <w:rFonts w:ascii="Calibri" w:eastAsia="SimSun" w:hAnsi="Calibri" w:cs="Calibri"/>
      <w:kern w:val="2"/>
      <w:lang w:val="es-ES" w:eastAsia="zh-CN"/>
    </w:rPr>
  </w:style>
  <w:style w:type="character" w:customStyle="1" w:styleId="JonDispositivaCar">
    <w:name w:val="Jon (Dispositiva) Car"/>
    <w:link w:val="JonDispositiva"/>
    <w:rsid w:val="002A7673"/>
    <w:rPr>
      <w:rFonts w:ascii="Times New Roman" w:eastAsia="Times New Roman" w:hAnsi="Times New Roman" w:cs="Times New Roman"/>
      <w:bCs/>
      <w:color w:val="000000"/>
      <w:sz w:val="28"/>
      <w:szCs w:val="28"/>
      <w:lang w:val="pt-BR" w:eastAsia="ar-SA"/>
    </w:rPr>
  </w:style>
  <w:style w:type="paragraph" w:customStyle="1" w:styleId="Jonathan">
    <w:name w:val="Jonathan"/>
    <w:basedOn w:val="Predeterminado"/>
    <w:rsid w:val="002A7673"/>
    <w:pPr>
      <w:widowControl w:val="0"/>
      <w:tabs>
        <w:tab w:val="left" w:pos="0"/>
      </w:tabs>
      <w:suppressAutoHyphens w:val="0"/>
      <w:autoSpaceDE w:val="0"/>
      <w:autoSpaceDN w:val="0"/>
      <w:adjustRightInd w:val="0"/>
      <w:ind w:left="851" w:right="851"/>
      <w:jc w:val="both"/>
    </w:pPr>
    <w:rPr>
      <w:rFonts w:ascii="Times New Roman" w:eastAsia="Times New Roman" w:hAnsi="Times New Roman" w:cs="Times New Roman"/>
      <w:color w:val="000099"/>
      <w:kern w:val="0"/>
      <w:sz w:val="26"/>
      <w:szCs w:val="26"/>
      <w:lang w:eastAsia="es-ES" w:bidi="ar-SA"/>
    </w:rPr>
  </w:style>
  <w:style w:type="paragraph" w:customStyle="1" w:styleId="JonathanTabla">
    <w:name w:val="JonathanTabla"/>
    <w:basedOn w:val="Predeterminado"/>
    <w:link w:val="JonathanTablaCar"/>
    <w:rsid w:val="002A7673"/>
    <w:pPr>
      <w:widowControl w:val="0"/>
      <w:suppressAutoHyphens w:val="0"/>
      <w:autoSpaceDE w:val="0"/>
      <w:autoSpaceDN w:val="0"/>
      <w:adjustRightInd w:val="0"/>
      <w:jc w:val="center"/>
    </w:pPr>
    <w:rPr>
      <w:rFonts w:ascii="Trebuchet MS" w:eastAsia="Times New Roman" w:hAnsi="Trebuchet MS" w:cs="Trebuchet MS"/>
      <w:color w:val="000099"/>
      <w:kern w:val="0"/>
      <w:lang w:val="es-ES" w:eastAsia="es-ES" w:bidi="ar-SA"/>
    </w:rPr>
  </w:style>
  <w:style w:type="character" w:customStyle="1" w:styleId="PredeterminadoCar">
    <w:name w:val="Predeterminado Car"/>
    <w:link w:val="Predeterminado"/>
    <w:rsid w:val="002A7673"/>
    <w:rPr>
      <w:rFonts w:ascii="Arial" w:eastAsia="Courier New" w:hAnsi="Arial" w:cs="Wingdings"/>
      <w:kern w:val="1"/>
      <w:sz w:val="24"/>
      <w:szCs w:val="24"/>
      <w:lang w:eastAsia="zh-CN" w:bidi="hi-IN"/>
    </w:rPr>
  </w:style>
  <w:style w:type="character" w:customStyle="1" w:styleId="JonathanTablaCar">
    <w:name w:val="JonathanTabla Car"/>
    <w:link w:val="JonathanTabla"/>
    <w:rsid w:val="002A7673"/>
    <w:rPr>
      <w:rFonts w:ascii="Trebuchet MS" w:eastAsia="Times New Roman" w:hAnsi="Trebuchet MS" w:cs="Trebuchet MS"/>
      <w:color w:val="000099"/>
      <w:sz w:val="24"/>
      <w:szCs w:val="24"/>
      <w:lang w:val="es-ES" w:eastAsia="es-ES"/>
    </w:rPr>
  </w:style>
  <w:style w:type="paragraph" w:customStyle="1" w:styleId="Jon6">
    <w:name w:val="Jon 6"/>
    <w:basedOn w:val="Normal"/>
    <w:link w:val="Jon6Car"/>
    <w:qFormat/>
    <w:rsid w:val="002A7673"/>
    <w:pPr>
      <w:widowControl w:val="0"/>
      <w:shd w:val="clear" w:color="auto" w:fill="FFFFFF"/>
      <w:suppressAutoHyphens/>
      <w:spacing w:after="0" w:line="240" w:lineRule="auto"/>
      <w:ind w:left="851" w:right="851" w:firstLine="709"/>
      <w:jc w:val="both"/>
    </w:pPr>
    <w:rPr>
      <w:rFonts w:ascii="Times New Roman" w:eastAsia="Times New Roman" w:hAnsi="Times New Roman" w:cs="Times New Roman"/>
      <w:bCs/>
      <w:sz w:val="26"/>
      <w:szCs w:val="26"/>
      <w:lang w:val="es-ES_tradnl" w:eastAsia="es-CR"/>
    </w:rPr>
  </w:style>
  <w:style w:type="paragraph" w:customStyle="1" w:styleId="Jon7">
    <w:name w:val="Jon 7"/>
    <w:basedOn w:val="Ttulo3"/>
    <w:link w:val="Jon7Car"/>
    <w:autoRedefine/>
    <w:qFormat/>
    <w:rsid w:val="002A7673"/>
    <w:pPr>
      <w:widowControl/>
      <w:suppressAutoHyphens/>
      <w:autoSpaceDE/>
      <w:autoSpaceDN/>
      <w:adjustRightInd/>
      <w:spacing w:before="120" w:after="120"/>
      <w:jc w:val="both"/>
    </w:pPr>
    <w:rPr>
      <w:rFonts w:ascii="Times New Roman" w:hAnsi="Times New Roman"/>
      <w:color w:val="000000"/>
      <w:sz w:val="28"/>
      <w:lang w:val="es-CR" w:eastAsia="ar-SA"/>
    </w:rPr>
  </w:style>
  <w:style w:type="character" w:customStyle="1" w:styleId="Jon6Car">
    <w:name w:val="Jon 6 Car"/>
    <w:link w:val="Jon6"/>
    <w:rsid w:val="002A7673"/>
    <w:rPr>
      <w:rFonts w:ascii="Times New Roman" w:eastAsia="Times New Roman" w:hAnsi="Times New Roman" w:cs="Times New Roman"/>
      <w:bCs/>
      <w:sz w:val="26"/>
      <w:szCs w:val="26"/>
      <w:shd w:val="clear" w:color="auto" w:fill="FFFFFF"/>
      <w:lang w:val="es-ES_tradnl" w:eastAsia="es-CR"/>
    </w:rPr>
  </w:style>
  <w:style w:type="paragraph" w:customStyle="1" w:styleId="Jon2">
    <w:name w:val="Jon 2"/>
    <w:basedOn w:val="Normal"/>
    <w:link w:val="Jon2Car"/>
    <w:qFormat/>
    <w:rsid w:val="002A7673"/>
    <w:pPr>
      <w:suppressAutoHyphens/>
      <w:spacing w:after="0" w:line="240" w:lineRule="auto"/>
      <w:ind w:left="851" w:right="851" w:firstLine="709"/>
      <w:jc w:val="both"/>
    </w:pPr>
    <w:rPr>
      <w:rFonts w:ascii="Times New Roman" w:eastAsia="Times New Roman" w:hAnsi="Times New Roman" w:cs="Times New Roman"/>
      <w:color w:val="000099"/>
      <w:sz w:val="26"/>
      <w:szCs w:val="26"/>
      <w:lang w:val="es-ES_tradnl" w:eastAsia="ar-SA"/>
    </w:rPr>
  </w:style>
  <w:style w:type="character" w:customStyle="1" w:styleId="Jon7Car">
    <w:name w:val="Jon 7 Car"/>
    <w:link w:val="Jon7"/>
    <w:rsid w:val="002A7673"/>
    <w:rPr>
      <w:rFonts w:ascii="Times New Roman" w:eastAsia="Times New Roman" w:hAnsi="Times New Roman" w:cs="Arial"/>
      <w:b/>
      <w:bCs/>
      <w:color w:val="000000"/>
      <w:sz w:val="28"/>
      <w:szCs w:val="26"/>
      <w:lang w:eastAsia="ar-SA"/>
    </w:rPr>
  </w:style>
  <w:style w:type="character" w:customStyle="1" w:styleId="Jon2Car">
    <w:name w:val="Jon 2 Car"/>
    <w:link w:val="Jon2"/>
    <w:rsid w:val="002A7673"/>
    <w:rPr>
      <w:rFonts w:ascii="Times New Roman" w:eastAsia="Times New Roman" w:hAnsi="Times New Roman" w:cs="Times New Roman"/>
      <w:color w:val="000099"/>
      <w:sz w:val="26"/>
      <w:szCs w:val="26"/>
      <w:lang w:val="es-ES_tradnl" w:eastAsia="ar-SA"/>
    </w:rPr>
  </w:style>
  <w:style w:type="paragraph" w:customStyle="1" w:styleId="Jon3">
    <w:name w:val="Jon 3"/>
    <w:basedOn w:val="Normal"/>
    <w:link w:val="Jon3Car"/>
    <w:qFormat/>
    <w:rsid w:val="002A7673"/>
    <w:pPr>
      <w:suppressAutoHyphens/>
      <w:spacing w:before="120" w:after="120" w:line="480" w:lineRule="auto"/>
      <w:ind w:firstLine="709"/>
      <w:jc w:val="both"/>
    </w:pPr>
    <w:rPr>
      <w:rFonts w:ascii="Times New Roman" w:eastAsia="Times New Roman" w:hAnsi="Times New Roman" w:cs="Times New Roman"/>
      <w:bCs/>
      <w:color w:val="000000"/>
      <w:sz w:val="28"/>
      <w:szCs w:val="28"/>
      <w:lang w:val="pt-BR" w:eastAsia="ar-SA"/>
    </w:rPr>
  </w:style>
  <w:style w:type="character" w:customStyle="1" w:styleId="Jon3Car">
    <w:name w:val="Jon 3 Car"/>
    <w:link w:val="Jon3"/>
    <w:rsid w:val="002A7673"/>
    <w:rPr>
      <w:rFonts w:ascii="Times New Roman" w:eastAsia="Times New Roman" w:hAnsi="Times New Roman" w:cs="Times New Roman"/>
      <w:bCs/>
      <w:color w:val="000000"/>
      <w:sz w:val="28"/>
      <w:szCs w:val="28"/>
      <w:lang w:val="pt-BR" w:eastAsia="ar-SA"/>
    </w:rPr>
  </w:style>
  <w:style w:type="paragraph" w:customStyle="1" w:styleId="AAA">
    <w:name w:val="AAA"/>
    <w:basedOn w:val="Normal"/>
    <w:link w:val="AAACar"/>
    <w:rsid w:val="002A7673"/>
    <w:pPr>
      <w:suppressAutoHyphens/>
      <w:spacing w:after="0" w:line="240" w:lineRule="auto"/>
      <w:ind w:left="851" w:firstLine="709"/>
    </w:pPr>
    <w:rPr>
      <w:rFonts w:ascii="Times New Roman" w:eastAsia="Times New Roman" w:hAnsi="Times New Roman" w:cs="Times New Roman"/>
      <w:b/>
      <w:bCs/>
      <w:color w:val="000099"/>
      <w:sz w:val="26"/>
      <w:szCs w:val="26"/>
      <w:lang w:val="es-ES_tradnl" w:eastAsia="ar-SA"/>
    </w:rPr>
  </w:style>
  <w:style w:type="character" w:customStyle="1" w:styleId="AAACar">
    <w:name w:val="AAA Car"/>
    <w:link w:val="AAA"/>
    <w:rsid w:val="002A7673"/>
    <w:rPr>
      <w:rFonts w:ascii="Times New Roman" w:eastAsia="Times New Roman" w:hAnsi="Times New Roman" w:cs="Times New Roman"/>
      <w:b/>
      <w:bCs/>
      <w:color w:val="000099"/>
      <w:sz w:val="26"/>
      <w:szCs w:val="26"/>
      <w:lang w:val="es-ES_tradnl" w:eastAsia="ar-SA"/>
    </w:rPr>
  </w:style>
  <w:style w:type="character" w:customStyle="1" w:styleId="html">
    <w:name w:val="html"/>
    <w:basedOn w:val="Fuentedeprrafopredeter"/>
    <w:rsid w:val="002A7673"/>
  </w:style>
  <w:style w:type="paragraph" w:customStyle="1" w:styleId="TEMASPRIVADOS">
    <w:name w:val="TEMAS PRIVADOS"/>
    <w:basedOn w:val="Textoindependiente"/>
    <w:link w:val="TEMASPRIVADOSCar"/>
    <w:qFormat/>
    <w:rsid w:val="002A7673"/>
    <w:pPr>
      <w:suppressAutoHyphens/>
      <w:spacing w:after="0"/>
      <w:jc w:val="center"/>
    </w:pPr>
    <w:rPr>
      <w:b/>
      <w:color w:val="FF0000"/>
      <w:sz w:val="28"/>
      <w:szCs w:val="28"/>
      <w:u w:val="single"/>
      <w:lang w:val="es-ES" w:eastAsia="ar-SA"/>
    </w:rPr>
  </w:style>
  <w:style w:type="character" w:customStyle="1" w:styleId="TEMASPRIVADOSCar">
    <w:name w:val="TEMAS PRIVADOS Car"/>
    <w:link w:val="TEMASPRIVADOS"/>
    <w:rsid w:val="002A7673"/>
    <w:rPr>
      <w:rFonts w:ascii="Times New Roman" w:eastAsia="Times New Roman" w:hAnsi="Times New Roman" w:cs="Times New Roman"/>
      <w:b/>
      <w:color w:val="FF0000"/>
      <w:sz w:val="28"/>
      <w:szCs w:val="28"/>
      <w:u w:val="single"/>
      <w:lang w:val="es-ES" w:eastAsia="ar-SA"/>
    </w:rPr>
  </w:style>
  <w:style w:type="character" w:customStyle="1" w:styleId="Nivel4Char">
    <w:name w:val="Nivel 4 Char"/>
    <w:link w:val="Nivel4"/>
    <w:locked/>
    <w:rsid w:val="002A7673"/>
    <w:rPr>
      <w:lang w:val="es-ES"/>
    </w:rPr>
  </w:style>
  <w:style w:type="paragraph" w:customStyle="1" w:styleId="Nivel4">
    <w:name w:val="Nivel 4"/>
    <w:basedOn w:val="Normal"/>
    <w:link w:val="Nivel4Char"/>
    <w:qFormat/>
    <w:rsid w:val="002A7673"/>
    <w:pPr>
      <w:spacing w:before="240" w:after="240" w:line="276" w:lineRule="auto"/>
      <w:jc w:val="both"/>
    </w:pPr>
    <w:rPr>
      <w:lang w:val="es-ES"/>
    </w:rPr>
  </w:style>
  <w:style w:type="paragraph" w:customStyle="1" w:styleId="cdt4ke">
    <w:name w:val="cdt4ke"/>
    <w:basedOn w:val="Normal"/>
    <w:rsid w:val="002A7673"/>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estin">
    <w:name w:val="Gestión"/>
    <w:link w:val="GestinCar"/>
    <w:autoRedefine/>
    <w:rsid w:val="002A7673"/>
    <w:pPr>
      <w:spacing w:after="0" w:line="240" w:lineRule="auto"/>
      <w:ind w:right="851"/>
      <w:jc w:val="both"/>
    </w:pPr>
    <w:rPr>
      <w:rFonts w:ascii="Times New Roman" w:eastAsia="Times New Roman" w:hAnsi="Times New Roman" w:cs="Times New Roman"/>
      <w:color w:val="000099"/>
      <w:sz w:val="26"/>
      <w:szCs w:val="26"/>
      <w:lang w:val="es-ES_tradnl" w:eastAsia="ar-SA"/>
    </w:rPr>
  </w:style>
  <w:style w:type="paragraph" w:customStyle="1" w:styleId="gestionvieta">
    <w:name w:val="gestion viñeta"/>
    <w:basedOn w:val="AAA"/>
    <w:link w:val="gestionvietaCar"/>
    <w:qFormat/>
    <w:rsid w:val="002A7673"/>
    <w:pPr>
      <w:ind w:right="851"/>
      <w:jc w:val="both"/>
    </w:pPr>
    <w:rPr>
      <w:b w:val="0"/>
      <w:bCs w:val="0"/>
    </w:rPr>
  </w:style>
  <w:style w:type="character" w:customStyle="1" w:styleId="GestinCar">
    <w:name w:val="Gestión Car"/>
    <w:link w:val="Gestin"/>
    <w:rsid w:val="002A7673"/>
    <w:rPr>
      <w:rFonts w:ascii="Times New Roman" w:eastAsia="Times New Roman" w:hAnsi="Times New Roman" w:cs="Times New Roman"/>
      <w:color w:val="000099"/>
      <w:sz w:val="26"/>
      <w:szCs w:val="26"/>
      <w:lang w:val="es-ES_tradnl" w:eastAsia="ar-SA"/>
    </w:rPr>
  </w:style>
  <w:style w:type="character" w:customStyle="1" w:styleId="gestionvietaCar">
    <w:name w:val="gestion viñeta Car"/>
    <w:link w:val="gestionvieta"/>
    <w:rsid w:val="002A7673"/>
    <w:rPr>
      <w:rFonts w:ascii="Times New Roman" w:eastAsia="Times New Roman" w:hAnsi="Times New Roman" w:cs="Times New Roman"/>
      <w:color w:val="000099"/>
      <w:sz w:val="26"/>
      <w:szCs w:val="26"/>
      <w:lang w:val="es-ES_tradnl" w:eastAsia="ar-SA"/>
    </w:rPr>
  </w:style>
  <w:style w:type="paragraph" w:customStyle="1" w:styleId="WW-Predeterminado11">
    <w:name w:val="WW-Predeterminado11"/>
    <w:uiPriority w:val="99"/>
    <w:rsid w:val="002A7673"/>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es-CR"/>
    </w:rPr>
  </w:style>
  <w:style w:type="paragraph" w:customStyle="1" w:styleId="dispositiva">
    <w:name w:val="dispositiva"/>
    <w:basedOn w:val="Normal"/>
    <w:link w:val="dispositivaCar"/>
    <w:qFormat/>
    <w:rsid w:val="002A7673"/>
    <w:pPr>
      <w:suppressAutoHyphens/>
      <w:spacing w:after="0" w:line="480" w:lineRule="auto"/>
      <w:ind w:firstLine="709"/>
      <w:jc w:val="both"/>
    </w:pPr>
    <w:rPr>
      <w:rFonts w:ascii="Times New Roman" w:eastAsia="Times New Roman" w:hAnsi="Times New Roman" w:cs="Times New Roman"/>
      <w:sz w:val="28"/>
      <w:szCs w:val="28"/>
      <w:lang w:val="es-ES_tradnl" w:eastAsia="ar-SA"/>
    </w:rPr>
  </w:style>
  <w:style w:type="character" w:customStyle="1" w:styleId="dispositivaCar">
    <w:name w:val="dispositiva Car"/>
    <w:link w:val="dispositiva"/>
    <w:rsid w:val="002A7673"/>
    <w:rPr>
      <w:rFonts w:ascii="Times New Roman" w:eastAsia="Times New Roman" w:hAnsi="Times New Roman" w:cs="Times New Roman"/>
      <w:sz w:val="28"/>
      <w:szCs w:val="28"/>
      <w:lang w:val="es-ES_tradnl" w:eastAsia="ar-SA"/>
    </w:rPr>
  </w:style>
  <w:style w:type="paragraph" w:customStyle="1" w:styleId="encabezadodela">
    <w:name w:val="encabezado de la"/>
    <w:basedOn w:val="Normal"/>
    <w:link w:val="encabezadodelaCar"/>
    <w:qFormat/>
    <w:rsid w:val="002A7673"/>
    <w:pPr>
      <w:suppressAutoHyphens/>
      <w:spacing w:after="0" w:line="480" w:lineRule="auto"/>
      <w:ind w:firstLine="708"/>
      <w:jc w:val="both"/>
    </w:pPr>
    <w:rPr>
      <w:rFonts w:ascii="Times New Roman" w:eastAsia="Times New Roman" w:hAnsi="Times New Roman" w:cs="Times New Roman"/>
      <w:color w:val="000099"/>
      <w:sz w:val="28"/>
      <w:szCs w:val="28"/>
      <w:lang w:val="es-ES_tradnl" w:eastAsia="ar-SA"/>
    </w:rPr>
  </w:style>
  <w:style w:type="character" w:customStyle="1" w:styleId="encabezadodelaCar">
    <w:name w:val="encabezado de la Car"/>
    <w:link w:val="encabezadodela"/>
    <w:rsid w:val="002A7673"/>
    <w:rPr>
      <w:rFonts w:ascii="Times New Roman" w:eastAsia="Times New Roman" w:hAnsi="Times New Roman" w:cs="Times New Roman"/>
      <w:color w:val="000099"/>
      <w:sz w:val="28"/>
      <w:szCs w:val="28"/>
      <w:lang w:val="es-ES_tradnl" w:eastAsia="ar-SA"/>
    </w:rPr>
  </w:style>
  <w:style w:type="paragraph" w:customStyle="1" w:styleId="gestion">
    <w:name w:val="gestion"/>
    <w:basedOn w:val="Normal"/>
    <w:link w:val="gestionCar"/>
    <w:qFormat/>
    <w:rsid w:val="002A7673"/>
    <w:pPr>
      <w:suppressAutoHyphens/>
      <w:spacing w:before="120" w:after="120" w:line="240" w:lineRule="auto"/>
      <w:ind w:left="851" w:right="851" w:firstLine="709"/>
      <w:jc w:val="both"/>
    </w:pPr>
    <w:rPr>
      <w:rFonts w:ascii="Times New Roman" w:eastAsia="Times New Roman" w:hAnsi="Times New Roman" w:cs="Times New Roman"/>
      <w:color w:val="000099"/>
      <w:sz w:val="26"/>
      <w:szCs w:val="26"/>
      <w:lang w:val="es-ES_tradnl" w:eastAsia="ar-SA"/>
    </w:rPr>
  </w:style>
  <w:style w:type="character" w:customStyle="1" w:styleId="gestionCar">
    <w:name w:val="gestion Car"/>
    <w:link w:val="gestion"/>
    <w:rsid w:val="002A7673"/>
    <w:rPr>
      <w:rFonts w:ascii="Times New Roman" w:eastAsia="Times New Roman" w:hAnsi="Times New Roman" w:cs="Times New Roman"/>
      <w:color w:val="000099"/>
      <w:sz w:val="26"/>
      <w:szCs w:val="26"/>
      <w:lang w:val="es-ES_tradnl" w:eastAsia="ar-SA"/>
    </w:rPr>
  </w:style>
  <w:style w:type="table" w:customStyle="1" w:styleId="TableGrid1">
    <w:name w:val="TableGrid1"/>
    <w:rsid w:val="002A7673"/>
    <w:pPr>
      <w:spacing w:after="0" w:line="240" w:lineRule="auto"/>
    </w:pPr>
    <w:rPr>
      <w:rFonts w:ascii="Calibri" w:eastAsia="Times New Roman" w:hAnsi="Calibri" w:cs="Times New Roman"/>
      <w:lang w:eastAsia="es-CR"/>
    </w:rPr>
    <w:tblPr>
      <w:tblCellMar>
        <w:top w:w="0" w:type="dxa"/>
        <w:left w:w="0" w:type="dxa"/>
        <w:bottom w:w="0" w:type="dxa"/>
        <w:right w:w="0" w:type="dxa"/>
      </w:tblCellMar>
    </w:tblPr>
  </w:style>
  <w:style w:type="paragraph" w:customStyle="1" w:styleId="Aencabezado">
    <w:name w:val="A encabezado"/>
    <w:basedOn w:val="Normal"/>
    <w:link w:val="AencabezadoCar"/>
    <w:qFormat/>
    <w:rsid w:val="002A7673"/>
    <w:pPr>
      <w:suppressAutoHyphens/>
      <w:spacing w:after="0" w:line="480" w:lineRule="auto"/>
      <w:ind w:firstLine="708"/>
      <w:jc w:val="both"/>
    </w:pPr>
    <w:rPr>
      <w:rFonts w:ascii="Times New Roman" w:eastAsia="Times New Roman" w:hAnsi="Times New Roman" w:cs="Times New Roman"/>
      <w:color w:val="000099"/>
      <w:sz w:val="28"/>
      <w:szCs w:val="28"/>
      <w:lang w:val="es-ES_tradnl" w:eastAsia="ar-SA"/>
    </w:rPr>
  </w:style>
  <w:style w:type="character" w:customStyle="1" w:styleId="AencabezadoCar">
    <w:name w:val="A encabezado Car"/>
    <w:link w:val="Aencabezado"/>
    <w:qFormat/>
    <w:rsid w:val="002A7673"/>
    <w:rPr>
      <w:rFonts w:ascii="Times New Roman" w:eastAsia="Times New Roman" w:hAnsi="Times New Roman" w:cs="Times New Roman"/>
      <w:color w:val="000099"/>
      <w:sz w:val="28"/>
      <w:szCs w:val="28"/>
      <w:lang w:val="es-ES_tradnl" w:eastAsia="ar-SA"/>
    </w:rPr>
  </w:style>
  <w:style w:type="paragraph" w:customStyle="1" w:styleId="AAgestin0">
    <w:name w:val="A A gestión"/>
    <w:basedOn w:val="Normal"/>
    <w:link w:val="AAgestinCar0"/>
    <w:qFormat/>
    <w:rsid w:val="002A7673"/>
    <w:pPr>
      <w:suppressAutoHyphens/>
      <w:spacing w:before="120" w:after="120" w:line="240" w:lineRule="auto"/>
      <w:ind w:left="851" w:right="851" w:firstLine="709"/>
      <w:jc w:val="both"/>
    </w:pPr>
    <w:rPr>
      <w:rFonts w:ascii="Times New Roman" w:eastAsia="Times New Roman" w:hAnsi="Times New Roman" w:cs="Times New Roman"/>
      <w:color w:val="000099"/>
      <w:sz w:val="26"/>
      <w:szCs w:val="26"/>
      <w:lang w:val="es-ES_tradnl" w:eastAsia="ar-SA"/>
    </w:rPr>
  </w:style>
  <w:style w:type="character" w:customStyle="1" w:styleId="AAgestinCar0">
    <w:name w:val="A A gestión Car"/>
    <w:link w:val="AAgestin0"/>
    <w:rsid w:val="002A7673"/>
    <w:rPr>
      <w:rFonts w:ascii="Times New Roman" w:eastAsia="Times New Roman" w:hAnsi="Times New Roman" w:cs="Times New Roman"/>
      <w:color w:val="000099"/>
      <w:sz w:val="26"/>
      <w:szCs w:val="26"/>
      <w:lang w:val="es-ES_tradnl" w:eastAsia="ar-SA"/>
    </w:rPr>
  </w:style>
  <w:style w:type="character" w:customStyle="1" w:styleId="app-page-detaildocumentanyCharacter">
    <w:name w:val="app-page-detail_document_any Character"/>
    <w:rsid w:val="002A7673"/>
    <w:rPr>
      <w:rFonts w:ascii="Arial" w:eastAsia="Times New Roman" w:hAnsi="Arial" w:cs="Arial"/>
      <w:color w:val="000000"/>
      <w:sz w:val="21"/>
      <w:szCs w:val="21"/>
    </w:rPr>
  </w:style>
  <w:style w:type="table" w:customStyle="1" w:styleId="Tablaconcuadrcula11">
    <w:name w:val="Tabla con cuadrícula11"/>
    <w:basedOn w:val="Tablanormal"/>
    <w:next w:val="Tablaconcuadrcula"/>
    <w:uiPriority w:val="39"/>
    <w:rsid w:val="002A7673"/>
    <w:pPr>
      <w:spacing w:after="0" w:line="240" w:lineRule="auto"/>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subrayado">
    <w:name w:val="A subrayado"/>
    <w:basedOn w:val="Normal"/>
    <w:link w:val="AsubrayadoCar"/>
    <w:qFormat/>
    <w:rsid w:val="002A7673"/>
    <w:pPr>
      <w:shd w:val="clear" w:color="auto" w:fill="8496B0"/>
      <w:suppressAutoHyphens/>
      <w:spacing w:after="0" w:line="240" w:lineRule="auto"/>
      <w:ind w:left="851" w:right="851"/>
    </w:pPr>
    <w:rPr>
      <w:rFonts w:ascii="Times New Roman" w:eastAsia="Times New Roman" w:hAnsi="Times New Roman" w:cs="Times New Roman"/>
      <w:sz w:val="26"/>
      <w:szCs w:val="26"/>
      <w:lang w:val="es-ES_tradnl" w:eastAsia="ar-SA"/>
    </w:rPr>
  </w:style>
  <w:style w:type="character" w:customStyle="1" w:styleId="AsubrayadoCar">
    <w:name w:val="A subrayado Car"/>
    <w:link w:val="Asubrayado"/>
    <w:rsid w:val="002A7673"/>
    <w:rPr>
      <w:rFonts w:ascii="Times New Roman" w:eastAsia="Times New Roman" w:hAnsi="Times New Roman" w:cs="Times New Roman"/>
      <w:sz w:val="26"/>
      <w:szCs w:val="26"/>
      <w:shd w:val="clear" w:color="auto" w:fill="8496B0"/>
      <w:lang w:val="es-ES_tradnl" w:eastAsia="ar-SA"/>
    </w:rPr>
  </w:style>
  <w:style w:type="character" w:customStyle="1" w:styleId="mark6s81bgwy9">
    <w:name w:val="mark6s81bgwy9"/>
    <w:basedOn w:val="Fuentedeprrafopredeter"/>
    <w:rsid w:val="002A7673"/>
  </w:style>
  <w:style w:type="paragraph" w:customStyle="1" w:styleId="xxxmsonormal0">
    <w:name w:val="x_x_xmsonormal"/>
    <w:basedOn w:val="Normal"/>
    <w:rsid w:val="002A7673"/>
    <w:pPr>
      <w:spacing w:after="0" w:line="240" w:lineRule="auto"/>
    </w:pPr>
    <w:rPr>
      <w:rFonts w:ascii="Times New Roman" w:eastAsia="Calibri" w:hAnsi="Times New Roman" w:cs="Times New Roman"/>
      <w:sz w:val="24"/>
      <w:szCs w:val="24"/>
      <w:lang w:eastAsia="es-CR"/>
    </w:rPr>
  </w:style>
  <w:style w:type="table" w:customStyle="1" w:styleId="Tablaconcuadrcula111">
    <w:name w:val="Tabla con cuadrícula111"/>
    <w:basedOn w:val="Tablanormal"/>
    <w:next w:val="Tablaconcuadrcula"/>
    <w:uiPriority w:val="59"/>
    <w:rsid w:val="002A7673"/>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reccinHTML">
    <w:name w:val="HTML Address"/>
    <w:basedOn w:val="Normal"/>
    <w:link w:val="DireccinHTMLCar"/>
    <w:uiPriority w:val="99"/>
    <w:unhideWhenUsed/>
    <w:rsid w:val="002A7673"/>
    <w:pPr>
      <w:spacing w:after="0" w:line="240" w:lineRule="auto"/>
    </w:pPr>
    <w:rPr>
      <w:rFonts w:ascii="Calibri" w:eastAsia="Calibri" w:hAnsi="Calibri" w:cs="Calibri"/>
      <w:i/>
      <w:iCs/>
      <w:color w:val="000000"/>
      <w:lang w:eastAsia="es-CR"/>
    </w:rPr>
  </w:style>
  <w:style w:type="character" w:customStyle="1" w:styleId="DireccinHTMLCar">
    <w:name w:val="Dirección HTML Car"/>
    <w:basedOn w:val="Fuentedeprrafopredeter"/>
    <w:link w:val="DireccinHTML"/>
    <w:uiPriority w:val="99"/>
    <w:rsid w:val="002A7673"/>
    <w:rPr>
      <w:rFonts w:ascii="Calibri" w:eastAsia="Calibri" w:hAnsi="Calibri" w:cs="Calibri"/>
      <w:i/>
      <w:iCs/>
      <w:color w:val="000000"/>
      <w:lang w:eastAsia="es-CR"/>
    </w:rPr>
  </w:style>
  <w:style w:type="table" w:customStyle="1" w:styleId="Cuadrculaclara-nfasis62">
    <w:name w:val="Cuadrícula clara - Énfasis 62"/>
    <w:basedOn w:val="Tablanormal"/>
    <w:next w:val="Cuadrculaclara-nfasis6"/>
    <w:uiPriority w:val="62"/>
    <w:rsid w:val="002A7673"/>
    <w:pPr>
      <w:spacing w:after="0" w:line="240" w:lineRule="auto"/>
    </w:pPr>
    <w:rPr>
      <w:rFonts w:ascii="Calibri" w:eastAsia="Times New Roman" w:hAnsi="Calibri" w:cs="Calibri"/>
      <w:sz w:val="20"/>
      <w:szCs w:val="20"/>
      <w:lang w:eastAsia="es-CR"/>
    </w:rPr>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table" w:customStyle="1" w:styleId="Tablaconcuadrcula4-nfasis111">
    <w:name w:val="Tabla con cuadrícula 4 - Énfasis 111"/>
    <w:basedOn w:val="Tablanormal"/>
    <w:uiPriority w:val="49"/>
    <w:rsid w:val="002A7673"/>
    <w:pPr>
      <w:spacing w:after="0" w:line="240" w:lineRule="auto"/>
    </w:pPr>
    <w:rPr>
      <w:rFonts w:ascii="Calibri" w:eastAsia="Calibri" w:hAnsi="Calibri" w:cs="Times New Roman"/>
      <w:sz w:val="24"/>
      <w:szCs w:val="24"/>
      <w:lang w:val="es-ES_tradn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1clara-nfasis11">
    <w:name w:val="Tabla con cuadrícula 1 clara - Énfasis 11"/>
    <w:basedOn w:val="Tablanormal"/>
    <w:next w:val="Tablaconcuadrcula1clara-nfasis1"/>
    <w:uiPriority w:val="46"/>
    <w:rsid w:val="002A7673"/>
    <w:pPr>
      <w:spacing w:after="0" w:line="240" w:lineRule="auto"/>
    </w:pPr>
    <w:rPr>
      <w:rFonts w:ascii="Calibri" w:eastAsia="Calibri" w:hAnsi="Calibri"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Grid01">
    <w:name w:val="Table Grid01"/>
    <w:rsid w:val="002A7673"/>
    <w:pPr>
      <w:spacing w:after="0" w:line="240" w:lineRule="auto"/>
    </w:pPr>
    <w:rPr>
      <w:rFonts w:ascii="Calibri" w:eastAsia="Times New Roman" w:hAnsi="Calibri" w:cs="Times New Roman"/>
      <w:lang w:eastAsia="es-CR"/>
    </w:rPr>
    <w:tblPr>
      <w:tblCellMar>
        <w:top w:w="0" w:type="dxa"/>
        <w:left w:w="0" w:type="dxa"/>
        <w:bottom w:w="0" w:type="dxa"/>
        <w:right w:w="0" w:type="dxa"/>
      </w:tblCellMar>
    </w:tblPr>
  </w:style>
  <w:style w:type="numbering" w:customStyle="1" w:styleId="Sinlista13">
    <w:name w:val="Sin lista13"/>
    <w:next w:val="Sinlista"/>
    <w:uiPriority w:val="99"/>
    <w:semiHidden/>
    <w:unhideWhenUsed/>
    <w:rsid w:val="002A7673"/>
  </w:style>
  <w:style w:type="table" w:customStyle="1" w:styleId="Tablaconcuadrcula21">
    <w:name w:val="Tabla con cuadrícula21"/>
    <w:basedOn w:val="Tablanormal"/>
    <w:next w:val="Tablaconcuadrcula"/>
    <w:uiPriority w:val="39"/>
    <w:rsid w:val="002A767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1">
    <w:name w:val="Tabla con cuadrícula 811"/>
    <w:basedOn w:val="Tablanormal"/>
    <w:next w:val="Tablaconcuadrcula8"/>
    <w:rsid w:val="002A7673"/>
    <w:pPr>
      <w:spacing w:after="0" w:line="240" w:lineRule="auto"/>
    </w:pPr>
    <w:rPr>
      <w:rFonts w:ascii="Times New Roman" w:eastAsia="Times New Roman" w:hAnsi="Times New Roman" w:cs="Times New Roman"/>
      <w:sz w:val="20"/>
      <w:szCs w:val="20"/>
      <w:lang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uiPriority w:val="99"/>
    <w:semiHidden/>
    <w:unhideWhenUsed/>
    <w:rsid w:val="002A7673"/>
    <w:pPr>
      <w:spacing w:after="0" w:line="240" w:lineRule="auto"/>
      <w:jc w:val="both"/>
    </w:pPr>
    <w:rPr>
      <w:rFonts w:ascii="Calibri" w:eastAsia="Calibri" w:hAnsi="Calibri"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aconcuadrcula4-nfasis51">
    <w:name w:val="Tabla con cuadrícula 4 - Énfasis 51"/>
    <w:basedOn w:val="Tablanormal"/>
    <w:next w:val="Tablaconcuadrcula4-nfasis5"/>
    <w:uiPriority w:val="49"/>
    <w:rsid w:val="002A7673"/>
    <w:pPr>
      <w:spacing w:after="0" w:line="240" w:lineRule="auto"/>
    </w:pPr>
    <w:rPr>
      <w:rFonts w:ascii="Calibri" w:eastAsia="Calibri" w:hAnsi="Calibri" w:cs="Times New Roman"/>
      <w:sz w:val="20"/>
      <w:szCs w:val="20"/>
      <w:lang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moderna1">
    <w:name w:val="Tabla moderna1"/>
    <w:basedOn w:val="Tablanormal"/>
    <w:next w:val="Tablamoderna"/>
    <w:rsid w:val="002A7673"/>
    <w:pPr>
      <w:spacing w:after="0" w:line="240" w:lineRule="auto"/>
    </w:pPr>
    <w:rPr>
      <w:rFonts w:ascii="Times New Roman" w:eastAsia="Times New Roman" w:hAnsi="Times New Roman" w:cs="Times New Roman"/>
      <w:sz w:val="20"/>
      <w:szCs w:val="20"/>
      <w:lang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concuadrcula4-nfasis31">
    <w:name w:val="Tabla con cuadrícula 4 - Énfasis 31"/>
    <w:basedOn w:val="Tablanormal"/>
    <w:next w:val="Tablaconcuadrcula4-nfasis3"/>
    <w:uiPriority w:val="49"/>
    <w:rsid w:val="002A7673"/>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8156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emf"/><Relationship Id="rId299" Type="http://schemas.openxmlformats.org/officeDocument/2006/relationships/package" Target="embeddings/Microsoft_Excel_Worksheet72.xlsx"/><Relationship Id="rId21" Type="http://schemas.openxmlformats.org/officeDocument/2006/relationships/chart" Target="charts/chart1.xml"/><Relationship Id="rId63" Type="http://schemas.openxmlformats.org/officeDocument/2006/relationships/image" Target="media/image49.png"/><Relationship Id="rId159" Type="http://schemas.openxmlformats.org/officeDocument/2006/relationships/image" Target="media/image101.emf"/><Relationship Id="rId324" Type="http://schemas.openxmlformats.org/officeDocument/2006/relationships/image" Target="media/image190.emf"/><Relationship Id="rId366" Type="http://schemas.openxmlformats.org/officeDocument/2006/relationships/package" Target="embeddings/Microsoft_Excel_Worksheet95.xlsx"/><Relationship Id="rId170" Type="http://schemas.openxmlformats.org/officeDocument/2006/relationships/image" Target="media/image111.emf"/><Relationship Id="rId226" Type="http://schemas.openxmlformats.org/officeDocument/2006/relationships/image" Target="media/image140.emf"/><Relationship Id="rId433" Type="http://schemas.openxmlformats.org/officeDocument/2006/relationships/image" Target="media/image255.emf"/><Relationship Id="rId268" Type="http://schemas.openxmlformats.org/officeDocument/2006/relationships/image" Target="media/image161.emf"/><Relationship Id="rId475" Type="http://schemas.openxmlformats.org/officeDocument/2006/relationships/package" Target="embeddings/Microsoft_Word_Document105.docx"/><Relationship Id="rId32" Type="http://schemas.openxmlformats.org/officeDocument/2006/relationships/image" Target="media/image21.emf"/><Relationship Id="rId74" Type="http://schemas.openxmlformats.org/officeDocument/2006/relationships/image" Target="media/image56.emf"/><Relationship Id="rId128" Type="http://schemas.openxmlformats.org/officeDocument/2006/relationships/oleObject" Target="embeddings/oleObject26.bin"/><Relationship Id="rId335" Type="http://schemas.openxmlformats.org/officeDocument/2006/relationships/image" Target="media/image198.png"/><Relationship Id="rId377" Type="http://schemas.openxmlformats.org/officeDocument/2006/relationships/image" Target="media/image222.emf"/><Relationship Id="rId5" Type="http://schemas.openxmlformats.org/officeDocument/2006/relationships/webSettings" Target="webSettings.xml"/><Relationship Id="rId181" Type="http://schemas.openxmlformats.org/officeDocument/2006/relationships/package" Target="embeddings/Microsoft_Excel_Worksheet13.xlsx"/><Relationship Id="rId237" Type="http://schemas.openxmlformats.org/officeDocument/2006/relationships/package" Target="embeddings/Microsoft_Excel_Worksheet41.xlsx"/><Relationship Id="rId402" Type="http://schemas.openxmlformats.org/officeDocument/2006/relationships/image" Target="media/image240.emf"/><Relationship Id="rId279" Type="http://schemas.openxmlformats.org/officeDocument/2006/relationships/package" Target="embeddings/Microsoft_Excel_Worksheet62.xlsx"/><Relationship Id="rId444" Type="http://schemas.openxmlformats.org/officeDocument/2006/relationships/image" Target="media/image260.emf"/><Relationship Id="rId43" Type="http://schemas.openxmlformats.org/officeDocument/2006/relationships/image" Target="media/image32.emf"/><Relationship Id="rId139" Type="http://schemas.openxmlformats.org/officeDocument/2006/relationships/image" Target="media/image90.emf"/><Relationship Id="rId290" Type="http://schemas.openxmlformats.org/officeDocument/2006/relationships/image" Target="media/image172.emf"/><Relationship Id="rId304" Type="http://schemas.openxmlformats.org/officeDocument/2006/relationships/image" Target="media/image179.emf"/><Relationship Id="rId346" Type="http://schemas.openxmlformats.org/officeDocument/2006/relationships/package" Target="embeddings/Microsoft_Excel_Worksheet88.xlsx"/><Relationship Id="rId388" Type="http://schemas.openxmlformats.org/officeDocument/2006/relationships/oleObject" Target="embeddings/oleObject42.bin"/><Relationship Id="rId85" Type="http://schemas.openxmlformats.org/officeDocument/2006/relationships/oleObject" Target="embeddings/oleObject9.bin"/><Relationship Id="rId150" Type="http://schemas.openxmlformats.org/officeDocument/2006/relationships/image" Target="media/image96.emf"/><Relationship Id="rId192" Type="http://schemas.openxmlformats.org/officeDocument/2006/relationships/image" Target="media/image123.emf"/><Relationship Id="rId206" Type="http://schemas.openxmlformats.org/officeDocument/2006/relationships/image" Target="media/image130.emf"/><Relationship Id="rId413" Type="http://schemas.openxmlformats.org/officeDocument/2006/relationships/image" Target="media/image245.emf"/><Relationship Id="rId248" Type="http://schemas.openxmlformats.org/officeDocument/2006/relationships/image" Target="media/image151.emf"/><Relationship Id="rId455" Type="http://schemas.openxmlformats.org/officeDocument/2006/relationships/image" Target="media/image267.emf"/><Relationship Id="rId12" Type="http://schemas.openxmlformats.org/officeDocument/2006/relationships/image" Target="media/image5.emf"/><Relationship Id="rId108" Type="http://schemas.openxmlformats.org/officeDocument/2006/relationships/oleObject" Target="embeddings/oleObject19.bin"/><Relationship Id="rId315" Type="http://schemas.openxmlformats.org/officeDocument/2006/relationships/package" Target="embeddings/Microsoft_Excel_Worksheet80.xlsx"/><Relationship Id="rId357" Type="http://schemas.openxmlformats.org/officeDocument/2006/relationships/package" Target="embeddings/Microsoft_Excel_Worksheet92.xlsx"/><Relationship Id="rId54" Type="http://schemas.openxmlformats.org/officeDocument/2006/relationships/image" Target="media/image42.emf"/><Relationship Id="rId96" Type="http://schemas.openxmlformats.org/officeDocument/2006/relationships/oleObject" Target="embeddings/oleObject14.bin"/><Relationship Id="rId161" Type="http://schemas.openxmlformats.org/officeDocument/2006/relationships/chart" Target="charts/chart5.xml"/><Relationship Id="rId217" Type="http://schemas.openxmlformats.org/officeDocument/2006/relationships/package" Target="embeddings/Microsoft_Excel_Worksheet31.xlsx"/><Relationship Id="rId399" Type="http://schemas.openxmlformats.org/officeDocument/2006/relationships/image" Target="media/image238.png"/><Relationship Id="rId259" Type="http://schemas.openxmlformats.org/officeDocument/2006/relationships/package" Target="embeddings/Microsoft_Excel_Worksheet52.xlsx"/><Relationship Id="rId424" Type="http://schemas.openxmlformats.org/officeDocument/2006/relationships/oleObject" Target="embeddings/oleObject50.bin"/><Relationship Id="rId466" Type="http://schemas.openxmlformats.org/officeDocument/2006/relationships/oleObject" Target="embeddings/oleObject64.bin"/><Relationship Id="rId23" Type="http://schemas.openxmlformats.org/officeDocument/2006/relationships/image" Target="media/image14.emf"/><Relationship Id="rId119" Type="http://schemas.openxmlformats.org/officeDocument/2006/relationships/image" Target="media/image80.emf"/><Relationship Id="rId270" Type="http://schemas.openxmlformats.org/officeDocument/2006/relationships/image" Target="media/image162.emf"/><Relationship Id="rId326" Type="http://schemas.openxmlformats.org/officeDocument/2006/relationships/image" Target="media/image191.emf"/><Relationship Id="rId65" Type="http://schemas.openxmlformats.org/officeDocument/2006/relationships/oleObject" Target="embeddings/oleObject4.bin"/><Relationship Id="rId130" Type="http://schemas.openxmlformats.org/officeDocument/2006/relationships/oleObject" Target="embeddings/oleObject27.bin"/><Relationship Id="rId368" Type="http://schemas.openxmlformats.org/officeDocument/2006/relationships/image" Target="media/image218.png"/><Relationship Id="rId172" Type="http://schemas.openxmlformats.org/officeDocument/2006/relationships/image" Target="media/image112.emf"/><Relationship Id="rId228" Type="http://schemas.openxmlformats.org/officeDocument/2006/relationships/image" Target="media/image141.emf"/><Relationship Id="rId435" Type="http://schemas.openxmlformats.org/officeDocument/2006/relationships/image" Target="media/image256.emf"/><Relationship Id="rId477" Type="http://schemas.openxmlformats.org/officeDocument/2006/relationships/theme" Target="theme/theme1.xml"/><Relationship Id="rId281" Type="http://schemas.openxmlformats.org/officeDocument/2006/relationships/package" Target="embeddings/Microsoft_Excel_Worksheet63.xlsx"/><Relationship Id="rId337" Type="http://schemas.openxmlformats.org/officeDocument/2006/relationships/package" Target="embeddings/Microsoft_Excel_Worksheet86.xlsx"/><Relationship Id="rId34" Type="http://schemas.openxmlformats.org/officeDocument/2006/relationships/image" Target="media/image23.emf"/><Relationship Id="rId76" Type="http://schemas.openxmlformats.org/officeDocument/2006/relationships/image" Target="media/image57.wmf"/><Relationship Id="rId141" Type="http://schemas.openxmlformats.org/officeDocument/2006/relationships/image" Target="media/image91.emf"/><Relationship Id="rId379" Type="http://schemas.openxmlformats.org/officeDocument/2006/relationships/image" Target="media/image224.emf"/><Relationship Id="rId7" Type="http://schemas.openxmlformats.org/officeDocument/2006/relationships/endnotes" Target="endnotes.xml"/><Relationship Id="rId183" Type="http://schemas.openxmlformats.org/officeDocument/2006/relationships/package" Target="embeddings/Microsoft_Excel_Worksheet14.xlsx"/><Relationship Id="rId239" Type="http://schemas.openxmlformats.org/officeDocument/2006/relationships/package" Target="embeddings/Microsoft_Excel_Worksheet42.xlsx"/><Relationship Id="rId390" Type="http://schemas.openxmlformats.org/officeDocument/2006/relationships/hyperlink" Target="https://secretariacorte.poder-judicial.go.cr/images/documentos/Contrato_Teletrabajo.docx" TargetMode="External"/><Relationship Id="rId404" Type="http://schemas.openxmlformats.org/officeDocument/2006/relationships/image" Target="media/image241.emf"/><Relationship Id="rId446" Type="http://schemas.openxmlformats.org/officeDocument/2006/relationships/image" Target="media/image261.emf"/><Relationship Id="rId250" Type="http://schemas.openxmlformats.org/officeDocument/2006/relationships/image" Target="media/image152.emf"/><Relationship Id="rId292" Type="http://schemas.openxmlformats.org/officeDocument/2006/relationships/image" Target="media/image173.emf"/><Relationship Id="rId306" Type="http://schemas.openxmlformats.org/officeDocument/2006/relationships/image" Target="media/image180.emf"/><Relationship Id="rId45" Type="http://schemas.openxmlformats.org/officeDocument/2006/relationships/image" Target="media/image34.png"/><Relationship Id="rId87" Type="http://schemas.openxmlformats.org/officeDocument/2006/relationships/oleObject" Target="embeddings/oleObject10.bin"/><Relationship Id="rId110" Type="http://schemas.openxmlformats.org/officeDocument/2006/relationships/oleObject" Target="embeddings/oleObject21.bin"/><Relationship Id="rId348" Type="http://schemas.openxmlformats.org/officeDocument/2006/relationships/image" Target="media/image206.png"/><Relationship Id="rId152" Type="http://schemas.openxmlformats.org/officeDocument/2006/relationships/image" Target="media/image97.emf"/><Relationship Id="rId194" Type="http://schemas.openxmlformats.org/officeDocument/2006/relationships/image" Target="media/image124.emf"/><Relationship Id="rId208" Type="http://schemas.openxmlformats.org/officeDocument/2006/relationships/image" Target="media/image131.emf"/><Relationship Id="rId415" Type="http://schemas.openxmlformats.org/officeDocument/2006/relationships/image" Target="media/image246.emf"/><Relationship Id="rId457" Type="http://schemas.openxmlformats.org/officeDocument/2006/relationships/image" Target="media/image268.emf"/><Relationship Id="rId261" Type="http://schemas.openxmlformats.org/officeDocument/2006/relationships/package" Target="embeddings/Microsoft_Excel_Worksheet53.xlsx"/><Relationship Id="rId14" Type="http://schemas.openxmlformats.org/officeDocument/2006/relationships/image" Target="media/image7.emf"/><Relationship Id="rId56" Type="http://schemas.openxmlformats.org/officeDocument/2006/relationships/package" Target="embeddings/Microsoft_Excel_Worksheet.xlsx"/><Relationship Id="rId317" Type="http://schemas.openxmlformats.org/officeDocument/2006/relationships/package" Target="embeddings/Microsoft_Excel_Worksheet81.xlsx"/><Relationship Id="rId359" Type="http://schemas.openxmlformats.org/officeDocument/2006/relationships/image" Target="media/image213.png"/><Relationship Id="rId98" Type="http://schemas.openxmlformats.org/officeDocument/2006/relationships/image" Target="media/image69.png"/><Relationship Id="rId121" Type="http://schemas.openxmlformats.org/officeDocument/2006/relationships/image" Target="media/image81.emf"/><Relationship Id="rId163" Type="http://schemas.openxmlformats.org/officeDocument/2006/relationships/image" Target="media/image104.emf"/><Relationship Id="rId219" Type="http://schemas.openxmlformats.org/officeDocument/2006/relationships/package" Target="embeddings/Microsoft_Excel_Worksheet32.xlsx"/><Relationship Id="rId370" Type="http://schemas.openxmlformats.org/officeDocument/2006/relationships/hyperlink" Target="http://sjoreportes03/ReportServer?%2FReportesPAO%2FrptDetalladoAvancePAO&amp;pTN_Id_Oficina=31402&amp;pTN_Anno=2020&amp;pTF_Fecha_Consulta=2021-03-04&amp;rs%3AParameterLanguage=" TargetMode="External"/><Relationship Id="rId426" Type="http://schemas.openxmlformats.org/officeDocument/2006/relationships/oleObject" Target="embeddings/oleObject51.bin"/><Relationship Id="rId230" Type="http://schemas.openxmlformats.org/officeDocument/2006/relationships/image" Target="media/image142.emf"/><Relationship Id="rId468" Type="http://schemas.openxmlformats.org/officeDocument/2006/relationships/image" Target="media/image275.emf"/><Relationship Id="rId25" Type="http://schemas.openxmlformats.org/officeDocument/2006/relationships/chart" Target="charts/chart2.xml"/><Relationship Id="rId67" Type="http://schemas.openxmlformats.org/officeDocument/2006/relationships/image" Target="media/image52.emf"/><Relationship Id="rId272" Type="http://schemas.openxmlformats.org/officeDocument/2006/relationships/image" Target="media/image163.emf"/><Relationship Id="rId328" Type="http://schemas.openxmlformats.org/officeDocument/2006/relationships/image" Target="media/image192.emf"/><Relationship Id="rId132" Type="http://schemas.openxmlformats.org/officeDocument/2006/relationships/oleObject" Target="embeddings/oleObject28.bin"/><Relationship Id="rId174" Type="http://schemas.openxmlformats.org/officeDocument/2006/relationships/image" Target="media/image113.emf"/><Relationship Id="rId381" Type="http://schemas.openxmlformats.org/officeDocument/2006/relationships/image" Target="media/image225.emf"/><Relationship Id="rId241" Type="http://schemas.openxmlformats.org/officeDocument/2006/relationships/package" Target="embeddings/Microsoft_Excel_Worksheet43.xlsx"/><Relationship Id="rId437" Type="http://schemas.openxmlformats.org/officeDocument/2006/relationships/image" Target="media/image257.emf"/><Relationship Id="rId36" Type="http://schemas.openxmlformats.org/officeDocument/2006/relationships/image" Target="media/image25.emf"/><Relationship Id="rId283" Type="http://schemas.openxmlformats.org/officeDocument/2006/relationships/package" Target="embeddings/Microsoft_Excel_Worksheet64.xlsx"/><Relationship Id="rId339" Type="http://schemas.openxmlformats.org/officeDocument/2006/relationships/package" Target="embeddings/Microsoft_Excel_Worksheet87.xlsx"/><Relationship Id="rId78" Type="http://schemas.openxmlformats.org/officeDocument/2006/relationships/image" Target="media/image58.wmf"/><Relationship Id="rId101" Type="http://schemas.openxmlformats.org/officeDocument/2006/relationships/oleObject" Target="embeddings/oleObject15.bin"/><Relationship Id="rId143" Type="http://schemas.openxmlformats.org/officeDocument/2006/relationships/image" Target="media/image92.emf"/><Relationship Id="rId185" Type="http://schemas.openxmlformats.org/officeDocument/2006/relationships/package" Target="embeddings/Microsoft_Excel_Worksheet15.xlsx"/><Relationship Id="rId350" Type="http://schemas.openxmlformats.org/officeDocument/2006/relationships/package" Target="embeddings/Microsoft_Excel_Worksheet89.xlsx"/><Relationship Id="rId406" Type="http://schemas.openxmlformats.org/officeDocument/2006/relationships/hyperlink" Target="mailto:despachomh@hacienda.go.cr" TargetMode="External"/><Relationship Id="rId9" Type="http://schemas.openxmlformats.org/officeDocument/2006/relationships/image" Target="media/image2.emf"/><Relationship Id="rId210" Type="http://schemas.openxmlformats.org/officeDocument/2006/relationships/image" Target="media/image132.emf"/><Relationship Id="rId392" Type="http://schemas.openxmlformats.org/officeDocument/2006/relationships/image" Target="media/image231.png"/><Relationship Id="rId448" Type="http://schemas.openxmlformats.org/officeDocument/2006/relationships/image" Target="media/image263.emf"/><Relationship Id="rId252" Type="http://schemas.openxmlformats.org/officeDocument/2006/relationships/image" Target="media/image153.emf"/><Relationship Id="rId294" Type="http://schemas.openxmlformats.org/officeDocument/2006/relationships/image" Target="media/image174.emf"/><Relationship Id="rId308" Type="http://schemas.openxmlformats.org/officeDocument/2006/relationships/image" Target="media/image181.emf"/><Relationship Id="rId47" Type="http://schemas.openxmlformats.org/officeDocument/2006/relationships/image" Target="media/image36.emf"/><Relationship Id="rId89" Type="http://schemas.openxmlformats.org/officeDocument/2006/relationships/oleObject" Target="embeddings/oleObject11.bin"/><Relationship Id="rId112" Type="http://schemas.openxmlformats.org/officeDocument/2006/relationships/oleObject" Target="embeddings/oleObject22.bin"/><Relationship Id="rId154" Type="http://schemas.openxmlformats.org/officeDocument/2006/relationships/image" Target="media/image98.emf"/><Relationship Id="rId361" Type="http://schemas.openxmlformats.org/officeDocument/2006/relationships/package" Target="embeddings/Microsoft_Excel_Worksheet93.xlsx"/><Relationship Id="rId196" Type="http://schemas.openxmlformats.org/officeDocument/2006/relationships/image" Target="media/image125.emf"/><Relationship Id="rId417" Type="http://schemas.openxmlformats.org/officeDocument/2006/relationships/image" Target="media/image247.emf"/><Relationship Id="rId459" Type="http://schemas.openxmlformats.org/officeDocument/2006/relationships/oleObject" Target="embeddings/oleObject61.bin"/><Relationship Id="rId16" Type="http://schemas.openxmlformats.org/officeDocument/2006/relationships/oleObject" Target="embeddings/oleObject1.bin"/><Relationship Id="rId221" Type="http://schemas.openxmlformats.org/officeDocument/2006/relationships/package" Target="embeddings/Microsoft_Excel_Worksheet33.xlsx"/><Relationship Id="rId263" Type="http://schemas.openxmlformats.org/officeDocument/2006/relationships/package" Target="embeddings/Microsoft_Excel_Worksheet54.xlsx"/><Relationship Id="rId319" Type="http://schemas.openxmlformats.org/officeDocument/2006/relationships/package" Target="embeddings/Microsoft_Excel_Worksheet82.xlsx"/><Relationship Id="rId470" Type="http://schemas.openxmlformats.org/officeDocument/2006/relationships/package" Target="embeddings/Microsoft_Excel_Worksheet103.xlsx"/><Relationship Id="rId58" Type="http://schemas.openxmlformats.org/officeDocument/2006/relationships/oleObject" Target="embeddings/oleObject3.bin"/><Relationship Id="rId123" Type="http://schemas.openxmlformats.org/officeDocument/2006/relationships/image" Target="media/image82.emf"/><Relationship Id="rId330" Type="http://schemas.openxmlformats.org/officeDocument/2006/relationships/image" Target="media/image194.png"/><Relationship Id="rId165" Type="http://schemas.openxmlformats.org/officeDocument/2006/relationships/image" Target="media/image106.emf"/><Relationship Id="rId372" Type="http://schemas.openxmlformats.org/officeDocument/2006/relationships/image" Target="media/image219.emf"/><Relationship Id="rId428" Type="http://schemas.openxmlformats.org/officeDocument/2006/relationships/oleObject" Target="embeddings/Microsoft_Word_97_-_2003_Document3.doc"/><Relationship Id="rId232" Type="http://schemas.openxmlformats.org/officeDocument/2006/relationships/image" Target="media/image143.emf"/><Relationship Id="rId274" Type="http://schemas.openxmlformats.org/officeDocument/2006/relationships/image" Target="media/image164.emf"/><Relationship Id="rId27" Type="http://schemas.openxmlformats.org/officeDocument/2006/relationships/oleObject" Target="embeddings/oleObject2.bin"/><Relationship Id="rId69" Type="http://schemas.openxmlformats.org/officeDocument/2006/relationships/image" Target="media/image53.emf"/><Relationship Id="rId134" Type="http://schemas.openxmlformats.org/officeDocument/2006/relationships/oleObject" Target="embeddings/oleObject29.bin"/><Relationship Id="rId80" Type="http://schemas.openxmlformats.org/officeDocument/2006/relationships/image" Target="media/image59.wmf"/><Relationship Id="rId176" Type="http://schemas.openxmlformats.org/officeDocument/2006/relationships/image" Target="media/image115.emf"/><Relationship Id="rId341" Type="http://schemas.openxmlformats.org/officeDocument/2006/relationships/image" Target="media/image202.emf"/><Relationship Id="rId383" Type="http://schemas.openxmlformats.org/officeDocument/2006/relationships/image" Target="media/image226.emf"/><Relationship Id="rId439" Type="http://schemas.openxmlformats.org/officeDocument/2006/relationships/image" Target="media/image258.emf"/><Relationship Id="rId201" Type="http://schemas.openxmlformats.org/officeDocument/2006/relationships/package" Target="embeddings/Microsoft_Excel_Worksheet23.xlsx"/><Relationship Id="rId243" Type="http://schemas.openxmlformats.org/officeDocument/2006/relationships/package" Target="embeddings/Microsoft_Excel_Worksheet44.xlsx"/><Relationship Id="rId285" Type="http://schemas.openxmlformats.org/officeDocument/2006/relationships/package" Target="embeddings/Microsoft_Excel_Worksheet65.xlsx"/><Relationship Id="rId450" Type="http://schemas.openxmlformats.org/officeDocument/2006/relationships/oleObject" Target="embeddings/oleObject57.bin"/><Relationship Id="rId38" Type="http://schemas.openxmlformats.org/officeDocument/2006/relationships/image" Target="media/image27.emf"/><Relationship Id="rId103" Type="http://schemas.openxmlformats.org/officeDocument/2006/relationships/oleObject" Target="embeddings/oleObject16.bin"/><Relationship Id="rId310" Type="http://schemas.openxmlformats.org/officeDocument/2006/relationships/image" Target="media/image182.emf"/><Relationship Id="rId91" Type="http://schemas.openxmlformats.org/officeDocument/2006/relationships/oleObject" Target="embeddings/oleObject12.bin"/><Relationship Id="rId145" Type="http://schemas.openxmlformats.org/officeDocument/2006/relationships/image" Target="media/image93.emf"/><Relationship Id="rId187" Type="http://schemas.openxmlformats.org/officeDocument/2006/relationships/package" Target="embeddings/Microsoft_Excel_Worksheet16.xlsx"/><Relationship Id="rId352" Type="http://schemas.openxmlformats.org/officeDocument/2006/relationships/package" Target="embeddings/Microsoft_Word_Document90.docx"/><Relationship Id="rId394" Type="http://schemas.openxmlformats.org/officeDocument/2006/relationships/image" Target="media/image233.png"/><Relationship Id="rId408" Type="http://schemas.openxmlformats.org/officeDocument/2006/relationships/oleObject" Target="embeddings/oleObject44.bin"/><Relationship Id="rId212" Type="http://schemas.openxmlformats.org/officeDocument/2006/relationships/image" Target="media/image133.emf"/><Relationship Id="rId254" Type="http://schemas.openxmlformats.org/officeDocument/2006/relationships/image" Target="media/image154.emf"/><Relationship Id="rId49" Type="http://schemas.openxmlformats.org/officeDocument/2006/relationships/image" Target="media/image38.png"/><Relationship Id="rId114" Type="http://schemas.openxmlformats.org/officeDocument/2006/relationships/oleObject" Target="embeddings/oleObject23.bin"/><Relationship Id="rId296" Type="http://schemas.openxmlformats.org/officeDocument/2006/relationships/image" Target="media/image175.emf"/><Relationship Id="rId461" Type="http://schemas.openxmlformats.org/officeDocument/2006/relationships/oleObject" Target="embeddings/oleObject62.bin"/><Relationship Id="rId60" Type="http://schemas.openxmlformats.org/officeDocument/2006/relationships/image" Target="media/image46.png"/><Relationship Id="rId156" Type="http://schemas.openxmlformats.org/officeDocument/2006/relationships/image" Target="media/image99.emf"/><Relationship Id="rId198" Type="http://schemas.openxmlformats.org/officeDocument/2006/relationships/image" Target="media/image126.emf"/><Relationship Id="rId321" Type="http://schemas.openxmlformats.org/officeDocument/2006/relationships/package" Target="embeddings/Microsoft_Excel_Worksheet83.xlsx"/><Relationship Id="rId363" Type="http://schemas.openxmlformats.org/officeDocument/2006/relationships/package" Target="embeddings/Microsoft_Excel_Worksheet94.xlsx"/><Relationship Id="rId419" Type="http://schemas.openxmlformats.org/officeDocument/2006/relationships/image" Target="media/image248.emf"/><Relationship Id="rId223" Type="http://schemas.openxmlformats.org/officeDocument/2006/relationships/package" Target="embeddings/Microsoft_Excel_Worksheet34.xlsx"/><Relationship Id="rId430" Type="http://schemas.openxmlformats.org/officeDocument/2006/relationships/package" Target="embeddings/Microsoft_Word_Document101.docx"/><Relationship Id="rId18" Type="http://schemas.openxmlformats.org/officeDocument/2006/relationships/image" Target="media/image10.emf"/><Relationship Id="rId265" Type="http://schemas.openxmlformats.org/officeDocument/2006/relationships/package" Target="embeddings/Microsoft_Excel_Worksheet55.xlsx"/><Relationship Id="rId472" Type="http://schemas.openxmlformats.org/officeDocument/2006/relationships/image" Target="media/image278.emf"/><Relationship Id="rId125" Type="http://schemas.openxmlformats.org/officeDocument/2006/relationships/image" Target="media/image83.emf"/><Relationship Id="rId167" Type="http://schemas.openxmlformats.org/officeDocument/2006/relationships/image" Target="media/image108.emf"/><Relationship Id="rId332" Type="http://schemas.openxmlformats.org/officeDocument/2006/relationships/image" Target="media/image196.emf"/><Relationship Id="rId374" Type="http://schemas.openxmlformats.org/officeDocument/2006/relationships/image" Target="media/image220.emf"/><Relationship Id="rId71" Type="http://schemas.openxmlformats.org/officeDocument/2006/relationships/image" Target="media/image54.emf"/><Relationship Id="rId234" Type="http://schemas.openxmlformats.org/officeDocument/2006/relationships/image" Target="media/image144.emf"/><Relationship Id="rId2" Type="http://schemas.openxmlformats.org/officeDocument/2006/relationships/numbering" Target="numbering.xml"/><Relationship Id="rId29" Type="http://schemas.openxmlformats.org/officeDocument/2006/relationships/image" Target="media/image18.png"/><Relationship Id="rId276" Type="http://schemas.openxmlformats.org/officeDocument/2006/relationships/image" Target="media/image165.emf"/><Relationship Id="rId441" Type="http://schemas.openxmlformats.org/officeDocument/2006/relationships/header" Target="header1.xml"/><Relationship Id="rId40" Type="http://schemas.openxmlformats.org/officeDocument/2006/relationships/image" Target="media/image29.emf"/><Relationship Id="rId136" Type="http://schemas.openxmlformats.org/officeDocument/2006/relationships/oleObject" Target="embeddings/oleObject30.bin"/><Relationship Id="rId178" Type="http://schemas.openxmlformats.org/officeDocument/2006/relationships/image" Target="media/image116.emf"/><Relationship Id="rId301" Type="http://schemas.openxmlformats.org/officeDocument/2006/relationships/package" Target="embeddings/Microsoft_Excel_Worksheet73.xlsx"/><Relationship Id="rId343" Type="http://schemas.openxmlformats.org/officeDocument/2006/relationships/image" Target="media/image203.emf"/><Relationship Id="rId82" Type="http://schemas.openxmlformats.org/officeDocument/2006/relationships/image" Target="media/image60.wmf"/><Relationship Id="rId203" Type="http://schemas.openxmlformats.org/officeDocument/2006/relationships/package" Target="embeddings/Microsoft_Excel_Worksheet24.xlsx"/><Relationship Id="rId385" Type="http://schemas.openxmlformats.org/officeDocument/2006/relationships/image" Target="media/image227.emf"/><Relationship Id="rId245" Type="http://schemas.openxmlformats.org/officeDocument/2006/relationships/package" Target="embeddings/Microsoft_Excel_Worksheet45.xlsx"/><Relationship Id="rId287" Type="http://schemas.openxmlformats.org/officeDocument/2006/relationships/package" Target="embeddings/Microsoft_Excel_Worksheet66.xlsx"/><Relationship Id="rId410" Type="http://schemas.openxmlformats.org/officeDocument/2006/relationships/oleObject" Target="embeddings/oleObject45.bin"/><Relationship Id="rId452" Type="http://schemas.openxmlformats.org/officeDocument/2006/relationships/oleObject" Target="embeddings/oleObject58.bin"/><Relationship Id="rId105" Type="http://schemas.openxmlformats.org/officeDocument/2006/relationships/oleObject" Target="embeddings/oleObject17.bin"/><Relationship Id="rId147" Type="http://schemas.openxmlformats.org/officeDocument/2006/relationships/oleObject" Target="embeddings/oleObject34.bin"/><Relationship Id="rId312" Type="http://schemas.openxmlformats.org/officeDocument/2006/relationships/image" Target="media/image183.emf"/><Relationship Id="rId354" Type="http://schemas.openxmlformats.org/officeDocument/2006/relationships/image" Target="media/image209.emf"/><Relationship Id="rId51" Type="http://schemas.openxmlformats.org/officeDocument/2006/relationships/image" Target="media/image40.emf"/><Relationship Id="rId72" Type="http://schemas.openxmlformats.org/officeDocument/2006/relationships/package" Target="embeddings/Microsoft_Word_Document2.docx"/><Relationship Id="rId93" Type="http://schemas.openxmlformats.org/officeDocument/2006/relationships/oleObject" Target="embeddings/oleObject13.bin"/><Relationship Id="rId189" Type="http://schemas.openxmlformats.org/officeDocument/2006/relationships/package" Target="embeddings/Microsoft_Excel_Worksheet17.xlsx"/><Relationship Id="rId375" Type="http://schemas.openxmlformats.org/officeDocument/2006/relationships/oleObject" Target="embeddings/oleObject39.bin"/><Relationship Id="rId396" Type="http://schemas.openxmlformats.org/officeDocument/2006/relationships/image" Target="media/image235.png"/><Relationship Id="rId3" Type="http://schemas.openxmlformats.org/officeDocument/2006/relationships/styles" Target="styles.xml"/><Relationship Id="rId214" Type="http://schemas.openxmlformats.org/officeDocument/2006/relationships/image" Target="media/image134.emf"/><Relationship Id="rId235" Type="http://schemas.openxmlformats.org/officeDocument/2006/relationships/package" Target="embeddings/Microsoft_Excel_Worksheet40.xlsx"/><Relationship Id="rId256" Type="http://schemas.openxmlformats.org/officeDocument/2006/relationships/image" Target="media/image155.emf"/><Relationship Id="rId277" Type="http://schemas.openxmlformats.org/officeDocument/2006/relationships/package" Target="embeddings/Microsoft_Excel_Worksheet61.xlsx"/><Relationship Id="rId298" Type="http://schemas.openxmlformats.org/officeDocument/2006/relationships/image" Target="media/image176.emf"/><Relationship Id="rId400" Type="http://schemas.openxmlformats.org/officeDocument/2006/relationships/image" Target="media/image239.emf"/><Relationship Id="rId421" Type="http://schemas.openxmlformats.org/officeDocument/2006/relationships/image" Target="media/image249.emf"/><Relationship Id="rId442" Type="http://schemas.openxmlformats.org/officeDocument/2006/relationships/header" Target="header2.xml"/><Relationship Id="rId463" Type="http://schemas.openxmlformats.org/officeDocument/2006/relationships/oleObject" Target="embeddings/oleObject63.bin"/><Relationship Id="rId116" Type="http://schemas.openxmlformats.org/officeDocument/2006/relationships/package" Target="embeddings/Microsoft_Excel_Worksheet4.xlsx"/><Relationship Id="rId137" Type="http://schemas.openxmlformats.org/officeDocument/2006/relationships/image" Target="media/image89.emf"/><Relationship Id="rId158" Type="http://schemas.openxmlformats.org/officeDocument/2006/relationships/chart" Target="charts/chart4.xml"/><Relationship Id="rId302" Type="http://schemas.openxmlformats.org/officeDocument/2006/relationships/image" Target="media/image178.emf"/><Relationship Id="rId323" Type="http://schemas.openxmlformats.org/officeDocument/2006/relationships/image" Target="media/image189.png"/><Relationship Id="rId344" Type="http://schemas.openxmlformats.org/officeDocument/2006/relationships/oleObject" Target="embeddings/oleObject38.bin"/><Relationship Id="rId20" Type="http://schemas.openxmlformats.org/officeDocument/2006/relationships/image" Target="media/image12.emf"/><Relationship Id="rId41" Type="http://schemas.openxmlformats.org/officeDocument/2006/relationships/image" Target="media/image30.emf"/><Relationship Id="rId62" Type="http://schemas.openxmlformats.org/officeDocument/2006/relationships/image" Target="media/image48.png"/><Relationship Id="rId83" Type="http://schemas.openxmlformats.org/officeDocument/2006/relationships/oleObject" Target="embeddings/oleObject8.bin"/><Relationship Id="rId179" Type="http://schemas.openxmlformats.org/officeDocument/2006/relationships/package" Target="embeddings/Microsoft_Excel_Worksheet12.xlsx"/><Relationship Id="rId365" Type="http://schemas.openxmlformats.org/officeDocument/2006/relationships/image" Target="media/image216.emf"/><Relationship Id="rId386" Type="http://schemas.openxmlformats.org/officeDocument/2006/relationships/package" Target="embeddings/Microsoft_Word_Document98.docx"/><Relationship Id="rId190" Type="http://schemas.openxmlformats.org/officeDocument/2006/relationships/image" Target="media/image122.emf"/><Relationship Id="rId204" Type="http://schemas.openxmlformats.org/officeDocument/2006/relationships/image" Target="media/image129.emf"/><Relationship Id="rId225" Type="http://schemas.openxmlformats.org/officeDocument/2006/relationships/package" Target="embeddings/Microsoft_Excel_Worksheet35.xlsx"/><Relationship Id="rId246" Type="http://schemas.openxmlformats.org/officeDocument/2006/relationships/image" Target="media/image150.emf"/><Relationship Id="rId267" Type="http://schemas.openxmlformats.org/officeDocument/2006/relationships/package" Target="embeddings/Microsoft_Excel_Worksheet56.xlsx"/><Relationship Id="rId288" Type="http://schemas.openxmlformats.org/officeDocument/2006/relationships/image" Target="media/image171.emf"/><Relationship Id="rId411" Type="http://schemas.openxmlformats.org/officeDocument/2006/relationships/image" Target="media/image244.emf"/><Relationship Id="rId432" Type="http://schemas.openxmlformats.org/officeDocument/2006/relationships/package" Target="embeddings/Microsoft_Word_Document102.docx"/><Relationship Id="rId453" Type="http://schemas.openxmlformats.org/officeDocument/2006/relationships/image" Target="media/image266.emf"/><Relationship Id="rId474" Type="http://schemas.openxmlformats.org/officeDocument/2006/relationships/image" Target="media/image279.emf"/><Relationship Id="rId106" Type="http://schemas.openxmlformats.org/officeDocument/2006/relationships/oleObject" Target="embeddings/oleObject18.bin"/><Relationship Id="rId127" Type="http://schemas.openxmlformats.org/officeDocument/2006/relationships/image" Target="media/image84.emf"/><Relationship Id="rId313" Type="http://schemas.openxmlformats.org/officeDocument/2006/relationships/package" Target="embeddings/Microsoft_Excel_Worksheet79.xlsx"/><Relationship Id="rId10" Type="http://schemas.openxmlformats.org/officeDocument/2006/relationships/image" Target="media/image3.emf"/><Relationship Id="rId31" Type="http://schemas.openxmlformats.org/officeDocument/2006/relationships/image" Target="media/image20.emf"/><Relationship Id="rId52" Type="http://schemas.openxmlformats.org/officeDocument/2006/relationships/chart" Target="charts/chart3.xml"/><Relationship Id="rId73" Type="http://schemas.openxmlformats.org/officeDocument/2006/relationships/image" Target="media/image55.emf"/><Relationship Id="rId94" Type="http://schemas.openxmlformats.org/officeDocument/2006/relationships/image" Target="media/image66.png"/><Relationship Id="rId148" Type="http://schemas.openxmlformats.org/officeDocument/2006/relationships/image" Target="media/image95.emf"/><Relationship Id="rId169" Type="http://schemas.openxmlformats.org/officeDocument/2006/relationships/image" Target="media/image110.emf"/><Relationship Id="rId334" Type="http://schemas.openxmlformats.org/officeDocument/2006/relationships/image" Target="media/image197.emf"/><Relationship Id="rId355" Type="http://schemas.openxmlformats.org/officeDocument/2006/relationships/image" Target="media/image210.emf"/><Relationship Id="rId376" Type="http://schemas.openxmlformats.org/officeDocument/2006/relationships/image" Target="media/image221.emf"/><Relationship Id="rId397" Type="http://schemas.openxmlformats.org/officeDocument/2006/relationships/image" Target="media/image236.png"/><Relationship Id="rId4" Type="http://schemas.openxmlformats.org/officeDocument/2006/relationships/settings" Target="settings.xml"/><Relationship Id="rId180" Type="http://schemas.openxmlformats.org/officeDocument/2006/relationships/image" Target="media/image117.emf"/><Relationship Id="rId215" Type="http://schemas.openxmlformats.org/officeDocument/2006/relationships/package" Target="embeddings/Microsoft_Excel_Worksheet30.xlsx"/><Relationship Id="rId236" Type="http://schemas.openxmlformats.org/officeDocument/2006/relationships/image" Target="media/image145.emf"/><Relationship Id="rId257" Type="http://schemas.openxmlformats.org/officeDocument/2006/relationships/package" Target="embeddings/Microsoft_Excel_Worksheet51.xlsx"/><Relationship Id="rId278" Type="http://schemas.openxmlformats.org/officeDocument/2006/relationships/image" Target="media/image166.emf"/><Relationship Id="rId401" Type="http://schemas.openxmlformats.org/officeDocument/2006/relationships/package" Target="embeddings/Microsoft_Excel_Worksheet99.xlsx"/><Relationship Id="rId422" Type="http://schemas.openxmlformats.org/officeDocument/2006/relationships/oleObject" Target="embeddings/oleObject49.bin"/><Relationship Id="rId443" Type="http://schemas.openxmlformats.org/officeDocument/2006/relationships/header" Target="header3.xml"/><Relationship Id="rId464" Type="http://schemas.openxmlformats.org/officeDocument/2006/relationships/image" Target="media/image272.emf"/><Relationship Id="rId303" Type="http://schemas.openxmlformats.org/officeDocument/2006/relationships/package" Target="embeddings/Microsoft_Excel_Worksheet74.xlsx"/><Relationship Id="rId42" Type="http://schemas.openxmlformats.org/officeDocument/2006/relationships/image" Target="media/image31.png"/><Relationship Id="rId84" Type="http://schemas.openxmlformats.org/officeDocument/2006/relationships/image" Target="media/image61.wmf"/><Relationship Id="rId138" Type="http://schemas.openxmlformats.org/officeDocument/2006/relationships/oleObject" Target="embeddings/oleObject31.bin"/><Relationship Id="rId345" Type="http://schemas.openxmlformats.org/officeDocument/2006/relationships/image" Target="media/image204.emf"/><Relationship Id="rId387" Type="http://schemas.openxmlformats.org/officeDocument/2006/relationships/image" Target="media/image228.emf"/><Relationship Id="rId191" Type="http://schemas.openxmlformats.org/officeDocument/2006/relationships/package" Target="embeddings/Microsoft_Excel_Worksheet18.xlsx"/><Relationship Id="rId205" Type="http://schemas.openxmlformats.org/officeDocument/2006/relationships/package" Target="embeddings/Microsoft_Excel_Worksheet25.xlsx"/><Relationship Id="rId247" Type="http://schemas.openxmlformats.org/officeDocument/2006/relationships/package" Target="embeddings/Microsoft_Excel_Worksheet46.xlsx"/><Relationship Id="rId412" Type="http://schemas.openxmlformats.org/officeDocument/2006/relationships/oleObject" Target="embeddings/Microsoft_Word_97_-_2003_Document.doc"/><Relationship Id="rId107" Type="http://schemas.openxmlformats.org/officeDocument/2006/relationships/image" Target="media/image74.emf"/><Relationship Id="rId289" Type="http://schemas.openxmlformats.org/officeDocument/2006/relationships/package" Target="embeddings/Microsoft_Excel_Worksheet67.xlsx"/><Relationship Id="rId454" Type="http://schemas.openxmlformats.org/officeDocument/2006/relationships/oleObject" Target="embeddings/oleObject59.bin"/><Relationship Id="rId11" Type="http://schemas.openxmlformats.org/officeDocument/2006/relationships/image" Target="media/image4.png"/><Relationship Id="rId53" Type="http://schemas.openxmlformats.org/officeDocument/2006/relationships/image" Target="media/image41.emf"/><Relationship Id="rId149" Type="http://schemas.openxmlformats.org/officeDocument/2006/relationships/package" Target="embeddings/Microsoft_Word_Document7.docx"/><Relationship Id="rId314" Type="http://schemas.openxmlformats.org/officeDocument/2006/relationships/image" Target="media/image184.emf"/><Relationship Id="rId356" Type="http://schemas.openxmlformats.org/officeDocument/2006/relationships/image" Target="media/image211.emf"/><Relationship Id="rId398" Type="http://schemas.openxmlformats.org/officeDocument/2006/relationships/image" Target="media/image237.png"/><Relationship Id="rId95" Type="http://schemas.openxmlformats.org/officeDocument/2006/relationships/image" Target="media/image67.emf"/><Relationship Id="rId160" Type="http://schemas.openxmlformats.org/officeDocument/2006/relationships/image" Target="media/image102.emf"/><Relationship Id="rId216" Type="http://schemas.openxmlformats.org/officeDocument/2006/relationships/image" Target="media/image135.emf"/><Relationship Id="rId423" Type="http://schemas.openxmlformats.org/officeDocument/2006/relationships/image" Target="media/image250.emf"/><Relationship Id="rId258" Type="http://schemas.openxmlformats.org/officeDocument/2006/relationships/image" Target="media/image156.emf"/><Relationship Id="rId465" Type="http://schemas.openxmlformats.org/officeDocument/2006/relationships/image" Target="media/image273.emf"/><Relationship Id="rId22" Type="http://schemas.openxmlformats.org/officeDocument/2006/relationships/image" Target="media/image13.emf"/><Relationship Id="rId64" Type="http://schemas.openxmlformats.org/officeDocument/2006/relationships/image" Target="media/image50.emf"/><Relationship Id="rId118" Type="http://schemas.openxmlformats.org/officeDocument/2006/relationships/image" Target="media/image79.emf"/><Relationship Id="rId325" Type="http://schemas.openxmlformats.org/officeDocument/2006/relationships/oleObject" Target="embeddings/Microsoft_Excel_97-2003_Worksheet1.xls"/><Relationship Id="rId367" Type="http://schemas.openxmlformats.org/officeDocument/2006/relationships/image" Target="media/image217.emf"/><Relationship Id="rId171" Type="http://schemas.openxmlformats.org/officeDocument/2006/relationships/package" Target="embeddings/Microsoft_Excel_Worksheet9.xlsx"/><Relationship Id="rId227" Type="http://schemas.openxmlformats.org/officeDocument/2006/relationships/package" Target="embeddings/Microsoft_Excel_Worksheet36.xlsx"/><Relationship Id="rId269" Type="http://schemas.openxmlformats.org/officeDocument/2006/relationships/package" Target="embeddings/Microsoft_Excel_Worksheet57.xlsx"/><Relationship Id="rId434" Type="http://schemas.openxmlformats.org/officeDocument/2006/relationships/oleObject" Target="embeddings/oleObject52.bin"/><Relationship Id="rId476" Type="http://schemas.openxmlformats.org/officeDocument/2006/relationships/fontTable" Target="fontTable.xml"/><Relationship Id="rId33" Type="http://schemas.openxmlformats.org/officeDocument/2006/relationships/image" Target="media/image22.png"/><Relationship Id="rId129" Type="http://schemas.openxmlformats.org/officeDocument/2006/relationships/image" Target="media/image85.emf"/><Relationship Id="rId280" Type="http://schemas.openxmlformats.org/officeDocument/2006/relationships/image" Target="media/image167.emf"/><Relationship Id="rId336" Type="http://schemas.openxmlformats.org/officeDocument/2006/relationships/image" Target="media/image199.emf"/><Relationship Id="rId75" Type="http://schemas.openxmlformats.org/officeDocument/2006/relationships/package" Target="embeddings/Microsoft_Excel_Worksheet3.xlsx"/><Relationship Id="rId140" Type="http://schemas.openxmlformats.org/officeDocument/2006/relationships/oleObject" Target="embeddings/oleObject32.bin"/><Relationship Id="rId182" Type="http://schemas.openxmlformats.org/officeDocument/2006/relationships/image" Target="media/image118.emf"/><Relationship Id="rId378" Type="http://schemas.openxmlformats.org/officeDocument/2006/relationships/image" Target="media/image223.emf"/><Relationship Id="rId403" Type="http://schemas.openxmlformats.org/officeDocument/2006/relationships/package" Target="embeddings/Microsoft_Excel_Worksheet100.xlsx"/><Relationship Id="rId6" Type="http://schemas.openxmlformats.org/officeDocument/2006/relationships/footnotes" Target="footnotes.xml"/><Relationship Id="rId238" Type="http://schemas.openxmlformats.org/officeDocument/2006/relationships/image" Target="media/image146.emf"/><Relationship Id="rId445" Type="http://schemas.openxmlformats.org/officeDocument/2006/relationships/oleObject" Target="embeddings/oleObject56.bin"/><Relationship Id="rId291" Type="http://schemas.openxmlformats.org/officeDocument/2006/relationships/package" Target="embeddings/Microsoft_Excel_Worksheet68.xlsx"/><Relationship Id="rId305" Type="http://schemas.openxmlformats.org/officeDocument/2006/relationships/package" Target="embeddings/Microsoft_Excel_Worksheet75.xlsx"/><Relationship Id="rId347" Type="http://schemas.openxmlformats.org/officeDocument/2006/relationships/image" Target="media/image205.emf"/><Relationship Id="rId44" Type="http://schemas.openxmlformats.org/officeDocument/2006/relationships/image" Target="media/image33.png"/><Relationship Id="rId86" Type="http://schemas.openxmlformats.org/officeDocument/2006/relationships/image" Target="media/image62.wmf"/><Relationship Id="rId151" Type="http://schemas.openxmlformats.org/officeDocument/2006/relationships/package" Target="embeddings/Microsoft_Word_Document8.docx"/><Relationship Id="rId389" Type="http://schemas.openxmlformats.org/officeDocument/2006/relationships/image" Target="media/image229.emf"/><Relationship Id="rId193" Type="http://schemas.openxmlformats.org/officeDocument/2006/relationships/package" Target="embeddings/Microsoft_Excel_Worksheet19.xlsx"/><Relationship Id="rId207" Type="http://schemas.openxmlformats.org/officeDocument/2006/relationships/package" Target="embeddings/Microsoft_Excel_Worksheet26.xlsx"/><Relationship Id="rId249" Type="http://schemas.openxmlformats.org/officeDocument/2006/relationships/package" Target="embeddings/Microsoft_Excel_Worksheet47.xlsx"/><Relationship Id="rId414" Type="http://schemas.openxmlformats.org/officeDocument/2006/relationships/oleObject" Target="embeddings/oleObject46.bin"/><Relationship Id="rId456" Type="http://schemas.openxmlformats.org/officeDocument/2006/relationships/oleObject" Target="embeddings/oleObject60.bin"/><Relationship Id="rId13" Type="http://schemas.openxmlformats.org/officeDocument/2006/relationships/image" Target="media/image6.png"/><Relationship Id="rId109" Type="http://schemas.openxmlformats.org/officeDocument/2006/relationships/oleObject" Target="embeddings/oleObject20.bin"/><Relationship Id="rId260" Type="http://schemas.openxmlformats.org/officeDocument/2006/relationships/image" Target="media/image157.emf"/><Relationship Id="rId316" Type="http://schemas.openxmlformats.org/officeDocument/2006/relationships/image" Target="media/image185.emf"/><Relationship Id="rId55" Type="http://schemas.openxmlformats.org/officeDocument/2006/relationships/image" Target="media/image43.emf"/><Relationship Id="rId97" Type="http://schemas.openxmlformats.org/officeDocument/2006/relationships/image" Target="media/image68.png"/><Relationship Id="rId120" Type="http://schemas.openxmlformats.org/officeDocument/2006/relationships/package" Target="embeddings/Microsoft_Word_Document5.docx"/><Relationship Id="rId358" Type="http://schemas.openxmlformats.org/officeDocument/2006/relationships/image" Target="media/image212.emf"/><Relationship Id="rId162" Type="http://schemas.openxmlformats.org/officeDocument/2006/relationships/image" Target="media/image103.emf"/><Relationship Id="rId218" Type="http://schemas.openxmlformats.org/officeDocument/2006/relationships/image" Target="media/image136.emf"/><Relationship Id="rId425" Type="http://schemas.openxmlformats.org/officeDocument/2006/relationships/image" Target="media/image251.emf"/><Relationship Id="rId467" Type="http://schemas.openxmlformats.org/officeDocument/2006/relationships/image" Target="media/image274.emf"/><Relationship Id="rId271" Type="http://schemas.openxmlformats.org/officeDocument/2006/relationships/package" Target="embeddings/Microsoft_Excel_Worksheet58.xlsx"/><Relationship Id="rId24" Type="http://schemas.openxmlformats.org/officeDocument/2006/relationships/image" Target="media/image15.png"/><Relationship Id="rId66" Type="http://schemas.openxmlformats.org/officeDocument/2006/relationships/image" Target="media/image51.emf"/><Relationship Id="rId131" Type="http://schemas.openxmlformats.org/officeDocument/2006/relationships/image" Target="media/image86.emf"/><Relationship Id="rId327" Type="http://schemas.openxmlformats.org/officeDocument/2006/relationships/package" Target="embeddings/Microsoft_Word_Document84.docx"/><Relationship Id="rId369" Type="http://schemas.openxmlformats.org/officeDocument/2006/relationships/chart" Target="charts/chart8.xml"/><Relationship Id="rId173" Type="http://schemas.openxmlformats.org/officeDocument/2006/relationships/package" Target="embeddings/Microsoft_Excel_Worksheet10.xlsx"/><Relationship Id="rId229" Type="http://schemas.openxmlformats.org/officeDocument/2006/relationships/package" Target="embeddings/Microsoft_Excel_Worksheet37.xlsx"/><Relationship Id="rId380" Type="http://schemas.openxmlformats.org/officeDocument/2006/relationships/oleObject" Target="embeddings/oleObject40.bin"/><Relationship Id="rId436" Type="http://schemas.openxmlformats.org/officeDocument/2006/relationships/oleObject" Target="embeddings/oleObject53.bin"/><Relationship Id="rId240" Type="http://schemas.openxmlformats.org/officeDocument/2006/relationships/image" Target="media/image147.emf"/><Relationship Id="rId35" Type="http://schemas.openxmlformats.org/officeDocument/2006/relationships/image" Target="media/image24.emf"/><Relationship Id="rId77" Type="http://schemas.openxmlformats.org/officeDocument/2006/relationships/oleObject" Target="embeddings/oleObject5.bin"/><Relationship Id="rId100" Type="http://schemas.openxmlformats.org/officeDocument/2006/relationships/image" Target="media/image71.emf"/><Relationship Id="rId282" Type="http://schemas.openxmlformats.org/officeDocument/2006/relationships/image" Target="media/image168.emf"/><Relationship Id="rId338" Type="http://schemas.openxmlformats.org/officeDocument/2006/relationships/image" Target="media/image200.emf"/><Relationship Id="rId8" Type="http://schemas.openxmlformats.org/officeDocument/2006/relationships/image" Target="media/image1.emf"/><Relationship Id="rId142" Type="http://schemas.openxmlformats.org/officeDocument/2006/relationships/oleObject" Target="embeddings/oleObject33.bin"/><Relationship Id="rId184" Type="http://schemas.openxmlformats.org/officeDocument/2006/relationships/image" Target="media/image119.emf"/><Relationship Id="rId391" Type="http://schemas.openxmlformats.org/officeDocument/2006/relationships/image" Target="media/image230.emf"/><Relationship Id="rId405" Type="http://schemas.openxmlformats.org/officeDocument/2006/relationships/oleObject" Target="embeddings/oleObject43.bin"/><Relationship Id="rId447" Type="http://schemas.openxmlformats.org/officeDocument/2006/relationships/image" Target="media/image262.emf"/><Relationship Id="rId251" Type="http://schemas.openxmlformats.org/officeDocument/2006/relationships/package" Target="embeddings/Microsoft_Excel_Worksheet48.xlsx"/><Relationship Id="rId46" Type="http://schemas.openxmlformats.org/officeDocument/2006/relationships/image" Target="media/image35.emf"/><Relationship Id="rId293" Type="http://schemas.openxmlformats.org/officeDocument/2006/relationships/package" Target="embeddings/Microsoft_Excel_Worksheet69.xlsx"/><Relationship Id="rId307" Type="http://schemas.openxmlformats.org/officeDocument/2006/relationships/package" Target="embeddings/Microsoft_Excel_Worksheet76.xlsx"/><Relationship Id="rId349" Type="http://schemas.openxmlformats.org/officeDocument/2006/relationships/image" Target="media/image207.emf"/><Relationship Id="rId88" Type="http://schemas.openxmlformats.org/officeDocument/2006/relationships/image" Target="media/image63.wmf"/><Relationship Id="rId111" Type="http://schemas.openxmlformats.org/officeDocument/2006/relationships/image" Target="media/image75.emf"/><Relationship Id="rId153" Type="http://schemas.openxmlformats.org/officeDocument/2006/relationships/oleObject" Target="embeddings/oleObject35.bin"/><Relationship Id="rId195" Type="http://schemas.openxmlformats.org/officeDocument/2006/relationships/package" Target="embeddings/Microsoft_Excel_Worksheet20.xlsx"/><Relationship Id="rId209" Type="http://schemas.openxmlformats.org/officeDocument/2006/relationships/package" Target="embeddings/Microsoft_Excel_Worksheet27.xlsx"/><Relationship Id="rId360" Type="http://schemas.openxmlformats.org/officeDocument/2006/relationships/image" Target="media/image214.emf"/><Relationship Id="rId416" Type="http://schemas.openxmlformats.org/officeDocument/2006/relationships/oleObject" Target="embeddings/Microsoft_Word_97_-_2003_Document2.doc"/><Relationship Id="rId220" Type="http://schemas.openxmlformats.org/officeDocument/2006/relationships/image" Target="media/image137.emf"/><Relationship Id="rId458" Type="http://schemas.openxmlformats.org/officeDocument/2006/relationships/image" Target="media/image269.emf"/><Relationship Id="rId15" Type="http://schemas.openxmlformats.org/officeDocument/2006/relationships/image" Target="media/image8.emf"/><Relationship Id="rId57" Type="http://schemas.openxmlformats.org/officeDocument/2006/relationships/image" Target="media/image44.emf"/><Relationship Id="rId262" Type="http://schemas.openxmlformats.org/officeDocument/2006/relationships/image" Target="media/image158.emf"/><Relationship Id="rId318" Type="http://schemas.openxmlformats.org/officeDocument/2006/relationships/image" Target="media/image186.emf"/><Relationship Id="rId99" Type="http://schemas.openxmlformats.org/officeDocument/2006/relationships/image" Target="media/image70.png"/><Relationship Id="rId122" Type="http://schemas.openxmlformats.org/officeDocument/2006/relationships/package" Target="embeddings/Microsoft_Word_Document6.docx"/><Relationship Id="rId164" Type="http://schemas.openxmlformats.org/officeDocument/2006/relationships/image" Target="media/image105.emf"/><Relationship Id="rId371" Type="http://schemas.openxmlformats.org/officeDocument/2006/relationships/hyperlink" Target="http://sjoreportes03/ReportServer?%2FReportesPAO%2FrptDetalladoAvancePAO&amp;pTN_Id_Oficina=31102&amp;pTN_Anno=2020&amp;pTF_Fecha_Consulta=2021-03-04&amp;rs%3AParameterLanguage=" TargetMode="External"/><Relationship Id="rId427" Type="http://schemas.openxmlformats.org/officeDocument/2006/relationships/image" Target="media/image252.emf"/><Relationship Id="rId469" Type="http://schemas.openxmlformats.org/officeDocument/2006/relationships/image" Target="media/image276.emf"/><Relationship Id="rId26" Type="http://schemas.openxmlformats.org/officeDocument/2006/relationships/image" Target="media/image16.emf"/><Relationship Id="rId231" Type="http://schemas.openxmlformats.org/officeDocument/2006/relationships/package" Target="embeddings/Microsoft_Excel_Worksheet38.xlsx"/><Relationship Id="rId273" Type="http://schemas.openxmlformats.org/officeDocument/2006/relationships/package" Target="embeddings/Microsoft_Excel_Worksheet59.xlsx"/><Relationship Id="rId329" Type="http://schemas.openxmlformats.org/officeDocument/2006/relationships/image" Target="media/image193.emf"/><Relationship Id="rId68" Type="http://schemas.openxmlformats.org/officeDocument/2006/relationships/package" Target="embeddings/Microsoft_Word_Document.docx"/><Relationship Id="rId133" Type="http://schemas.openxmlformats.org/officeDocument/2006/relationships/image" Target="media/image87.emf"/><Relationship Id="rId175" Type="http://schemas.openxmlformats.org/officeDocument/2006/relationships/image" Target="media/image114.emf"/><Relationship Id="rId340" Type="http://schemas.openxmlformats.org/officeDocument/2006/relationships/image" Target="media/image201.png"/><Relationship Id="rId200" Type="http://schemas.openxmlformats.org/officeDocument/2006/relationships/image" Target="media/image127.emf"/><Relationship Id="rId382" Type="http://schemas.openxmlformats.org/officeDocument/2006/relationships/oleObject" Target="embeddings/oleObject41.bin"/><Relationship Id="rId438" Type="http://schemas.openxmlformats.org/officeDocument/2006/relationships/oleObject" Target="embeddings/oleObject54.bin"/><Relationship Id="rId242" Type="http://schemas.openxmlformats.org/officeDocument/2006/relationships/image" Target="media/image148.emf"/><Relationship Id="rId284" Type="http://schemas.openxmlformats.org/officeDocument/2006/relationships/image" Target="media/image169.emf"/><Relationship Id="rId37" Type="http://schemas.openxmlformats.org/officeDocument/2006/relationships/image" Target="media/image26.emf"/><Relationship Id="rId79" Type="http://schemas.openxmlformats.org/officeDocument/2006/relationships/oleObject" Target="embeddings/oleObject6.bin"/><Relationship Id="rId102" Type="http://schemas.openxmlformats.org/officeDocument/2006/relationships/image" Target="media/image72.emf"/><Relationship Id="rId144" Type="http://schemas.openxmlformats.org/officeDocument/2006/relationships/oleObject" Target="embeddings/Microsoft_Excel_97-2003_Worksheet.xls"/><Relationship Id="rId90" Type="http://schemas.openxmlformats.org/officeDocument/2006/relationships/image" Target="media/image64.wmf"/><Relationship Id="rId186" Type="http://schemas.openxmlformats.org/officeDocument/2006/relationships/image" Target="media/image120.emf"/><Relationship Id="rId351" Type="http://schemas.openxmlformats.org/officeDocument/2006/relationships/image" Target="media/image208.emf"/><Relationship Id="rId393" Type="http://schemas.openxmlformats.org/officeDocument/2006/relationships/image" Target="media/image232.png"/><Relationship Id="rId407" Type="http://schemas.openxmlformats.org/officeDocument/2006/relationships/image" Target="media/image242.emf"/><Relationship Id="rId449" Type="http://schemas.openxmlformats.org/officeDocument/2006/relationships/image" Target="media/image264.emf"/><Relationship Id="rId211" Type="http://schemas.openxmlformats.org/officeDocument/2006/relationships/package" Target="embeddings/Microsoft_Excel_Worksheet28.xlsx"/><Relationship Id="rId253" Type="http://schemas.openxmlformats.org/officeDocument/2006/relationships/package" Target="embeddings/Microsoft_Excel_Worksheet49.xlsx"/><Relationship Id="rId295" Type="http://schemas.openxmlformats.org/officeDocument/2006/relationships/package" Target="embeddings/Microsoft_Excel_Worksheet70.xlsx"/><Relationship Id="rId309" Type="http://schemas.openxmlformats.org/officeDocument/2006/relationships/package" Target="embeddings/Microsoft_Excel_Worksheet77.xlsx"/><Relationship Id="rId460" Type="http://schemas.openxmlformats.org/officeDocument/2006/relationships/image" Target="media/image270.emf"/><Relationship Id="rId48" Type="http://schemas.openxmlformats.org/officeDocument/2006/relationships/image" Target="media/image37.emf"/><Relationship Id="rId113" Type="http://schemas.openxmlformats.org/officeDocument/2006/relationships/image" Target="media/image76.emf"/><Relationship Id="rId320" Type="http://schemas.openxmlformats.org/officeDocument/2006/relationships/image" Target="media/image187.emf"/><Relationship Id="rId155" Type="http://schemas.openxmlformats.org/officeDocument/2006/relationships/oleObject" Target="embeddings/oleObject36.bin"/><Relationship Id="rId197" Type="http://schemas.openxmlformats.org/officeDocument/2006/relationships/package" Target="embeddings/Microsoft_Excel_Worksheet21.xlsx"/><Relationship Id="rId362" Type="http://schemas.openxmlformats.org/officeDocument/2006/relationships/image" Target="media/image215.emf"/><Relationship Id="rId418" Type="http://schemas.openxmlformats.org/officeDocument/2006/relationships/oleObject" Target="embeddings/oleObject47.bin"/><Relationship Id="rId222" Type="http://schemas.openxmlformats.org/officeDocument/2006/relationships/image" Target="media/image138.emf"/><Relationship Id="rId264" Type="http://schemas.openxmlformats.org/officeDocument/2006/relationships/image" Target="media/image159.emf"/><Relationship Id="rId471" Type="http://schemas.openxmlformats.org/officeDocument/2006/relationships/image" Target="media/image277.emf"/><Relationship Id="rId17" Type="http://schemas.openxmlformats.org/officeDocument/2006/relationships/image" Target="media/image9.png"/><Relationship Id="rId59" Type="http://schemas.openxmlformats.org/officeDocument/2006/relationships/image" Target="media/image45.png"/><Relationship Id="rId124" Type="http://schemas.openxmlformats.org/officeDocument/2006/relationships/oleObject" Target="embeddings/oleObject24.bin"/><Relationship Id="rId70" Type="http://schemas.openxmlformats.org/officeDocument/2006/relationships/package" Target="embeddings/Microsoft_Word_Document1.docx"/><Relationship Id="rId166" Type="http://schemas.openxmlformats.org/officeDocument/2006/relationships/image" Target="media/image107.emf"/><Relationship Id="rId331" Type="http://schemas.openxmlformats.org/officeDocument/2006/relationships/image" Target="media/image195.png"/><Relationship Id="rId373" Type="http://schemas.openxmlformats.org/officeDocument/2006/relationships/package" Target="embeddings/Microsoft_Excel_Worksheet96.xlsx"/><Relationship Id="rId429" Type="http://schemas.openxmlformats.org/officeDocument/2006/relationships/image" Target="media/image253.emf"/><Relationship Id="rId1" Type="http://schemas.openxmlformats.org/officeDocument/2006/relationships/customXml" Target="../customXml/item1.xml"/><Relationship Id="rId233" Type="http://schemas.openxmlformats.org/officeDocument/2006/relationships/package" Target="embeddings/Microsoft_Excel_Worksheet39.xlsx"/><Relationship Id="rId440" Type="http://schemas.openxmlformats.org/officeDocument/2006/relationships/oleObject" Target="embeddings/oleObject55.bin"/><Relationship Id="rId28" Type="http://schemas.openxmlformats.org/officeDocument/2006/relationships/image" Target="media/image17.emf"/><Relationship Id="rId275" Type="http://schemas.openxmlformats.org/officeDocument/2006/relationships/package" Target="embeddings/Microsoft_Excel_Worksheet60.xlsx"/><Relationship Id="rId300" Type="http://schemas.openxmlformats.org/officeDocument/2006/relationships/image" Target="media/image177.emf"/><Relationship Id="rId81" Type="http://schemas.openxmlformats.org/officeDocument/2006/relationships/oleObject" Target="embeddings/oleObject7.bin"/><Relationship Id="rId135" Type="http://schemas.openxmlformats.org/officeDocument/2006/relationships/image" Target="media/image88.emf"/><Relationship Id="rId177" Type="http://schemas.openxmlformats.org/officeDocument/2006/relationships/package" Target="embeddings/Microsoft_Excel_Worksheet11.xlsx"/><Relationship Id="rId342" Type="http://schemas.openxmlformats.org/officeDocument/2006/relationships/oleObject" Target="embeddings/oleObject37.bin"/><Relationship Id="rId384" Type="http://schemas.openxmlformats.org/officeDocument/2006/relationships/package" Target="embeddings/Microsoft_Word_Document97.docx"/><Relationship Id="rId202" Type="http://schemas.openxmlformats.org/officeDocument/2006/relationships/image" Target="media/image128.emf"/><Relationship Id="rId244" Type="http://schemas.openxmlformats.org/officeDocument/2006/relationships/image" Target="media/image149.emf"/><Relationship Id="rId39" Type="http://schemas.openxmlformats.org/officeDocument/2006/relationships/image" Target="media/image28.emf"/><Relationship Id="rId286" Type="http://schemas.openxmlformats.org/officeDocument/2006/relationships/image" Target="media/image170.emf"/><Relationship Id="rId451" Type="http://schemas.openxmlformats.org/officeDocument/2006/relationships/image" Target="media/image265.emf"/><Relationship Id="rId50" Type="http://schemas.openxmlformats.org/officeDocument/2006/relationships/image" Target="media/image39.emf"/><Relationship Id="rId104" Type="http://schemas.openxmlformats.org/officeDocument/2006/relationships/image" Target="media/image73.emf"/><Relationship Id="rId146" Type="http://schemas.openxmlformats.org/officeDocument/2006/relationships/image" Target="media/image94.emf"/><Relationship Id="rId188" Type="http://schemas.openxmlformats.org/officeDocument/2006/relationships/image" Target="media/image121.emf"/><Relationship Id="rId311" Type="http://schemas.openxmlformats.org/officeDocument/2006/relationships/package" Target="embeddings/Microsoft_Excel_Worksheet78.xlsx"/><Relationship Id="rId353" Type="http://schemas.openxmlformats.org/officeDocument/2006/relationships/chart" Target="charts/chart6.xml"/><Relationship Id="rId395" Type="http://schemas.openxmlformats.org/officeDocument/2006/relationships/image" Target="media/image234.png"/><Relationship Id="rId409" Type="http://schemas.openxmlformats.org/officeDocument/2006/relationships/image" Target="media/image243.emf"/><Relationship Id="rId92" Type="http://schemas.openxmlformats.org/officeDocument/2006/relationships/image" Target="media/image65.wmf"/><Relationship Id="rId213" Type="http://schemas.openxmlformats.org/officeDocument/2006/relationships/package" Target="embeddings/Microsoft_Excel_Worksheet29.xlsx"/><Relationship Id="rId420" Type="http://schemas.openxmlformats.org/officeDocument/2006/relationships/oleObject" Target="embeddings/oleObject48.bin"/><Relationship Id="rId255" Type="http://schemas.openxmlformats.org/officeDocument/2006/relationships/package" Target="embeddings/Microsoft_Excel_Worksheet50.xlsx"/><Relationship Id="rId297" Type="http://schemas.openxmlformats.org/officeDocument/2006/relationships/package" Target="embeddings/Microsoft_Excel_Worksheet71.xlsx"/><Relationship Id="rId462" Type="http://schemas.openxmlformats.org/officeDocument/2006/relationships/image" Target="media/image271.emf"/><Relationship Id="rId115" Type="http://schemas.openxmlformats.org/officeDocument/2006/relationships/image" Target="media/image77.emf"/><Relationship Id="rId157" Type="http://schemas.openxmlformats.org/officeDocument/2006/relationships/image" Target="media/image100.png"/><Relationship Id="rId322" Type="http://schemas.openxmlformats.org/officeDocument/2006/relationships/image" Target="media/image188.emf"/><Relationship Id="rId364" Type="http://schemas.openxmlformats.org/officeDocument/2006/relationships/chart" Target="charts/chart7.xml"/><Relationship Id="rId61" Type="http://schemas.openxmlformats.org/officeDocument/2006/relationships/image" Target="media/image47.png"/><Relationship Id="rId199" Type="http://schemas.openxmlformats.org/officeDocument/2006/relationships/package" Target="embeddings/Microsoft_Excel_Worksheet22.xlsx"/><Relationship Id="rId19" Type="http://schemas.openxmlformats.org/officeDocument/2006/relationships/image" Target="media/image11.png"/><Relationship Id="rId224" Type="http://schemas.openxmlformats.org/officeDocument/2006/relationships/image" Target="media/image139.emf"/><Relationship Id="rId266" Type="http://schemas.openxmlformats.org/officeDocument/2006/relationships/image" Target="media/image160.emf"/><Relationship Id="rId431" Type="http://schemas.openxmlformats.org/officeDocument/2006/relationships/image" Target="media/image254.emf"/><Relationship Id="rId473" Type="http://schemas.openxmlformats.org/officeDocument/2006/relationships/package" Target="embeddings/Microsoft_Word_Document104.docx"/><Relationship Id="rId30" Type="http://schemas.openxmlformats.org/officeDocument/2006/relationships/image" Target="media/image19.png"/><Relationship Id="rId126" Type="http://schemas.openxmlformats.org/officeDocument/2006/relationships/oleObject" Target="embeddings/oleObject25.bin"/><Relationship Id="rId168" Type="http://schemas.openxmlformats.org/officeDocument/2006/relationships/image" Target="media/image109.emf"/><Relationship Id="rId333" Type="http://schemas.openxmlformats.org/officeDocument/2006/relationships/package" Target="embeddings/Microsoft_Excel_Worksheet85.xlsx"/></Relationships>
</file>

<file path=word/_rels/header1.xml.rels><?xml version="1.0" encoding="UTF-8" standalone="yes"?>
<Relationships xmlns="http://schemas.openxmlformats.org/package/2006/relationships"><Relationship Id="rId1" Type="http://schemas.openxmlformats.org/officeDocument/2006/relationships/image" Target="media/image259.jpeg"/></Relationships>
</file>

<file path=word/_rels/header3.xml.rels><?xml version="1.0" encoding="UTF-8" standalone="yes"?>
<Relationships xmlns="http://schemas.openxmlformats.org/package/2006/relationships"><Relationship Id="rId1" Type="http://schemas.openxmlformats.org/officeDocument/2006/relationships/image" Target="media/image259.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murillob\Desktop\SUBPARTIDAS%20SENSIBLES%202022\Subpartidas%20Sensibles%202022\Grafico%2010499-2022%20por%20Programa%2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RESPALDO%20ORBE\ASUBPROCESO%20PRESUPUESTO\An&#225;lisis%20de%20subpartidas%202022\Cuadros%20Alquilere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PRESUPUESTO%202022\19-%20AN&#193;LISIS%20DE%20SUBPARTIDAS%20SENSIBLES%20-%20LISTO\Subpartidas%2020102,%2029905%20y%2029906%20-%20Cuadros%20y%20Gr&#225;fico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PRESUPUESTO%202022\20-%20INFORME%20PROGRAMAS%20926%20Y%20927\Programa%20926%20y%20927%20-%20Cuadros%20y%20Gr&#225;fico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PRESUPUESTO%202022\20-%20INFORME%20PROGRAMAS%20926%20Y%20927\Programa%20926%20y%20927%20-%20Cuadros%20y%20Gr&#225;fico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91.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D:\RESPALDO%20ORBE\ASUBPROCESO%20PRESUPUESTO\Programa%20950\An&#225;lisis%20de%20Anteproyecto%20de%20Presupuesto%20Programa%20950%202021%20-%202022.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D:\RESPALDO%20ORBE\ASUBPROCESO%20PRESUPUESTO\Programa%20950\PAO%20Programa%2095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R"/>
              <a:t>Distribución de recursos por Programa -Subpartida 20101</a:t>
            </a:r>
            <a:r>
              <a:rPr lang="es-CR" baseline="0"/>
              <a:t> Combustibles y Lubricantes</a:t>
            </a:r>
            <a:endParaRPr lang="es-C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R"/>
        </a:p>
      </c:txPr>
    </c:title>
    <c:autoTitleDeleted val="0"/>
    <c:plotArea>
      <c:layout/>
      <c:pieChart>
        <c:varyColors val="1"/>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5E9-47BF-B680-0870883FDC9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5E9-47BF-B680-0870883FDC9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5E9-47BF-B680-0870883FDC9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5E9-47BF-B680-0870883FDC9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85E9-47BF-B680-0870883FDC9C}"/>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85E9-47BF-B680-0870883FDC9C}"/>
              </c:ext>
            </c:extLst>
          </c:dPt>
          <c:dLbls>
            <c:dLbl>
              <c:idx val="0"/>
              <c:tx>
                <c:rich>
                  <a:bodyPr/>
                  <a:lstStyle/>
                  <a:p>
                    <a:fld id="{07E2E6B7-488D-4382-AB24-94B774E8B627}" type="VALUE">
                      <a:rPr lang="en-US"/>
                      <a:pPr/>
                      <a:t>[VALOR]</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5E9-47BF-B680-0870883FDC9C}"/>
                </c:ext>
              </c:extLst>
            </c:dLbl>
            <c:dLbl>
              <c:idx val="1"/>
              <c:tx>
                <c:rich>
                  <a:bodyPr/>
                  <a:lstStyle/>
                  <a:p>
                    <a:fld id="{D2D6C781-7645-4A9C-8A63-634BA1169BD8}" type="PERCENTAGE">
                      <a:rPr lang="en-US" baseline="0"/>
                      <a:pPr/>
                      <a:t>[PORCENTAJE]</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5E9-47BF-B680-0870883FDC9C}"/>
                </c:ext>
              </c:extLst>
            </c:dLbl>
            <c:dLbl>
              <c:idx val="2"/>
              <c:tx>
                <c:rich>
                  <a:bodyPr/>
                  <a:lstStyle/>
                  <a:p>
                    <a:fld id="{5D1F5A5A-447B-451F-8A95-832F31FD77DB}" type="PERCENTAGE">
                      <a:rPr lang="en-US" baseline="0"/>
                      <a:pPr/>
                      <a:t>[PORCENTAJE]</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5E9-47BF-B680-0870883FDC9C}"/>
                </c:ext>
              </c:extLst>
            </c:dLbl>
            <c:dLbl>
              <c:idx val="3"/>
              <c:layout>
                <c:manualLayout>
                  <c:x val="-7.6547440944881903E-2"/>
                  <c:y val="4.1133478479006599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11C4004A-8B7C-48E4-A332-25891EC0E60D}" type="PERCENTAGE">
                      <a:rPr lang="en-US" baseline="0"/>
                      <a:pPr>
                        <a:defRPr/>
                      </a:pPr>
                      <a:t>[PORCENTAJE]</a:t>
                    </a:fld>
                    <a:endParaRPr lang="es-C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CR"/>
                </a:p>
              </c:txPr>
              <c:dLblPos val="bestFit"/>
              <c:showLegendKey val="0"/>
              <c:showVal val="1"/>
              <c:showCatName val="0"/>
              <c:showSerName val="0"/>
              <c:showPercent val="1"/>
              <c:showBubbleSize val="0"/>
              <c:extLst>
                <c:ext xmlns:c15="http://schemas.microsoft.com/office/drawing/2012/chart" uri="{CE6537A1-D6FC-4f65-9D91-7224C49458BB}">
                  <c15:layout>
                    <c:manualLayout>
                      <c:w val="4.5900000000000003E-2"/>
                      <c:h val="4.1748820228567407E-2"/>
                    </c:manualLayout>
                  </c15:layout>
                  <c15:dlblFieldTable/>
                  <c15:showDataLabelsRange val="0"/>
                </c:ext>
                <c:ext xmlns:c16="http://schemas.microsoft.com/office/drawing/2014/chart" uri="{C3380CC4-5D6E-409C-BE32-E72D297353CC}">
                  <c16:uniqueId val="{00000007-85E9-47BF-B680-0870883FDC9C}"/>
                </c:ext>
              </c:extLst>
            </c:dLbl>
            <c:dLbl>
              <c:idx val="4"/>
              <c:layout>
                <c:manualLayout>
                  <c:x val="-3.5270472440944903E-2"/>
                  <c:y val="5.8097228156376596E-3"/>
                </c:manualLayout>
              </c:layout>
              <c:tx>
                <c:rich>
                  <a:bodyPr/>
                  <a:lstStyle/>
                  <a:p>
                    <a:fld id="{6176CCA9-22DB-4D4C-9309-4C6D3EFDA01B}" type="PERCENTAGE">
                      <a:rPr lang="en-US" baseline="0"/>
                      <a:pPr/>
                      <a:t>[PORCENTAJE]</a:t>
                    </a:fld>
                    <a:endParaRPr lang="es-C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85E9-47BF-B680-0870883FDC9C}"/>
                </c:ext>
              </c:extLst>
            </c:dLbl>
            <c:dLbl>
              <c:idx val="5"/>
              <c:layout>
                <c:manualLayout>
                  <c:x val="2.9788582677165401E-2"/>
                  <c:y val="1.8791533783990001E-2"/>
                </c:manualLayout>
              </c:layout>
              <c:tx>
                <c:rich>
                  <a:bodyPr/>
                  <a:lstStyle/>
                  <a:p>
                    <a:fld id="{45A11BB2-4F31-4BA2-A32B-43A0448104D8}" type="PERCENTAGE">
                      <a:rPr lang="en-US" baseline="0"/>
                      <a:pPr/>
                      <a:t>[PORCENTAJE]</a:t>
                    </a:fld>
                    <a:endParaRPr lang="es-C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85E9-47BF-B680-0870883FDC9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Hoja2!$B$4:$B$9</c:f>
              <c:strCache>
                <c:ptCount val="6"/>
                <c:pt idx="0">
                  <c:v>Dirección, Administración y Otros Órganos de Apoyo</c:v>
                </c:pt>
                <c:pt idx="1">
                  <c:v>Servicio Jurisdiccional</c:v>
                </c:pt>
                <c:pt idx="2">
                  <c:v>Organismo de Investigación Judicial</c:v>
                </c:pt>
                <c:pt idx="3">
                  <c:v>Ministerio Público</c:v>
                </c:pt>
                <c:pt idx="4">
                  <c:v>Defensa Pública</c:v>
                </c:pt>
                <c:pt idx="5">
                  <c:v>Servicio de Atención y Protección de Víctimas y Testigos</c:v>
                </c:pt>
              </c:strCache>
            </c:strRef>
          </c:cat>
          <c:val>
            <c:numRef>
              <c:f>Hoja2!$D$4:$D$9</c:f>
              <c:numCache>
                <c:formatCode>0%</c:formatCode>
                <c:ptCount val="6"/>
                <c:pt idx="0">
                  <c:v>0.21</c:v>
                </c:pt>
                <c:pt idx="1">
                  <c:v>0.04</c:v>
                </c:pt>
                <c:pt idx="2">
                  <c:v>0.65</c:v>
                </c:pt>
                <c:pt idx="3">
                  <c:v>0.03</c:v>
                </c:pt>
                <c:pt idx="4">
                  <c:v>0.02</c:v>
                </c:pt>
                <c:pt idx="5">
                  <c:v>0.05</c:v>
                </c:pt>
              </c:numCache>
            </c:numRef>
          </c:val>
          <c:extLst>
            <c:ext xmlns:c16="http://schemas.microsoft.com/office/drawing/2014/chart" uri="{C3380CC4-5D6E-409C-BE32-E72D297353CC}">
              <c16:uniqueId val="{0000000C-85E9-47BF-B680-0870883FDC9C}"/>
            </c:ext>
          </c:extLst>
        </c:ser>
        <c:dLbls>
          <c:dLblPos val="ctr"/>
          <c:showLegendKey val="0"/>
          <c:showVal val="1"/>
          <c:showCatName val="0"/>
          <c:showSerName val="0"/>
          <c:showPercent val="0"/>
          <c:showBubbleSize val="0"/>
          <c:showLeaderLines val="1"/>
        </c:dLbls>
        <c:firstSliceAng val="0"/>
        <c:extLst>
          <c:ext xmlns:c15="http://schemas.microsoft.com/office/drawing/2012/chart" uri="{02D57815-91ED-43cb-92C2-25804820EDAC}">
            <c15:filteredPieSeries>
              <c15: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85E9-47BF-B680-0870883FDC9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85E9-47BF-B680-0870883FDC9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85E9-47BF-B680-0870883FDC9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85E9-47BF-B680-0870883FDC9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85E9-47BF-B680-0870883FDC9C}"/>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85E9-47BF-B680-0870883FDC9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uri="{CE6537A1-D6FC-4f65-9D91-7224C49458BB}"/>
                  </c:extLst>
                </c:dLbls>
                <c:cat>
                  <c:strRef>
                    <c:extLst>
                      <c:ext uri="{02D57815-91ED-43cb-92C2-25804820EDAC}">
                        <c15:formulaRef>
                          <c15:sqref>Hoja2!$B$4:$B$9</c15:sqref>
                        </c15:formulaRef>
                      </c:ext>
                    </c:extLst>
                    <c:strCache>
                      <c:ptCount val="6"/>
                      <c:pt idx="0">
                        <c:v>Dirección, Administración y Otros Órganos de Apoyo</c:v>
                      </c:pt>
                      <c:pt idx="1">
                        <c:v>Servicio Jurisdiccional</c:v>
                      </c:pt>
                      <c:pt idx="2">
                        <c:v>Organismo de Investigación Judicial</c:v>
                      </c:pt>
                      <c:pt idx="3">
                        <c:v>Ministerio Público</c:v>
                      </c:pt>
                      <c:pt idx="4">
                        <c:v>Defensa Pública</c:v>
                      </c:pt>
                      <c:pt idx="5">
                        <c:v>Servicio de Atención y Protección de Víctimas y Testigos</c:v>
                      </c:pt>
                    </c:strCache>
                  </c:strRef>
                </c:cat>
                <c:val>
                  <c:numRef>
                    <c:extLst>
                      <c:ext uri="{02D57815-91ED-43cb-92C2-25804820EDAC}">
                        <c15:formulaRef>
                          <c15:sqref>Hoja2!$C$4:$C$9</c15:sqref>
                        </c15:formulaRef>
                      </c:ext>
                    </c:extLst>
                    <c:numCache>
                      <c:formatCode>_-* #,##0_-;\-* #,##0_-;_-* "-"??_-;_-@_-</c:formatCode>
                      <c:ptCount val="6"/>
                      <c:pt idx="0">
                        <c:v>253319529</c:v>
                      </c:pt>
                      <c:pt idx="1">
                        <c:v>52473267</c:v>
                      </c:pt>
                      <c:pt idx="2">
                        <c:v>783203767</c:v>
                      </c:pt>
                      <c:pt idx="3">
                        <c:v>41650582</c:v>
                      </c:pt>
                      <c:pt idx="4">
                        <c:v>26665761</c:v>
                      </c:pt>
                      <c:pt idx="5">
                        <c:v>65839764</c:v>
                      </c:pt>
                    </c:numCache>
                  </c:numRef>
                </c:val>
                <c:extLst>
                  <c:ext xmlns:c16="http://schemas.microsoft.com/office/drawing/2014/chart" uri="{C3380CC4-5D6E-409C-BE32-E72D297353CC}">
                    <c16:uniqueId val="{00000019-85E9-47BF-B680-0870883FDC9C}"/>
                  </c:ext>
                </c:extLst>
              </c15:ser>
            </c15:filteredPieSeries>
          </c:ext>
        </c:extLst>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754413372626028"/>
          <c:y val="0.15537332757876565"/>
          <c:w val="0.42710139900566541"/>
          <c:h val="0.79715148899438926"/>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57E-44D5-BF84-232B0386A4A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57E-44D5-BF84-232B0386A4A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57E-44D5-BF84-232B0386A4A8}"/>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57E-44D5-BF84-232B0386A4A8}"/>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57E-44D5-BF84-232B0386A4A8}"/>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D57E-44D5-BF84-232B0386A4A8}"/>
              </c:ext>
            </c:extLst>
          </c:dPt>
          <c:dLbls>
            <c:dLbl>
              <c:idx val="0"/>
              <c:layout>
                <c:manualLayout>
                  <c:x val="0.10377004123183865"/>
                  <c:y val="2.6282311774297466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7E-44D5-BF84-232B0386A4A8}"/>
                </c:ext>
              </c:extLst>
            </c:dLbl>
            <c:dLbl>
              <c:idx val="1"/>
              <c:layout>
                <c:manualLayout>
                  <c:x val="7.4282858243134992E-3"/>
                  <c:y val="-9.9407110928236189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57E-44D5-BF84-232B0386A4A8}"/>
                </c:ext>
              </c:extLst>
            </c:dLbl>
            <c:dLbl>
              <c:idx val="2"/>
              <c:layout>
                <c:manualLayout>
                  <c:x val="6.6342383580824506E-3"/>
                  <c:y val="-1.4198052494571843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57E-44D5-BF84-232B0386A4A8}"/>
                </c:ext>
              </c:extLst>
            </c:dLbl>
            <c:dLbl>
              <c:idx val="3"/>
              <c:layout>
                <c:manualLayout>
                  <c:x val="4.1650146944660085E-2"/>
                  <c:y val="0.12520636216321851"/>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57E-44D5-BF84-232B0386A4A8}"/>
                </c:ext>
              </c:extLst>
            </c:dLbl>
            <c:dLbl>
              <c:idx val="4"/>
              <c:layout>
                <c:manualLayout>
                  <c:x val="-6.4807091197418719E-4"/>
                  <c:y val="5.3757361884642446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57E-44D5-BF84-232B0386A4A8}"/>
                </c:ext>
              </c:extLst>
            </c:dLbl>
            <c:dLbl>
              <c:idx val="5"/>
              <c:layout>
                <c:manualLayout>
                  <c:x val="1.1902518428693195E-3"/>
                  <c:y val="-3.8028403549254228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57E-44D5-BF84-232B0386A4A8}"/>
                </c:ext>
              </c:extLst>
            </c:dLbl>
            <c:spPr>
              <a:solidFill>
                <a:schemeClr val="tx1">
                  <a:lumMod val="75000"/>
                  <a:lumOff val="25000"/>
                </a:schemeClr>
              </a:soli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600" b="1" i="0" u="none" strike="noStrike" kern="1200" baseline="0">
                    <a:solidFill>
                      <a:schemeClr val="lt1"/>
                    </a:solidFill>
                    <a:latin typeface="Arial" panose="020B0604020202020204" pitchFamily="34" charset="0"/>
                    <a:ea typeface="+mn-ea"/>
                    <a:cs typeface="Arial" panose="020B0604020202020204" pitchFamily="34" charset="0"/>
                  </a:defRPr>
                </a:pPr>
                <a:endParaRPr lang="es-CR"/>
              </a:p>
            </c:txPr>
            <c:dLblPos val="ctr"/>
            <c:showLegendKey val="0"/>
            <c:showVal val="1"/>
            <c:showCatName val="1"/>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'10101b'!$B$3:$B$8</c:f>
              <c:strCache>
                <c:ptCount val="6"/>
                <c:pt idx="0">
                  <c:v>Dirección, Administración y Otros </c:v>
                </c:pt>
                <c:pt idx="1">
                  <c:v>Servicio Jurisdiccional</c:v>
                </c:pt>
                <c:pt idx="2">
                  <c:v>Organismo de Investigación Judicial</c:v>
                </c:pt>
                <c:pt idx="3">
                  <c:v>Ministerio Público</c:v>
                </c:pt>
                <c:pt idx="4">
                  <c:v>Defensa Pública</c:v>
                </c:pt>
                <c:pt idx="5">
                  <c:v>Servicio de Atención y Protección </c:v>
                </c:pt>
              </c:strCache>
            </c:strRef>
          </c:cat>
          <c:val>
            <c:numRef>
              <c:f>'10101b'!$E$3:$E$8</c:f>
              <c:numCache>
                <c:formatCode>_-* #,##0_-;\-* #,##0_-;_-* "-"??_-;_-@_-</c:formatCode>
                <c:ptCount val="6"/>
                <c:pt idx="0">
                  <c:v>490876095</c:v>
                </c:pt>
                <c:pt idx="1">
                  <c:v>6367875712</c:v>
                </c:pt>
                <c:pt idx="2">
                  <c:v>2330010837</c:v>
                </c:pt>
                <c:pt idx="3">
                  <c:v>1428523376</c:v>
                </c:pt>
                <c:pt idx="4">
                  <c:v>825400699</c:v>
                </c:pt>
                <c:pt idx="5">
                  <c:v>335010916</c:v>
                </c:pt>
              </c:numCache>
            </c:numRef>
          </c:val>
          <c:extLst>
            <c:ext xmlns:c16="http://schemas.microsoft.com/office/drawing/2014/chart" uri="{C3380CC4-5D6E-409C-BE32-E72D297353CC}">
              <c16:uniqueId val="{0000000C-D57E-44D5-BF84-232B0386A4A8}"/>
            </c:ext>
          </c:extLst>
        </c:ser>
        <c:dLbls>
          <c:dLblPos val="ctr"/>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720-4CF3-8D30-01193DE3927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720-4CF3-8D30-01193DE3927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720-4CF3-8D30-01193DE3927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720-4CF3-8D30-01193DE3927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720-4CF3-8D30-01193DE3927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720-4CF3-8D30-01193DE3927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'29906'!$B$8:$B$13</c:f>
              <c:strCache>
                <c:ptCount val="6"/>
                <c:pt idx="0">
                  <c:v>926 Dirección y Administración</c:v>
                </c:pt>
                <c:pt idx="1">
                  <c:v>927 Servicio Jurisdiccional</c:v>
                </c:pt>
                <c:pt idx="2">
                  <c:v>928 Organismo de Investigación </c:v>
                </c:pt>
                <c:pt idx="3">
                  <c:v>929 Ministerio Público</c:v>
                </c:pt>
                <c:pt idx="4">
                  <c:v>930 Defensa Pública</c:v>
                </c:pt>
                <c:pt idx="5">
                  <c:v>950 Programa de Atención y Protección</c:v>
                </c:pt>
              </c:strCache>
            </c:strRef>
          </c:cat>
          <c:val>
            <c:numRef>
              <c:f>'29906'!$E$8:$E$13</c:f>
              <c:numCache>
                <c:formatCode>#,##0</c:formatCode>
                <c:ptCount val="6"/>
                <c:pt idx="0">
                  <c:v>125923338</c:v>
                </c:pt>
                <c:pt idx="1">
                  <c:v>14893780</c:v>
                </c:pt>
                <c:pt idx="2">
                  <c:v>576984729</c:v>
                </c:pt>
                <c:pt idx="3">
                  <c:v>14276844</c:v>
                </c:pt>
                <c:pt idx="4">
                  <c:v>14836420</c:v>
                </c:pt>
                <c:pt idx="5">
                  <c:v>35833188</c:v>
                </c:pt>
              </c:numCache>
            </c:numRef>
          </c:val>
          <c:extLst>
            <c:ext xmlns:c16="http://schemas.microsoft.com/office/drawing/2014/chart" uri="{C3380CC4-5D6E-409C-BE32-E72D297353CC}">
              <c16:uniqueId val="{0000000C-1720-4CF3-8D30-01193DE39279}"/>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416431731606016"/>
          <c:y val="0.14384706724493662"/>
          <c:w val="0.3399521618368187"/>
          <c:h val="0.71230552865383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R" sz="1200" b="1">
                <a:latin typeface="Book Antiqua" panose="02040602050305030304" pitchFamily="18" charset="0"/>
              </a:rPr>
              <a:t>Presupuesto 2022 Subpartidas con más Recursos</a:t>
            </a:r>
          </a:p>
          <a:p>
            <a:pPr>
              <a:defRPr sz="1200"/>
            </a:pPr>
            <a:r>
              <a:rPr lang="es-CR" sz="1200" b="1">
                <a:latin typeface="Book Antiqua" panose="02040602050305030304" pitchFamily="18" charset="0"/>
              </a:rPr>
              <a:t>Programa 926 Direccion y Administración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49678520828744993"/>
          <c:y val="0.1420949216210359"/>
          <c:w val="0.42214841498680672"/>
          <c:h val="0.82426593464807729"/>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'Mayores 926'!$B$69:$B$86</c:f>
              <c:strCache>
                <c:ptCount val="18"/>
                <c:pt idx="0">
                  <c:v>Otros alquileres</c:v>
                </c:pt>
                <c:pt idx="1">
                  <c:v>Mantenimiento y rep. equipo y mobiliario oficina</c:v>
                </c:pt>
                <c:pt idx="2">
                  <c:v>Servicios informáticos</c:v>
                </c:pt>
                <c:pt idx="3">
                  <c:v>Viáticos dentro del país</c:v>
                </c:pt>
                <c:pt idx="4">
                  <c:v>Materiales y productos eléctricos, telefónicos</c:v>
                </c:pt>
                <c:pt idx="5">
                  <c:v>Alquiler de edificios, locales y terrenos</c:v>
                </c:pt>
                <c:pt idx="6">
                  <c:v>Maquinaria y equipo diverso</c:v>
                </c:pt>
                <c:pt idx="7">
                  <c:v>Alquiler de equipo de cómputo</c:v>
                </c:pt>
                <c:pt idx="8">
                  <c:v>Equipo y mobiliario de oficina</c:v>
                </c:pt>
                <c:pt idx="9">
                  <c:v>Equipo de comunicación</c:v>
                </c:pt>
                <c:pt idx="10">
                  <c:v>Servicio de energía eléctrica</c:v>
                </c:pt>
                <c:pt idx="11">
                  <c:v>Servicio de telecomunicaciones</c:v>
                </c:pt>
                <c:pt idx="12">
                  <c:v>Mantenimiento de edificios y locales</c:v>
                </c:pt>
                <c:pt idx="13">
                  <c:v>Equipo de cómputo</c:v>
                </c:pt>
                <c:pt idx="14">
                  <c:v>Seguros </c:v>
                </c:pt>
                <c:pt idx="15">
                  <c:v>Edificios</c:v>
                </c:pt>
                <c:pt idx="16">
                  <c:v>Bienes intangibles</c:v>
                </c:pt>
                <c:pt idx="17">
                  <c:v>Servicios generales </c:v>
                </c:pt>
              </c:strCache>
            </c:strRef>
          </c:cat>
          <c:val>
            <c:numRef>
              <c:f>'Mayores 926'!$C$69:$C$86</c:f>
              <c:numCache>
                <c:formatCode>#,##0</c:formatCode>
                <c:ptCount val="18"/>
                <c:pt idx="0">
                  <c:v>355726731</c:v>
                </c:pt>
                <c:pt idx="1">
                  <c:v>376057018</c:v>
                </c:pt>
                <c:pt idx="2">
                  <c:v>387750000</c:v>
                </c:pt>
                <c:pt idx="3">
                  <c:v>396897595</c:v>
                </c:pt>
                <c:pt idx="4">
                  <c:v>409011272</c:v>
                </c:pt>
                <c:pt idx="5">
                  <c:v>462972269</c:v>
                </c:pt>
                <c:pt idx="6">
                  <c:v>470437202</c:v>
                </c:pt>
                <c:pt idx="7">
                  <c:v>484906142</c:v>
                </c:pt>
                <c:pt idx="8">
                  <c:v>499660168</c:v>
                </c:pt>
                <c:pt idx="9">
                  <c:v>585668618</c:v>
                </c:pt>
                <c:pt idx="10">
                  <c:v>742920221</c:v>
                </c:pt>
                <c:pt idx="11">
                  <c:v>1270909430</c:v>
                </c:pt>
                <c:pt idx="12">
                  <c:v>1865450453</c:v>
                </c:pt>
                <c:pt idx="13">
                  <c:v>2047128055</c:v>
                </c:pt>
                <c:pt idx="14">
                  <c:v>2486520008</c:v>
                </c:pt>
                <c:pt idx="15">
                  <c:v>4632833194</c:v>
                </c:pt>
                <c:pt idx="16">
                  <c:v>4648222464</c:v>
                </c:pt>
                <c:pt idx="17">
                  <c:v>5269870918</c:v>
                </c:pt>
              </c:numCache>
            </c:numRef>
          </c:val>
          <c:extLst>
            <c:ext xmlns:c16="http://schemas.microsoft.com/office/drawing/2014/chart" uri="{C3380CC4-5D6E-409C-BE32-E72D297353CC}">
              <c16:uniqueId val="{00000000-0F3C-4E61-914F-936833002EEA}"/>
            </c:ext>
          </c:extLst>
        </c:ser>
        <c:dLbls>
          <c:dLblPos val="outEnd"/>
          <c:showLegendKey val="0"/>
          <c:showVal val="1"/>
          <c:showCatName val="0"/>
          <c:showSerName val="0"/>
          <c:showPercent val="0"/>
          <c:showBubbleSize val="0"/>
        </c:dLbls>
        <c:gapWidth val="182"/>
        <c:axId val="1620118448"/>
        <c:axId val="1620111376"/>
      </c:barChart>
      <c:catAx>
        <c:axId val="1620118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620111376"/>
        <c:crosses val="autoZero"/>
        <c:auto val="1"/>
        <c:lblAlgn val="ctr"/>
        <c:lblOffset val="100"/>
        <c:noMultiLvlLbl val="0"/>
      </c:catAx>
      <c:valAx>
        <c:axId val="1620111376"/>
        <c:scaling>
          <c:orientation val="minMax"/>
        </c:scaling>
        <c:delete val="1"/>
        <c:axPos val="b"/>
        <c:numFmt formatCode="#,##0" sourceLinked="1"/>
        <c:majorTickMark val="none"/>
        <c:minorTickMark val="none"/>
        <c:tickLblPos val="nextTo"/>
        <c:crossAx val="1620118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sz="1200" b="1" i="0" baseline="0">
                <a:effectLst/>
                <a:latin typeface="Book Antiqua" panose="02040602050305030304" pitchFamily="18" charset="0"/>
              </a:rPr>
              <a:t>Presupuesto 2022 Subpartidas con más Recursos</a:t>
            </a:r>
            <a:endParaRPr lang="es-CR" sz="1200">
              <a:effectLst/>
              <a:latin typeface="Book Antiqua" panose="02040602050305030304" pitchFamily="18" charset="0"/>
            </a:endParaRPr>
          </a:p>
          <a:p>
            <a:pPr>
              <a:defRPr/>
            </a:pPr>
            <a:r>
              <a:rPr lang="es-CR" sz="1200" b="1" i="0" baseline="0">
                <a:effectLst/>
                <a:latin typeface="Book Antiqua" panose="02040602050305030304" pitchFamily="18" charset="0"/>
              </a:rPr>
              <a:t>Programa 927 Servicio Jurisdiccional</a:t>
            </a:r>
            <a:endParaRPr lang="es-CR" sz="1200">
              <a:effectLst/>
              <a:latin typeface="Book Antiqua" panose="0204060205030503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'Mayores 927'!$B$50:$B$67</c:f>
              <c:strCache>
                <c:ptCount val="18"/>
                <c:pt idx="0">
                  <c:v>Mantenimiento y rep. equipo y mobiliario oficina</c:v>
                </c:pt>
                <c:pt idx="1">
                  <c:v>Útiles y materiales de limpieza</c:v>
                </c:pt>
                <c:pt idx="2">
                  <c:v>Mantenimiento de edificios y locales</c:v>
                </c:pt>
                <c:pt idx="3">
                  <c:v>Productos de papel, cartón e impresos</c:v>
                </c:pt>
                <c:pt idx="4">
                  <c:v>Equipo de cómputo</c:v>
                </c:pt>
                <c:pt idx="5">
                  <c:v>Viáticos dentro del país</c:v>
                </c:pt>
                <c:pt idx="6">
                  <c:v>Equipo de comunicación</c:v>
                </c:pt>
                <c:pt idx="7">
                  <c:v>Equipo y mobiliario de oficina</c:v>
                </c:pt>
                <c:pt idx="8">
                  <c:v>Tintas, pinturas y diluyentes </c:v>
                </c:pt>
                <c:pt idx="9">
                  <c:v>Otros servicios de gestión y apoyo</c:v>
                </c:pt>
                <c:pt idx="10">
                  <c:v>Equipo de transporte</c:v>
                </c:pt>
                <c:pt idx="11">
                  <c:v>Servicio de agua y alcantarillado </c:v>
                </c:pt>
                <c:pt idx="12">
                  <c:v>Alquiler de equipo de cómputo</c:v>
                </c:pt>
                <c:pt idx="13">
                  <c:v>Prestaciones legales</c:v>
                </c:pt>
                <c:pt idx="14">
                  <c:v>Servicio de energía eléctrica</c:v>
                </c:pt>
                <c:pt idx="15">
                  <c:v>Servicios generales </c:v>
                </c:pt>
                <c:pt idx="16">
                  <c:v>Servicio de telecomunicaciones</c:v>
                </c:pt>
                <c:pt idx="17">
                  <c:v>Alquiler de edificios, locales y terrenos</c:v>
                </c:pt>
              </c:strCache>
            </c:strRef>
          </c:cat>
          <c:val>
            <c:numRef>
              <c:f>'Mayores 927'!$C$50:$C$67</c:f>
              <c:numCache>
                <c:formatCode>#,##0</c:formatCode>
                <c:ptCount val="18"/>
                <c:pt idx="0">
                  <c:v>58400366</c:v>
                </c:pt>
                <c:pt idx="1">
                  <c:v>63873185</c:v>
                </c:pt>
                <c:pt idx="2">
                  <c:v>78719197</c:v>
                </c:pt>
                <c:pt idx="3">
                  <c:v>101109328</c:v>
                </c:pt>
                <c:pt idx="4">
                  <c:v>114691620</c:v>
                </c:pt>
                <c:pt idx="5">
                  <c:v>123154928</c:v>
                </c:pt>
                <c:pt idx="6">
                  <c:v>124089829</c:v>
                </c:pt>
                <c:pt idx="7">
                  <c:v>157629715</c:v>
                </c:pt>
                <c:pt idx="8">
                  <c:v>170899192</c:v>
                </c:pt>
                <c:pt idx="9">
                  <c:v>177420443</c:v>
                </c:pt>
                <c:pt idx="10">
                  <c:v>235081427</c:v>
                </c:pt>
                <c:pt idx="11">
                  <c:v>339405102</c:v>
                </c:pt>
                <c:pt idx="12">
                  <c:v>545673100</c:v>
                </c:pt>
                <c:pt idx="13">
                  <c:v>928800000</c:v>
                </c:pt>
                <c:pt idx="14">
                  <c:v>1138571038</c:v>
                </c:pt>
                <c:pt idx="15">
                  <c:v>1288341814</c:v>
                </c:pt>
                <c:pt idx="16">
                  <c:v>1333717214</c:v>
                </c:pt>
                <c:pt idx="17">
                  <c:v>6367874712</c:v>
                </c:pt>
              </c:numCache>
            </c:numRef>
          </c:val>
          <c:extLst>
            <c:ext xmlns:c16="http://schemas.microsoft.com/office/drawing/2014/chart" uri="{C3380CC4-5D6E-409C-BE32-E72D297353CC}">
              <c16:uniqueId val="{00000000-A88F-4185-98B5-A72F7EAB77CE}"/>
            </c:ext>
          </c:extLst>
        </c:ser>
        <c:dLbls>
          <c:dLblPos val="outEnd"/>
          <c:showLegendKey val="0"/>
          <c:showVal val="1"/>
          <c:showCatName val="0"/>
          <c:showSerName val="0"/>
          <c:showPercent val="0"/>
          <c:showBubbleSize val="0"/>
        </c:dLbls>
        <c:gapWidth val="182"/>
        <c:axId val="1896657968"/>
        <c:axId val="1896650064"/>
      </c:barChart>
      <c:catAx>
        <c:axId val="1896657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896650064"/>
        <c:crosses val="autoZero"/>
        <c:auto val="1"/>
        <c:lblAlgn val="ctr"/>
        <c:lblOffset val="100"/>
        <c:noMultiLvlLbl val="0"/>
      </c:catAx>
      <c:valAx>
        <c:axId val="1896650064"/>
        <c:scaling>
          <c:orientation val="minMax"/>
        </c:scaling>
        <c:delete val="1"/>
        <c:axPos val="b"/>
        <c:numFmt formatCode="#,##0" sourceLinked="1"/>
        <c:majorTickMark val="none"/>
        <c:minorTickMark val="none"/>
        <c:tickLblPos val="nextTo"/>
        <c:crossAx val="1896657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r>
              <a:rPr lang="es-CR" sz="1000"/>
              <a:t>Subpartidas más representativas del Anteproyecto de Presupuesto 2022 del Programa 930 Defensa Pública</a:t>
            </a:r>
          </a:p>
        </c:rich>
      </c:tx>
      <c:layout>
        <c:manualLayout>
          <c:xMode val="edge"/>
          <c:yMode val="edge"/>
          <c:x val="0.12226250782513072"/>
          <c:y val="1.9433198380566803E-2"/>
        </c:manualLayout>
      </c:layout>
      <c:overlay val="0"/>
      <c:spPr>
        <a:noFill/>
        <a:ln>
          <a:noFill/>
        </a:ln>
        <a:effectLst/>
      </c:spPr>
      <c:txPr>
        <a:bodyPr rot="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endParaRPr lang="es-C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002050463482283E-2"/>
          <c:y val="0.25459567078829975"/>
          <c:w val="0.88161527118696625"/>
          <c:h val="0.69471779371894826"/>
        </c:manualLayout>
      </c:layout>
      <c:pie3DChart>
        <c:varyColors val="1"/>
        <c:ser>
          <c:idx val="0"/>
          <c:order val="0"/>
          <c:explosion val="8"/>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D07-4507-AD8E-55D82D279D5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D07-4507-AD8E-55D82D279D59}"/>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D07-4507-AD8E-55D82D279D59}"/>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D07-4507-AD8E-55D82D279D59}"/>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D07-4507-AD8E-55D82D279D59}"/>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ED07-4507-AD8E-55D82D279D59}"/>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ED07-4507-AD8E-55D82D279D59}"/>
              </c:ext>
            </c:extLst>
          </c:dPt>
          <c:dLbls>
            <c:dLbl>
              <c:idx val="0"/>
              <c:layout>
                <c:manualLayout>
                  <c:x val="-0.19170588267481226"/>
                  <c:y val="9.8848084681341739E-3"/>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15:layout>
                    <c:manualLayout>
                      <c:w val="0.2102606317660124"/>
                      <c:h val="7.4233937397034586E-2"/>
                    </c:manualLayout>
                  </c15:layout>
                </c:ext>
                <c:ext xmlns:c16="http://schemas.microsoft.com/office/drawing/2014/chart" uri="{C3380CC4-5D6E-409C-BE32-E72D297353CC}">
                  <c16:uniqueId val="{00000001-ED07-4507-AD8E-55D82D279D59}"/>
                </c:ext>
              </c:extLst>
            </c:dLbl>
            <c:dLbl>
              <c:idx val="1"/>
              <c:layout>
                <c:manualLayout>
                  <c:x val="-2.5283116154019965E-2"/>
                  <c:y val="1.9769357495881264E-2"/>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07-4507-AD8E-55D82D279D59}"/>
                </c:ext>
              </c:extLst>
            </c:dLbl>
            <c:dLbl>
              <c:idx val="2"/>
              <c:layout>
                <c:manualLayout>
                  <c:x val="0"/>
                  <c:y val="-2.9654036243822075E-2"/>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07-4507-AD8E-55D82D279D59}"/>
                </c:ext>
              </c:extLst>
            </c:dLbl>
            <c:dLbl>
              <c:idx val="3"/>
              <c:layout>
                <c:manualLayout>
                  <c:x val="-1.6855410769346643E-2"/>
                  <c:y val="-3.2948929159802307E-3"/>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D07-4507-AD8E-55D82D279D59}"/>
                </c:ext>
              </c:extLst>
            </c:dLbl>
            <c:dLbl>
              <c:idx val="4"/>
              <c:layout>
                <c:manualLayout>
                  <c:x val="-3.3703023074615736E-2"/>
                  <c:y val="6.5897858319604614E-3"/>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D07-4507-AD8E-55D82D279D59}"/>
                </c:ext>
              </c:extLst>
            </c:dLbl>
            <c:dLbl>
              <c:idx val="5"/>
              <c:layout>
                <c:manualLayout>
                  <c:x val="-2.7249500828123774E-2"/>
                  <c:y val="-6.5789473684210826E-3"/>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D07-4507-AD8E-55D82D279D59}"/>
                </c:ext>
              </c:extLst>
            </c:dLbl>
            <c:dLbl>
              <c:idx val="6"/>
              <c:layout>
                <c:manualLayout>
                  <c:x val="6.0263263621942481E-2"/>
                  <c:y val="-4.9341929458158754E-2"/>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15:layout>
                    <c:manualLayout>
                      <c:w val="0.24143057733717663"/>
                      <c:h val="6.608552631578947E-2"/>
                    </c:manualLayout>
                  </c15:layout>
                </c:ext>
                <c:ext xmlns:c16="http://schemas.microsoft.com/office/drawing/2014/chart" uri="{C3380CC4-5D6E-409C-BE32-E72D297353CC}">
                  <c16:uniqueId val="{0000000D-ED07-4507-AD8E-55D82D279D59}"/>
                </c:ext>
              </c:extLst>
            </c:dLbl>
            <c:dLbl>
              <c:idx val="7"/>
              <c:layout>
                <c:manualLayout>
                  <c:x val="2.5283116154020003E-2"/>
                  <c:y val="-9.8846787479406912E-3"/>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D07-4507-AD8E-55D82D279D59}"/>
                </c:ext>
              </c:extLst>
            </c:dLbl>
            <c:dLbl>
              <c:idx val="8"/>
              <c:layout>
                <c:manualLayout>
                  <c:x val="4.7686715850466042E-2"/>
                  <c:y val="-6.2499870493162038E-2"/>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15:layout>
                    <c:manualLayout>
                      <c:w val="0.28664204079450528"/>
                      <c:h val="6.608552631578947E-2"/>
                    </c:manualLayout>
                  </c15:layout>
                </c:ext>
                <c:ext xmlns:c16="http://schemas.microsoft.com/office/drawing/2014/chart" uri="{C3380CC4-5D6E-409C-BE32-E72D297353CC}">
                  <c16:uniqueId val="{0000000F-ED07-4507-AD8E-55D82D279D59}"/>
                </c:ext>
              </c:extLst>
            </c:dLbl>
            <c:dLbl>
              <c:idx val="9"/>
              <c:layout>
                <c:manualLayout>
                  <c:x val="0.12763262105950857"/>
                  <c:y val="-3.6195047283010547E-2"/>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D07-4507-AD8E-55D82D279D59}"/>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spc="0" baseline="0">
                    <a:solidFill>
                      <a:sysClr val="windowText" lastClr="000000"/>
                    </a:solidFill>
                    <a:latin typeface="+mn-lt"/>
                    <a:ea typeface="+mn-ea"/>
                    <a:cs typeface="+mn-cs"/>
                  </a:defRPr>
                </a:pPr>
                <a:endParaRPr lang="es-C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Gráfico!$X$27:$X$33</c:f>
              <c:strCache>
                <c:ptCount val="7"/>
                <c:pt idx="0">
                  <c:v>Alquiler de edificios, locales y terrenos</c:v>
                </c:pt>
                <c:pt idx="1">
                  <c:v>Servicios generales </c:v>
                </c:pt>
                <c:pt idx="2">
                  <c:v>Alquiler de equipo de cómputo</c:v>
                </c:pt>
                <c:pt idx="3">
                  <c:v>Servicio de telecomunicaciones</c:v>
                </c:pt>
                <c:pt idx="4">
                  <c:v>Servicio de energía eléctrica</c:v>
                </c:pt>
                <c:pt idx="5">
                  <c:v>Servicio de agua y alcantarillado </c:v>
                </c:pt>
                <c:pt idx="6">
                  <c:v>Equipo y mobiliario de oficina</c:v>
                </c:pt>
              </c:strCache>
            </c:strRef>
          </c:cat>
          <c:val>
            <c:numRef>
              <c:f>Gráfico!$Z$27:$Z$33</c:f>
              <c:numCache>
                <c:formatCode>0.00%</c:formatCode>
                <c:ptCount val="7"/>
                <c:pt idx="0">
                  <c:v>0.4119618384889388</c:v>
                </c:pt>
                <c:pt idx="1">
                  <c:v>0.21072525597146552</c:v>
                </c:pt>
                <c:pt idx="2">
                  <c:v>6.2672965648680024E-2</c:v>
                </c:pt>
                <c:pt idx="3">
                  <c:v>6.0899606194313047E-2</c:v>
                </c:pt>
                <c:pt idx="4">
                  <c:v>5.3902109885524678E-2</c:v>
                </c:pt>
                <c:pt idx="5">
                  <c:v>2.9375262891535126E-2</c:v>
                </c:pt>
                <c:pt idx="6">
                  <c:v>2.6014339912290942E-2</c:v>
                </c:pt>
              </c:numCache>
            </c:numRef>
          </c:val>
          <c:extLst>
            <c:ext xmlns:c16="http://schemas.microsoft.com/office/drawing/2014/chart" uri="{C3380CC4-5D6E-409C-BE32-E72D297353CC}">
              <c16:uniqueId val="{00000011-ED07-4507-AD8E-55D82D279D5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575471973264642"/>
          <c:y val="0.19536962331299157"/>
          <c:w val="0.50645008654955126"/>
          <c:h val="0.76370748679119926"/>
        </c:manualLayout>
      </c:layout>
      <c:pieChart>
        <c:varyColors val="1"/>
        <c:ser>
          <c:idx val="0"/>
          <c:order val="0"/>
          <c:cat>
            <c:strRef>
              <c:f>'% representativo'!$B$3:$B$12</c:f>
              <c:strCache>
                <c:ptCount val="10"/>
                <c:pt idx="0">
                  <c:v>10101 Alquiler de edificio, locales y terrenos</c:v>
                </c:pt>
                <c:pt idx="1">
                  <c:v>10501 Viáticos dentro del país                              </c:v>
                </c:pt>
                <c:pt idx="2">
                  <c:v>10406 Servicios generales                                   </c:v>
                </c:pt>
                <c:pt idx="3">
                  <c:v>90101 Gastos confidenciales</c:v>
                </c:pt>
                <c:pt idx="4">
                  <c:v>20101 Combustibles y lubricantes                            </c:v>
                </c:pt>
                <c:pt idx="5">
                  <c:v>10204 Servicio de telecomunicaciones                        </c:v>
                </c:pt>
                <c:pt idx="6">
                  <c:v>29906 Útiles y mat.de resguardo y seguridad                 </c:v>
                </c:pt>
                <c:pt idx="7">
                  <c:v>10202 Servicio de energía eléctrica                         </c:v>
                </c:pt>
                <c:pt idx="8">
                  <c:v>10805 Mant.y rep.de equipo de transporte                    </c:v>
                </c:pt>
                <c:pt idx="9">
                  <c:v>Otros </c:v>
                </c:pt>
              </c:strCache>
            </c:strRef>
          </c:cat>
          <c:val>
            <c:numRef>
              <c:f>'% representativo'!$C$3:$C$12</c:f>
            </c:numRef>
          </c:val>
          <c:extLst>
            <c:ext xmlns:c16="http://schemas.microsoft.com/office/drawing/2014/chart" uri="{C3380CC4-5D6E-409C-BE32-E72D297353CC}">
              <c16:uniqueId val="{00000000-80DC-4969-9540-F9E79C952D1B}"/>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2-80DC-4969-9540-F9E79C952D1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4-80DC-4969-9540-F9E79C952D1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6-80DC-4969-9540-F9E79C952D1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8-80DC-4969-9540-F9E79C952D1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A-80DC-4969-9540-F9E79C952D1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C-80DC-4969-9540-F9E79C952D1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E-80DC-4969-9540-F9E79C952D1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10-80DC-4969-9540-F9E79C952D1B}"/>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2-80DC-4969-9540-F9E79C952D1B}"/>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4-80DC-4969-9540-F9E79C952D1B}"/>
              </c:ext>
            </c:extLst>
          </c:dPt>
          <c:dLbls>
            <c:dLbl>
              <c:idx val="0"/>
              <c:layout>
                <c:manualLayout>
                  <c:x val="-0.19138919038154575"/>
                  <c:y val="-3.6289481488250265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80DC-4969-9540-F9E79C952D1B}"/>
                </c:ext>
              </c:extLst>
            </c:dLbl>
            <c:dLbl>
              <c:idx val="1"/>
              <c:layout>
                <c:manualLayout>
                  <c:x val="2.2468064448107194E-4"/>
                  <c:y val="-1.1309932711244471E-2"/>
                </c:manualLayout>
              </c:layout>
              <c:spPr>
                <a:noFill/>
                <a:ln>
                  <a:noFill/>
                </a:ln>
                <a:effectLst/>
              </c:spPr>
              <c:txPr>
                <a:bodyPr rot="0" spcFirstLastPara="1" vertOverflow="ellipsis" vert="horz" wrap="square" lIns="38100" tIns="19050" rIns="38100" bIns="19050" anchor="ctr" anchorCtr="0">
                  <a:noAutofit/>
                </a:bodyPr>
                <a:lstStyle/>
                <a:p>
                  <a:pPr algn="ct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R"/>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3942620716198659"/>
                      <c:h val="0.12160323075124908"/>
                    </c:manualLayout>
                  </c15:layout>
                </c:ext>
                <c:ext xmlns:c16="http://schemas.microsoft.com/office/drawing/2014/chart" uri="{C3380CC4-5D6E-409C-BE32-E72D297353CC}">
                  <c16:uniqueId val="{00000004-80DC-4969-9540-F9E79C952D1B}"/>
                </c:ext>
              </c:extLst>
            </c:dLbl>
            <c:dLbl>
              <c:idx val="2"/>
              <c:layout>
                <c:manualLayout>
                  <c:x val="5.0284575547781608E-4"/>
                  <c:y val="3.9286358228888339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80DC-4969-9540-F9E79C952D1B}"/>
                </c:ext>
              </c:extLst>
            </c:dLbl>
            <c:dLbl>
              <c:idx val="3"/>
              <c:layout>
                <c:manualLayout>
                  <c:x val="-5.9956464036725686E-2"/>
                  <c:y val="9.9725901202300758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80DC-4969-9540-F9E79C952D1B}"/>
                </c:ext>
              </c:extLst>
            </c:dLbl>
            <c:dLbl>
              <c:idx val="4"/>
              <c:layout>
                <c:manualLayout>
                  <c:x val="-0.11115419700517359"/>
                  <c:y val="-4.7688654473253995E-2"/>
                </c:manualLayout>
              </c:layout>
              <c:spPr>
                <a:noFill/>
                <a:ln>
                  <a:noFill/>
                </a:ln>
                <a:effectLst/>
              </c:spPr>
              <c:txPr>
                <a:bodyPr rot="0" spcFirstLastPara="1" vertOverflow="ellipsis" vert="horz" wrap="square" lIns="38100" tIns="19050" rIns="38100" bIns="19050" anchor="ctr" anchorCtr="0">
                  <a:noAutofit/>
                </a:bodyPr>
                <a:lstStyle/>
                <a:p>
                  <a:pPr algn="ct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R"/>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3485083498816098"/>
                      <c:h val="0.146392137499542"/>
                    </c:manualLayout>
                  </c15:layout>
                </c:ext>
                <c:ext xmlns:c16="http://schemas.microsoft.com/office/drawing/2014/chart" uri="{C3380CC4-5D6E-409C-BE32-E72D297353CC}">
                  <c16:uniqueId val="{0000000A-80DC-4969-9540-F9E79C952D1B}"/>
                </c:ext>
              </c:extLst>
            </c:dLbl>
            <c:dLbl>
              <c:idx val="5"/>
              <c:layout>
                <c:manualLayout>
                  <c:x val="-4.7127186266083879E-3"/>
                  <c:y val="-1.0323980940450247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C-80DC-4969-9540-F9E79C952D1B}"/>
                </c:ext>
              </c:extLst>
            </c:dLbl>
            <c:dLbl>
              <c:idx val="6"/>
              <c:layout>
                <c:manualLayout>
                  <c:x val="2.8752012961993301E-2"/>
                  <c:y val="3.3051325043487664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3725096938093329"/>
                      <c:h val="0.17629071571017063"/>
                    </c:manualLayout>
                  </c15:layout>
                </c:ext>
                <c:ext xmlns:c16="http://schemas.microsoft.com/office/drawing/2014/chart" uri="{C3380CC4-5D6E-409C-BE32-E72D297353CC}">
                  <c16:uniqueId val="{0000000E-80DC-4969-9540-F9E79C952D1B}"/>
                </c:ext>
              </c:extLst>
            </c:dLbl>
            <c:dLbl>
              <c:idx val="7"/>
              <c:layout>
                <c:manualLayout>
                  <c:x val="4.2063084335285427E-3"/>
                  <c:y val="5.3809554550197029E-2"/>
                </c:manualLayout>
              </c:layout>
              <c:tx>
                <c:rich>
                  <a:bodyPr rot="0" spcFirstLastPara="1" vertOverflow="ellipsis" vert="horz" wrap="square" lIns="38100" tIns="19050" rIns="38100" bIns="19050" anchor="ctr" anchorCtr="0">
                    <a:noAutofit/>
                  </a:bodyPr>
                  <a:lstStyle/>
                  <a:p>
                    <a:pPr algn="ct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9903EDE0-F971-485F-8ADF-9625A62266EA}" type="CATEGORYNAME">
                      <a:rPr lang="en-US"/>
                      <a:pPr algn="ctr">
                        <a:defRPr sz="800">
                          <a:latin typeface="Arial" panose="020B0604020202020204" pitchFamily="34" charset="0"/>
                          <a:cs typeface="Arial" panose="020B0604020202020204" pitchFamily="34" charset="0"/>
                        </a:defRPr>
                      </a:pPr>
                      <a:t>[NOMBRE DE CATEGORÍA]</a:t>
                    </a:fld>
                    <a:r>
                      <a:rPr lang="en-US" baseline="0"/>
                      <a:t> </a:t>
                    </a:r>
                  </a:p>
                  <a:p>
                    <a:pPr algn="ctr">
                      <a:defRPr sz="800">
                        <a:latin typeface="Arial" panose="020B0604020202020204" pitchFamily="34" charset="0"/>
                        <a:cs typeface="Arial" panose="020B0604020202020204" pitchFamily="34" charset="0"/>
                      </a:defRPr>
                    </a:pPr>
                    <a:fld id="{9F30473B-5D6A-4571-9FD3-D96A929BD3AF}" type="VALUE">
                      <a:rPr lang="en-US" baseline="0"/>
                      <a:pPr algn="ctr">
                        <a:defRPr sz="800">
                          <a:latin typeface="Arial" panose="020B0604020202020204" pitchFamily="34" charset="0"/>
                          <a:cs typeface="Arial" panose="020B0604020202020204" pitchFamily="34" charset="0"/>
                        </a:defRPr>
                      </a:pPr>
                      <a:t>[VALOR]</a:t>
                    </a:fld>
                    <a:endParaRPr lang="es-CR"/>
                  </a:p>
                </c:rich>
              </c:tx>
              <c:spPr>
                <a:noFill/>
                <a:ln>
                  <a:noFill/>
                </a:ln>
                <a:effectLst/>
              </c:spPr>
              <c:txPr>
                <a:bodyPr rot="0" spcFirstLastPara="1" vertOverflow="ellipsis" vert="horz" wrap="square" lIns="38100" tIns="19050" rIns="38100" bIns="19050" anchor="ctr" anchorCtr="0">
                  <a:noAutofit/>
                </a:bodyPr>
                <a:lstStyle/>
                <a:p>
                  <a:pPr algn="ct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R"/>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72911376981265"/>
                      <c:h val="0.13738962332788393"/>
                    </c:manualLayout>
                  </c15:layout>
                  <c15:dlblFieldTable/>
                  <c15:showDataLabelsRange val="0"/>
                </c:ext>
                <c:ext xmlns:c16="http://schemas.microsoft.com/office/drawing/2014/chart" uri="{C3380CC4-5D6E-409C-BE32-E72D297353CC}">
                  <c16:uniqueId val="{00000010-80DC-4969-9540-F9E79C952D1B}"/>
                </c:ext>
              </c:extLst>
            </c:dLbl>
            <c:dLbl>
              <c:idx val="8"/>
              <c:layout>
                <c:manualLayout>
                  <c:x val="2.7637103705825981E-2"/>
                  <c:y val="0.1307309941010309"/>
                </c:manualLayout>
              </c:layout>
              <c:spPr>
                <a:noFill/>
                <a:ln>
                  <a:noFill/>
                </a:ln>
                <a:effectLst/>
              </c:spPr>
              <c:txPr>
                <a:bodyPr rot="0" spcFirstLastPara="1" vertOverflow="ellipsis" vert="horz" wrap="square" lIns="38100" tIns="19050" rIns="38100" bIns="19050" anchor="ctr" anchorCtr="0">
                  <a:noAutofit/>
                </a:bodyPr>
                <a:lstStyle/>
                <a:p>
                  <a:pPr algn="ct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R"/>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2378607607863699"/>
                      <c:h val="0.17513046300189655"/>
                    </c:manualLayout>
                  </c15:layout>
                </c:ext>
                <c:ext xmlns:c16="http://schemas.microsoft.com/office/drawing/2014/chart" uri="{C3380CC4-5D6E-409C-BE32-E72D297353CC}">
                  <c16:uniqueId val="{00000012-80DC-4969-9540-F9E79C952D1B}"/>
                </c:ext>
              </c:extLst>
            </c:dLbl>
            <c:dLbl>
              <c:idx val="9"/>
              <c:layout>
                <c:manualLayout>
                  <c:x val="-9.8413089458884804E-3"/>
                  <c:y val="0.11444628029960691"/>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4-80DC-4969-9540-F9E79C952D1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R"/>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 representativo'!$B$3:$B$12</c:f>
              <c:strCache>
                <c:ptCount val="10"/>
                <c:pt idx="0">
                  <c:v>10101 Alquiler de edificio, locales y terrenos</c:v>
                </c:pt>
                <c:pt idx="1">
                  <c:v>10501 Viáticos dentro del país                              </c:v>
                </c:pt>
                <c:pt idx="2">
                  <c:v>10406 Servicios generales                                   </c:v>
                </c:pt>
                <c:pt idx="3">
                  <c:v>90101 Gastos confidenciales</c:v>
                </c:pt>
                <c:pt idx="4">
                  <c:v>20101 Combustibles y lubricantes                            </c:v>
                </c:pt>
                <c:pt idx="5">
                  <c:v>10204 Servicio de telecomunicaciones                        </c:v>
                </c:pt>
                <c:pt idx="6">
                  <c:v>29906 Útiles y mat.de resguardo y seguridad                 </c:v>
                </c:pt>
                <c:pt idx="7">
                  <c:v>10202 Servicio de energía eléctrica                         </c:v>
                </c:pt>
                <c:pt idx="8">
                  <c:v>10805 Mant.y rep.de equipo de transporte                    </c:v>
                </c:pt>
                <c:pt idx="9">
                  <c:v>Otros </c:v>
                </c:pt>
              </c:strCache>
            </c:strRef>
          </c:cat>
          <c:val>
            <c:numRef>
              <c:f>'% representativo'!$D$3:$D$12</c:f>
              <c:numCache>
                <c:formatCode>0%</c:formatCode>
                <c:ptCount val="10"/>
                <c:pt idx="0">
                  <c:v>0.32942228537624008</c:v>
                </c:pt>
                <c:pt idx="1">
                  <c:v>0.1353537315244959</c:v>
                </c:pt>
                <c:pt idx="2">
                  <c:v>0.11374798874089803</c:v>
                </c:pt>
                <c:pt idx="3">
                  <c:v>8.8498625769739409E-2</c:v>
                </c:pt>
                <c:pt idx="4">
                  <c:v>6.4741429277821796E-2</c:v>
                </c:pt>
                <c:pt idx="5">
                  <c:v>3.7503552334838396E-2</c:v>
                </c:pt>
                <c:pt idx="6">
                  <c:v>3.5235421054985748E-2</c:v>
                </c:pt>
                <c:pt idx="7">
                  <c:v>3.401609288903866E-2</c:v>
                </c:pt>
                <c:pt idx="8">
                  <c:v>2.2985059748529543E-2</c:v>
                </c:pt>
                <c:pt idx="9">
                  <c:v>0.13849581328341248</c:v>
                </c:pt>
              </c:numCache>
            </c:numRef>
          </c:val>
          <c:extLst>
            <c:ext xmlns:c16="http://schemas.microsoft.com/office/drawing/2014/chart" uri="{C3380CC4-5D6E-409C-BE32-E72D297353CC}">
              <c16:uniqueId val="{00000015-80DC-4969-9540-F9E79C952D1B}"/>
            </c:ext>
          </c:extLst>
        </c:ser>
        <c:dLbls>
          <c:showLegendKey val="0"/>
          <c:showVal val="0"/>
          <c:showCatName val="0"/>
          <c:showSerName val="0"/>
          <c:showPercent val="0"/>
          <c:showBubbleSize val="0"/>
          <c:showLeaderLines val="1"/>
        </c:dLbls>
        <c:firstSliceAng val="125"/>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723794549266246"/>
          <c:y val="2.3710664537390035E-2"/>
          <c:w val="0.55703031898171507"/>
          <c:h val="0.93774388986839718"/>
        </c:manualLayout>
      </c:layout>
      <c:pieChart>
        <c:varyColors val="1"/>
        <c:ser>
          <c:idx val="0"/>
          <c:order val="0"/>
          <c:tx>
            <c:strRef>
              <c:f>Hoja1!$B$6</c:f>
              <c:strCache>
                <c:ptCount val="1"/>
                <c:pt idx="0">
                  <c:v>Servicio de Atención y Protección de Víctimas y Testigos</c:v>
                </c:pt>
              </c:strCache>
            </c:strRef>
          </c:tx>
          <c:spPr>
            <a:solidFill>
              <a:srgbClr val="00B050"/>
            </a:solidFill>
          </c:spPr>
          <c:dPt>
            <c:idx val="0"/>
            <c:bubble3D val="0"/>
            <c:spPr>
              <a:solidFill>
                <a:srgbClr val="00B050"/>
              </a:solidFill>
              <a:ln w="19050">
                <a:solidFill>
                  <a:schemeClr val="lt1"/>
                </a:solidFill>
              </a:ln>
              <a:effectLst/>
            </c:spPr>
            <c:extLst>
              <c:ext xmlns:c16="http://schemas.microsoft.com/office/drawing/2014/chart" uri="{C3380CC4-5D6E-409C-BE32-E72D297353CC}">
                <c16:uniqueId val="{00000001-E9FE-4FC5-8A7D-C77FAD37796A}"/>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E9FE-4FC5-8A7D-C77FAD37796A}"/>
              </c:ext>
            </c:extLst>
          </c:dPt>
          <c:dLbls>
            <c:dLbl>
              <c:idx val="0"/>
              <c:layout>
                <c:manualLayout>
                  <c:x val="0.17019968984459466"/>
                  <c:y val="1.1070532050973905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15:layout>
                    <c:manualLayout>
                      <c:w val="0.15290170039424683"/>
                      <c:h val="0.10935934664662121"/>
                    </c:manualLayout>
                  </c15:layout>
                </c:ext>
                <c:ext xmlns:c16="http://schemas.microsoft.com/office/drawing/2014/chart" uri="{C3380CC4-5D6E-409C-BE32-E72D297353CC}">
                  <c16:uniqueId val="{00000001-E9FE-4FC5-8A7D-C77FAD37796A}"/>
                </c:ext>
              </c:extLst>
            </c:dLbl>
            <c:dLbl>
              <c:idx val="1"/>
              <c:layout>
                <c:manualLayout>
                  <c:x val="-0.15142600500180195"/>
                  <c:y val="5.2914941865919767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15:layout>
                    <c:manualLayout>
                      <c:w val="0.11566557821049069"/>
                      <c:h val="9.3728018086666809E-2"/>
                    </c:manualLayout>
                  </c15:layout>
                </c:ext>
                <c:ext xmlns:c16="http://schemas.microsoft.com/office/drawing/2014/chart" uri="{C3380CC4-5D6E-409C-BE32-E72D297353CC}">
                  <c16:uniqueId val="{00000003-E9FE-4FC5-8A7D-C77FAD37796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Hoja1!$C$6:$D$6</c:f>
              <c:numCache>
                <c:formatCode>0.00%</c:formatCode>
                <c:ptCount val="2"/>
                <c:pt idx="0">
                  <c:v>0.98660000000000003</c:v>
                </c:pt>
                <c:pt idx="1">
                  <c:v>1.34E-2</c:v>
                </c:pt>
              </c:numCache>
            </c:numRef>
          </c:val>
          <c:extLst>
            <c:ext xmlns:c16="http://schemas.microsoft.com/office/drawing/2014/chart" uri="{C3380CC4-5D6E-409C-BE32-E72D297353CC}">
              <c16:uniqueId val="{00000004-E9FE-4FC5-8A7D-C77FAD37796A}"/>
            </c:ext>
          </c:extLst>
        </c:ser>
        <c:dLbls>
          <c:showLegendKey val="0"/>
          <c:showVal val="0"/>
          <c:showCatName val="0"/>
          <c:showSerName val="0"/>
          <c:showPercent val="0"/>
          <c:showBubbleSize val="0"/>
          <c:showLeaderLines val="1"/>
        </c:dLbls>
        <c:firstSliceAng val="91"/>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F74E00-2646-47CC-B8F7-29015E098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531</Pages>
  <Words>117573</Words>
  <Characters>646653</Characters>
  <Application>Microsoft Office Word</Application>
  <DocSecurity>0</DocSecurity>
  <Lines>5388</Lines>
  <Paragraphs>1525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762701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Secretaría General de la Corte - Comunicaciones - Andrea Campos Jiménez</dc:creator>
  <cp:keywords/>
  <dc:description/>
  <cp:lastModifiedBy>Vanessa Fernández Salas (Autorizado/ Secretaría General de la Co</cp:lastModifiedBy>
  <cp:revision>13</cp:revision>
  <dcterms:created xsi:type="dcterms:W3CDTF">2021-05-26T13:34:00Z</dcterms:created>
  <dcterms:modified xsi:type="dcterms:W3CDTF">2021-06-01T21:23:00Z</dcterms:modified>
</cp:coreProperties>
</file>