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835"/>
        <w:gridCol w:w="4055"/>
        <w:gridCol w:w="2470"/>
      </w:tblGrid>
      <w:tr w:rsidR="002936D5" w:rsidTr="008720FA">
        <w:trPr>
          <w:trHeight w:val="869"/>
          <w:tblHeader/>
        </w:trPr>
        <w:tc>
          <w:tcPr>
            <w:tcW w:w="2835" w:type="dxa"/>
            <w:shd w:val="clear" w:color="auto" w:fill="CCCCCC"/>
            <w:vAlign w:val="center"/>
          </w:tcPr>
          <w:p w:rsidR="002936D5" w:rsidRPr="00B77986" w:rsidRDefault="002936D5" w:rsidP="002A32D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77986">
              <w:rPr>
                <w:rFonts w:ascii="Arial" w:hAnsi="Arial" w:cs="Arial"/>
                <w:b/>
              </w:rPr>
              <w:t>TEMAS</w:t>
            </w:r>
          </w:p>
          <w:p w:rsidR="002936D5" w:rsidRPr="00B77986" w:rsidRDefault="002936D5" w:rsidP="002A32D6">
            <w:pPr>
              <w:jc w:val="center"/>
              <w:rPr>
                <w:rFonts w:ascii="Arial" w:hAnsi="Arial" w:cs="Arial"/>
                <w:b/>
              </w:rPr>
            </w:pPr>
            <w:r w:rsidRPr="00B77986">
              <w:rPr>
                <w:rFonts w:ascii="Arial" w:hAnsi="Arial" w:cs="Arial"/>
                <w:b/>
              </w:rPr>
              <w:t>ESTRATÉGICOS</w:t>
            </w:r>
          </w:p>
        </w:tc>
        <w:tc>
          <w:tcPr>
            <w:tcW w:w="4055" w:type="dxa"/>
            <w:shd w:val="clear" w:color="auto" w:fill="CCCCCC"/>
            <w:vAlign w:val="center"/>
          </w:tcPr>
          <w:p w:rsidR="002936D5" w:rsidRPr="00B77986" w:rsidRDefault="002936D5" w:rsidP="002A32D6">
            <w:pPr>
              <w:jc w:val="center"/>
              <w:rPr>
                <w:rFonts w:ascii="Arial" w:hAnsi="Arial" w:cs="Arial"/>
                <w:b/>
              </w:rPr>
            </w:pPr>
            <w:r w:rsidRPr="00B77986">
              <w:rPr>
                <w:rFonts w:ascii="Arial" w:hAnsi="Arial" w:cs="Arial"/>
                <w:b/>
              </w:rPr>
              <w:t>METAS DE GESTIÓN</w:t>
            </w:r>
          </w:p>
        </w:tc>
        <w:tc>
          <w:tcPr>
            <w:tcW w:w="2470" w:type="dxa"/>
            <w:shd w:val="clear" w:color="auto" w:fill="CCCCCC"/>
            <w:vAlign w:val="center"/>
          </w:tcPr>
          <w:p w:rsidR="002936D5" w:rsidRPr="00B77986" w:rsidRDefault="002936D5" w:rsidP="002A32D6">
            <w:pPr>
              <w:jc w:val="center"/>
              <w:rPr>
                <w:rFonts w:ascii="Arial" w:hAnsi="Arial" w:cs="Arial"/>
                <w:b/>
                <w:bCs/>
                <w:lang w:val="es-CR"/>
              </w:rPr>
            </w:pPr>
            <w:r w:rsidRPr="00B77986">
              <w:rPr>
                <w:rFonts w:ascii="Arial" w:hAnsi="Arial" w:cs="Arial"/>
                <w:b/>
              </w:rPr>
              <w:t>INDICADORES DE DESEMPEÑO</w:t>
            </w:r>
          </w:p>
        </w:tc>
      </w:tr>
      <w:tr w:rsidR="00E40FBA" w:rsidTr="008720FA">
        <w:trPr>
          <w:trHeight w:val="537"/>
        </w:trPr>
        <w:tc>
          <w:tcPr>
            <w:tcW w:w="2835" w:type="dxa"/>
            <w:shd w:val="clear" w:color="auto" w:fill="auto"/>
            <w:vAlign w:val="center"/>
          </w:tcPr>
          <w:p w:rsidR="00E40FBA" w:rsidRPr="00473191" w:rsidRDefault="00E40FBA" w:rsidP="002A32D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Retraso Judicial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E40FBA" w:rsidRPr="00816E97" w:rsidRDefault="00E40FBA" w:rsidP="002A32D6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E40FBA" w:rsidRPr="00816E97" w:rsidRDefault="00E40FBA" w:rsidP="002A32D6">
            <w:pPr>
              <w:rPr>
                <w:rFonts w:ascii="Arial" w:hAnsi="Arial" w:cs="Arial"/>
              </w:rPr>
            </w:pPr>
          </w:p>
        </w:tc>
      </w:tr>
      <w:tr w:rsidR="002A32D6" w:rsidTr="008720FA">
        <w:trPr>
          <w:trHeight w:val="1290"/>
        </w:trPr>
        <w:tc>
          <w:tcPr>
            <w:tcW w:w="2835" w:type="dxa"/>
            <w:shd w:val="clear" w:color="auto" w:fill="auto"/>
          </w:tcPr>
          <w:p w:rsidR="002A32D6" w:rsidRPr="00D200B5" w:rsidRDefault="002A32D6">
            <w:pPr>
              <w:suppressLineNumbers/>
              <w:autoSpaceDE w:val="0"/>
              <w:spacing w:after="119"/>
              <w:ind w:right="113"/>
              <w:jc w:val="both"/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="00D200B5">
              <w:rPr>
                <w:rFonts w:ascii="Arial" w:hAnsi="Arial" w:cs="Arial"/>
                <w:color w:val="000000"/>
              </w:rPr>
              <w:t>Implementar acciones para prevenir y disminuir la mora judicial, a través de planes de trabajo para los despachos que presenten mayor retardo judicial.</w:t>
            </w:r>
          </w:p>
        </w:tc>
        <w:tc>
          <w:tcPr>
            <w:tcW w:w="4055" w:type="dxa"/>
            <w:shd w:val="clear" w:color="auto" w:fill="auto"/>
          </w:tcPr>
          <w:p w:rsidR="002A32D6" w:rsidRDefault="002A32D6">
            <w:pPr>
              <w:suppressLineNumbers/>
              <w:autoSpaceDE w:val="0"/>
              <w:spacing w:after="119"/>
              <w:ind w:right="13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 Que al 31 de diciembre de</w:t>
            </w:r>
            <w:r w:rsidR="003F1224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 xml:space="preserve"> 2018, previa valoración por parte del Consejo de Circuito, se haya</w:t>
            </w:r>
            <w:r w:rsidR="00D200B5">
              <w:rPr>
                <w:rFonts w:ascii="Arial" w:hAnsi="Arial" w:cs="Arial"/>
                <w:color w:val="000000"/>
              </w:rPr>
              <w:t>n desarrollado planes de trabajo con la participación de los jueces y juezas supernumerarios para</w:t>
            </w:r>
            <w:r>
              <w:rPr>
                <w:rFonts w:ascii="Arial" w:hAnsi="Arial" w:cs="Arial"/>
                <w:color w:val="000000"/>
              </w:rPr>
              <w:t xml:space="preserve"> brinda</w:t>
            </w:r>
            <w:r w:rsidR="00D200B5"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</w:rPr>
              <w:t xml:space="preserve"> apoyo a las oficinas que así lo requieren en la resolución de expedientes.</w:t>
            </w:r>
          </w:p>
          <w:p w:rsidR="00C134C4" w:rsidRDefault="00C134C4" w:rsidP="00D200B5">
            <w:pPr>
              <w:suppressLineNumbers/>
              <w:autoSpaceDE w:val="0"/>
              <w:spacing w:after="119"/>
              <w:ind w:right="130"/>
              <w:jc w:val="both"/>
            </w:pPr>
          </w:p>
        </w:tc>
        <w:tc>
          <w:tcPr>
            <w:tcW w:w="2470" w:type="dxa"/>
            <w:shd w:val="clear" w:color="auto" w:fill="auto"/>
          </w:tcPr>
          <w:p w:rsidR="002A32D6" w:rsidRDefault="002A32D6">
            <w:pPr>
              <w:suppressLineNumbers/>
              <w:tabs>
                <w:tab w:val="left" w:pos="7455"/>
              </w:tabs>
              <w:autoSpaceDE w:val="0"/>
              <w:spacing w:after="119"/>
              <w:jc w:val="both"/>
            </w:pPr>
            <w:r w:rsidRPr="00D200B5">
              <w:rPr>
                <w:rFonts w:ascii="Arial" w:hAnsi="Arial" w:cs="Arial"/>
                <w:color w:val="000000"/>
              </w:rPr>
              <w:t>1.1.1</w:t>
            </w:r>
            <w:r w:rsidR="00630B38" w:rsidRPr="00D200B5">
              <w:rPr>
                <w:rFonts w:ascii="Arial" w:hAnsi="Arial" w:cs="Arial"/>
                <w:color w:val="000000"/>
              </w:rPr>
              <w:t>.</w:t>
            </w:r>
            <w:r w:rsidR="002C32C7">
              <w:rPr>
                <w:rFonts w:ascii="Arial" w:hAnsi="Arial" w:cs="Arial"/>
                <w:color w:val="000000"/>
              </w:rPr>
              <w:t>Planes de trabajo desarrollados</w:t>
            </w:r>
            <w:r w:rsidRPr="00D200B5">
              <w:rPr>
                <w:rFonts w:ascii="Arial" w:hAnsi="Arial" w:cs="Arial"/>
                <w:color w:val="000000"/>
              </w:rPr>
              <w:t>.</w:t>
            </w:r>
          </w:p>
          <w:p w:rsidR="002A32D6" w:rsidRDefault="002A32D6">
            <w:pPr>
              <w:suppressLineNumbers/>
              <w:autoSpaceDE w:val="0"/>
              <w:spacing w:after="119"/>
              <w:jc w:val="both"/>
            </w:pPr>
          </w:p>
        </w:tc>
      </w:tr>
      <w:tr w:rsidR="00E40FBA" w:rsidTr="008720FA">
        <w:trPr>
          <w:trHeight w:val="640"/>
        </w:trPr>
        <w:tc>
          <w:tcPr>
            <w:tcW w:w="2835" w:type="dxa"/>
            <w:shd w:val="clear" w:color="auto" w:fill="auto"/>
            <w:vAlign w:val="center"/>
          </w:tcPr>
          <w:p w:rsidR="00E40FBA" w:rsidRDefault="00E40FBA" w:rsidP="002A32D6">
            <w:pPr>
              <w:jc w:val="both"/>
              <w:rPr>
                <w:rFonts w:ascii="Arial" w:hAnsi="Arial" w:cs="Arial"/>
                <w:b/>
              </w:rPr>
            </w:pPr>
            <w:r w:rsidRPr="00816E97">
              <w:rPr>
                <w:rFonts w:ascii="Arial" w:hAnsi="Arial" w:cs="Arial"/>
                <w:b/>
              </w:rPr>
              <w:t>Modernización de la Gestión Judicial</w:t>
            </w:r>
          </w:p>
          <w:p w:rsidR="00955378" w:rsidRPr="00473191" w:rsidRDefault="00955378" w:rsidP="002A32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:rsidR="00E40FBA" w:rsidRPr="00816E97" w:rsidRDefault="00E40FBA" w:rsidP="002A32D6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E40FBA" w:rsidRPr="00816E97" w:rsidRDefault="00E40FBA" w:rsidP="002A32D6">
            <w:pPr>
              <w:rPr>
                <w:rFonts w:ascii="Arial" w:hAnsi="Arial" w:cs="Arial"/>
              </w:rPr>
            </w:pPr>
          </w:p>
        </w:tc>
      </w:tr>
      <w:tr w:rsidR="002A32D6" w:rsidTr="008720FA">
        <w:trPr>
          <w:trHeight w:val="2379"/>
        </w:trPr>
        <w:tc>
          <w:tcPr>
            <w:tcW w:w="2835" w:type="dxa"/>
            <w:shd w:val="clear" w:color="auto" w:fill="auto"/>
          </w:tcPr>
          <w:p w:rsidR="002F7EBD" w:rsidRPr="000A1379" w:rsidRDefault="002A32D6" w:rsidP="00A6535D">
            <w:pPr>
              <w:suppressLineNumbers/>
              <w:autoSpaceDE w:val="0"/>
              <w:spacing w:after="283"/>
              <w:jc w:val="both"/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="007E75BF">
              <w:rPr>
                <w:rFonts w:ascii="Arial" w:hAnsi="Arial" w:cs="Arial"/>
                <w:color w:val="000000"/>
              </w:rPr>
              <w:t>V</w:t>
            </w:r>
            <w:r w:rsidR="007E75BF">
              <w:rPr>
                <w:rFonts w:ascii="Arial" w:hAnsi="Arial" w:cs="Arial"/>
                <w:color w:val="000000"/>
                <w:shd w:val="clear" w:color="auto" w:fill="FFFFFF"/>
              </w:rPr>
              <w:t>elar por la adecuada administración de recursos de terceros mediante el cumplimiento de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lo dispuesto en el Reglamento del Sistema de Depósitos Judiciales</w:t>
            </w:r>
            <w:r w:rsidR="007E75BF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4055" w:type="dxa"/>
            <w:shd w:val="clear" w:color="auto" w:fill="auto"/>
          </w:tcPr>
          <w:p w:rsidR="002A32D6" w:rsidRDefault="002A32D6" w:rsidP="00034634">
            <w:pPr>
              <w:suppressLineNumbers/>
              <w:autoSpaceDE w:val="0"/>
              <w:spacing w:after="119"/>
              <w:ind w:right="14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  <w:r w:rsidR="00B2391C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Que al 31 de diciembre de</w:t>
            </w:r>
            <w:r w:rsidR="00B2391C">
              <w:rPr>
                <w:rFonts w:ascii="Arial" w:hAnsi="Arial" w:cs="Arial"/>
                <w:color w:val="000000"/>
                <w:shd w:val="clear" w:color="auto" w:fill="FFFFFF"/>
              </w:rPr>
              <w:t>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2018</w:t>
            </w:r>
            <w:r w:rsidR="00B2391C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se hayan </w:t>
            </w:r>
            <w:r w:rsidR="007E75BF">
              <w:rPr>
                <w:rFonts w:ascii="Arial" w:hAnsi="Arial" w:cs="Arial"/>
                <w:color w:val="000000"/>
                <w:shd w:val="clear" w:color="auto" w:fill="FFFFFF"/>
              </w:rPr>
              <w:t xml:space="preserve">realizado </w:t>
            </w:r>
            <w:r w:rsidR="00573765">
              <w:rPr>
                <w:rFonts w:ascii="Arial" w:hAnsi="Arial" w:cs="Arial"/>
                <w:color w:val="000000"/>
                <w:shd w:val="clear" w:color="auto" w:fill="FFFFFF"/>
              </w:rPr>
              <w:t xml:space="preserve">al menos dos </w:t>
            </w:r>
            <w:r w:rsidR="007E75BF">
              <w:rPr>
                <w:rFonts w:ascii="Arial" w:hAnsi="Arial" w:cs="Arial"/>
                <w:color w:val="000000"/>
                <w:shd w:val="clear" w:color="auto" w:fill="FFFFFF"/>
              </w:rPr>
              <w:t xml:space="preserve">cuestionariosde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control</w:t>
            </w:r>
            <w:r w:rsidR="00955378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para </w:t>
            </w:r>
            <w:r w:rsidR="007E75BF">
              <w:rPr>
                <w:rFonts w:ascii="Arial" w:hAnsi="Arial" w:cs="Arial"/>
                <w:color w:val="000000"/>
                <w:shd w:val="clear" w:color="auto" w:fill="FFFFFF"/>
              </w:rPr>
              <w:t xml:space="preserve">dar seguimiento 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los despachos judiciales</w:t>
            </w:r>
            <w:r w:rsidR="00955378">
              <w:rPr>
                <w:rFonts w:ascii="Arial" w:hAnsi="Arial" w:cs="Arial"/>
                <w:color w:val="000000"/>
                <w:shd w:val="clear" w:color="auto" w:fill="FFFFFF"/>
              </w:rPr>
              <w:t xml:space="preserve">,con el fin de velar para </w:t>
            </w:r>
            <w:r w:rsidR="00C532EE">
              <w:rPr>
                <w:rFonts w:ascii="Arial" w:hAnsi="Arial" w:cs="Arial"/>
                <w:color w:val="000000"/>
                <w:shd w:val="clear" w:color="auto" w:fill="FFFFFF"/>
              </w:rPr>
              <w:t>que utilicen de la mejor manera el Sistema SDJ.</w:t>
            </w:r>
          </w:p>
        </w:tc>
        <w:tc>
          <w:tcPr>
            <w:tcW w:w="2470" w:type="dxa"/>
            <w:shd w:val="clear" w:color="auto" w:fill="auto"/>
          </w:tcPr>
          <w:p w:rsidR="002A32D6" w:rsidRDefault="002A32D6" w:rsidP="00147CFE">
            <w:pPr>
              <w:suppressLineNumbers/>
              <w:autoSpaceDE w:val="0"/>
              <w:spacing w:after="119"/>
              <w:jc w:val="both"/>
            </w:pPr>
            <w:r>
              <w:rPr>
                <w:rFonts w:ascii="Arial" w:hAnsi="Arial" w:cs="Arial"/>
                <w:color w:val="000000"/>
              </w:rPr>
              <w:t>2.1.1. Cantidad de cuestionarios realizados.</w:t>
            </w:r>
          </w:p>
        </w:tc>
      </w:tr>
      <w:tr w:rsidR="002A32D6" w:rsidTr="0049346F">
        <w:trPr>
          <w:trHeight w:val="58"/>
        </w:trPr>
        <w:tc>
          <w:tcPr>
            <w:tcW w:w="2835" w:type="dxa"/>
            <w:shd w:val="clear" w:color="auto" w:fill="auto"/>
          </w:tcPr>
          <w:p w:rsidR="002A32D6" w:rsidRPr="002E3C2B" w:rsidRDefault="002A32D6" w:rsidP="001377C8">
            <w:pPr>
              <w:suppressLineNumbers/>
              <w:autoSpaceDE w:val="0"/>
              <w:spacing w:after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 w:rsidR="001377C8">
              <w:rPr>
                <w:rFonts w:ascii="Arial" w:hAnsi="Arial" w:cs="Arial"/>
                <w:color w:val="000000"/>
              </w:rPr>
              <w:t xml:space="preserve">Velar por la implementación de </w:t>
            </w:r>
            <w:r w:rsidR="00A6535D">
              <w:rPr>
                <w:rFonts w:ascii="Arial" w:hAnsi="Arial" w:cs="Arial"/>
                <w:color w:val="000000"/>
              </w:rPr>
              <w:t xml:space="preserve">propuestas de mejora mediante </w:t>
            </w:r>
            <w:r w:rsidR="00A6535D">
              <w:rPr>
                <w:rFonts w:ascii="Arial" w:hAnsi="Arial" w:cs="Arial"/>
                <w:color w:val="000000"/>
                <w:shd w:val="clear" w:color="auto" w:fill="FFFFFF"/>
              </w:rPr>
              <w:t xml:space="preserve">el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seguimiento</w:t>
            </w:r>
            <w:r>
              <w:rPr>
                <w:rFonts w:ascii="Arial" w:hAnsi="Arial" w:cs="Arial"/>
                <w:color w:val="000000"/>
              </w:rPr>
              <w:t xml:space="preserve"> al Banco de Buenas Prácticas. </w:t>
            </w:r>
          </w:p>
        </w:tc>
        <w:tc>
          <w:tcPr>
            <w:tcW w:w="4055" w:type="dxa"/>
            <w:shd w:val="clear" w:color="auto" w:fill="auto"/>
          </w:tcPr>
          <w:p w:rsidR="00955378" w:rsidRPr="000A1379" w:rsidRDefault="002A32D6" w:rsidP="00034634">
            <w:pPr>
              <w:suppressLineNumbers/>
              <w:autoSpaceDE w:val="0"/>
              <w:spacing w:after="283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 Que al 31 de diciembre de</w:t>
            </w:r>
            <w:r w:rsidR="00B2391C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 xml:space="preserve"> 2018, la persona monitora destacada en la Administración Regional</w:t>
            </w:r>
            <w:r w:rsidR="00955378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en coordinación con la Oficina de Buenas Prácticas</w:t>
            </w:r>
            <w:r w:rsidR="00955378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haya realizado al menos dos seguimientos de las propuestas de mejora</w:t>
            </w:r>
            <w:r w:rsidR="001377C8">
              <w:rPr>
                <w:rFonts w:ascii="Arial" w:hAnsi="Arial" w:cs="Arial"/>
                <w:color w:val="000000"/>
              </w:rPr>
              <w:t xml:space="preserve"> que permitan verificar su cumplimiento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470" w:type="dxa"/>
            <w:shd w:val="clear" w:color="auto" w:fill="auto"/>
          </w:tcPr>
          <w:p w:rsidR="002A32D6" w:rsidRDefault="002A32D6" w:rsidP="00A6535D">
            <w:pPr>
              <w:suppressLineNumbers/>
              <w:autoSpaceDE w:val="0"/>
              <w:spacing w:after="119"/>
              <w:jc w:val="both"/>
            </w:pPr>
            <w:r>
              <w:rPr>
                <w:rFonts w:ascii="Arial" w:hAnsi="Arial" w:cs="Arial"/>
                <w:color w:val="000000"/>
              </w:rPr>
              <w:t>3.1.1. Cantidad de seguimientos realizados.</w:t>
            </w:r>
          </w:p>
        </w:tc>
      </w:tr>
      <w:tr w:rsidR="008720FA" w:rsidTr="008720FA">
        <w:trPr>
          <w:trHeight w:val="679"/>
        </w:trPr>
        <w:tc>
          <w:tcPr>
            <w:tcW w:w="2835" w:type="dxa"/>
            <w:vMerge w:val="restart"/>
            <w:shd w:val="clear" w:color="auto" w:fill="auto"/>
          </w:tcPr>
          <w:p w:rsidR="008720FA" w:rsidRPr="008720FA" w:rsidRDefault="008720FA">
            <w:pPr>
              <w:suppressLineNumbers/>
              <w:autoSpaceDE w:val="0"/>
              <w:spacing w:after="283"/>
              <w:jc w:val="both"/>
              <w:rPr>
                <w:rFonts w:ascii="Arial" w:hAnsi="Arial" w:cs="Arial"/>
              </w:rPr>
            </w:pPr>
            <w:r w:rsidRPr="008720FA">
              <w:rPr>
                <w:rFonts w:ascii="Arial" w:hAnsi="Arial" w:cs="Arial"/>
              </w:rPr>
              <w:t xml:space="preserve">4. </w:t>
            </w:r>
            <w:r w:rsidRPr="008720FA">
              <w:rPr>
                <w:rFonts w:ascii="Arial" w:hAnsi="Arial" w:cs="Arial"/>
                <w:color w:val="000000"/>
              </w:rPr>
              <w:t xml:space="preserve">Fomentar la utilización de los equipos de grabación en seguimiento a las Políticas de Oralidad y en pro de la disminución </w:t>
            </w:r>
            <w:r w:rsidRPr="008720FA">
              <w:rPr>
                <w:rFonts w:ascii="Arial" w:hAnsi="Arial" w:cs="Arial"/>
                <w:color w:val="000000"/>
              </w:rPr>
              <w:lastRenderedPageBreak/>
              <w:t>del consumo de papel.</w:t>
            </w:r>
          </w:p>
        </w:tc>
        <w:tc>
          <w:tcPr>
            <w:tcW w:w="4055" w:type="dxa"/>
            <w:shd w:val="clear" w:color="auto" w:fill="auto"/>
          </w:tcPr>
          <w:p w:rsidR="008720FA" w:rsidRPr="008720FA" w:rsidRDefault="008720FA" w:rsidP="006A7AB6">
            <w:pPr>
              <w:suppressLineNumbers/>
              <w:autoSpaceDE w:val="0"/>
              <w:spacing w:after="283"/>
              <w:jc w:val="both"/>
              <w:rPr>
                <w:rFonts w:ascii="Arial" w:hAnsi="Arial" w:cs="Arial"/>
                <w:color w:val="000000"/>
              </w:rPr>
            </w:pPr>
            <w:r w:rsidRPr="008720FA">
              <w:rPr>
                <w:rFonts w:ascii="Arial" w:hAnsi="Arial" w:cs="Arial"/>
              </w:rPr>
              <w:lastRenderedPageBreak/>
              <w:t>4</w:t>
            </w:r>
            <w:r w:rsidRPr="008720FA">
              <w:rPr>
                <w:rFonts w:ascii="Arial" w:hAnsi="Arial" w:cs="Arial"/>
                <w:color w:val="000000"/>
              </w:rPr>
              <w:t xml:space="preserve">.1. Que al 31 de diciembre del 2018, se haya </w:t>
            </w:r>
            <w:r w:rsidR="006A7AB6">
              <w:rPr>
                <w:rFonts w:ascii="Arial" w:hAnsi="Arial" w:cs="Arial"/>
                <w:color w:val="000000"/>
              </w:rPr>
              <w:t xml:space="preserve">elaborado al menos un informe de </w:t>
            </w:r>
            <w:r w:rsidRPr="008720FA">
              <w:rPr>
                <w:rFonts w:ascii="Arial" w:hAnsi="Arial" w:cs="Arial"/>
                <w:color w:val="000000"/>
              </w:rPr>
              <w:t>seguimientodel cumplimiento de las políticas institucionales con respecto al uso de los equipos de grabación.</w:t>
            </w:r>
          </w:p>
        </w:tc>
        <w:tc>
          <w:tcPr>
            <w:tcW w:w="2470" w:type="dxa"/>
            <w:shd w:val="clear" w:color="auto" w:fill="auto"/>
          </w:tcPr>
          <w:p w:rsidR="008720FA" w:rsidRPr="008720FA" w:rsidRDefault="008720FA">
            <w:pPr>
              <w:suppressLineNumbers/>
              <w:autoSpaceDE w:val="0"/>
              <w:spacing w:after="119"/>
              <w:jc w:val="both"/>
              <w:rPr>
                <w:rFonts w:ascii="Arial" w:hAnsi="Arial" w:cs="Arial"/>
              </w:rPr>
            </w:pPr>
            <w:r w:rsidRPr="008720FA">
              <w:rPr>
                <w:rFonts w:ascii="Arial" w:hAnsi="Arial" w:cs="Arial"/>
              </w:rPr>
              <w:t>4.1.1</w:t>
            </w:r>
            <w:r w:rsidR="00630B38">
              <w:rPr>
                <w:rFonts w:ascii="Arial" w:hAnsi="Arial" w:cs="Arial"/>
              </w:rPr>
              <w:t>.</w:t>
            </w:r>
            <w:r w:rsidRPr="008720FA">
              <w:rPr>
                <w:rFonts w:ascii="Arial" w:hAnsi="Arial" w:cs="Arial"/>
              </w:rPr>
              <w:t xml:space="preserve"> Cantidad de </w:t>
            </w:r>
            <w:r w:rsidR="006A7AB6">
              <w:rPr>
                <w:rFonts w:ascii="Arial" w:hAnsi="Arial" w:cs="Arial"/>
              </w:rPr>
              <w:t xml:space="preserve">informes </w:t>
            </w:r>
            <w:r w:rsidRPr="008720FA">
              <w:rPr>
                <w:rFonts w:ascii="Arial" w:hAnsi="Arial" w:cs="Arial"/>
              </w:rPr>
              <w:t>realizados.</w:t>
            </w:r>
          </w:p>
          <w:p w:rsidR="008720FA" w:rsidRPr="008720FA" w:rsidRDefault="008720FA">
            <w:pPr>
              <w:suppressLineNumbers/>
              <w:autoSpaceDE w:val="0"/>
              <w:spacing w:after="119"/>
              <w:jc w:val="both"/>
              <w:rPr>
                <w:rFonts w:ascii="Arial" w:hAnsi="Arial" w:cs="Arial"/>
              </w:rPr>
            </w:pPr>
          </w:p>
        </w:tc>
      </w:tr>
      <w:tr w:rsidR="008720FA" w:rsidTr="008720FA">
        <w:trPr>
          <w:trHeight w:val="745"/>
        </w:trPr>
        <w:tc>
          <w:tcPr>
            <w:tcW w:w="2835" w:type="dxa"/>
            <w:vMerge/>
            <w:shd w:val="clear" w:color="auto" w:fill="auto"/>
            <w:vAlign w:val="center"/>
          </w:tcPr>
          <w:p w:rsidR="008720FA" w:rsidRDefault="008720FA" w:rsidP="002A32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:rsidR="002E3C2B" w:rsidRPr="00B2391C" w:rsidRDefault="008720FA" w:rsidP="00034634">
            <w:pPr>
              <w:jc w:val="both"/>
              <w:rPr>
                <w:rFonts w:ascii="Arial" w:hAnsi="Arial" w:cs="Arial"/>
                <w:color w:val="000000"/>
              </w:rPr>
            </w:pPr>
            <w:r w:rsidRPr="00B2391C">
              <w:rPr>
                <w:rFonts w:ascii="Arial" w:hAnsi="Arial" w:cs="Arial"/>
                <w:color w:val="000000"/>
              </w:rPr>
              <w:t xml:space="preserve">4.2. Que al 31 de diciembre del 2018, la Administración Regional haya realizado </w:t>
            </w:r>
            <w:r w:rsidR="00376B4F">
              <w:rPr>
                <w:rFonts w:ascii="Arial" w:hAnsi="Arial" w:cs="Arial"/>
                <w:color w:val="000000"/>
              </w:rPr>
              <w:t xml:space="preserve">mensualmente una </w:t>
            </w:r>
            <w:r w:rsidR="00C134C4">
              <w:rPr>
                <w:rFonts w:ascii="Arial" w:hAnsi="Arial" w:cs="Arial"/>
                <w:color w:val="000000"/>
              </w:rPr>
              <w:t xml:space="preserve">consulta </w:t>
            </w:r>
            <w:r w:rsidRPr="00B2391C">
              <w:rPr>
                <w:rFonts w:ascii="Arial" w:hAnsi="Arial" w:cs="Arial"/>
                <w:color w:val="000000"/>
              </w:rPr>
              <w:t>a los despachos judiciales</w:t>
            </w:r>
            <w:r w:rsidR="00955378">
              <w:rPr>
                <w:rFonts w:ascii="Arial" w:hAnsi="Arial" w:cs="Arial"/>
                <w:color w:val="000000"/>
              </w:rPr>
              <w:t>,</w:t>
            </w:r>
            <w:r w:rsidR="00376B4F">
              <w:rPr>
                <w:rFonts w:ascii="Arial" w:hAnsi="Arial" w:cs="Arial"/>
                <w:color w:val="000000"/>
              </w:rPr>
              <w:t xml:space="preserve">sobre </w:t>
            </w:r>
            <w:r w:rsidR="005844A0">
              <w:rPr>
                <w:rFonts w:ascii="Arial" w:hAnsi="Arial" w:cs="Arial"/>
                <w:color w:val="000000"/>
              </w:rPr>
              <w:t xml:space="preserve">el </w:t>
            </w:r>
            <w:r w:rsidRPr="00B2391C">
              <w:rPr>
                <w:rFonts w:ascii="Arial" w:hAnsi="Arial" w:cs="Arial"/>
                <w:color w:val="000000"/>
              </w:rPr>
              <w:t>estado de los equipos de grabación.</w:t>
            </w:r>
          </w:p>
        </w:tc>
        <w:tc>
          <w:tcPr>
            <w:tcW w:w="2470" w:type="dxa"/>
            <w:shd w:val="clear" w:color="auto" w:fill="auto"/>
          </w:tcPr>
          <w:p w:rsidR="008720FA" w:rsidRPr="00B2391C" w:rsidRDefault="008720FA" w:rsidP="00927E49">
            <w:pPr>
              <w:suppressLineNumbers/>
              <w:autoSpaceDE w:val="0"/>
              <w:spacing w:after="119"/>
              <w:jc w:val="both"/>
              <w:rPr>
                <w:rFonts w:ascii="Arial" w:hAnsi="Arial" w:cs="Arial"/>
              </w:rPr>
            </w:pPr>
            <w:r w:rsidRPr="00B2391C">
              <w:rPr>
                <w:rFonts w:ascii="Arial" w:hAnsi="Arial" w:cs="Arial"/>
              </w:rPr>
              <w:t xml:space="preserve">4.2.1. </w:t>
            </w:r>
            <w:r w:rsidR="00376B4F">
              <w:rPr>
                <w:rFonts w:ascii="Arial" w:hAnsi="Arial" w:cs="Arial"/>
              </w:rPr>
              <w:t xml:space="preserve">Cantidad de </w:t>
            </w:r>
            <w:r w:rsidR="00376B4F">
              <w:rPr>
                <w:rFonts w:ascii="Arial" w:hAnsi="Arial" w:cs="Arial"/>
                <w:color w:val="000000"/>
              </w:rPr>
              <w:t>c</w:t>
            </w:r>
            <w:r w:rsidRPr="00B2391C">
              <w:rPr>
                <w:rFonts w:ascii="Arial" w:hAnsi="Arial" w:cs="Arial"/>
                <w:color w:val="000000"/>
              </w:rPr>
              <w:t>onsultas mensuales realizadas.</w:t>
            </w:r>
          </w:p>
          <w:p w:rsidR="008720FA" w:rsidRPr="00B2391C" w:rsidRDefault="008720FA" w:rsidP="00927E49">
            <w:pPr>
              <w:suppressLineNumbers/>
              <w:autoSpaceDE w:val="0"/>
              <w:spacing w:after="283"/>
              <w:rPr>
                <w:rFonts w:ascii="Arial" w:hAnsi="Arial" w:cs="Arial"/>
                <w:color w:val="000000"/>
              </w:rPr>
            </w:pPr>
          </w:p>
        </w:tc>
      </w:tr>
      <w:tr w:rsidR="008720FA" w:rsidTr="00A31F64">
        <w:trPr>
          <w:trHeight w:val="1478"/>
        </w:trPr>
        <w:tc>
          <w:tcPr>
            <w:tcW w:w="2835" w:type="dxa"/>
            <w:vMerge/>
            <w:shd w:val="clear" w:color="auto" w:fill="auto"/>
            <w:vAlign w:val="center"/>
          </w:tcPr>
          <w:p w:rsidR="008720FA" w:rsidRDefault="008720FA" w:rsidP="002A32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:rsidR="008720FA" w:rsidRPr="00816E97" w:rsidRDefault="008720FA" w:rsidP="00A31F64">
            <w:pPr>
              <w:jc w:val="both"/>
              <w:rPr>
                <w:rFonts w:ascii="Arial" w:hAnsi="Arial" w:cs="Arial"/>
              </w:rPr>
            </w:pPr>
            <w:r w:rsidRPr="00B2391C">
              <w:rPr>
                <w:rFonts w:ascii="Arial" w:hAnsi="Arial" w:cs="Arial"/>
                <w:color w:val="000000"/>
              </w:rPr>
              <w:t>4.3. Que al 31 de diciembre del 2018, la Administración Regional haya implementado un mecanismo para el control del papel consumido por oficina.</w:t>
            </w:r>
          </w:p>
        </w:tc>
        <w:tc>
          <w:tcPr>
            <w:tcW w:w="2470" w:type="dxa"/>
            <w:shd w:val="clear" w:color="auto" w:fill="auto"/>
          </w:tcPr>
          <w:p w:rsidR="008720FA" w:rsidRPr="00816E97" w:rsidRDefault="008720FA" w:rsidP="00630B38">
            <w:pPr>
              <w:suppressLineNumbers/>
              <w:autoSpaceDE w:val="0"/>
              <w:spacing w:after="283"/>
              <w:jc w:val="both"/>
              <w:rPr>
                <w:rFonts w:ascii="Arial" w:hAnsi="Arial" w:cs="Arial"/>
              </w:rPr>
            </w:pPr>
            <w:r w:rsidRPr="00B2391C">
              <w:rPr>
                <w:rFonts w:ascii="Arial" w:hAnsi="Arial" w:cs="Arial"/>
                <w:color w:val="000000"/>
              </w:rPr>
              <w:t>4.3.1. Mecanismo implementado.</w:t>
            </w:r>
          </w:p>
        </w:tc>
      </w:tr>
      <w:tr w:rsidR="00E40FBA" w:rsidTr="008720FA">
        <w:trPr>
          <w:trHeight w:val="745"/>
        </w:trPr>
        <w:tc>
          <w:tcPr>
            <w:tcW w:w="2835" w:type="dxa"/>
            <w:shd w:val="clear" w:color="auto" w:fill="auto"/>
            <w:vAlign w:val="center"/>
          </w:tcPr>
          <w:p w:rsidR="00E40FBA" w:rsidRPr="00473191" w:rsidRDefault="00E40FBA" w:rsidP="009553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Participación Ciudadana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E40FBA" w:rsidRPr="00816E97" w:rsidRDefault="00E40FBA" w:rsidP="002A32D6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E40FBA" w:rsidRPr="00816E97" w:rsidRDefault="00E40FBA" w:rsidP="002A32D6">
            <w:pPr>
              <w:rPr>
                <w:rFonts w:ascii="Arial" w:hAnsi="Arial" w:cs="Arial"/>
              </w:rPr>
            </w:pPr>
          </w:p>
        </w:tc>
      </w:tr>
      <w:tr w:rsidR="002A32D6" w:rsidTr="00A31F64">
        <w:trPr>
          <w:trHeight w:val="2321"/>
        </w:trPr>
        <w:tc>
          <w:tcPr>
            <w:tcW w:w="2835" w:type="dxa"/>
            <w:shd w:val="clear" w:color="auto" w:fill="auto"/>
          </w:tcPr>
          <w:p w:rsidR="002A32D6" w:rsidRDefault="002A32D6">
            <w:pPr>
              <w:suppressLineNumbers/>
              <w:autoSpaceDE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 </w:t>
            </w:r>
            <w:r w:rsidR="00A911C2">
              <w:rPr>
                <w:rFonts w:ascii="Arial" w:hAnsi="Arial" w:cs="Arial"/>
                <w:color w:val="000000"/>
              </w:rPr>
              <w:t>Promover la transparencia y rendición de cuentas a través de la política de participación ciudadana.</w:t>
            </w:r>
          </w:p>
        </w:tc>
        <w:tc>
          <w:tcPr>
            <w:tcW w:w="4055" w:type="dxa"/>
            <w:shd w:val="clear" w:color="auto" w:fill="auto"/>
          </w:tcPr>
          <w:p w:rsidR="002A32D6" w:rsidRPr="000A1379" w:rsidRDefault="002A32D6" w:rsidP="0095537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Que al 31 de diciembre de</w:t>
            </w:r>
            <w:r w:rsidR="00630B38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 xml:space="preserve"> 2018, </w:t>
            </w:r>
            <w:r w:rsidR="00AA56B5">
              <w:rPr>
                <w:rFonts w:ascii="Arial" w:hAnsi="Arial" w:cs="Arial"/>
                <w:color w:val="000000"/>
              </w:rPr>
              <w:t>el Consejo de Administración y la Administración Regional</w:t>
            </w:r>
            <w:r w:rsidR="00955378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haya</w:t>
            </w:r>
            <w:r w:rsidR="00AA56B5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 xml:space="preserve"> realizado una asamblea </w:t>
            </w:r>
            <w:r w:rsidR="00AA56B5">
              <w:rPr>
                <w:rFonts w:ascii="Arial" w:hAnsi="Arial" w:cs="Arial"/>
                <w:color w:val="000000"/>
              </w:rPr>
              <w:t xml:space="preserve">con </w:t>
            </w:r>
            <w:r>
              <w:rPr>
                <w:rFonts w:ascii="Arial" w:hAnsi="Arial" w:cs="Arial"/>
                <w:color w:val="000000"/>
              </w:rPr>
              <w:t xml:space="preserve">las fuerzas vivas y representantes de </w:t>
            </w:r>
            <w:r w:rsidR="006E11AF">
              <w:rPr>
                <w:rFonts w:ascii="Arial" w:hAnsi="Arial" w:cs="Arial"/>
                <w:color w:val="000000"/>
              </w:rPr>
              <w:t xml:space="preserve">la </w:t>
            </w:r>
            <w:r>
              <w:rPr>
                <w:rFonts w:ascii="Arial" w:hAnsi="Arial" w:cs="Arial"/>
                <w:color w:val="000000"/>
              </w:rPr>
              <w:t>ciudadanía</w:t>
            </w:r>
            <w:r w:rsidR="00955378">
              <w:rPr>
                <w:rFonts w:ascii="Arial" w:hAnsi="Arial" w:cs="Arial"/>
                <w:color w:val="000000"/>
              </w:rPr>
              <w:t>,</w:t>
            </w:r>
            <w:r w:rsidR="00AA56B5">
              <w:rPr>
                <w:rFonts w:ascii="Arial" w:hAnsi="Arial" w:cs="Arial"/>
                <w:color w:val="000000"/>
              </w:rPr>
              <w:t xml:space="preserve"> con el fin </w:t>
            </w:r>
            <w:r w:rsidR="00955378">
              <w:rPr>
                <w:rFonts w:ascii="Arial" w:hAnsi="Arial" w:cs="Arial"/>
                <w:color w:val="000000"/>
              </w:rPr>
              <w:t xml:space="preserve">de </w:t>
            </w:r>
            <w:r>
              <w:rPr>
                <w:rFonts w:ascii="Arial" w:hAnsi="Arial" w:cs="Arial"/>
                <w:color w:val="000000"/>
              </w:rPr>
              <w:t>informaracerca de los logros</w:t>
            </w:r>
            <w:r w:rsidR="00AA56B5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metas</w:t>
            </w:r>
            <w:r w:rsidR="00AA56B5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aclarar dudas y atender consultas.</w:t>
            </w:r>
          </w:p>
        </w:tc>
        <w:tc>
          <w:tcPr>
            <w:tcW w:w="2470" w:type="dxa"/>
            <w:shd w:val="clear" w:color="auto" w:fill="auto"/>
          </w:tcPr>
          <w:p w:rsidR="002A32D6" w:rsidRDefault="002A32D6">
            <w:pPr>
              <w:suppressLineNumbers/>
              <w:autoSpaceDE w:val="0"/>
              <w:spacing w:after="11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5.1.1. Asamblea realizada</w:t>
            </w:r>
            <w:r w:rsidR="00630B3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E40FBA" w:rsidTr="008720FA">
        <w:trPr>
          <w:trHeight w:val="681"/>
        </w:trPr>
        <w:tc>
          <w:tcPr>
            <w:tcW w:w="2835" w:type="dxa"/>
            <w:shd w:val="clear" w:color="auto" w:fill="auto"/>
            <w:vAlign w:val="center"/>
          </w:tcPr>
          <w:p w:rsidR="00E40FBA" w:rsidRPr="002C7EB9" w:rsidRDefault="00E40FBA" w:rsidP="002A32D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816E97">
              <w:rPr>
                <w:rFonts w:ascii="Arial" w:hAnsi="Arial" w:cs="Arial"/>
                <w:b/>
              </w:rPr>
              <w:t>Gestión del Recurso Humano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E40FBA" w:rsidRPr="00816E97" w:rsidRDefault="00E40FBA" w:rsidP="002A32D6">
            <w:pPr>
              <w:suppressAutoHyphens w:val="0"/>
              <w:rPr>
                <w:rFonts w:ascii="Arial" w:hAnsi="Arial" w:cs="Arial"/>
              </w:rPr>
            </w:pPr>
          </w:p>
          <w:p w:rsidR="00E40FBA" w:rsidRPr="00816E97" w:rsidRDefault="00E40FBA" w:rsidP="002A32D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E40FBA" w:rsidRPr="00816E97" w:rsidRDefault="00E40FBA" w:rsidP="002A32D6">
            <w:pPr>
              <w:suppressAutoHyphens w:val="0"/>
              <w:rPr>
                <w:rFonts w:ascii="Arial" w:hAnsi="Arial" w:cs="Arial"/>
              </w:rPr>
            </w:pPr>
          </w:p>
          <w:p w:rsidR="00E40FBA" w:rsidRPr="00816E97" w:rsidRDefault="00E40FBA" w:rsidP="002A32D6">
            <w:pPr>
              <w:snapToGrid w:val="0"/>
              <w:rPr>
                <w:rFonts w:ascii="Arial" w:hAnsi="Arial" w:cs="Arial"/>
              </w:rPr>
            </w:pPr>
          </w:p>
        </w:tc>
      </w:tr>
      <w:tr w:rsidR="002A32D6" w:rsidTr="00A31F64">
        <w:trPr>
          <w:trHeight w:val="416"/>
        </w:trPr>
        <w:tc>
          <w:tcPr>
            <w:tcW w:w="2835" w:type="dxa"/>
            <w:shd w:val="clear" w:color="auto" w:fill="auto"/>
          </w:tcPr>
          <w:p w:rsidR="002A32D6" w:rsidRDefault="002A32D6" w:rsidP="00630B38">
            <w:pPr>
              <w:suppressLineNumbers/>
              <w:autoSpaceDE w:val="0"/>
              <w:spacing w:after="119"/>
              <w:ind w:right="2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 Promover el fortalecimiento de los valores institucionales, en pro de un servicio público de calidad.</w:t>
            </w:r>
          </w:p>
        </w:tc>
        <w:tc>
          <w:tcPr>
            <w:tcW w:w="4055" w:type="dxa"/>
            <w:shd w:val="clear" w:color="auto" w:fill="auto"/>
          </w:tcPr>
          <w:p w:rsidR="00B47082" w:rsidRPr="000A1379" w:rsidRDefault="002A32D6" w:rsidP="00E17FCF">
            <w:pPr>
              <w:suppressLineNumbers/>
              <w:autoSpaceDE w:val="0"/>
              <w:spacing w:after="283"/>
              <w:ind w:right="13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6.1. Que al 31 de diciembre del 2018</w:t>
            </w:r>
            <w:r w:rsidR="004B606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se haya desarrollado al menos una capacitación o actividad dirigida al fortalecimiento de valores institucionales, para mejorar la relación de trabajo en equipo y el servicio a la persona usuaria.</w:t>
            </w:r>
          </w:p>
        </w:tc>
        <w:tc>
          <w:tcPr>
            <w:tcW w:w="2470" w:type="dxa"/>
            <w:shd w:val="clear" w:color="auto" w:fill="auto"/>
          </w:tcPr>
          <w:p w:rsidR="002A32D6" w:rsidRDefault="002A32D6">
            <w:pPr>
              <w:suppressLineNumbers/>
              <w:autoSpaceDE w:val="0"/>
              <w:spacing w:after="283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6.1.1. </w:t>
            </w:r>
            <w:r w:rsidR="00E17FCF">
              <w:rPr>
                <w:rFonts w:ascii="Arial" w:hAnsi="Arial" w:cs="Arial"/>
                <w:color w:val="000000"/>
              </w:rPr>
              <w:t xml:space="preserve">Capacitación o actividad </w:t>
            </w:r>
            <w:r>
              <w:rPr>
                <w:rFonts w:ascii="Arial" w:hAnsi="Arial" w:cs="Arial"/>
                <w:color w:val="000000"/>
              </w:rPr>
              <w:t>realizada.</w:t>
            </w:r>
          </w:p>
          <w:p w:rsidR="002A32D6" w:rsidRDefault="002A32D6">
            <w:pPr>
              <w:suppressLineNumbers/>
              <w:autoSpaceDE w:val="0"/>
              <w:spacing w:after="119"/>
              <w:ind w:right="9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A32D6" w:rsidTr="008720FA">
        <w:trPr>
          <w:trHeight w:val="23"/>
        </w:trPr>
        <w:tc>
          <w:tcPr>
            <w:tcW w:w="2835" w:type="dxa"/>
            <w:shd w:val="clear" w:color="auto" w:fill="auto"/>
          </w:tcPr>
          <w:p w:rsidR="00B76E44" w:rsidRDefault="002A32D6" w:rsidP="00034634">
            <w:pPr>
              <w:suppressLineNumbers/>
              <w:autoSpaceDE w:val="0"/>
              <w:spacing w:after="119"/>
              <w:ind w:right="2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7. </w:t>
            </w:r>
            <w:r w:rsidR="00784C8B">
              <w:rPr>
                <w:rFonts w:ascii="Arial" w:hAnsi="Arial" w:cs="Arial"/>
                <w:color w:val="000000"/>
              </w:rPr>
              <w:t xml:space="preserve">Promover </w:t>
            </w:r>
            <w:r w:rsidR="00B76E44">
              <w:rPr>
                <w:rFonts w:ascii="Arial" w:hAnsi="Arial" w:cs="Arial"/>
                <w:color w:val="000000"/>
              </w:rPr>
              <w:t xml:space="preserve">en el circuito </w:t>
            </w:r>
            <w:r w:rsidR="00784C8B">
              <w:rPr>
                <w:rFonts w:ascii="Arial" w:hAnsi="Arial" w:cs="Arial"/>
                <w:color w:val="000000"/>
              </w:rPr>
              <w:t xml:space="preserve">una cultura de tolerancia, respeto y empatía </w:t>
            </w:r>
            <w:r w:rsidR="00B76E44">
              <w:rPr>
                <w:rFonts w:ascii="Arial" w:hAnsi="Arial" w:cs="Arial"/>
                <w:color w:val="000000"/>
              </w:rPr>
              <w:t xml:space="preserve">con respecto al </w:t>
            </w:r>
            <w:r w:rsidR="00784C8B">
              <w:rPr>
                <w:rFonts w:ascii="Arial" w:hAnsi="Arial" w:cs="Arial"/>
                <w:color w:val="000000"/>
              </w:rPr>
              <w:t>tema de discriminación</w:t>
            </w:r>
            <w:r w:rsidR="00B76E4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055" w:type="dxa"/>
            <w:shd w:val="clear" w:color="auto" w:fill="auto"/>
          </w:tcPr>
          <w:p w:rsidR="00B47082" w:rsidRPr="000A1379" w:rsidRDefault="002A32D6" w:rsidP="00034634">
            <w:pPr>
              <w:suppressLineNumbers/>
              <w:autoSpaceDE w:val="0"/>
              <w:snapToGrid w:val="0"/>
              <w:spacing w:after="119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7.1. Que al 31 de diciembre de</w:t>
            </w:r>
            <w:r w:rsidR="004B6065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 xml:space="preserve"> 2018, </w:t>
            </w:r>
            <w:r w:rsidR="00784C8B">
              <w:rPr>
                <w:rFonts w:ascii="Arial" w:hAnsi="Arial" w:cs="Arial"/>
                <w:color w:val="000000"/>
              </w:rPr>
              <w:t xml:space="preserve">se haya </w:t>
            </w:r>
            <w:r w:rsidR="00381B51">
              <w:rPr>
                <w:rFonts w:ascii="Arial" w:hAnsi="Arial" w:cs="Arial"/>
                <w:color w:val="000000"/>
              </w:rPr>
              <w:t>realizado</w:t>
            </w:r>
            <w:r w:rsidR="00784C8B">
              <w:rPr>
                <w:rFonts w:ascii="Arial" w:hAnsi="Arial" w:cs="Arial"/>
                <w:color w:val="000000"/>
              </w:rPr>
              <w:t xml:space="preserve"> una actividad de capacitación en el </w:t>
            </w:r>
            <w:r>
              <w:rPr>
                <w:rFonts w:ascii="Arial" w:hAnsi="Arial" w:cs="Arial"/>
                <w:color w:val="000000"/>
              </w:rPr>
              <w:t>tema de discriminación.</w:t>
            </w:r>
          </w:p>
        </w:tc>
        <w:tc>
          <w:tcPr>
            <w:tcW w:w="2470" w:type="dxa"/>
            <w:shd w:val="clear" w:color="auto" w:fill="auto"/>
          </w:tcPr>
          <w:p w:rsidR="002A32D6" w:rsidRDefault="002A32D6" w:rsidP="00381B51">
            <w:pPr>
              <w:suppressLineNumbers/>
              <w:autoSpaceDE w:val="0"/>
              <w:snapToGrid w:val="0"/>
              <w:spacing w:after="119"/>
              <w:ind w:right="45"/>
              <w:jc w:val="both"/>
            </w:pPr>
            <w:r>
              <w:rPr>
                <w:rFonts w:ascii="Arial" w:hAnsi="Arial" w:cs="Arial"/>
                <w:color w:val="000000"/>
              </w:rPr>
              <w:t>7.1.1</w:t>
            </w:r>
            <w:r w:rsidR="004C4AA4">
              <w:rPr>
                <w:rFonts w:ascii="Arial" w:hAnsi="Arial" w:cs="Arial"/>
                <w:color w:val="000000"/>
              </w:rPr>
              <w:t>.</w:t>
            </w:r>
            <w:r w:rsidR="00381B51">
              <w:rPr>
                <w:rFonts w:ascii="Arial" w:hAnsi="Arial" w:cs="Arial"/>
                <w:color w:val="000000"/>
              </w:rPr>
              <w:t>Actividad de capacitación realizada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A32D6" w:rsidRDefault="002A32D6" w:rsidP="00034634"/>
    <w:sectPr w:rsidR="002A32D6" w:rsidSect="00EC75C9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E" w:rsidRDefault="0091318E" w:rsidP="00472867">
      <w:r>
        <w:separator/>
      </w:r>
    </w:p>
  </w:endnote>
  <w:endnote w:type="continuationSeparator" w:id="0">
    <w:p w:rsidR="0091318E" w:rsidRDefault="0091318E" w:rsidP="0047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E" w:rsidRDefault="0091318E" w:rsidP="00472867">
      <w:r>
        <w:separator/>
      </w:r>
    </w:p>
  </w:footnote>
  <w:footnote w:type="continuationSeparator" w:id="0">
    <w:p w:rsidR="0091318E" w:rsidRDefault="0091318E" w:rsidP="0047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67" w:rsidRPr="00955378" w:rsidRDefault="00472867" w:rsidP="00472867">
    <w:pPr>
      <w:pStyle w:val="WW-Predeterminado"/>
      <w:spacing w:line="360" w:lineRule="auto"/>
      <w:jc w:val="center"/>
      <w:rPr>
        <w:color w:val="000000"/>
        <w:sz w:val="28"/>
      </w:rPr>
    </w:pPr>
    <w:r w:rsidRPr="00955378">
      <w:rPr>
        <w:b/>
        <w:bCs/>
        <w:color w:val="000000"/>
        <w:sz w:val="28"/>
      </w:rPr>
      <w:t>PROGRAMACIÓN ANUAL DE OBJETIVOS Y METAS 2018</w:t>
    </w:r>
  </w:p>
  <w:p w:rsidR="00472867" w:rsidRPr="00955378" w:rsidRDefault="00472867" w:rsidP="00472867">
    <w:pPr>
      <w:pStyle w:val="Ttulo3"/>
      <w:spacing w:line="360" w:lineRule="auto"/>
      <w:rPr>
        <w:sz w:val="28"/>
      </w:rPr>
    </w:pPr>
    <w:r w:rsidRPr="00955378">
      <w:rPr>
        <w:sz w:val="28"/>
      </w:rPr>
      <w:t>CONSEJO DE ADMINISTRACIÓN DE PUNTARENAS</w:t>
    </w:r>
  </w:p>
  <w:p w:rsidR="00472867" w:rsidRDefault="0047286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867"/>
    <w:rsid w:val="00034634"/>
    <w:rsid w:val="000347D9"/>
    <w:rsid w:val="0004669C"/>
    <w:rsid w:val="00093028"/>
    <w:rsid w:val="000A1379"/>
    <w:rsid w:val="001377C8"/>
    <w:rsid w:val="00147CFE"/>
    <w:rsid w:val="001824A2"/>
    <w:rsid w:val="002853D6"/>
    <w:rsid w:val="002936D5"/>
    <w:rsid w:val="002A32D6"/>
    <w:rsid w:val="002C32C7"/>
    <w:rsid w:val="002D4E23"/>
    <w:rsid w:val="002E3C2B"/>
    <w:rsid w:val="002F4544"/>
    <w:rsid w:val="002F7EBD"/>
    <w:rsid w:val="00376B4F"/>
    <w:rsid w:val="00381B51"/>
    <w:rsid w:val="00384E98"/>
    <w:rsid w:val="003F1224"/>
    <w:rsid w:val="00405D0D"/>
    <w:rsid w:val="004318F7"/>
    <w:rsid w:val="00472867"/>
    <w:rsid w:val="0049346F"/>
    <w:rsid w:val="004B6065"/>
    <w:rsid w:val="004C4AA4"/>
    <w:rsid w:val="0055798D"/>
    <w:rsid w:val="00573765"/>
    <w:rsid w:val="00577FFC"/>
    <w:rsid w:val="005844A0"/>
    <w:rsid w:val="00592A3C"/>
    <w:rsid w:val="005B5CAC"/>
    <w:rsid w:val="0060380F"/>
    <w:rsid w:val="00630B38"/>
    <w:rsid w:val="006A7AB6"/>
    <w:rsid w:val="006B0E13"/>
    <w:rsid w:val="006E11AF"/>
    <w:rsid w:val="006F18C1"/>
    <w:rsid w:val="00776D3B"/>
    <w:rsid w:val="00784C8B"/>
    <w:rsid w:val="007E75BF"/>
    <w:rsid w:val="008720FA"/>
    <w:rsid w:val="0091318E"/>
    <w:rsid w:val="00927E49"/>
    <w:rsid w:val="00955378"/>
    <w:rsid w:val="00975145"/>
    <w:rsid w:val="00A03973"/>
    <w:rsid w:val="00A1329C"/>
    <w:rsid w:val="00A14435"/>
    <w:rsid w:val="00A31F64"/>
    <w:rsid w:val="00A6535D"/>
    <w:rsid w:val="00A911C2"/>
    <w:rsid w:val="00AA56B5"/>
    <w:rsid w:val="00B2391C"/>
    <w:rsid w:val="00B47082"/>
    <w:rsid w:val="00B76E44"/>
    <w:rsid w:val="00B84D74"/>
    <w:rsid w:val="00C134C4"/>
    <w:rsid w:val="00C1530C"/>
    <w:rsid w:val="00C532EE"/>
    <w:rsid w:val="00C5707C"/>
    <w:rsid w:val="00C750C3"/>
    <w:rsid w:val="00CC7F21"/>
    <w:rsid w:val="00D200B5"/>
    <w:rsid w:val="00D31F92"/>
    <w:rsid w:val="00D60D08"/>
    <w:rsid w:val="00D70979"/>
    <w:rsid w:val="00E17FCF"/>
    <w:rsid w:val="00E40FBA"/>
    <w:rsid w:val="00E6146E"/>
    <w:rsid w:val="00EC235A"/>
    <w:rsid w:val="00EC75C9"/>
    <w:rsid w:val="00F4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C9"/>
    <w:pPr>
      <w:suppressAutoHyphens/>
    </w:pPr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C75C9"/>
  </w:style>
  <w:style w:type="character" w:customStyle="1" w:styleId="Fuentedeprrafopredeter2">
    <w:name w:val="Fuente de párrafo predeter.2"/>
    <w:rsid w:val="00EC75C9"/>
  </w:style>
  <w:style w:type="character" w:customStyle="1" w:styleId="Fuentedeprrafopredeter1">
    <w:name w:val="Fuente de párrafo predeter.1"/>
    <w:rsid w:val="00EC75C9"/>
  </w:style>
  <w:style w:type="paragraph" w:customStyle="1" w:styleId="Encabezado2">
    <w:name w:val="Encabezado2"/>
    <w:basedOn w:val="Normal"/>
    <w:next w:val="Textoindependiente"/>
    <w:rsid w:val="00EC75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EC75C9"/>
    <w:pPr>
      <w:spacing w:after="120"/>
    </w:pPr>
  </w:style>
  <w:style w:type="paragraph" w:styleId="Lista">
    <w:name w:val="List"/>
    <w:basedOn w:val="Textoindependiente"/>
    <w:rsid w:val="00EC75C9"/>
    <w:rPr>
      <w:rFonts w:cs="Mangal"/>
    </w:rPr>
  </w:style>
  <w:style w:type="paragraph" w:styleId="Epgrafe">
    <w:name w:val="caption"/>
    <w:basedOn w:val="Normal"/>
    <w:qFormat/>
    <w:rsid w:val="00EC75C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C75C9"/>
    <w:pPr>
      <w:suppressLineNumbers/>
    </w:pPr>
    <w:rPr>
      <w:rFonts w:cs="Mangal"/>
    </w:rPr>
  </w:style>
  <w:style w:type="paragraph" w:customStyle="1" w:styleId="Etiqueta">
    <w:name w:val="Etiqueta"/>
    <w:basedOn w:val="Normal"/>
    <w:rsid w:val="00EC75C9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next w:val="Textoindependiente"/>
    <w:rsid w:val="00EC75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EC75C9"/>
    <w:pPr>
      <w:suppressLineNumbers/>
      <w:spacing w:before="120" w:after="120"/>
    </w:pPr>
    <w:rPr>
      <w:rFonts w:cs="Mangal"/>
      <w:i/>
      <w:iCs/>
    </w:rPr>
  </w:style>
  <w:style w:type="paragraph" w:customStyle="1" w:styleId="Contenidodelatabla">
    <w:name w:val="Contenido de la tabla"/>
    <w:basedOn w:val="Normal"/>
    <w:rsid w:val="00EC75C9"/>
    <w:pPr>
      <w:suppressLineNumbers/>
    </w:pPr>
  </w:style>
  <w:style w:type="paragraph" w:customStyle="1" w:styleId="Encabezadodelatabla">
    <w:name w:val="Encabezado de la tabla"/>
    <w:basedOn w:val="Contenidodelatabla"/>
    <w:rsid w:val="00EC75C9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728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2867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4728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2867"/>
    <w:rPr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8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867"/>
    <w:rPr>
      <w:rFonts w:ascii="Tahoma" w:hAnsi="Tahoma" w:cs="Tahoma"/>
      <w:sz w:val="16"/>
      <w:szCs w:val="16"/>
      <w:lang w:val="es-ES" w:eastAsia="zh-CN"/>
    </w:rPr>
  </w:style>
  <w:style w:type="paragraph" w:customStyle="1" w:styleId="Ttulo3">
    <w:name w:val="T’tulo 3"/>
    <w:next w:val="Normal"/>
    <w:rsid w:val="00472867"/>
    <w:pPr>
      <w:keepNext/>
      <w:widowControl w:val="0"/>
      <w:suppressAutoHyphens/>
      <w:autoSpaceDE w:val="0"/>
      <w:jc w:val="center"/>
    </w:pPr>
    <w:rPr>
      <w:rFonts w:ascii="Arial" w:hAnsi="Arial" w:cs="Arial"/>
      <w:b/>
      <w:bCs/>
      <w:sz w:val="24"/>
      <w:szCs w:val="24"/>
      <w:lang w:val="es-ES" w:eastAsia="zh-CN"/>
    </w:rPr>
  </w:style>
  <w:style w:type="paragraph" w:customStyle="1" w:styleId="WW-Predeterminado">
    <w:name w:val="WW-Predeterminado"/>
    <w:next w:val="Normal"/>
    <w:rsid w:val="00472867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val="es-ES" w:eastAsia="zh-CN" w:bidi="hi-IN"/>
    </w:rPr>
  </w:style>
  <w:style w:type="paragraph" w:styleId="Textonotapie">
    <w:name w:val="footnote text"/>
    <w:basedOn w:val="Normal"/>
    <w:link w:val="TextonotapieCar"/>
    <w:rsid w:val="002936D5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936D5"/>
    <w:rPr>
      <w:rFonts w:ascii="Arial" w:hAnsi="Arial" w:cs="Arial"/>
      <w:lang w:val="es-ES" w:eastAsia="zh-CN"/>
    </w:rPr>
  </w:style>
  <w:style w:type="character" w:styleId="Refdenotaalpie">
    <w:name w:val="footnote reference"/>
    <w:basedOn w:val="Fuentedeprrafopredeter"/>
    <w:semiHidden/>
    <w:rsid w:val="002936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D17DA-7C2F-4DDA-A5FA-5FED4CF8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ANUAL DE OBJETIVOS Y METAS 2016</vt:lpstr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ANUAL DE OBJETIVOS Y METAS 2016</dc:title>
  <dc:creator>pun458-538424</dc:creator>
  <cp:lastModifiedBy>amenac</cp:lastModifiedBy>
  <cp:revision>2</cp:revision>
  <cp:lastPrinted>2017-03-10T23:01:00Z</cp:lastPrinted>
  <dcterms:created xsi:type="dcterms:W3CDTF">2017-03-24T23:10:00Z</dcterms:created>
  <dcterms:modified xsi:type="dcterms:W3CDTF">2017-03-24T23:10:00Z</dcterms:modified>
</cp:coreProperties>
</file>