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10"/>
        <w:gridCol w:w="3976"/>
        <w:gridCol w:w="2724"/>
      </w:tblGrid>
      <w:tr w:rsidR="00C826BB" w:rsidRPr="0002401B" w:rsidTr="00A10D90">
        <w:trPr>
          <w:tblHeader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826BB" w:rsidRPr="0002401B" w:rsidRDefault="00C826BB" w:rsidP="005A1D60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  <w:bookmarkStart w:id="0" w:name="_GoBack"/>
            <w:bookmarkEnd w:id="0"/>
          </w:p>
          <w:p w:rsidR="00C826BB" w:rsidRPr="0002401B" w:rsidRDefault="00C826BB" w:rsidP="005A1D60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  <w:r w:rsidRPr="0002401B"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t>OBJETIVOS</w:t>
            </w:r>
          </w:p>
          <w:p w:rsidR="00C826BB" w:rsidRPr="0002401B" w:rsidRDefault="00C826BB" w:rsidP="005A1D60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  <w:r w:rsidRPr="0002401B"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t>ESTRATEGICOS</w:t>
            </w:r>
          </w:p>
          <w:p w:rsidR="00C826BB" w:rsidRPr="0002401B" w:rsidRDefault="00C826BB" w:rsidP="005A1D60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826BB" w:rsidRPr="0002401B" w:rsidRDefault="00C826BB" w:rsidP="005A1D60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  <w:r w:rsidRPr="0002401B"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t>METAS DE GESTION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826BB" w:rsidRPr="0002401B" w:rsidRDefault="00C826BB" w:rsidP="005A1D60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  <w:r w:rsidRPr="0002401B"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t>INDICADORES DE DESEMPEÑO</w:t>
            </w:r>
          </w:p>
        </w:tc>
      </w:tr>
      <w:tr w:rsidR="00C826BB" w:rsidRPr="0002401B" w:rsidTr="00A10D90">
        <w:trPr>
          <w:cantSplit/>
          <w:trHeight w:val="81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6D4ED1" w:rsidP="006D4ED1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:rsidR="00C826BB" w:rsidRPr="0002401B" w:rsidRDefault="006D4ED1" w:rsidP="00B80E6C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  <w:r w:rsidRPr="0002401B">
              <w:rPr>
                <w:rFonts w:ascii="Arial" w:eastAsia="Times New Roman" w:hAnsi="Arial" w:cs="Arial"/>
                <w:b/>
                <w:color w:val="000000" w:themeColor="text1"/>
              </w:rPr>
              <w:t xml:space="preserve">Retraso Judicial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826BB" w:rsidRPr="0002401B" w:rsidRDefault="00C826BB" w:rsidP="005A1D60">
            <w:pPr>
              <w:pStyle w:val="Textoindependiente2"/>
              <w:widowControl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826BB" w:rsidRPr="0002401B" w:rsidRDefault="00C826BB" w:rsidP="00A32007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6D4ED1" w:rsidRPr="0002401B" w:rsidTr="00A10D90">
        <w:trPr>
          <w:cantSplit/>
          <w:trHeight w:val="103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6D4ED1" w:rsidP="0002401B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1. Contribuir con la gestión interna de los despachos del circuito</w:t>
            </w:r>
            <w:r w:rsidR="005F35BA" w:rsidRPr="0002401B">
              <w:rPr>
                <w:rFonts w:ascii="Arial" w:eastAsia="Times New Roman" w:hAnsi="Arial" w:cs="Arial"/>
                <w:color w:val="000000" w:themeColor="text1"/>
              </w:rPr>
              <w:t xml:space="preserve"> con el fin de maximizar el uso de los recursos y mejorar la gestión judicial.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C3783" w:rsidRPr="0002401B" w:rsidRDefault="006D4ED1" w:rsidP="00335E28">
            <w:pPr>
              <w:pStyle w:val="Textoindependiente2"/>
              <w:widowControl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es-ES"/>
              </w:rPr>
              <w:t xml:space="preserve">1.1. </w:t>
            </w:r>
            <w:r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Que </w:t>
            </w:r>
            <w:r w:rsidR="005C3783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al 31 de </w:t>
            </w:r>
            <w:r w:rsidR="00D26F61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marzo</w:t>
            </w:r>
            <w:r w:rsidR="005C3783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del </w:t>
            </w:r>
            <w:r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2018, </w:t>
            </w:r>
            <w:r w:rsidR="005C3783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el Consejo de Administración en conjunto con la Administración Regional,  </w:t>
            </w:r>
            <w:r w:rsidR="005F35BA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haya</w:t>
            </w:r>
            <w:r w:rsid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n</w:t>
            </w:r>
            <w:r w:rsidR="005F35BA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elaborado un informe de seguimiento </w:t>
            </w:r>
            <w:r w:rsidR="000F5E75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sobre</w:t>
            </w:r>
            <w:r w:rsidR="005F35BA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los indicadores de los d</w:t>
            </w:r>
            <w:r w:rsidR="00D26F61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espachos judiciales, con el fin </w:t>
            </w:r>
            <w:r w:rsidR="005F35BA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de proponer y poner en marcha planes rem</w:t>
            </w:r>
            <w:r w:rsid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e</w:t>
            </w:r>
            <w:r w:rsidR="005F35BA" w:rsidRPr="0002401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diales. </w:t>
            </w:r>
          </w:p>
          <w:p w:rsidR="006D4ED1" w:rsidRPr="0002401B" w:rsidRDefault="006D4ED1" w:rsidP="00E91786">
            <w:pPr>
              <w:pStyle w:val="Textoindependiente2"/>
              <w:widowControl/>
              <w:jc w:val="center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6D4ED1" w:rsidP="00335E28">
            <w:pPr>
              <w:pStyle w:val="Prrafodelista"/>
              <w:widowControl/>
              <w:numPr>
                <w:ilvl w:val="2"/>
                <w:numId w:val="1"/>
              </w:numPr>
              <w:ind w:left="-42" w:firstLine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Informe de seguimiento</w:t>
            </w:r>
            <w:r w:rsidR="005F35BA" w:rsidRPr="0002401B">
              <w:rPr>
                <w:rFonts w:ascii="Arial" w:eastAsia="Times New Roman" w:hAnsi="Arial" w:cs="Arial"/>
                <w:color w:val="000000" w:themeColor="text1"/>
              </w:rPr>
              <w:t xml:space="preserve"> elaborado</w:t>
            </w:r>
            <w:r w:rsidRPr="0002401B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:rsidR="006D4ED1" w:rsidRPr="0002401B" w:rsidRDefault="006D4ED1" w:rsidP="00335E28">
            <w:pPr>
              <w:pStyle w:val="Prrafodelista"/>
              <w:widowControl/>
              <w:ind w:left="1068"/>
              <w:jc w:val="both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  <w:p w:rsidR="006D4ED1" w:rsidRPr="0002401B" w:rsidRDefault="006D4ED1" w:rsidP="00335E28">
            <w:pPr>
              <w:rPr>
                <w:rFonts w:ascii="Arial" w:eastAsia="Times New Roman" w:hAnsi="Arial" w:cs="Arial"/>
                <w:strike/>
                <w:color w:val="000000" w:themeColor="text1"/>
                <w:lang w:val="es-ES"/>
              </w:rPr>
            </w:pPr>
          </w:p>
          <w:p w:rsidR="006D4ED1" w:rsidRPr="0002401B" w:rsidRDefault="006D4ED1" w:rsidP="00335E28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6D4ED1" w:rsidRPr="0002401B" w:rsidTr="00A10D90">
        <w:trPr>
          <w:cantSplit/>
          <w:trHeight w:val="193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6D4ED1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6D4ED1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1.2. </w:t>
            </w:r>
            <w:r w:rsidRPr="0002401B">
              <w:rPr>
                <w:rFonts w:ascii="Arial" w:eastAsia="Times New Roman" w:hAnsi="Arial" w:cs="Arial"/>
                <w:color w:val="000000" w:themeColor="text1"/>
              </w:rPr>
              <w:t xml:space="preserve">Que al </w:t>
            </w:r>
            <w:r w:rsidR="00B80E6C" w:rsidRPr="0002401B">
              <w:rPr>
                <w:rFonts w:ascii="Arial" w:eastAsia="Times New Roman" w:hAnsi="Arial" w:cs="Arial"/>
                <w:color w:val="000000" w:themeColor="text1"/>
              </w:rPr>
              <w:t xml:space="preserve">31 de diciembre </w:t>
            </w:r>
            <w:r w:rsidR="003B5F4E" w:rsidRPr="0002401B">
              <w:rPr>
                <w:rFonts w:ascii="Arial" w:eastAsia="Times New Roman" w:hAnsi="Arial" w:cs="Arial"/>
                <w:color w:val="000000" w:themeColor="text1"/>
              </w:rPr>
              <w:t xml:space="preserve">del 2018, </w:t>
            </w:r>
            <w:r w:rsidR="00D26F61" w:rsidRPr="0002401B">
              <w:rPr>
                <w:rFonts w:ascii="Arial" w:eastAsia="Times New Roman" w:hAnsi="Arial" w:cs="Arial"/>
                <w:color w:val="000000" w:themeColor="text1"/>
              </w:rPr>
              <w:t xml:space="preserve">se haya realizado </w:t>
            </w:r>
            <w:r w:rsidRPr="0002401B">
              <w:rPr>
                <w:rFonts w:ascii="Arial" w:eastAsia="Times New Roman" w:hAnsi="Arial" w:cs="Arial"/>
                <w:color w:val="000000" w:themeColor="text1"/>
              </w:rPr>
              <w:t xml:space="preserve">una sesión de  trabajo con las  jefaturas de los despachos  judiciales </w:t>
            </w:r>
            <w:r w:rsidR="001E5B45" w:rsidRPr="0002401B">
              <w:rPr>
                <w:rFonts w:ascii="Arial" w:eastAsia="Times New Roman" w:hAnsi="Arial" w:cs="Arial"/>
                <w:color w:val="000000" w:themeColor="text1"/>
              </w:rPr>
              <w:t>del Circuito</w:t>
            </w:r>
            <w:r w:rsidR="0002401B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D26F61" w:rsidRPr="0002401B">
              <w:rPr>
                <w:rFonts w:ascii="Arial" w:eastAsia="Times New Roman" w:hAnsi="Arial" w:cs="Arial"/>
                <w:color w:val="000000" w:themeColor="text1"/>
              </w:rPr>
              <w:t xml:space="preserve">con el fin de </w:t>
            </w:r>
            <w:r w:rsidRPr="0002401B">
              <w:rPr>
                <w:rFonts w:ascii="Arial" w:eastAsia="Times New Roman" w:hAnsi="Arial" w:cs="Arial"/>
                <w:color w:val="000000" w:themeColor="text1"/>
              </w:rPr>
              <w:t>verificar el cumplimiento de las  acciones tomadas</w:t>
            </w:r>
            <w:r w:rsidR="00D26F61" w:rsidRPr="0002401B">
              <w:rPr>
                <w:rFonts w:ascii="Arial" w:eastAsia="Times New Roman" w:hAnsi="Arial" w:cs="Arial"/>
                <w:color w:val="000000" w:themeColor="text1"/>
              </w:rPr>
              <w:t xml:space="preserve"> en el informe de seguimiento</w:t>
            </w:r>
            <w:r w:rsidRPr="0002401B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</w:p>
          <w:p w:rsidR="006D4ED1" w:rsidRPr="0002401B" w:rsidRDefault="006D4ED1" w:rsidP="00E91786">
            <w:pPr>
              <w:pStyle w:val="Textoindependiente2"/>
              <w:widowControl/>
              <w:jc w:val="center"/>
              <w:rPr>
                <w:rFonts w:ascii="Arial" w:eastAsia="Times New Roman" w:hAnsi="Arial" w:cs="Arial"/>
                <w:i w:val="0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6D4ED1" w:rsidP="0002401B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 xml:space="preserve">1.2.1. </w:t>
            </w:r>
            <w:r w:rsidR="0002401B">
              <w:rPr>
                <w:rFonts w:ascii="Arial" w:eastAsia="Times New Roman" w:hAnsi="Arial" w:cs="Arial"/>
                <w:color w:val="000000" w:themeColor="text1"/>
              </w:rPr>
              <w:t>Sesión de trabajo</w:t>
            </w:r>
            <w:r w:rsidRPr="0002401B">
              <w:rPr>
                <w:rFonts w:ascii="Arial" w:eastAsia="Times New Roman" w:hAnsi="Arial" w:cs="Arial"/>
                <w:color w:val="000000" w:themeColor="text1"/>
              </w:rPr>
              <w:t>realizada</w:t>
            </w:r>
            <w:r w:rsidR="001E5B45" w:rsidRPr="0002401B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  <w:tr w:rsidR="006D4ED1" w:rsidRPr="0002401B" w:rsidTr="00A10D90">
        <w:trPr>
          <w:cantSplit/>
          <w:trHeight w:val="68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6D4ED1" w:rsidP="006D4ED1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b/>
                <w:color w:val="000000" w:themeColor="text1"/>
              </w:rPr>
              <w:t>Modernización de la  Gestión Judicial.</w:t>
            </w:r>
          </w:p>
          <w:p w:rsidR="006D4ED1" w:rsidRPr="0002401B" w:rsidRDefault="006D4ED1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6D4ED1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6D4ED1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6D4ED1" w:rsidRPr="0002401B" w:rsidTr="00A10D90">
        <w:trPr>
          <w:cantSplit/>
          <w:trHeight w:val="193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6D4ED1" w:rsidP="00B42BAD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 xml:space="preserve">2. </w:t>
            </w:r>
            <w:r w:rsidR="00B42BAD" w:rsidRPr="0002401B">
              <w:rPr>
                <w:rFonts w:ascii="Arial" w:eastAsia="Times New Roman" w:hAnsi="Arial" w:cs="Arial"/>
                <w:color w:val="000000" w:themeColor="text1"/>
              </w:rPr>
              <w:t>V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>elar por una adecuada administración del recurso humano, que incentive un mejor desempeño y servicio público a raíz de las reformas.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6D4ED1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2.1</w:t>
            </w:r>
            <w:r w:rsidRPr="0002401B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 w:rsidRPr="0002401B">
              <w:rPr>
                <w:rFonts w:ascii="Arial" w:eastAsia="Times New Roman" w:hAnsi="Arial" w:cs="Arial"/>
                <w:color w:val="000000" w:themeColor="text1"/>
              </w:rPr>
              <w:t xml:space="preserve">  Que </w:t>
            </w:r>
            <w:r w:rsidR="000F5E75" w:rsidRPr="0002401B">
              <w:rPr>
                <w:rFonts w:ascii="Arial" w:eastAsia="Times New Roman" w:hAnsi="Arial" w:cs="Arial"/>
                <w:color w:val="000000" w:themeColor="text1"/>
              </w:rPr>
              <w:t xml:space="preserve">al 31 de diciembre del 2018, </w:t>
            </w:r>
            <w:r w:rsidRPr="0002401B">
              <w:rPr>
                <w:rFonts w:ascii="Arial" w:eastAsia="Times New Roman" w:hAnsi="Arial" w:cs="Arial"/>
                <w:color w:val="000000" w:themeColor="text1"/>
              </w:rPr>
              <w:t xml:space="preserve"> se haya</w:t>
            </w:r>
            <w:r w:rsidR="0002401B"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 xml:space="preserve"> realizado al menos dos actividades generales de integración del personal del circuito</w:t>
            </w:r>
            <w:r w:rsidR="0002401B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 xml:space="preserve"> dirigidas principalmente al personal que labora en materia Laboral y Civil.</w:t>
            </w:r>
          </w:p>
          <w:p w:rsidR="006D4ED1" w:rsidRPr="0002401B" w:rsidRDefault="006D4ED1" w:rsidP="00E91786">
            <w:pPr>
              <w:pStyle w:val="Textoindependiente2"/>
              <w:widowControl/>
              <w:jc w:val="center"/>
              <w:rPr>
                <w:rFonts w:ascii="Arial" w:eastAsia="Times New Roman" w:hAnsi="Arial" w:cs="Arial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D4ED1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2.1.1. Actividades de integración realizadas.</w:t>
            </w:r>
          </w:p>
        </w:tc>
      </w:tr>
      <w:tr w:rsidR="00B74489" w:rsidRPr="0002401B" w:rsidTr="00A10D90">
        <w:trPr>
          <w:cantSplit/>
          <w:trHeight w:val="193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42BAD" w:rsidP="00335E28">
            <w:pPr>
              <w:pStyle w:val="WW-Predeterminado"/>
              <w:snapToGrid w:val="0"/>
              <w:jc w:val="both"/>
              <w:rPr>
                <w:color w:val="000000" w:themeColor="text1"/>
                <w:lang w:val="es-ES"/>
              </w:rPr>
            </w:pPr>
            <w:r w:rsidRPr="0002401B">
              <w:rPr>
                <w:color w:val="000000" w:themeColor="text1"/>
                <w:lang w:val="es-ES"/>
              </w:rPr>
              <w:lastRenderedPageBreak/>
              <w:t>3</w:t>
            </w:r>
            <w:r w:rsidR="00B74489" w:rsidRPr="0002401B">
              <w:rPr>
                <w:color w:val="000000" w:themeColor="text1"/>
                <w:lang w:val="es-ES"/>
              </w:rPr>
              <w:t>. Contribuir con el ambiente y el presupuesto judicial, mediante el reciclaje de papel y otros desechos.</w:t>
            </w:r>
          </w:p>
          <w:p w:rsidR="00B74489" w:rsidRPr="0002401B" w:rsidRDefault="00B74489" w:rsidP="00335E28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42BAD" w:rsidP="00335E28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>.1. Que al 31 de diciembre del 201</w:t>
            </w:r>
            <w:r w:rsidR="00B74489" w:rsidRPr="0002401B">
              <w:rPr>
                <w:rFonts w:ascii="Arial" w:hAnsi="Arial" w:cs="Arial"/>
                <w:color w:val="000000" w:themeColor="text1"/>
              </w:rPr>
              <w:t>8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02401B" w:rsidRPr="0002401B">
              <w:rPr>
                <w:rFonts w:ascii="Arial" w:eastAsia="Times New Roman" w:hAnsi="Arial" w:cs="Arial"/>
                <w:color w:val="000000" w:themeColor="text1"/>
              </w:rPr>
              <w:t>en coordinación con las oficinas del circuito</w:t>
            </w:r>
            <w:r w:rsidR="0002401B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>se haya implementado al menos una estrategia</w:t>
            </w:r>
            <w:r w:rsidR="0002401B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 xml:space="preserve"> que permita </w:t>
            </w:r>
            <w:r w:rsidR="00B74489" w:rsidRPr="0002401B">
              <w:rPr>
                <w:rFonts w:ascii="Arial" w:hAnsi="Arial" w:cs="Arial"/>
                <w:color w:val="000000" w:themeColor="text1"/>
              </w:rPr>
              <w:t>disminuir el consumo de papel</w:t>
            </w:r>
            <w:r w:rsidR="0002401B">
              <w:rPr>
                <w:rFonts w:ascii="Arial" w:eastAsia="Times New Roman" w:hAnsi="Arial" w:cs="Arial"/>
                <w:color w:val="000000" w:themeColor="text1"/>
              </w:rPr>
              <w:t xml:space="preserve">y promueva  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 xml:space="preserve">el reciclaje de </w:t>
            </w:r>
            <w:r w:rsidR="0002401B">
              <w:rPr>
                <w:rFonts w:ascii="Arial" w:eastAsia="Times New Roman" w:hAnsi="Arial" w:cs="Arial"/>
                <w:color w:val="000000" w:themeColor="text1"/>
              </w:rPr>
              <w:t xml:space="preserve">este; además, de otros tipos de 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>desechos, con el fin de apoyar  las políticas institucionales</w:t>
            </w:r>
            <w:r w:rsidR="00B74489" w:rsidRPr="0002401B">
              <w:rPr>
                <w:rFonts w:ascii="Arial" w:hAnsi="Arial" w:cs="Arial"/>
                <w:color w:val="000000" w:themeColor="text1"/>
              </w:rPr>
              <w:t>.</w:t>
            </w:r>
          </w:p>
          <w:p w:rsidR="00B74489" w:rsidRPr="0002401B" w:rsidRDefault="00B74489" w:rsidP="00335E28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42BAD" w:rsidP="00335E28">
            <w:pPr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>.1.1. Estrategia implementada.</w:t>
            </w:r>
          </w:p>
          <w:p w:rsidR="00B74489" w:rsidRPr="0002401B" w:rsidRDefault="00B74489" w:rsidP="00335E28">
            <w:pPr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B74489" w:rsidRPr="0002401B" w:rsidRDefault="00B74489" w:rsidP="00335E28">
            <w:pPr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B74489" w:rsidRPr="0002401B" w:rsidRDefault="00B74489" w:rsidP="00B80E6C">
            <w:pPr>
              <w:snapToGrid w:val="0"/>
              <w:spacing w:line="240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4489" w:rsidRPr="0002401B" w:rsidTr="00A10D90">
        <w:trPr>
          <w:cantSplit/>
          <w:trHeight w:val="119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74489" w:rsidP="006D4ED1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</w:p>
          <w:p w:rsidR="00B74489" w:rsidRPr="0002401B" w:rsidRDefault="00B74489" w:rsidP="000F5E75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t>Transparencia  y rendición de  cuentas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74489" w:rsidRPr="0002401B" w:rsidTr="00A10D90">
        <w:trPr>
          <w:cantSplit/>
          <w:trHeight w:val="90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42BAD" w:rsidP="00F80A1E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4</w:t>
            </w:r>
            <w:r w:rsidR="00B74489" w:rsidRPr="0002401B"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t>.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  Promover   acciones  internas que  permitan mejorar los servicios brindados por los despachos a las personas usuaria internas y externas.</w:t>
            </w:r>
          </w:p>
          <w:p w:rsidR="00B74489" w:rsidRPr="0002401B" w:rsidRDefault="00B74489" w:rsidP="00F80A1E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  <w:p w:rsidR="00080C0F" w:rsidRPr="0002401B" w:rsidRDefault="00080C0F" w:rsidP="00080C0F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B74489" w:rsidRPr="0002401B" w:rsidRDefault="00B74489" w:rsidP="00E36914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42BAD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4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>.1.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Que  al 31 de diciembre del 2018, el Consejo de Administración </w:t>
            </w:r>
            <w:r w:rsidR="000A3FD5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haya realizado 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semestralmente una sesión de trabajo en conjunto con la Comisión de Usuarios</w:t>
            </w:r>
            <w:r w:rsid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,</w:t>
            </w:r>
            <w:r w:rsidR="000A3FD5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a fin de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 proponer acciones a seguir para mejorar el Servicio Público.</w:t>
            </w:r>
          </w:p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  <w:p w:rsidR="00B74489" w:rsidRPr="0002401B" w:rsidRDefault="00B74489" w:rsidP="00A32007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42BAD" w:rsidP="0002401B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4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 xml:space="preserve">.1.1. </w:t>
            </w:r>
            <w:r w:rsidR="0002401B">
              <w:rPr>
                <w:rFonts w:ascii="Arial" w:eastAsia="Times New Roman" w:hAnsi="Arial" w:cs="Arial"/>
                <w:color w:val="000000" w:themeColor="text1"/>
              </w:rPr>
              <w:t>Cantidad de s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>esiones de trabajo realizadas.</w:t>
            </w:r>
          </w:p>
        </w:tc>
      </w:tr>
      <w:tr w:rsidR="00B74489" w:rsidRPr="0002401B" w:rsidTr="00A10D90">
        <w:trPr>
          <w:cantSplit/>
          <w:trHeight w:val="90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lang w:val="es-ES"/>
              </w:rPr>
            </w:pPr>
            <w:r w:rsidRPr="0002401B">
              <w:rPr>
                <w:rFonts w:ascii="Arial" w:eastAsia="Times New Roman" w:hAnsi="Arial" w:cs="Arial"/>
                <w:b/>
                <w:lang w:val="es-ES"/>
              </w:rPr>
              <w:t>Planificación Institucional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</w:rPr>
            </w:pPr>
          </w:p>
        </w:tc>
      </w:tr>
      <w:tr w:rsidR="00B74489" w:rsidRPr="0002401B" w:rsidTr="00A10D90">
        <w:trPr>
          <w:cantSplit/>
          <w:trHeight w:val="90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42BAD" w:rsidP="00650903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5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.  Velar por  la ejecución efectiva  del   presupuesto asignado  al  circuito y  la búsqueda de recursos  faltantes. </w:t>
            </w:r>
          </w:p>
          <w:p w:rsidR="00B74489" w:rsidRPr="0002401B" w:rsidRDefault="00B74489" w:rsidP="005A1D60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42BAD" w:rsidP="0002401B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 xml:space="preserve">.1. 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Que al 31 de diciembre del  2018</w:t>
            </w:r>
            <w:r w:rsid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,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 se haya ejecutado el </w:t>
            </w:r>
            <w:r w:rsidR="00080C0F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100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% del presupuesto  asignado al circuito</w:t>
            </w:r>
            <w:r w:rsid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,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 a través de </w:t>
            </w:r>
            <w:r w:rsidR="0056113E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la implementación de 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  <w:lang w:val="es-ES"/>
              </w:rPr>
              <w:t>seguimientos trimestrales</w:t>
            </w:r>
            <w:r w:rsidR="0056113E">
              <w:rPr>
                <w:rFonts w:ascii="Arial" w:eastAsia="Times New Roman" w:hAnsi="Arial" w:cs="Arial"/>
                <w:color w:val="000000" w:themeColor="text1"/>
                <w:lang w:val="es-ES"/>
              </w:rPr>
              <w:t>,</w:t>
            </w:r>
            <w:r w:rsidR="00B74489" w:rsidRPr="0002401B">
              <w:rPr>
                <w:rFonts w:ascii="Arial" w:hAnsi="Arial" w:cs="Arial"/>
                <w:color w:val="000000" w:themeColor="text1"/>
              </w:rPr>
              <w:t>en busca de un mejor servicio al usuario y optimización de los recursos.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74489" w:rsidRPr="0002401B" w:rsidRDefault="00B42BAD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 xml:space="preserve"> 5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 xml:space="preserve">.1.1. Porcentaje de presupuesto ejecutado.  </w:t>
            </w:r>
          </w:p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B74489" w:rsidRPr="0002401B" w:rsidRDefault="00B42BAD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2401B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00B74489" w:rsidRPr="0002401B">
              <w:rPr>
                <w:rFonts w:ascii="Arial" w:eastAsia="Times New Roman" w:hAnsi="Arial" w:cs="Arial"/>
                <w:color w:val="000000" w:themeColor="text1"/>
              </w:rPr>
              <w:t>.1.2. Seguimientos trimestrales realizados.</w:t>
            </w:r>
          </w:p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B74489" w:rsidRPr="0002401B" w:rsidRDefault="00B74489" w:rsidP="005A1D60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C826BB" w:rsidRDefault="00C826BB" w:rsidP="00C826BB"/>
    <w:p w:rsidR="00C826BB" w:rsidRPr="00C826BB" w:rsidRDefault="00C826BB" w:rsidP="00C826BB"/>
    <w:sectPr w:rsidR="00C826BB" w:rsidRPr="00C826BB" w:rsidSect="00B80E6C">
      <w:headerReference w:type="default" r:id="rId7"/>
      <w:pgSz w:w="12240" w:h="15840"/>
      <w:pgMar w:top="709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61" w:rsidRDefault="00247461" w:rsidP="0002401B">
      <w:r>
        <w:separator/>
      </w:r>
    </w:p>
  </w:endnote>
  <w:endnote w:type="continuationSeparator" w:id="0">
    <w:p w:rsidR="00247461" w:rsidRDefault="00247461" w:rsidP="0002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61" w:rsidRDefault="00247461" w:rsidP="0002401B">
      <w:r>
        <w:separator/>
      </w:r>
    </w:p>
  </w:footnote>
  <w:footnote w:type="continuationSeparator" w:id="0">
    <w:p w:rsidR="00247461" w:rsidRDefault="00247461" w:rsidP="0002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1B" w:rsidRPr="00E91786" w:rsidRDefault="0002401B" w:rsidP="0002401B">
    <w:pPr>
      <w:jc w:val="center"/>
      <w:rPr>
        <w:b/>
        <w:sz w:val="28"/>
        <w:szCs w:val="28"/>
      </w:rPr>
    </w:pPr>
    <w:r w:rsidRPr="00E91786">
      <w:rPr>
        <w:b/>
        <w:sz w:val="28"/>
        <w:szCs w:val="28"/>
      </w:rPr>
      <w:t>PROGRAMACION ANUAL DE  OBJETIVOS  Y  METAS 2018</w:t>
    </w:r>
  </w:p>
  <w:p w:rsidR="0002401B" w:rsidRPr="00B80E6C" w:rsidRDefault="0002401B" w:rsidP="0002401B">
    <w:pPr>
      <w:jc w:val="center"/>
      <w:rPr>
        <w:b/>
        <w:sz w:val="32"/>
        <w:szCs w:val="32"/>
      </w:rPr>
    </w:pPr>
    <w:r w:rsidRPr="00E91786">
      <w:rPr>
        <w:b/>
        <w:sz w:val="28"/>
        <w:szCs w:val="28"/>
      </w:rPr>
      <w:t>CONSEJO DE ADMINISTRACIÓN DEL  PRIMER CIRCUITO  JUDICIAL DE  GUANACASTE</w:t>
    </w:r>
  </w:p>
  <w:p w:rsidR="0002401B" w:rsidRDefault="0002401B">
    <w:pPr>
      <w:pStyle w:val="Encabezado"/>
    </w:pPr>
  </w:p>
  <w:p w:rsidR="0002401B" w:rsidRDefault="000240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08E"/>
    <w:multiLevelType w:val="multilevel"/>
    <w:tmpl w:val="3904ADB2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68" w:hanging="1068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51" w:hanging="1068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FF4"/>
    <w:rsid w:val="0002401B"/>
    <w:rsid w:val="0005410A"/>
    <w:rsid w:val="00054E17"/>
    <w:rsid w:val="00071C9C"/>
    <w:rsid w:val="00080C0F"/>
    <w:rsid w:val="000A3FD5"/>
    <w:rsid w:val="000D3FF4"/>
    <w:rsid w:val="000F5E75"/>
    <w:rsid w:val="001554C1"/>
    <w:rsid w:val="0017273F"/>
    <w:rsid w:val="001E5B45"/>
    <w:rsid w:val="00247461"/>
    <w:rsid w:val="002B611A"/>
    <w:rsid w:val="0035422A"/>
    <w:rsid w:val="00364698"/>
    <w:rsid w:val="003B5F4E"/>
    <w:rsid w:val="00530361"/>
    <w:rsid w:val="00533988"/>
    <w:rsid w:val="0056113E"/>
    <w:rsid w:val="005C3783"/>
    <w:rsid w:val="005F35BA"/>
    <w:rsid w:val="00650903"/>
    <w:rsid w:val="006D4ED1"/>
    <w:rsid w:val="007039DE"/>
    <w:rsid w:val="00720BB3"/>
    <w:rsid w:val="00750344"/>
    <w:rsid w:val="0075050A"/>
    <w:rsid w:val="00825A45"/>
    <w:rsid w:val="008517D0"/>
    <w:rsid w:val="008705CA"/>
    <w:rsid w:val="0087471A"/>
    <w:rsid w:val="0089445A"/>
    <w:rsid w:val="008D2370"/>
    <w:rsid w:val="0094247D"/>
    <w:rsid w:val="0098273F"/>
    <w:rsid w:val="009A4F97"/>
    <w:rsid w:val="00A10D90"/>
    <w:rsid w:val="00A257D5"/>
    <w:rsid w:val="00A32007"/>
    <w:rsid w:val="00A5719D"/>
    <w:rsid w:val="00A94B70"/>
    <w:rsid w:val="00AB315E"/>
    <w:rsid w:val="00AF255B"/>
    <w:rsid w:val="00B30655"/>
    <w:rsid w:val="00B418E8"/>
    <w:rsid w:val="00B42BAD"/>
    <w:rsid w:val="00B74489"/>
    <w:rsid w:val="00B80E6C"/>
    <w:rsid w:val="00BE5A3D"/>
    <w:rsid w:val="00C21073"/>
    <w:rsid w:val="00C826BB"/>
    <w:rsid w:val="00C968C1"/>
    <w:rsid w:val="00D21B4B"/>
    <w:rsid w:val="00D24FCA"/>
    <w:rsid w:val="00D26851"/>
    <w:rsid w:val="00D26F61"/>
    <w:rsid w:val="00DF5A3C"/>
    <w:rsid w:val="00E0752C"/>
    <w:rsid w:val="00E2079D"/>
    <w:rsid w:val="00E2526D"/>
    <w:rsid w:val="00E36914"/>
    <w:rsid w:val="00E76F1F"/>
    <w:rsid w:val="00E91786"/>
    <w:rsid w:val="00ED3AE3"/>
    <w:rsid w:val="00F1348C"/>
    <w:rsid w:val="00F26DAE"/>
    <w:rsid w:val="00F576C9"/>
    <w:rsid w:val="00F8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0D3FF4"/>
    <w:pPr>
      <w:jc w:val="both"/>
    </w:pPr>
    <w:rPr>
      <w:b/>
      <w:bCs/>
      <w:i/>
      <w:i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3FF4"/>
    <w:rPr>
      <w:rFonts w:ascii="Times New Roman" w:eastAsiaTheme="minorEastAsia" w:hAnsi="Times New Roman" w:cs="Times New Roman"/>
      <w:b/>
      <w:bCs/>
      <w:i/>
      <w:iCs/>
      <w:sz w:val="20"/>
      <w:szCs w:val="20"/>
      <w:lang w:eastAsia="es-CR"/>
    </w:rPr>
  </w:style>
  <w:style w:type="paragraph" w:styleId="Prrafodelista">
    <w:name w:val="List Paragraph"/>
    <w:basedOn w:val="Normal"/>
    <w:uiPriority w:val="34"/>
    <w:qFormat/>
    <w:rsid w:val="00B30655"/>
    <w:pPr>
      <w:ind w:left="720"/>
      <w:contextualSpacing/>
    </w:pPr>
  </w:style>
  <w:style w:type="paragraph" w:customStyle="1" w:styleId="Car">
    <w:name w:val="Car"/>
    <w:basedOn w:val="Normal"/>
    <w:semiHidden/>
    <w:rsid w:val="005F35B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AU" w:eastAsia="en-US"/>
    </w:rPr>
  </w:style>
  <w:style w:type="paragraph" w:customStyle="1" w:styleId="WW-Predeterminado">
    <w:name w:val="WW-Predeterminado"/>
    <w:next w:val="Normal"/>
    <w:rsid w:val="00B80E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qFormat/>
    <w:rsid w:val="00B74489"/>
    <w:pPr>
      <w:widowControl/>
      <w:suppressAutoHyphens/>
      <w:autoSpaceDE/>
      <w:autoSpaceDN/>
      <w:adjustRightInd/>
    </w:pPr>
    <w:rPr>
      <w:rFonts w:eastAsia="Arial Unicode MS"/>
      <w:color w:val="00000A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024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01B"/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024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401B"/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1B"/>
    <w:rPr>
      <w:rFonts w:ascii="Tahoma" w:eastAsiaTheme="minorEastAsia" w:hAnsi="Tahoma" w:cs="Tahoma"/>
      <w:sz w:val="16"/>
      <w:szCs w:val="16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sjimenezb</dc:creator>
  <cp:lastModifiedBy>amenac</cp:lastModifiedBy>
  <cp:revision>2</cp:revision>
  <dcterms:created xsi:type="dcterms:W3CDTF">2017-03-22T18:16:00Z</dcterms:created>
  <dcterms:modified xsi:type="dcterms:W3CDTF">2017-03-22T18:16:00Z</dcterms:modified>
</cp:coreProperties>
</file>