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AB" w:rsidRPr="00C074AB" w:rsidRDefault="00137B2A">
      <w:r w:rsidRPr="00137B2A">
        <w:rPr>
          <w:noProof/>
        </w:rPr>
        <w:pict>
          <v:group id="_x0000_s1026" style="position:absolute;margin-left:-90pt;margin-top:-113.25pt;width:9in;height:846pt;z-index:251656704" coordorigin="2622,324" coordsize="9378,15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wrapcoords="-36 0 -36 21476 21600 21476 21600 0 -36 0">
              <v:imagedata r:id="rId8" o:title=""/>
            </v:shape>
            <v:shape id="0 Imagen" o:spid="_x0000_s1028" type="#_x0000_t75" style="position:absolute;left:2622;top:14756;width:9378;height:725;visibility:visible" wrapcoords="-36 0 -36 21150 21600 21150 21600 0 -36 0">
              <v:imagedata r:id="rId9" o:title=""/>
            </v:shape>
          </v:group>
        </w:pict>
      </w:r>
    </w:p>
    <w:p w:rsidR="006713AB" w:rsidRPr="00C074AB" w:rsidRDefault="006713AB"/>
    <w:p w:rsidR="006713AB" w:rsidRPr="00C074AB" w:rsidRDefault="006713AB"/>
    <w:p w:rsidR="006713AB" w:rsidRPr="00C074AB" w:rsidRDefault="006713AB"/>
    <w:p w:rsidR="006713AB" w:rsidRPr="00C074AB" w:rsidRDefault="006713AB"/>
    <w:p w:rsidR="006713AB" w:rsidRPr="00C074AB" w:rsidRDefault="006713AB"/>
    <w:p w:rsidR="006713AB" w:rsidRPr="00C074AB" w:rsidRDefault="006713AB"/>
    <w:p w:rsidR="006713AB" w:rsidRPr="00C074AB" w:rsidRDefault="00482B17">
      <w:r>
        <w:rPr>
          <w:noProof/>
          <w:lang w:val="es-CR" w:eastAsia="es-CR"/>
        </w:rPr>
        <w:drawing>
          <wp:anchor distT="0" distB="0" distL="114300" distR="114300" simplePos="0" relativeHeight="251657728"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1"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0D56AF" w:rsidRPr="00C074AB" w:rsidRDefault="00482B17">
      <w:r>
        <w:rPr>
          <w:noProof/>
          <w:lang w:val="es-CR" w:eastAsia="es-CR"/>
        </w:rPr>
        <w:drawing>
          <wp:anchor distT="0" distB="0" distL="114300" distR="114300" simplePos="0" relativeHeight="251658752"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7" name="Imagen 7"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dirplani"/>
                    <pic:cNvPicPr>
                      <a:picLocks noChangeAspect="1" noChangeArrowheads="1"/>
                    </pic:cNvPicPr>
                  </pic:nvPicPr>
                  <pic:blipFill>
                    <a:blip r:embed="rId11"/>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6713AB" w:rsidRPr="00C074AB" w:rsidRDefault="006713AB"/>
    <w:p w:rsidR="006713AB" w:rsidRPr="00C074AB" w:rsidRDefault="006713AB"/>
    <w:p w:rsidR="006713AB" w:rsidRPr="00C074AB" w:rsidRDefault="006713AB"/>
    <w:p w:rsidR="006713AB" w:rsidRPr="00C074AB" w:rsidRDefault="006713AB"/>
    <w:p w:rsidR="006713AB" w:rsidRPr="00C074AB" w:rsidRDefault="006713AB"/>
    <w:p w:rsidR="006713AB" w:rsidRPr="00C074AB" w:rsidRDefault="006713AB" w:rsidP="006713AB">
      <w:pPr>
        <w:jc w:val="center"/>
        <w:rPr>
          <w:rFonts w:ascii="Calibri" w:hAnsi="Calibri"/>
          <w:sz w:val="40"/>
          <w:szCs w:val="40"/>
        </w:rPr>
      </w:pPr>
    </w:p>
    <w:p w:rsidR="006713AB" w:rsidRPr="00C074AB" w:rsidRDefault="006713AB" w:rsidP="006713AB">
      <w:pPr>
        <w:jc w:val="center"/>
        <w:rPr>
          <w:rFonts w:ascii="Calibri" w:hAnsi="Calibri"/>
          <w:sz w:val="40"/>
          <w:szCs w:val="40"/>
        </w:rPr>
      </w:pPr>
    </w:p>
    <w:p w:rsidR="006713AB" w:rsidRPr="00C074AB" w:rsidRDefault="00CE1F57" w:rsidP="006713AB">
      <w:pPr>
        <w:jc w:val="center"/>
        <w:rPr>
          <w:rFonts w:ascii="Calibri" w:hAnsi="Calibri"/>
          <w:sz w:val="40"/>
          <w:szCs w:val="40"/>
        </w:rPr>
      </w:pPr>
      <w:r w:rsidRPr="00C074AB">
        <w:rPr>
          <w:rFonts w:ascii="Calibri" w:hAnsi="Calibri"/>
          <w:sz w:val="40"/>
          <w:szCs w:val="40"/>
        </w:rPr>
        <w:t>Estudio de Requerimiento Humano</w:t>
      </w:r>
    </w:p>
    <w:p w:rsidR="0047459D" w:rsidRPr="00C074AB" w:rsidRDefault="0047459D" w:rsidP="006713AB">
      <w:pPr>
        <w:jc w:val="center"/>
        <w:rPr>
          <w:rFonts w:ascii="Calibri" w:hAnsi="Calibri"/>
          <w:sz w:val="40"/>
          <w:szCs w:val="40"/>
        </w:rPr>
      </w:pPr>
      <w:r w:rsidRPr="00C074AB">
        <w:rPr>
          <w:rFonts w:ascii="Calibri" w:hAnsi="Calibri"/>
          <w:sz w:val="40"/>
          <w:szCs w:val="40"/>
        </w:rPr>
        <w:t xml:space="preserve">Anteproyecto de Presupuesto </w:t>
      </w:r>
      <w:r w:rsidR="001661A0" w:rsidRPr="00C074AB">
        <w:rPr>
          <w:rFonts w:ascii="Calibri" w:hAnsi="Calibri"/>
          <w:sz w:val="40"/>
          <w:szCs w:val="40"/>
        </w:rPr>
        <w:t>2</w:t>
      </w:r>
      <w:r w:rsidRPr="00C074AB">
        <w:rPr>
          <w:rFonts w:ascii="Calibri" w:hAnsi="Calibri"/>
          <w:sz w:val="40"/>
          <w:szCs w:val="40"/>
        </w:rPr>
        <w:t>01</w:t>
      </w:r>
      <w:r w:rsidR="00CC01BF" w:rsidRPr="00C074AB">
        <w:rPr>
          <w:rFonts w:ascii="Calibri" w:hAnsi="Calibri"/>
          <w:sz w:val="40"/>
          <w:szCs w:val="40"/>
        </w:rPr>
        <w:t>8</w:t>
      </w:r>
    </w:p>
    <w:p w:rsidR="006713AB" w:rsidRPr="00C074AB" w:rsidRDefault="006713AB" w:rsidP="006713AB">
      <w:pPr>
        <w:jc w:val="center"/>
        <w:rPr>
          <w:rFonts w:ascii="Calibri" w:hAnsi="Calibri"/>
          <w:sz w:val="40"/>
          <w:szCs w:val="40"/>
        </w:rPr>
      </w:pPr>
    </w:p>
    <w:p w:rsidR="006713AB" w:rsidRPr="00C074AB" w:rsidRDefault="006713AB" w:rsidP="006713AB">
      <w:pPr>
        <w:jc w:val="center"/>
        <w:rPr>
          <w:rFonts w:ascii="Calibri" w:hAnsi="Calibri"/>
          <w:sz w:val="40"/>
          <w:szCs w:val="40"/>
        </w:rPr>
      </w:pPr>
    </w:p>
    <w:p w:rsidR="006713AB" w:rsidRPr="00C074AB" w:rsidRDefault="00D01E5F" w:rsidP="006713AB">
      <w:pPr>
        <w:jc w:val="center"/>
        <w:rPr>
          <w:rFonts w:ascii="Calibri" w:hAnsi="Calibri"/>
          <w:b/>
          <w:i/>
          <w:sz w:val="40"/>
          <w:szCs w:val="40"/>
        </w:rPr>
      </w:pPr>
      <w:r w:rsidRPr="00C074AB">
        <w:rPr>
          <w:rFonts w:ascii="Calibri" w:hAnsi="Calibri"/>
          <w:b/>
          <w:i/>
          <w:sz w:val="40"/>
          <w:szCs w:val="40"/>
        </w:rPr>
        <w:t>Departamento de Trabajo Social</w:t>
      </w:r>
    </w:p>
    <w:p w:rsidR="00D01E5F" w:rsidRPr="00C074AB" w:rsidRDefault="00D01E5F" w:rsidP="006713AB">
      <w:pPr>
        <w:jc w:val="center"/>
        <w:rPr>
          <w:rFonts w:ascii="Calibri" w:hAnsi="Calibri"/>
          <w:b/>
          <w:i/>
          <w:sz w:val="40"/>
          <w:szCs w:val="40"/>
        </w:rPr>
      </w:pPr>
      <w:r w:rsidRPr="00C074AB">
        <w:rPr>
          <w:rFonts w:ascii="Calibri" w:hAnsi="Calibri"/>
          <w:b/>
          <w:i/>
          <w:sz w:val="40"/>
          <w:szCs w:val="40"/>
        </w:rPr>
        <w:t>Equipo interdisciplinario</w:t>
      </w:r>
    </w:p>
    <w:p w:rsidR="00D01E5F" w:rsidRPr="00C074AB" w:rsidRDefault="00D01E5F" w:rsidP="006713AB">
      <w:pPr>
        <w:jc w:val="center"/>
        <w:rPr>
          <w:rFonts w:ascii="Calibri" w:hAnsi="Calibri"/>
          <w:b/>
          <w:i/>
          <w:sz w:val="40"/>
          <w:szCs w:val="40"/>
        </w:rPr>
      </w:pPr>
      <w:r w:rsidRPr="00C074AB">
        <w:rPr>
          <w:rFonts w:ascii="Calibri" w:hAnsi="Calibri"/>
          <w:b/>
          <w:i/>
          <w:sz w:val="40"/>
          <w:szCs w:val="40"/>
        </w:rPr>
        <w:t>Juzgado Niñez y Adolescencia</w:t>
      </w:r>
    </w:p>
    <w:p w:rsidR="006713AB" w:rsidRPr="00C074AB" w:rsidRDefault="006713AB" w:rsidP="006713AB">
      <w:pPr>
        <w:jc w:val="center"/>
        <w:rPr>
          <w:rFonts w:ascii="Calibri" w:hAnsi="Calibri"/>
          <w:sz w:val="40"/>
          <w:szCs w:val="40"/>
        </w:rPr>
      </w:pPr>
    </w:p>
    <w:p w:rsidR="006713AB" w:rsidRPr="00C074AB" w:rsidRDefault="006713AB" w:rsidP="006713AB">
      <w:pPr>
        <w:jc w:val="center"/>
        <w:rPr>
          <w:rFonts w:ascii="Calibri" w:hAnsi="Calibri"/>
          <w:sz w:val="40"/>
          <w:szCs w:val="40"/>
        </w:rPr>
      </w:pPr>
    </w:p>
    <w:p w:rsidR="006713AB" w:rsidRPr="00C074AB" w:rsidRDefault="006713AB" w:rsidP="006713AB">
      <w:pPr>
        <w:jc w:val="center"/>
        <w:rPr>
          <w:rFonts w:ascii="Calibri" w:hAnsi="Calibri"/>
          <w:sz w:val="40"/>
          <w:szCs w:val="40"/>
        </w:rPr>
      </w:pPr>
    </w:p>
    <w:p w:rsidR="006713AB" w:rsidRPr="00C074AB" w:rsidRDefault="00D65FA4" w:rsidP="006713AB">
      <w:pPr>
        <w:jc w:val="center"/>
        <w:rPr>
          <w:rFonts w:ascii="Calibri" w:hAnsi="Calibri"/>
          <w:sz w:val="40"/>
          <w:szCs w:val="40"/>
        </w:rPr>
      </w:pPr>
      <w:r>
        <w:rPr>
          <w:rFonts w:ascii="Calibri" w:hAnsi="Calibri"/>
          <w:sz w:val="40"/>
          <w:szCs w:val="40"/>
        </w:rPr>
        <w:t>17</w:t>
      </w:r>
      <w:r w:rsidR="006713AB" w:rsidRPr="00C074AB">
        <w:rPr>
          <w:rFonts w:ascii="Calibri" w:hAnsi="Calibri"/>
          <w:sz w:val="40"/>
          <w:szCs w:val="40"/>
        </w:rPr>
        <w:t xml:space="preserve"> de </w:t>
      </w:r>
      <w:r>
        <w:rPr>
          <w:rFonts w:ascii="Calibri" w:hAnsi="Calibri"/>
          <w:sz w:val="40"/>
          <w:szCs w:val="40"/>
        </w:rPr>
        <w:t>febre</w:t>
      </w:r>
      <w:r w:rsidR="00132B91" w:rsidRPr="00C074AB">
        <w:rPr>
          <w:rFonts w:ascii="Calibri" w:hAnsi="Calibri"/>
          <w:sz w:val="40"/>
          <w:szCs w:val="40"/>
        </w:rPr>
        <w:t>ro</w:t>
      </w:r>
      <w:r w:rsidR="006713AB" w:rsidRPr="00C074AB">
        <w:rPr>
          <w:rFonts w:ascii="Calibri" w:hAnsi="Calibri"/>
          <w:sz w:val="40"/>
          <w:szCs w:val="40"/>
        </w:rPr>
        <w:t xml:space="preserve"> de 201</w:t>
      </w:r>
      <w:r>
        <w:rPr>
          <w:rFonts w:ascii="Calibri" w:hAnsi="Calibri"/>
          <w:sz w:val="40"/>
          <w:szCs w:val="40"/>
        </w:rPr>
        <w:t>7</w:t>
      </w:r>
    </w:p>
    <w:p w:rsidR="006713AB" w:rsidRPr="00C074AB" w:rsidRDefault="006713AB" w:rsidP="006713AB">
      <w:pPr>
        <w:jc w:val="center"/>
        <w:rPr>
          <w:rFonts w:ascii="Calibri" w:hAnsi="Calibri"/>
          <w:sz w:val="40"/>
          <w:szCs w:val="40"/>
        </w:rPr>
      </w:pPr>
    </w:p>
    <w:p w:rsidR="006713AB" w:rsidRPr="00C074AB" w:rsidRDefault="006713AB" w:rsidP="006713AB">
      <w:pPr>
        <w:jc w:val="center"/>
        <w:rPr>
          <w:rFonts w:ascii="Calibri" w:hAnsi="Calibri"/>
          <w:sz w:val="40"/>
          <w:szCs w:val="40"/>
        </w:rPr>
      </w:pPr>
    </w:p>
    <w:p w:rsidR="006713AB" w:rsidRPr="00C074AB" w:rsidRDefault="006713AB" w:rsidP="006713AB">
      <w:pPr>
        <w:jc w:val="center"/>
        <w:rPr>
          <w:rFonts w:ascii="Calibri" w:hAnsi="Calibri"/>
          <w:sz w:val="40"/>
          <w:szCs w:val="40"/>
        </w:rPr>
      </w:pPr>
    </w:p>
    <w:p w:rsidR="006713AB" w:rsidRPr="00C074AB" w:rsidRDefault="006713AB" w:rsidP="006713AB">
      <w:pPr>
        <w:jc w:val="center"/>
        <w:rPr>
          <w:rFonts w:ascii="Calibri" w:hAnsi="Calibri"/>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4181"/>
        <w:gridCol w:w="1276"/>
        <w:gridCol w:w="2285"/>
      </w:tblGrid>
      <w:tr w:rsidR="00CE1F57" w:rsidRPr="00C074AB">
        <w:trPr>
          <w:trHeight w:val="540"/>
          <w:jc w:val="center"/>
        </w:trPr>
        <w:tc>
          <w:tcPr>
            <w:tcW w:w="6629" w:type="dxa"/>
            <w:gridSpan w:val="2"/>
            <w:tcBorders>
              <w:bottom w:val="single" w:sz="4" w:space="0" w:color="auto"/>
            </w:tcBorders>
            <w:shd w:val="clear" w:color="auto" w:fill="000000"/>
            <w:vAlign w:val="center"/>
          </w:tcPr>
          <w:p w:rsidR="00CE1F57" w:rsidRPr="00C074AB" w:rsidRDefault="00CE1F57" w:rsidP="009563C1">
            <w:pPr>
              <w:jc w:val="center"/>
              <w:rPr>
                <w:rFonts w:ascii="Calibri" w:hAnsi="Calibri"/>
                <w:b/>
                <w:sz w:val="32"/>
                <w:szCs w:val="32"/>
              </w:rPr>
            </w:pPr>
            <w:r w:rsidRPr="00C074AB">
              <w:rPr>
                <w:rFonts w:ascii="Calibri" w:hAnsi="Calibri"/>
                <w:b/>
                <w:sz w:val="32"/>
                <w:szCs w:val="32"/>
              </w:rPr>
              <w:lastRenderedPageBreak/>
              <w:t>Dirección de Planificación</w:t>
            </w:r>
          </w:p>
        </w:tc>
        <w:tc>
          <w:tcPr>
            <w:tcW w:w="1276" w:type="dxa"/>
            <w:shd w:val="clear" w:color="auto" w:fill="B3B3B3"/>
            <w:vAlign w:val="center"/>
          </w:tcPr>
          <w:p w:rsidR="00CE1F57" w:rsidRPr="00C074AB" w:rsidRDefault="00CE1F57" w:rsidP="009563C1">
            <w:pPr>
              <w:jc w:val="right"/>
              <w:rPr>
                <w:rFonts w:ascii="Calibri" w:hAnsi="Calibri"/>
                <w:b/>
              </w:rPr>
            </w:pPr>
            <w:r w:rsidRPr="00C074AB">
              <w:rPr>
                <w:rFonts w:ascii="Calibri" w:hAnsi="Calibri"/>
                <w:b/>
              </w:rPr>
              <w:t>Fecha:</w:t>
            </w:r>
          </w:p>
        </w:tc>
        <w:tc>
          <w:tcPr>
            <w:tcW w:w="2285" w:type="dxa"/>
            <w:vAlign w:val="center"/>
          </w:tcPr>
          <w:p w:rsidR="00CE1F57" w:rsidRPr="00C074AB" w:rsidRDefault="00996707" w:rsidP="00067C87">
            <w:pPr>
              <w:rPr>
                <w:rFonts w:ascii="Calibri" w:hAnsi="Calibri"/>
                <w:i/>
              </w:rPr>
            </w:pPr>
            <w:r>
              <w:rPr>
                <w:rFonts w:ascii="Calibri" w:hAnsi="Calibri"/>
                <w:i/>
              </w:rPr>
              <w:t>17</w:t>
            </w:r>
            <w:r w:rsidR="00143952" w:rsidRPr="00C074AB">
              <w:rPr>
                <w:rFonts w:ascii="Calibri" w:hAnsi="Calibri"/>
                <w:i/>
              </w:rPr>
              <w:t>/0</w:t>
            </w:r>
            <w:r>
              <w:rPr>
                <w:rFonts w:ascii="Calibri" w:hAnsi="Calibri"/>
                <w:i/>
              </w:rPr>
              <w:t>2</w:t>
            </w:r>
            <w:r w:rsidR="00CE1F57" w:rsidRPr="00C074AB">
              <w:rPr>
                <w:rFonts w:ascii="Calibri" w:hAnsi="Calibri"/>
                <w:i/>
              </w:rPr>
              <w:t>/</w:t>
            </w:r>
            <w:r w:rsidR="0047459D" w:rsidRPr="00C074AB">
              <w:rPr>
                <w:rFonts w:ascii="Calibri" w:hAnsi="Calibri"/>
                <w:i/>
              </w:rPr>
              <w:t>201</w:t>
            </w:r>
            <w:r w:rsidR="00A21546" w:rsidRPr="00C074AB">
              <w:rPr>
                <w:rFonts w:ascii="Calibri" w:hAnsi="Calibri"/>
                <w:i/>
              </w:rPr>
              <w:t>7</w:t>
            </w:r>
          </w:p>
        </w:tc>
      </w:tr>
      <w:tr w:rsidR="00CE1F57" w:rsidRPr="00C074AB">
        <w:trPr>
          <w:trHeight w:val="494"/>
          <w:jc w:val="center"/>
        </w:trPr>
        <w:tc>
          <w:tcPr>
            <w:tcW w:w="6629" w:type="dxa"/>
            <w:gridSpan w:val="2"/>
            <w:shd w:val="clear" w:color="auto" w:fill="262626"/>
            <w:vAlign w:val="center"/>
          </w:tcPr>
          <w:p w:rsidR="00CE1F57" w:rsidRPr="00C074AB" w:rsidRDefault="00CE1F57" w:rsidP="009563C1">
            <w:pPr>
              <w:jc w:val="center"/>
              <w:rPr>
                <w:rFonts w:ascii="Calibri" w:hAnsi="Calibri"/>
                <w:i/>
                <w:sz w:val="28"/>
                <w:szCs w:val="28"/>
              </w:rPr>
            </w:pPr>
            <w:r w:rsidRPr="00C074AB">
              <w:rPr>
                <w:rFonts w:ascii="Calibri" w:hAnsi="Calibri"/>
                <w:b/>
                <w:sz w:val="28"/>
                <w:szCs w:val="28"/>
              </w:rPr>
              <w:t>Estudio de Requerimiento Humano</w:t>
            </w:r>
          </w:p>
        </w:tc>
        <w:tc>
          <w:tcPr>
            <w:tcW w:w="1276" w:type="dxa"/>
            <w:shd w:val="clear" w:color="auto" w:fill="B3B3B3"/>
            <w:vAlign w:val="center"/>
          </w:tcPr>
          <w:p w:rsidR="00CE1F57" w:rsidRPr="00C074AB" w:rsidRDefault="00CE1F57" w:rsidP="009563C1">
            <w:pPr>
              <w:jc w:val="right"/>
              <w:rPr>
                <w:rFonts w:ascii="Calibri" w:hAnsi="Calibri"/>
                <w:b/>
              </w:rPr>
            </w:pPr>
            <w:r w:rsidRPr="00C074AB">
              <w:rPr>
                <w:rFonts w:ascii="Calibri" w:hAnsi="Calibri"/>
                <w:b/>
              </w:rPr>
              <w:t># Informe:</w:t>
            </w:r>
          </w:p>
        </w:tc>
        <w:tc>
          <w:tcPr>
            <w:tcW w:w="2285" w:type="dxa"/>
            <w:vAlign w:val="center"/>
          </w:tcPr>
          <w:p w:rsidR="0047459D" w:rsidRPr="00C074AB" w:rsidRDefault="00793655" w:rsidP="00067C87">
            <w:pPr>
              <w:rPr>
                <w:rFonts w:ascii="Calibri" w:hAnsi="Calibri"/>
                <w:i/>
              </w:rPr>
            </w:pPr>
            <w:r>
              <w:rPr>
                <w:rFonts w:ascii="Calibri" w:hAnsi="Calibri"/>
                <w:i/>
              </w:rPr>
              <w:t>6</w:t>
            </w:r>
            <w:r w:rsidR="00DD2A43">
              <w:rPr>
                <w:rFonts w:ascii="Calibri" w:hAnsi="Calibri"/>
                <w:i/>
              </w:rPr>
              <w:t>-PLA-CE</w:t>
            </w:r>
            <w:r w:rsidR="00CE1F57" w:rsidRPr="00C074AB">
              <w:rPr>
                <w:rFonts w:ascii="Calibri" w:hAnsi="Calibri"/>
                <w:i/>
              </w:rPr>
              <w:t>-20</w:t>
            </w:r>
            <w:r w:rsidR="00A21546" w:rsidRPr="00C074AB">
              <w:rPr>
                <w:rFonts w:ascii="Calibri" w:hAnsi="Calibri"/>
                <w:i/>
              </w:rPr>
              <w:t>17</w:t>
            </w:r>
          </w:p>
        </w:tc>
      </w:tr>
      <w:tr w:rsidR="00CE1F57" w:rsidRPr="00C074AB">
        <w:trPr>
          <w:trHeight w:val="494"/>
          <w:jc w:val="center"/>
        </w:trPr>
        <w:tc>
          <w:tcPr>
            <w:tcW w:w="2448" w:type="dxa"/>
            <w:shd w:val="clear" w:color="auto" w:fill="B3B3B3"/>
            <w:vAlign w:val="center"/>
          </w:tcPr>
          <w:p w:rsidR="00CE1F57" w:rsidRPr="00C074AB" w:rsidRDefault="00CE1F57" w:rsidP="009563C1">
            <w:pPr>
              <w:jc w:val="right"/>
              <w:rPr>
                <w:rFonts w:ascii="Calibri" w:hAnsi="Calibri"/>
                <w:b/>
              </w:rPr>
            </w:pPr>
            <w:r w:rsidRPr="00C074AB">
              <w:rPr>
                <w:rFonts w:ascii="Calibri" w:hAnsi="Calibri"/>
                <w:b/>
              </w:rPr>
              <w:t>Proyecto u oficinas analizadas:</w:t>
            </w:r>
          </w:p>
        </w:tc>
        <w:tc>
          <w:tcPr>
            <w:tcW w:w="7742" w:type="dxa"/>
            <w:gridSpan w:val="3"/>
            <w:vAlign w:val="center"/>
          </w:tcPr>
          <w:p w:rsidR="00143952" w:rsidRPr="00C074AB" w:rsidRDefault="00143952" w:rsidP="00143952">
            <w:pPr>
              <w:tabs>
                <w:tab w:val="left" w:pos="2985"/>
              </w:tabs>
              <w:rPr>
                <w:b/>
                <w:bCs/>
                <w:sz w:val="28"/>
                <w:szCs w:val="28"/>
              </w:rPr>
            </w:pPr>
          </w:p>
          <w:p w:rsidR="00CE1F57" w:rsidRPr="00C074AB" w:rsidRDefault="00143952" w:rsidP="00206B52">
            <w:pPr>
              <w:tabs>
                <w:tab w:val="left" w:pos="2985"/>
              </w:tabs>
              <w:rPr>
                <w:rFonts w:ascii="Calibri" w:hAnsi="Calibri"/>
                <w:i/>
              </w:rPr>
            </w:pPr>
            <w:r w:rsidRPr="00C074AB">
              <w:rPr>
                <w:b/>
                <w:bCs/>
                <w:sz w:val="28"/>
                <w:szCs w:val="28"/>
              </w:rPr>
              <w:t>Departamento de Trabajo Social y Psicología (Niñez y Adolescencia).</w:t>
            </w:r>
          </w:p>
          <w:p w:rsidR="00CE1F57" w:rsidRPr="00C074AB" w:rsidRDefault="00CE1F57" w:rsidP="00067C87">
            <w:pPr>
              <w:rPr>
                <w:rFonts w:ascii="Calibri" w:hAnsi="Calibri"/>
                <w:i/>
              </w:rPr>
            </w:pPr>
          </w:p>
        </w:tc>
      </w:tr>
    </w:tbl>
    <w:p w:rsidR="006713AB" w:rsidRPr="00C074AB" w:rsidRDefault="006713AB" w:rsidP="006713AB">
      <w:pPr>
        <w:jc w:val="center"/>
        <w:rPr>
          <w:rFonts w:ascii="Calibri" w:hAnsi="Calibri"/>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762"/>
      </w:tblGrid>
      <w:tr w:rsidR="00CE1F57" w:rsidRPr="00C074AB" w:rsidTr="00604651">
        <w:trPr>
          <w:trHeight w:val="705"/>
          <w:jc w:val="center"/>
        </w:trPr>
        <w:tc>
          <w:tcPr>
            <w:tcW w:w="2518" w:type="dxa"/>
            <w:shd w:val="clear" w:color="auto" w:fill="C0C0C0"/>
          </w:tcPr>
          <w:p w:rsidR="00CE1F57" w:rsidRPr="00C074AB" w:rsidRDefault="00CE1F57" w:rsidP="00197472">
            <w:pPr>
              <w:spacing w:line="480" w:lineRule="auto"/>
              <w:jc w:val="right"/>
              <w:rPr>
                <w:b/>
                <w:sz w:val="28"/>
                <w:szCs w:val="28"/>
              </w:rPr>
            </w:pPr>
            <w:r w:rsidRPr="00C074AB">
              <w:rPr>
                <w:b/>
                <w:sz w:val="28"/>
                <w:szCs w:val="28"/>
              </w:rPr>
              <w:t>I. Plazas por Analizar</w:t>
            </w:r>
          </w:p>
        </w:tc>
        <w:tc>
          <w:tcPr>
            <w:tcW w:w="7762" w:type="dxa"/>
          </w:tcPr>
          <w:p w:rsidR="00CE1F57" w:rsidRPr="00C074AB" w:rsidRDefault="00143952" w:rsidP="00197472">
            <w:pPr>
              <w:spacing w:line="480" w:lineRule="auto"/>
              <w:jc w:val="both"/>
              <w:rPr>
                <w:i/>
                <w:sz w:val="28"/>
                <w:szCs w:val="28"/>
                <w:lang w:val="es-CR"/>
              </w:rPr>
            </w:pPr>
            <w:r w:rsidRPr="00C074AB">
              <w:rPr>
                <w:i/>
                <w:sz w:val="28"/>
                <w:szCs w:val="28"/>
                <w:lang w:val="es-CR"/>
              </w:rPr>
              <w:t xml:space="preserve">1 </w:t>
            </w:r>
            <w:r w:rsidR="004610D2" w:rsidRPr="00C074AB">
              <w:rPr>
                <w:i/>
                <w:sz w:val="28"/>
                <w:szCs w:val="28"/>
                <w:lang w:val="es-CR"/>
              </w:rPr>
              <w:t xml:space="preserve">Perita o </w:t>
            </w:r>
            <w:r w:rsidRPr="00C074AB">
              <w:rPr>
                <w:i/>
                <w:sz w:val="28"/>
                <w:szCs w:val="28"/>
                <w:lang w:val="es-CR"/>
              </w:rPr>
              <w:t>Perito Judicial 2 (Psicólog</w:t>
            </w:r>
            <w:r w:rsidR="0088224D" w:rsidRPr="00C074AB">
              <w:rPr>
                <w:i/>
                <w:sz w:val="28"/>
                <w:szCs w:val="28"/>
                <w:lang w:val="es-CR"/>
              </w:rPr>
              <w:t>a o Psicólogo</w:t>
            </w:r>
            <w:r w:rsidRPr="00C074AB">
              <w:rPr>
                <w:i/>
                <w:sz w:val="28"/>
                <w:szCs w:val="28"/>
                <w:lang w:val="es-CR"/>
              </w:rPr>
              <w:t>).</w:t>
            </w:r>
          </w:p>
          <w:p w:rsidR="00143952" w:rsidRPr="00C074AB" w:rsidRDefault="00143952" w:rsidP="00197472">
            <w:pPr>
              <w:spacing w:line="480" w:lineRule="auto"/>
              <w:jc w:val="both"/>
              <w:rPr>
                <w:i/>
                <w:sz w:val="28"/>
                <w:szCs w:val="28"/>
              </w:rPr>
            </w:pPr>
            <w:r w:rsidRPr="00C074AB">
              <w:rPr>
                <w:i/>
                <w:sz w:val="28"/>
                <w:szCs w:val="28"/>
              </w:rPr>
              <w:t xml:space="preserve">1 </w:t>
            </w:r>
            <w:r w:rsidR="004610D2" w:rsidRPr="00C074AB">
              <w:rPr>
                <w:i/>
                <w:sz w:val="28"/>
                <w:szCs w:val="28"/>
              </w:rPr>
              <w:t>Perit</w:t>
            </w:r>
            <w:r w:rsidR="00E21540" w:rsidRPr="00C074AB">
              <w:rPr>
                <w:i/>
                <w:sz w:val="28"/>
                <w:szCs w:val="28"/>
              </w:rPr>
              <w:t>a</w:t>
            </w:r>
            <w:r w:rsidR="004610D2" w:rsidRPr="00C074AB">
              <w:rPr>
                <w:i/>
                <w:sz w:val="28"/>
                <w:szCs w:val="28"/>
              </w:rPr>
              <w:t xml:space="preserve"> o </w:t>
            </w:r>
            <w:r w:rsidRPr="00C074AB">
              <w:rPr>
                <w:i/>
                <w:sz w:val="28"/>
                <w:szCs w:val="28"/>
                <w:lang w:val="es-CR"/>
              </w:rPr>
              <w:t>Perito Judicial 2 (Trabajador</w:t>
            </w:r>
            <w:r w:rsidR="0088224D" w:rsidRPr="00C074AB">
              <w:rPr>
                <w:i/>
                <w:sz w:val="28"/>
                <w:szCs w:val="28"/>
                <w:lang w:val="es-CR"/>
              </w:rPr>
              <w:t>a o Trabajador</w:t>
            </w:r>
            <w:r w:rsidRPr="00C074AB">
              <w:rPr>
                <w:i/>
                <w:sz w:val="28"/>
                <w:szCs w:val="28"/>
                <w:lang w:val="es-CR"/>
              </w:rPr>
              <w:t xml:space="preserve"> Social).</w:t>
            </w:r>
          </w:p>
        </w:tc>
      </w:tr>
      <w:tr w:rsidR="00CE1F57" w:rsidRPr="00C074AB" w:rsidTr="00604651">
        <w:trPr>
          <w:trHeight w:val="1108"/>
          <w:jc w:val="center"/>
        </w:trPr>
        <w:tc>
          <w:tcPr>
            <w:tcW w:w="2518" w:type="dxa"/>
            <w:shd w:val="clear" w:color="auto" w:fill="C0C0C0"/>
          </w:tcPr>
          <w:p w:rsidR="00CE1F57" w:rsidRPr="00C074AB" w:rsidRDefault="00CE1F57" w:rsidP="00197472">
            <w:pPr>
              <w:spacing w:line="480" w:lineRule="auto"/>
              <w:jc w:val="right"/>
              <w:rPr>
                <w:b/>
                <w:sz w:val="28"/>
                <w:szCs w:val="28"/>
              </w:rPr>
            </w:pPr>
            <w:r w:rsidRPr="00C074AB">
              <w:rPr>
                <w:b/>
                <w:sz w:val="28"/>
                <w:szCs w:val="28"/>
              </w:rPr>
              <w:t xml:space="preserve">II. Justificación de </w:t>
            </w:r>
            <w:smartTag w:uri="urn:schemas-microsoft-com:office:smarttags" w:element="PersonName">
              <w:smartTagPr>
                <w:attr w:name="ProductID" w:val="la Situaci￳n"/>
              </w:smartTagPr>
              <w:r w:rsidRPr="00C074AB">
                <w:rPr>
                  <w:b/>
                  <w:sz w:val="28"/>
                  <w:szCs w:val="28"/>
                </w:rPr>
                <w:t>la Situación</w:t>
              </w:r>
            </w:smartTag>
            <w:r w:rsidRPr="00C074AB">
              <w:rPr>
                <w:b/>
                <w:sz w:val="28"/>
                <w:szCs w:val="28"/>
              </w:rPr>
              <w:t xml:space="preserve"> o Necesidad Planteada</w:t>
            </w:r>
          </w:p>
        </w:tc>
        <w:tc>
          <w:tcPr>
            <w:tcW w:w="7762" w:type="dxa"/>
          </w:tcPr>
          <w:p w:rsidR="00C239E7" w:rsidRPr="00C074AB" w:rsidRDefault="00C239E7" w:rsidP="00C239E7">
            <w:pPr>
              <w:spacing w:line="480" w:lineRule="auto"/>
              <w:jc w:val="both"/>
              <w:rPr>
                <w:bCs/>
                <w:i/>
                <w:sz w:val="28"/>
                <w:szCs w:val="28"/>
              </w:rPr>
            </w:pPr>
            <w:r w:rsidRPr="00C074AB">
              <w:rPr>
                <w:bCs/>
                <w:i/>
                <w:sz w:val="28"/>
                <w:szCs w:val="28"/>
              </w:rPr>
              <w:t>La asignación del equipo interdisciplinario (psicóloga o psicólogo  y trabajadora  o trabajador   social) extraordinario que se otorgó al Departamento  de Trabajo Social y Psicología para la atención prioritaria de los asuntos relativos a los procesos de Niñez y Adolescencia, surge de la necesidad de una atención más expedita de los informes solicitados a estos profesionales por ese  Juzgado, los cuales en periodos anteriores al 2015 presentaban demoras significativas que retrasaban la resolución de los procesos en esta materia.</w:t>
            </w:r>
          </w:p>
          <w:p w:rsidR="00C239E7" w:rsidRPr="00C074AB" w:rsidRDefault="00C239E7" w:rsidP="00C239E7">
            <w:pPr>
              <w:spacing w:line="480" w:lineRule="auto"/>
              <w:jc w:val="both"/>
              <w:rPr>
                <w:bCs/>
                <w:i/>
                <w:sz w:val="28"/>
                <w:szCs w:val="28"/>
              </w:rPr>
            </w:pPr>
          </w:p>
          <w:p w:rsidR="001010CF" w:rsidRDefault="00C239E7" w:rsidP="00C239E7">
            <w:pPr>
              <w:spacing w:line="480" w:lineRule="auto"/>
              <w:jc w:val="both"/>
              <w:rPr>
                <w:i/>
                <w:sz w:val="28"/>
                <w:szCs w:val="28"/>
                <w:lang w:val="es-CR"/>
              </w:rPr>
            </w:pPr>
            <w:r w:rsidRPr="00C074AB">
              <w:rPr>
                <w:i/>
                <w:sz w:val="28"/>
                <w:szCs w:val="28"/>
                <w:lang w:val="es-CR"/>
              </w:rPr>
              <w:t xml:space="preserve">La dotación de estos recursos permitió durante el 2015 aumentar la cantidad de asuntos concluidos respecto del 2014, generándose así un impacto positivo en el Juzgado de Niñez y Adolescencia, al </w:t>
            </w:r>
            <w:r w:rsidRPr="00C074AB">
              <w:rPr>
                <w:i/>
                <w:sz w:val="28"/>
                <w:szCs w:val="28"/>
                <w:lang w:val="es-CR"/>
              </w:rPr>
              <w:lastRenderedPageBreak/>
              <w:t xml:space="preserve">poder disponer de un mayor número de peritajes y proceder así </w:t>
            </w:r>
            <w:r w:rsidR="00F87704" w:rsidRPr="00C074AB">
              <w:rPr>
                <w:i/>
                <w:sz w:val="28"/>
                <w:szCs w:val="28"/>
                <w:lang w:val="es-CR"/>
              </w:rPr>
              <w:t>a resolver</w:t>
            </w:r>
            <w:r w:rsidRPr="00C074AB">
              <w:rPr>
                <w:i/>
                <w:sz w:val="28"/>
                <w:szCs w:val="28"/>
                <w:lang w:val="es-CR"/>
              </w:rPr>
              <w:t xml:space="preserve"> una mayor cantidad de expedientes. </w:t>
            </w:r>
          </w:p>
          <w:p w:rsidR="001010CF" w:rsidRDefault="001010CF" w:rsidP="00C239E7">
            <w:pPr>
              <w:spacing w:line="480" w:lineRule="auto"/>
              <w:jc w:val="both"/>
              <w:rPr>
                <w:i/>
                <w:sz w:val="28"/>
                <w:szCs w:val="28"/>
                <w:lang w:val="es-CR"/>
              </w:rPr>
            </w:pPr>
          </w:p>
          <w:p w:rsidR="00C239E7" w:rsidRPr="00C074AB" w:rsidRDefault="00F87704" w:rsidP="00C239E7">
            <w:pPr>
              <w:spacing w:line="480" w:lineRule="auto"/>
              <w:jc w:val="both"/>
              <w:rPr>
                <w:i/>
                <w:sz w:val="28"/>
                <w:szCs w:val="28"/>
                <w:lang w:val="es-CR"/>
              </w:rPr>
            </w:pPr>
            <w:r w:rsidRPr="00C074AB">
              <w:rPr>
                <w:i/>
                <w:sz w:val="28"/>
                <w:szCs w:val="28"/>
                <w:lang w:val="es-CR"/>
              </w:rPr>
              <w:t>Durante el</w:t>
            </w:r>
            <w:r w:rsidR="00C239E7" w:rsidRPr="00C074AB">
              <w:rPr>
                <w:i/>
                <w:sz w:val="28"/>
                <w:szCs w:val="28"/>
                <w:lang w:val="es-CR"/>
              </w:rPr>
              <w:t xml:space="preserve"> 2016</w:t>
            </w:r>
            <w:r w:rsidRPr="00C074AB">
              <w:rPr>
                <w:i/>
                <w:sz w:val="28"/>
                <w:szCs w:val="28"/>
                <w:lang w:val="es-CR"/>
              </w:rPr>
              <w:t>, se</w:t>
            </w:r>
            <w:r w:rsidR="00C239E7" w:rsidRPr="00C074AB">
              <w:rPr>
                <w:i/>
                <w:sz w:val="28"/>
                <w:szCs w:val="28"/>
                <w:lang w:val="es-CR"/>
              </w:rPr>
              <w:t xml:space="preserve"> observa que del total de solicitudes ingresadas, el mayor número de solicitudes estuvo conformado por las valoraciones psicosociales </w:t>
            </w:r>
            <w:r w:rsidRPr="00C074AB">
              <w:rPr>
                <w:i/>
                <w:sz w:val="28"/>
                <w:szCs w:val="28"/>
                <w:lang w:val="es-CR"/>
              </w:rPr>
              <w:t>y en</w:t>
            </w:r>
            <w:r w:rsidR="00C239E7" w:rsidRPr="00C074AB">
              <w:rPr>
                <w:i/>
                <w:sz w:val="28"/>
                <w:szCs w:val="28"/>
                <w:lang w:val="es-CR"/>
              </w:rPr>
              <w:t xml:space="preserve"> este sentido el equipo extraordinario logró concluir un </w:t>
            </w:r>
            <w:r w:rsidR="001010CF">
              <w:rPr>
                <w:i/>
                <w:sz w:val="28"/>
                <w:szCs w:val="28"/>
                <w:lang w:val="es-CR"/>
              </w:rPr>
              <w:t>55</w:t>
            </w:r>
            <w:r w:rsidR="00C239E7" w:rsidRPr="00C074AB">
              <w:rPr>
                <w:i/>
                <w:sz w:val="28"/>
                <w:szCs w:val="28"/>
                <w:lang w:val="es-CR"/>
              </w:rPr>
              <w:t xml:space="preserve">% de los asuntos que les fueron asignados en este tipo de valoraciones, </w:t>
            </w:r>
            <w:r w:rsidR="001010CF">
              <w:rPr>
                <w:i/>
                <w:sz w:val="28"/>
                <w:szCs w:val="28"/>
                <w:lang w:val="es-CR"/>
              </w:rPr>
              <w:t xml:space="preserve">siendo que éstas </w:t>
            </w:r>
            <w:r w:rsidR="00C239E7" w:rsidRPr="00C074AB">
              <w:rPr>
                <w:i/>
                <w:sz w:val="28"/>
                <w:szCs w:val="28"/>
                <w:lang w:val="es-CR"/>
              </w:rPr>
              <w:t xml:space="preserve"> constituyen el </w:t>
            </w:r>
            <w:r w:rsidR="001010CF">
              <w:rPr>
                <w:i/>
                <w:sz w:val="28"/>
                <w:szCs w:val="28"/>
                <w:lang w:val="es-CR"/>
              </w:rPr>
              <w:t>73</w:t>
            </w:r>
            <w:r w:rsidR="00C239E7" w:rsidRPr="00C074AB">
              <w:rPr>
                <w:i/>
                <w:sz w:val="28"/>
                <w:szCs w:val="28"/>
                <w:lang w:val="es-CR"/>
              </w:rPr>
              <w:t xml:space="preserve">% del total de valoraciones que se solicitaron.  </w:t>
            </w:r>
          </w:p>
          <w:p w:rsidR="00C239E7" w:rsidRPr="00C074AB" w:rsidRDefault="00C239E7" w:rsidP="00C239E7">
            <w:pPr>
              <w:spacing w:line="480" w:lineRule="auto"/>
              <w:jc w:val="both"/>
              <w:rPr>
                <w:i/>
                <w:sz w:val="28"/>
                <w:szCs w:val="28"/>
                <w:lang w:val="es-CR"/>
              </w:rPr>
            </w:pPr>
          </w:p>
          <w:p w:rsidR="00C239E7" w:rsidRPr="00C074AB" w:rsidRDefault="00C239E7" w:rsidP="00C239E7">
            <w:pPr>
              <w:spacing w:line="480" w:lineRule="auto"/>
              <w:jc w:val="both"/>
              <w:rPr>
                <w:i/>
                <w:sz w:val="28"/>
                <w:szCs w:val="28"/>
                <w:lang w:val="es-CR"/>
              </w:rPr>
            </w:pPr>
            <w:r w:rsidRPr="00C074AB">
              <w:rPr>
                <w:i/>
                <w:sz w:val="28"/>
                <w:szCs w:val="28"/>
                <w:lang w:val="es-CR"/>
              </w:rPr>
              <w:t xml:space="preserve">Nótese </w:t>
            </w:r>
            <w:r w:rsidR="00CA4AD0" w:rsidRPr="00C074AB">
              <w:rPr>
                <w:i/>
                <w:sz w:val="28"/>
                <w:szCs w:val="28"/>
                <w:lang w:val="es-CR"/>
              </w:rPr>
              <w:t>que,</w:t>
            </w:r>
            <w:r w:rsidRPr="00C074AB">
              <w:rPr>
                <w:i/>
                <w:sz w:val="28"/>
                <w:szCs w:val="28"/>
                <w:lang w:val="es-CR"/>
              </w:rPr>
              <w:t xml:space="preserve"> de no existir este equipo, esas valoraciones vendrían a engrosar la lista de espera y los tiempos de respuesta del equipo ordinario.</w:t>
            </w:r>
          </w:p>
          <w:p w:rsidR="00C239E7" w:rsidRPr="00C074AB" w:rsidRDefault="00C239E7" w:rsidP="00C239E7">
            <w:pPr>
              <w:spacing w:line="480" w:lineRule="auto"/>
              <w:jc w:val="both"/>
              <w:rPr>
                <w:i/>
                <w:sz w:val="28"/>
                <w:szCs w:val="28"/>
                <w:lang w:val="es-CR"/>
              </w:rPr>
            </w:pPr>
          </w:p>
          <w:p w:rsidR="00C239E7" w:rsidRPr="00C074AB" w:rsidRDefault="00C239E7" w:rsidP="00C239E7">
            <w:pPr>
              <w:spacing w:line="480" w:lineRule="auto"/>
              <w:jc w:val="both"/>
              <w:rPr>
                <w:i/>
                <w:sz w:val="28"/>
                <w:szCs w:val="28"/>
                <w:lang w:val="es-CR"/>
              </w:rPr>
            </w:pPr>
            <w:r w:rsidRPr="00C074AB">
              <w:rPr>
                <w:i/>
                <w:sz w:val="28"/>
                <w:szCs w:val="28"/>
                <w:lang w:val="es-CR"/>
              </w:rPr>
              <w:t>Por otra parte, se acortaron los tiempos de espera para rendir los peritajes</w:t>
            </w:r>
            <w:r w:rsidR="008A3CCD" w:rsidRPr="00C074AB">
              <w:rPr>
                <w:i/>
                <w:sz w:val="28"/>
                <w:szCs w:val="28"/>
                <w:lang w:val="es-CR"/>
              </w:rPr>
              <w:t xml:space="preserve"> los cuales oscilaban en un rango </w:t>
            </w:r>
            <w:r w:rsidR="00F87704" w:rsidRPr="00C074AB">
              <w:rPr>
                <w:i/>
                <w:sz w:val="28"/>
                <w:szCs w:val="28"/>
                <w:lang w:val="es-CR"/>
              </w:rPr>
              <w:t xml:space="preserve">de </w:t>
            </w:r>
            <w:r w:rsidR="00F00561">
              <w:rPr>
                <w:i/>
                <w:sz w:val="28"/>
                <w:szCs w:val="28"/>
                <w:lang w:val="es-CR"/>
              </w:rPr>
              <w:t>siete</w:t>
            </w:r>
            <w:r w:rsidR="008A3CCD" w:rsidRPr="00C074AB">
              <w:rPr>
                <w:i/>
                <w:sz w:val="28"/>
                <w:szCs w:val="28"/>
                <w:lang w:val="es-CR"/>
              </w:rPr>
              <w:t xml:space="preserve"> a 11 meses, siendo </w:t>
            </w:r>
            <w:r w:rsidR="00F00561">
              <w:rPr>
                <w:i/>
                <w:sz w:val="28"/>
                <w:szCs w:val="28"/>
                <w:lang w:val="es-CR"/>
              </w:rPr>
              <w:t>siete meses</w:t>
            </w:r>
            <w:r w:rsidR="008A3CCD" w:rsidRPr="00C074AB">
              <w:rPr>
                <w:i/>
                <w:sz w:val="28"/>
                <w:szCs w:val="28"/>
                <w:lang w:val="es-CR"/>
              </w:rPr>
              <w:t xml:space="preserve"> el tiempo menor de espera de la solicitud realizada por el Juzgado y 11 meses el tiempo mayor</w:t>
            </w:r>
            <w:r w:rsidR="00226FEF" w:rsidRPr="00C074AB">
              <w:rPr>
                <w:i/>
                <w:sz w:val="28"/>
                <w:szCs w:val="28"/>
                <w:lang w:val="es-CR"/>
              </w:rPr>
              <w:t xml:space="preserve"> de espera de la solicitud para ser atendida.   </w:t>
            </w:r>
            <w:r w:rsidR="00F00561">
              <w:rPr>
                <w:i/>
                <w:sz w:val="28"/>
                <w:szCs w:val="28"/>
                <w:lang w:val="es-CR"/>
              </w:rPr>
              <w:t>Ese</w:t>
            </w:r>
            <w:r w:rsidR="00226FEF" w:rsidRPr="00C074AB">
              <w:rPr>
                <w:i/>
                <w:sz w:val="28"/>
                <w:szCs w:val="28"/>
                <w:lang w:val="es-CR"/>
              </w:rPr>
              <w:t xml:space="preserve"> plazo se redujo </w:t>
            </w:r>
            <w:r w:rsidR="00F87704" w:rsidRPr="00C074AB">
              <w:rPr>
                <w:i/>
                <w:sz w:val="28"/>
                <w:szCs w:val="28"/>
                <w:lang w:val="es-CR"/>
              </w:rPr>
              <w:t>a cinco</w:t>
            </w:r>
            <w:r w:rsidRPr="00C074AB">
              <w:rPr>
                <w:i/>
                <w:sz w:val="28"/>
                <w:szCs w:val="28"/>
                <w:lang w:val="es-CR"/>
              </w:rPr>
              <w:t xml:space="preserve"> meses </w:t>
            </w:r>
            <w:r w:rsidRPr="00C074AB">
              <w:rPr>
                <w:i/>
                <w:sz w:val="28"/>
                <w:szCs w:val="28"/>
                <w:lang w:val="es-CR"/>
              </w:rPr>
              <w:lastRenderedPageBreak/>
              <w:t xml:space="preserve">en el 2015. Durante el 2016, ambos equipos mantienen tiempos promedio de respuesta muy similares a los del 2015, año en el cual se mantuvo en una cifra promedio de </w:t>
            </w:r>
            <w:r w:rsidR="005D5002">
              <w:rPr>
                <w:i/>
                <w:sz w:val="28"/>
                <w:szCs w:val="28"/>
                <w:lang w:val="es-CR"/>
              </w:rPr>
              <w:t>cinco</w:t>
            </w:r>
            <w:r w:rsidR="005D5002" w:rsidRPr="00C074AB">
              <w:rPr>
                <w:i/>
                <w:sz w:val="28"/>
                <w:szCs w:val="28"/>
                <w:lang w:val="es-CR"/>
              </w:rPr>
              <w:t xml:space="preserve"> meses</w:t>
            </w:r>
            <w:r w:rsidRPr="00C074AB">
              <w:rPr>
                <w:i/>
                <w:sz w:val="28"/>
                <w:szCs w:val="28"/>
                <w:lang w:val="es-CR"/>
              </w:rPr>
              <w:t xml:space="preserve">, mientras que en el 2016 los tiempos promedio de respuesta oscilan entre </w:t>
            </w:r>
            <w:r w:rsidR="00F00561">
              <w:rPr>
                <w:i/>
                <w:sz w:val="28"/>
                <w:szCs w:val="28"/>
                <w:lang w:val="es-CR"/>
              </w:rPr>
              <w:t>cuatro</w:t>
            </w:r>
            <w:r w:rsidRPr="00C074AB">
              <w:rPr>
                <w:i/>
                <w:sz w:val="28"/>
                <w:szCs w:val="28"/>
                <w:lang w:val="es-CR"/>
              </w:rPr>
              <w:t xml:space="preserve"> y </w:t>
            </w:r>
            <w:r w:rsidR="005D5002">
              <w:rPr>
                <w:i/>
                <w:sz w:val="28"/>
                <w:szCs w:val="28"/>
                <w:lang w:val="es-CR"/>
              </w:rPr>
              <w:t>cinco</w:t>
            </w:r>
            <w:r w:rsidR="005D5002" w:rsidRPr="00C074AB">
              <w:rPr>
                <w:i/>
                <w:sz w:val="28"/>
                <w:szCs w:val="28"/>
                <w:lang w:val="es-CR"/>
              </w:rPr>
              <w:t xml:space="preserve"> meses</w:t>
            </w:r>
            <w:r w:rsidRPr="00C074AB">
              <w:rPr>
                <w:i/>
                <w:sz w:val="28"/>
                <w:szCs w:val="28"/>
                <w:lang w:val="es-CR"/>
              </w:rPr>
              <w:t xml:space="preserve"> en la mayoría de las solicitudes, registrándose un plazo mayor</w:t>
            </w:r>
            <w:r w:rsidR="00F5393E" w:rsidRPr="00C074AB">
              <w:rPr>
                <w:i/>
                <w:sz w:val="28"/>
                <w:szCs w:val="28"/>
                <w:lang w:val="es-CR"/>
              </w:rPr>
              <w:t xml:space="preserve"> en algunas solicitudes de carácter más complejo</w:t>
            </w:r>
            <w:r w:rsidRPr="00C074AB">
              <w:rPr>
                <w:i/>
                <w:sz w:val="28"/>
                <w:szCs w:val="28"/>
                <w:lang w:val="es-CR"/>
              </w:rPr>
              <w:t>.</w:t>
            </w:r>
          </w:p>
          <w:p w:rsidR="00CE1F57" w:rsidRPr="00C074AB" w:rsidRDefault="00CE1F57" w:rsidP="00197472">
            <w:pPr>
              <w:spacing w:line="480" w:lineRule="auto"/>
              <w:jc w:val="both"/>
              <w:rPr>
                <w:i/>
                <w:sz w:val="28"/>
                <w:szCs w:val="28"/>
                <w:lang w:val="es-CR"/>
              </w:rPr>
            </w:pPr>
          </w:p>
        </w:tc>
      </w:tr>
      <w:tr w:rsidR="00CE1F57" w:rsidRPr="00C074AB" w:rsidTr="00604651">
        <w:trPr>
          <w:trHeight w:val="1234"/>
          <w:jc w:val="center"/>
        </w:trPr>
        <w:tc>
          <w:tcPr>
            <w:tcW w:w="2518" w:type="dxa"/>
            <w:shd w:val="clear" w:color="auto" w:fill="C0C0C0"/>
          </w:tcPr>
          <w:p w:rsidR="00CE1F57" w:rsidRPr="00C074AB" w:rsidRDefault="00CE1F57" w:rsidP="00197472">
            <w:pPr>
              <w:spacing w:line="480" w:lineRule="auto"/>
              <w:jc w:val="right"/>
              <w:rPr>
                <w:b/>
                <w:sz w:val="28"/>
                <w:szCs w:val="28"/>
              </w:rPr>
            </w:pPr>
            <w:r w:rsidRPr="00C074AB">
              <w:rPr>
                <w:b/>
                <w:sz w:val="28"/>
                <w:szCs w:val="28"/>
              </w:rPr>
              <w:lastRenderedPageBreak/>
              <w:t>III. Información Relevante</w:t>
            </w:r>
          </w:p>
        </w:tc>
        <w:tc>
          <w:tcPr>
            <w:tcW w:w="7762" w:type="dxa"/>
          </w:tcPr>
          <w:p w:rsidR="00DD342B" w:rsidRPr="00C074AB" w:rsidRDefault="00DD342B" w:rsidP="00B10A66">
            <w:pPr>
              <w:numPr>
                <w:ilvl w:val="0"/>
                <w:numId w:val="12"/>
              </w:numPr>
              <w:spacing w:line="480" w:lineRule="auto"/>
              <w:jc w:val="both"/>
              <w:rPr>
                <w:bCs/>
                <w:i/>
                <w:sz w:val="28"/>
                <w:szCs w:val="28"/>
              </w:rPr>
            </w:pPr>
            <w:r w:rsidRPr="00C074AB">
              <w:rPr>
                <w:bCs/>
                <w:i/>
                <w:sz w:val="28"/>
                <w:szCs w:val="28"/>
              </w:rPr>
              <w:t>Existen dos equipos de trabajo avocados exclusivamente a la atención de los peritajes que solicita el Juzgado de Niñez y Adolescencia</w:t>
            </w:r>
            <w:r w:rsidR="00903860" w:rsidRPr="00C074AB">
              <w:rPr>
                <w:bCs/>
                <w:i/>
                <w:sz w:val="28"/>
                <w:szCs w:val="28"/>
              </w:rPr>
              <w:t>, uno ordinario y otro extraordinario</w:t>
            </w:r>
            <w:r w:rsidRPr="00C074AB">
              <w:rPr>
                <w:bCs/>
                <w:i/>
                <w:sz w:val="28"/>
                <w:szCs w:val="28"/>
              </w:rPr>
              <w:t xml:space="preserve"> y dos equipos que pertenecen a los Juzgados Primero y Segundo de Familia que también apoya</w:t>
            </w:r>
            <w:r w:rsidR="00BA7CDA" w:rsidRPr="00C074AB">
              <w:rPr>
                <w:bCs/>
                <w:i/>
                <w:sz w:val="28"/>
                <w:szCs w:val="28"/>
              </w:rPr>
              <w:t>ron</w:t>
            </w:r>
            <w:r w:rsidRPr="00C074AB">
              <w:rPr>
                <w:bCs/>
                <w:i/>
                <w:sz w:val="28"/>
                <w:szCs w:val="28"/>
              </w:rPr>
              <w:t xml:space="preserve"> esas labores</w:t>
            </w:r>
            <w:r w:rsidR="00BA7CDA" w:rsidRPr="00C074AB">
              <w:rPr>
                <w:bCs/>
                <w:i/>
                <w:sz w:val="28"/>
                <w:szCs w:val="28"/>
              </w:rPr>
              <w:t xml:space="preserve"> durante el 2015 y parte </w:t>
            </w:r>
            <w:r w:rsidR="00462283" w:rsidRPr="00C074AB">
              <w:rPr>
                <w:bCs/>
                <w:i/>
                <w:sz w:val="28"/>
                <w:szCs w:val="28"/>
              </w:rPr>
              <w:t xml:space="preserve">del </w:t>
            </w:r>
            <w:r w:rsidR="00BA7CDA" w:rsidRPr="00C074AB">
              <w:rPr>
                <w:bCs/>
                <w:i/>
                <w:sz w:val="28"/>
                <w:szCs w:val="28"/>
              </w:rPr>
              <w:t>2016</w:t>
            </w:r>
            <w:r w:rsidRPr="00C074AB">
              <w:rPr>
                <w:bCs/>
                <w:i/>
                <w:sz w:val="28"/>
                <w:szCs w:val="28"/>
              </w:rPr>
              <w:t>.</w:t>
            </w:r>
          </w:p>
          <w:p w:rsidR="00B67032" w:rsidRPr="00C074AB" w:rsidRDefault="00985248" w:rsidP="00B10A66">
            <w:pPr>
              <w:numPr>
                <w:ilvl w:val="0"/>
                <w:numId w:val="12"/>
              </w:numPr>
              <w:spacing w:line="480" w:lineRule="auto"/>
              <w:jc w:val="both"/>
              <w:rPr>
                <w:bCs/>
                <w:i/>
                <w:sz w:val="28"/>
                <w:szCs w:val="28"/>
              </w:rPr>
            </w:pPr>
            <w:r w:rsidRPr="00C074AB">
              <w:rPr>
                <w:bCs/>
                <w:i/>
                <w:sz w:val="28"/>
                <w:szCs w:val="28"/>
              </w:rPr>
              <w:t xml:space="preserve">Con la dotación del equipo extraordinario, se logró atender una carga importante de peritajes, lo que a su vez </w:t>
            </w:r>
            <w:r w:rsidR="005960B5" w:rsidRPr="00C074AB">
              <w:rPr>
                <w:bCs/>
                <w:i/>
                <w:sz w:val="28"/>
                <w:szCs w:val="28"/>
              </w:rPr>
              <w:t xml:space="preserve">otorga la herramienta necesaria al Juzgado </w:t>
            </w:r>
            <w:r w:rsidRPr="00C074AB">
              <w:rPr>
                <w:bCs/>
                <w:i/>
                <w:sz w:val="28"/>
                <w:szCs w:val="28"/>
              </w:rPr>
              <w:t>de Niñez y Adolescencia</w:t>
            </w:r>
            <w:r w:rsidR="005960B5" w:rsidRPr="00C074AB">
              <w:rPr>
                <w:bCs/>
                <w:i/>
                <w:sz w:val="28"/>
                <w:szCs w:val="28"/>
              </w:rPr>
              <w:t xml:space="preserve"> para poder concluir los asuntos asociados a </w:t>
            </w:r>
            <w:r w:rsidR="00462283" w:rsidRPr="00C074AB">
              <w:rPr>
                <w:bCs/>
                <w:i/>
                <w:sz w:val="28"/>
                <w:szCs w:val="28"/>
              </w:rPr>
              <w:t>esas valoraciones</w:t>
            </w:r>
            <w:r w:rsidRPr="00C074AB">
              <w:rPr>
                <w:bCs/>
                <w:i/>
                <w:sz w:val="28"/>
                <w:szCs w:val="28"/>
              </w:rPr>
              <w:t>.</w:t>
            </w:r>
          </w:p>
          <w:p w:rsidR="00B10A66" w:rsidRPr="00604651" w:rsidRDefault="00903860" w:rsidP="00604651">
            <w:pPr>
              <w:numPr>
                <w:ilvl w:val="0"/>
                <w:numId w:val="12"/>
              </w:numPr>
              <w:spacing w:line="480" w:lineRule="auto"/>
              <w:jc w:val="both"/>
              <w:rPr>
                <w:sz w:val="28"/>
                <w:szCs w:val="28"/>
                <w:lang w:val="es-ES_tradnl"/>
              </w:rPr>
            </w:pPr>
            <w:r w:rsidRPr="00B10A66">
              <w:rPr>
                <w:bCs/>
                <w:i/>
                <w:sz w:val="28"/>
                <w:szCs w:val="28"/>
              </w:rPr>
              <w:lastRenderedPageBreak/>
              <w:t xml:space="preserve">Con la llegada del equipo extraordinario los tiempos de espera para la atención de </w:t>
            </w:r>
            <w:r w:rsidR="00AE45B7" w:rsidRPr="00B10A66">
              <w:rPr>
                <w:bCs/>
                <w:i/>
                <w:sz w:val="28"/>
                <w:szCs w:val="28"/>
              </w:rPr>
              <w:t>los peritajes se redujero</w:t>
            </w:r>
            <w:r w:rsidR="00F43117" w:rsidRPr="00B10A66">
              <w:rPr>
                <w:bCs/>
                <w:i/>
                <w:sz w:val="28"/>
                <w:szCs w:val="28"/>
              </w:rPr>
              <w:t>n</w:t>
            </w:r>
            <w:r w:rsidR="00AE45B7" w:rsidRPr="00B10A66">
              <w:rPr>
                <w:bCs/>
                <w:i/>
                <w:sz w:val="28"/>
                <w:szCs w:val="28"/>
              </w:rPr>
              <w:t xml:space="preserve">, </w:t>
            </w:r>
            <w:r w:rsidR="00EE66CA" w:rsidRPr="00B10A66">
              <w:rPr>
                <w:bCs/>
                <w:i/>
                <w:sz w:val="28"/>
                <w:szCs w:val="28"/>
              </w:rPr>
              <w:t xml:space="preserve">pues anteriormente el tiempo promedio de espera oscilaba en un rango de </w:t>
            </w:r>
            <w:r w:rsidR="00F00561" w:rsidRPr="00A04589">
              <w:rPr>
                <w:bCs/>
                <w:i/>
                <w:sz w:val="28"/>
                <w:szCs w:val="28"/>
              </w:rPr>
              <w:t xml:space="preserve">siete </w:t>
            </w:r>
            <w:r w:rsidR="00EE66CA" w:rsidRPr="00A04589">
              <w:rPr>
                <w:bCs/>
                <w:i/>
                <w:sz w:val="28"/>
                <w:szCs w:val="28"/>
              </w:rPr>
              <w:t xml:space="preserve">a 11 meses, siendo </w:t>
            </w:r>
            <w:r w:rsidR="00F00561" w:rsidRPr="00A04589">
              <w:rPr>
                <w:bCs/>
                <w:i/>
                <w:sz w:val="28"/>
                <w:szCs w:val="28"/>
              </w:rPr>
              <w:t xml:space="preserve">siete </w:t>
            </w:r>
            <w:r w:rsidR="00EE66CA" w:rsidRPr="00A04589">
              <w:rPr>
                <w:bCs/>
                <w:i/>
                <w:sz w:val="28"/>
                <w:szCs w:val="28"/>
              </w:rPr>
              <w:t>meses el tiempo más corto de espera</w:t>
            </w:r>
            <w:r w:rsidR="00896A85" w:rsidRPr="00A04589">
              <w:rPr>
                <w:bCs/>
                <w:i/>
                <w:sz w:val="28"/>
                <w:szCs w:val="28"/>
              </w:rPr>
              <w:t xml:space="preserve"> para que la solicitud de peritaje fuese a</w:t>
            </w:r>
            <w:r w:rsidR="00896A85" w:rsidRPr="00377589">
              <w:rPr>
                <w:bCs/>
                <w:i/>
                <w:sz w:val="28"/>
                <w:szCs w:val="28"/>
              </w:rPr>
              <w:t>tendida</w:t>
            </w:r>
            <w:r w:rsidR="00EE66CA" w:rsidRPr="00377589">
              <w:rPr>
                <w:bCs/>
                <w:i/>
                <w:sz w:val="28"/>
                <w:szCs w:val="28"/>
              </w:rPr>
              <w:t xml:space="preserve"> y 11 meses el plazo más largo</w:t>
            </w:r>
            <w:r w:rsidR="00F43117" w:rsidRPr="00377589">
              <w:rPr>
                <w:bCs/>
                <w:i/>
                <w:sz w:val="28"/>
                <w:szCs w:val="28"/>
              </w:rPr>
              <w:t xml:space="preserve"> de espera para </w:t>
            </w:r>
            <w:r w:rsidR="00896A85" w:rsidRPr="00377589">
              <w:rPr>
                <w:bCs/>
                <w:i/>
                <w:sz w:val="28"/>
                <w:szCs w:val="28"/>
              </w:rPr>
              <w:t>el mismo fin</w:t>
            </w:r>
            <w:r w:rsidR="00EE66CA" w:rsidRPr="00377589">
              <w:rPr>
                <w:bCs/>
                <w:i/>
                <w:sz w:val="28"/>
                <w:szCs w:val="28"/>
              </w:rPr>
              <w:t>.  Este rango se re</w:t>
            </w:r>
            <w:r w:rsidR="00F43117" w:rsidRPr="00377589">
              <w:rPr>
                <w:bCs/>
                <w:i/>
                <w:sz w:val="28"/>
                <w:szCs w:val="28"/>
              </w:rPr>
              <w:t>dujo</w:t>
            </w:r>
            <w:r w:rsidR="00EE66CA" w:rsidRPr="00377589">
              <w:rPr>
                <w:bCs/>
                <w:i/>
                <w:sz w:val="28"/>
                <w:szCs w:val="28"/>
              </w:rPr>
              <w:t xml:space="preserve"> en el 2015 a </w:t>
            </w:r>
            <w:r w:rsidR="00F00561" w:rsidRPr="00377589">
              <w:rPr>
                <w:bCs/>
                <w:i/>
                <w:sz w:val="28"/>
                <w:szCs w:val="28"/>
              </w:rPr>
              <w:t xml:space="preserve">cinco </w:t>
            </w:r>
            <w:r w:rsidR="00EE66CA" w:rsidRPr="00377589">
              <w:rPr>
                <w:bCs/>
                <w:i/>
                <w:sz w:val="28"/>
                <w:szCs w:val="28"/>
              </w:rPr>
              <w:t xml:space="preserve">meses, </w:t>
            </w:r>
            <w:r w:rsidR="00B2259E" w:rsidRPr="002D35E4">
              <w:rPr>
                <w:bCs/>
                <w:i/>
                <w:sz w:val="28"/>
                <w:szCs w:val="28"/>
              </w:rPr>
              <w:t>lo que muestra una reducción significativa de</w:t>
            </w:r>
            <w:r w:rsidR="00896A85" w:rsidRPr="002D35E4">
              <w:rPr>
                <w:bCs/>
                <w:i/>
                <w:sz w:val="28"/>
                <w:szCs w:val="28"/>
              </w:rPr>
              <w:t>l tiempo en que la solicitud se mantenía en espera de ser atendida</w:t>
            </w:r>
            <w:r w:rsidR="00F43117" w:rsidRPr="002D35E4">
              <w:rPr>
                <w:bCs/>
                <w:i/>
                <w:sz w:val="28"/>
                <w:szCs w:val="28"/>
              </w:rPr>
              <w:t xml:space="preserve">; </w:t>
            </w:r>
            <w:r w:rsidR="00462283" w:rsidRPr="00604651">
              <w:rPr>
                <w:bCs/>
                <w:i/>
                <w:sz w:val="28"/>
                <w:szCs w:val="28"/>
              </w:rPr>
              <w:t xml:space="preserve">tiempo que permanece constante </w:t>
            </w:r>
            <w:r w:rsidR="00F00561" w:rsidRPr="00604651">
              <w:rPr>
                <w:bCs/>
                <w:i/>
                <w:sz w:val="28"/>
                <w:szCs w:val="28"/>
              </w:rPr>
              <w:t>al reportarse</w:t>
            </w:r>
            <w:r w:rsidR="00BD4134" w:rsidRPr="00604651">
              <w:rPr>
                <w:bCs/>
                <w:i/>
                <w:sz w:val="28"/>
                <w:szCs w:val="28"/>
              </w:rPr>
              <w:t xml:space="preserve"> en el 2016 un promedio que </w:t>
            </w:r>
            <w:r w:rsidR="00262D08" w:rsidRPr="00604651">
              <w:rPr>
                <w:bCs/>
                <w:i/>
                <w:sz w:val="28"/>
                <w:szCs w:val="28"/>
              </w:rPr>
              <w:t xml:space="preserve">oscila entre </w:t>
            </w:r>
            <w:r w:rsidR="00F00561" w:rsidRPr="00604651">
              <w:rPr>
                <w:bCs/>
                <w:i/>
                <w:sz w:val="28"/>
                <w:szCs w:val="28"/>
              </w:rPr>
              <w:t xml:space="preserve">cuatro </w:t>
            </w:r>
            <w:r w:rsidR="00262D08" w:rsidRPr="00604651">
              <w:rPr>
                <w:bCs/>
                <w:i/>
                <w:sz w:val="28"/>
                <w:szCs w:val="28"/>
              </w:rPr>
              <w:t xml:space="preserve">y </w:t>
            </w:r>
            <w:r w:rsidR="00F00561" w:rsidRPr="00604651">
              <w:rPr>
                <w:bCs/>
                <w:i/>
                <w:sz w:val="28"/>
                <w:szCs w:val="28"/>
              </w:rPr>
              <w:t>cinco</w:t>
            </w:r>
            <w:r w:rsidR="00BD4134" w:rsidRPr="00604651">
              <w:rPr>
                <w:bCs/>
                <w:i/>
                <w:sz w:val="28"/>
                <w:szCs w:val="28"/>
              </w:rPr>
              <w:t xml:space="preserve"> meses para la atención de la mayoría de l</w:t>
            </w:r>
            <w:r w:rsidR="00262D08" w:rsidRPr="00604651">
              <w:rPr>
                <w:bCs/>
                <w:i/>
                <w:sz w:val="28"/>
                <w:szCs w:val="28"/>
              </w:rPr>
              <w:t>as solicitudes de peritaje</w:t>
            </w:r>
          </w:p>
          <w:p w:rsidR="00B10A66" w:rsidRPr="00604651" w:rsidRDefault="00B10A66" w:rsidP="00604651">
            <w:pPr>
              <w:numPr>
                <w:ilvl w:val="0"/>
                <w:numId w:val="12"/>
              </w:numPr>
              <w:spacing w:line="480" w:lineRule="auto"/>
              <w:jc w:val="both"/>
              <w:rPr>
                <w:i/>
                <w:sz w:val="28"/>
                <w:szCs w:val="28"/>
                <w:lang w:val="es-ES_tradnl"/>
              </w:rPr>
            </w:pPr>
            <w:r w:rsidRPr="00604651">
              <w:rPr>
                <w:i/>
                <w:sz w:val="28"/>
                <w:szCs w:val="28"/>
                <w:lang w:val="es-ES_tradnl"/>
              </w:rPr>
              <w:t xml:space="preserve">Durante el 2015, se aprecia que el equipo ordinario concluyó en promedio mensual una valoración en la cual debió participar la psicóloga o psicólogo y dos en las que participó la trabajadora o trabajador social. Por su parte el equipo extraordinario logró concluir en promedio mensual dos casos en los que participó el psicólogo o psicóloga e igual cifra para las valoraciones en que participó la </w:t>
            </w:r>
            <w:r w:rsidRPr="00604651">
              <w:rPr>
                <w:i/>
                <w:sz w:val="28"/>
                <w:szCs w:val="28"/>
                <w:lang w:val="es-ES_tradnl"/>
              </w:rPr>
              <w:lastRenderedPageBreak/>
              <w:t xml:space="preserve">trabajadora o trabajador social.  </w:t>
            </w:r>
          </w:p>
          <w:p w:rsidR="00B10A66" w:rsidRPr="00604651" w:rsidRDefault="00B10A66" w:rsidP="00604651">
            <w:pPr>
              <w:numPr>
                <w:ilvl w:val="0"/>
                <w:numId w:val="12"/>
              </w:numPr>
              <w:autoSpaceDE w:val="0"/>
              <w:autoSpaceDN w:val="0"/>
              <w:adjustRightInd w:val="0"/>
              <w:spacing w:line="480" w:lineRule="auto"/>
              <w:jc w:val="both"/>
              <w:rPr>
                <w:i/>
                <w:sz w:val="28"/>
                <w:szCs w:val="28"/>
                <w:lang w:val="es-ES_tradnl"/>
              </w:rPr>
            </w:pPr>
            <w:r w:rsidRPr="00604651">
              <w:rPr>
                <w:i/>
                <w:sz w:val="28"/>
                <w:szCs w:val="28"/>
                <w:lang w:val="es-ES_tradnl"/>
              </w:rPr>
              <w:t>En el 2016 el equipo ordinario concluyó en promedio mensual tres valoraciones en las cuales debió participar la psicóloga o psicólogo e igual número en las que participó la trabajadora o trabajador social.</w:t>
            </w:r>
          </w:p>
          <w:p w:rsidR="00B10A66" w:rsidRPr="00604651" w:rsidRDefault="00B10A66" w:rsidP="00604651">
            <w:pPr>
              <w:numPr>
                <w:ilvl w:val="0"/>
                <w:numId w:val="12"/>
              </w:numPr>
              <w:autoSpaceDE w:val="0"/>
              <w:autoSpaceDN w:val="0"/>
              <w:adjustRightInd w:val="0"/>
              <w:spacing w:line="480" w:lineRule="auto"/>
              <w:jc w:val="both"/>
              <w:rPr>
                <w:i/>
                <w:sz w:val="28"/>
                <w:szCs w:val="28"/>
                <w:lang w:val="es-ES_tradnl"/>
              </w:rPr>
            </w:pPr>
            <w:r w:rsidRPr="00604651">
              <w:rPr>
                <w:i/>
                <w:sz w:val="28"/>
                <w:szCs w:val="28"/>
                <w:lang w:val="es-ES_tradnl"/>
              </w:rPr>
              <w:t xml:space="preserve">Por su parte el equipo extraordinario logró concluir en promedio mensual tres casos en los que participó el psicólogo o psicóloga e igual cifra para las valoraciones en que participó la trabajadora o trabajador social.  Por lo tanto ambos equipos muestran la misma efectividad respecto de la cantidad de asuntos concluidos.  </w:t>
            </w:r>
          </w:p>
          <w:p w:rsidR="00B10A66" w:rsidRPr="00604651" w:rsidRDefault="00B10A66" w:rsidP="00604651">
            <w:pPr>
              <w:numPr>
                <w:ilvl w:val="0"/>
                <w:numId w:val="12"/>
              </w:numPr>
              <w:autoSpaceDE w:val="0"/>
              <w:autoSpaceDN w:val="0"/>
              <w:adjustRightInd w:val="0"/>
              <w:spacing w:line="480" w:lineRule="auto"/>
              <w:jc w:val="both"/>
              <w:rPr>
                <w:i/>
                <w:sz w:val="28"/>
                <w:szCs w:val="28"/>
                <w:lang w:val="es-ES_tradnl"/>
              </w:rPr>
            </w:pPr>
            <w:r w:rsidRPr="00604651">
              <w:rPr>
                <w:i/>
                <w:sz w:val="28"/>
                <w:szCs w:val="28"/>
                <w:lang w:val="es-ES_tradnl"/>
              </w:rPr>
              <w:t xml:space="preserve">Es importante indicar que de conformidad con el estudio integral del Departamento de Trabajo Social y Psicología que se lleva a cabo en esta Dirección, en materia de niñez y adolescencia, el parámetro de casos terminados mensualmente asciende a un mínimo de cuatro casos mensuales para el caso de las </w:t>
            </w:r>
            <w:r w:rsidR="00377589">
              <w:rPr>
                <w:i/>
                <w:sz w:val="28"/>
                <w:szCs w:val="28"/>
                <w:lang w:val="es-ES_tradnl"/>
              </w:rPr>
              <w:t>P</w:t>
            </w:r>
            <w:r w:rsidRPr="00604651">
              <w:rPr>
                <w:i/>
                <w:sz w:val="28"/>
                <w:szCs w:val="28"/>
                <w:lang w:val="es-ES_tradnl"/>
              </w:rPr>
              <w:t xml:space="preserve">sicólogas o </w:t>
            </w:r>
            <w:r w:rsidR="00377589">
              <w:rPr>
                <w:i/>
                <w:sz w:val="28"/>
                <w:szCs w:val="28"/>
                <w:lang w:val="es-ES_tradnl"/>
              </w:rPr>
              <w:t>P</w:t>
            </w:r>
            <w:r w:rsidRPr="00604651">
              <w:rPr>
                <w:i/>
                <w:sz w:val="28"/>
                <w:szCs w:val="28"/>
                <w:lang w:val="es-ES_tradnl"/>
              </w:rPr>
              <w:t xml:space="preserve">sicólogos y de cinco para la </w:t>
            </w:r>
            <w:r w:rsidR="00377589">
              <w:rPr>
                <w:i/>
                <w:sz w:val="28"/>
                <w:szCs w:val="28"/>
                <w:lang w:val="es-ES_tradnl"/>
              </w:rPr>
              <w:t>T</w:t>
            </w:r>
            <w:r w:rsidRPr="00604651">
              <w:rPr>
                <w:i/>
                <w:sz w:val="28"/>
                <w:szCs w:val="28"/>
                <w:lang w:val="es-ES_tradnl"/>
              </w:rPr>
              <w:t xml:space="preserve">rabajadora o </w:t>
            </w:r>
            <w:r w:rsidR="00377589">
              <w:rPr>
                <w:i/>
                <w:sz w:val="28"/>
                <w:szCs w:val="28"/>
                <w:lang w:val="es-ES_tradnl"/>
              </w:rPr>
              <w:t>T</w:t>
            </w:r>
            <w:r w:rsidRPr="00604651">
              <w:rPr>
                <w:i/>
                <w:sz w:val="28"/>
                <w:szCs w:val="28"/>
                <w:lang w:val="es-ES_tradnl"/>
              </w:rPr>
              <w:t xml:space="preserve">rabajador </w:t>
            </w:r>
            <w:r w:rsidR="00377589">
              <w:rPr>
                <w:i/>
                <w:sz w:val="28"/>
                <w:szCs w:val="28"/>
                <w:lang w:val="es-ES_tradnl"/>
              </w:rPr>
              <w:t>S</w:t>
            </w:r>
            <w:r w:rsidRPr="00604651">
              <w:rPr>
                <w:i/>
                <w:sz w:val="28"/>
                <w:szCs w:val="28"/>
                <w:lang w:val="es-ES_tradnl"/>
              </w:rPr>
              <w:t>ocial.</w:t>
            </w:r>
          </w:p>
          <w:p w:rsidR="00B10A66" w:rsidRPr="00604651" w:rsidRDefault="00B10A66" w:rsidP="00604651">
            <w:pPr>
              <w:numPr>
                <w:ilvl w:val="0"/>
                <w:numId w:val="12"/>
              </w:numPr>
              <w:autoSpaceDE w:val="0"/>
              <w:autoSpaceDN w:val="0"/>
              <w:adjustRightInd w:val="0"/>
              <w:spacing w:line="480" w:lineRule="auto"/>
              <w:jc w:val="both"/>
              <w:rPr>
                <w:i/>
                <w:sz w:val="28"/>
                <w:szCs w:val="28"/>
                <w:lang w:val="es-ES_tradnl"/>
              </w:rPr>
            </w:pPr>
            <w:r w:rsidRPr="00604651">
              <w:rPr>
                <w:i/>
                <w:sz w:val="28"/>
                <w:szCs w:val="28"/>
                <w:lang w:val="es-ES_tradnl"/>
              </w:rPr>
              <w:t xml:space="preserve">Es necesario que tanto en el caso de las psicólogas o </w:t>
            </w:r>
            <w:r w:rsidRPr="00604651">
              <w:rPr>
                <w:i/>
                <w:sz w:val="28"/>
                <w:szCs w:val="28"/>
                <w:lang w:val="es-ES_tradnl"/>
              </w:rPr>
              <w:lastRenderedPageBreak/>
              <w:t xml:space="preserve">psicólogos y de la trabajadora o trabajador social, se aumente la cantidad de casos terminados mensualmente cumpliéndose con el parámetro indicado </w:t>
            </w:r>
            <w:r w:rsidR="009E353E">
              <w:rPr>
                <w:i/>
                <w:sz w:val="28"/>
                <w:szCs w:val="28"/>
                <w:lang w:val="es-ES_tradnl"/>
              </w:rPr>
              <w:t>en el punto anterior.</w:t>
            </w:r>
          </w:p>
          <w:p w:rsidR="00D67DA5" w:rsidRPr="00C074AB" w:rsidRDefault="00D67DA5" w:rsidP="005960B5">
            <w:pPr>
              <w:spacing w:line="480" w:lineRule="auto"/>
              <w:ind w:left="360"/>
              <w:jc w:val="both"/>
              <w:rPr>
                <w:i/>
                <w:sz w:val="28"/>
                <w:szCs w:val="28"/>
              </w:rPr>
            </w:pPr>
          </w:p>
        </w:tc>
      </w:tr>
      <w:tr w:rsidR="00CE1F57" w:rsidRPr="00C074AB" w:rsidTr="00604651">
        <w:trPr>
          <w:trHeight w:val="794"/>
          <w:jc w:val="center"/>
        </w:trPr>
        <w:tc>
          <w:tcPr>
            <w:tcW w:w="2518" w:type="dxa"/>
            <w:shd w:val="clear" w:color="auto" w:fill="C0C0C0"/>
          </w:tcPr>
          <w:p w:rsidR="00CE1F57" w:rsidRPr="00C074AB" w:rsidRDefault="00CE1F57" w:rsidP="00197472">
            <w:pPr>
              <w:spacing w:line="480" w:lineRule="auto"/>
              <w:jc w:val="right"/>
              <w:rPr>
                <w:b/>
                <w:sz w:val="28"/>
                <w:szCs w:val="28"/>
              </w:rPr>
            </w:pPr>
            <w:r w:rsidRPr="00C074AB">
              <w:rPr>
                <w:b/>
                <w:sz w:val="28"/>
                <w:szCs w:val="28"/>
              </w:rPr>
              <w:lastRenderedPageBreak/>
              <w:t>IV. Elementos Resolutivos</w:t>
            </w:r>
          </w:p>
        </w:tc>
        <w:tc>
          <w:tcPr>
            <w:tcW w:w="7762" w:type="dxa"/>
          </w:tcPr>
          <w:p w:rsidR="0089460C" w:rsidRPr="00C074AB" w:rsidRDefault="0089460C" w:rsidP="0089460C">
            <w:pPr>
              <w:spacing w:line="480" w:lineRule="auto"/>
              <w:jc w:val="both"/>
              <w:rPr>
                <w:sz w:val="28"/>
                <w:szCs w:val="28"/>
                <w:lang w:val="es-ES_tradnl"/>
              </w:rPr>
            </w:pPr>
            <w:r w:rsidRPr="00C074AB">
              <w:rPr>
                <w:sz w:val="28"/>
                <w:szCs w:val="28"/>
                <w:lang w:val="es-ES_tradnl"/>
              </w:rPr>
              <w:t>Del análisis realizado, se logran extraer los siguientes elementos resolutivos referentes al impacto generado por el equipo interdisciplinario extraordinario otorgado al Departamento de Trabajo Social y Psicología, para la atención prioritaria de los peritajes de Niñez y Adolescencia.</w:t>
            </w:r>
          </w:p>
          <w:p w:rsidR="0089460C" w:rsidRPr="00C074AB" w:rsidRDefault="0089460C" w:rsidP="0089460C">
            <w:pPr>
              <w:spacing w:line="480" w:lineRule="auto"/>
              <w:jc w:val="both"/>
              <w:rPr>
                <w:sz w:val="28"/>
                <w:szCs w:val="28"/>
                <w:lang w:val="es-ES_tradnl"/>
              </w:rPr>
            </w:pPr>
          </w:p>
          <w:p w:rsidR="0089460C" w:rsidRPr="00C074AB" w:rsidRDefault="0089460C" w:rsidP="0089460C">
            <w:pPr>
              <w:spacing w:line="480" w:lineRule="auto"/>
              <w:jc w:val="both"/>
              <w:rPr>
                <w:sz w:val="28"/>
                <w:szCs w:val="28"/>
                <w:lang w:val="es-ES_tradnl"/>
              </w:rPr>
            </w:pPr>
            <w:r w:rsidRPr="00C074AB">
              <w:rPr>
                <w:sz w:val="28"/>
                <w:szCs w:val="28"/>
                <w:lang w:val="es-ES_tradnl"/>
              </w:rPr>
              <w:t>1. A diferencia del año 2015 en que la mayor carga de trabajo respecto de los peritajes solicitados por el Juzgado de Niñez y Adolescencia, había sido asumida por el equipo extraordinario como se visualiza en el cuadro N°</w:t>
            </w:r>
            <w:r w:rsidR="00F00561">
              <w:rPr>
                <w:sz w:val="28"/>
                <w:szCs w:val="28"/>
                <w:lang w:val="es-ES_tradnl"/>
              </w:rPr>
              <w:t>2</w:t>
            </w:r>
            <w:r w:rsidRPr="00C074AB">
              <w:rPr>
                <w:sz w:val="28"/>
                <w:szCs w:val="28"/>
                <w:lang w:val="es-ES_tradnl"/>
              </w:rPr>
              <w:t>del presente informe, en el cuadro N°</w:t>
            </w:r>
            <w:r w:rsidR="00F00561">
              <w:rPr>
                <w:sz w:val="28"/>
                <w:szCs w:val="28"/>
                <w:lang w:val="es-ES_tradnl"/>
              </w:rPr>
              <w:t>3</w:t>
            </w:r>
            <w:r w:rsidRPr="00C074AB">
              <w:rPr>
                <w:sz w:val="28"/>
                <w:szCs w:val="28"/>
                <w:lang w:val="es-ES_tradnl"/>
              </w:rPr>
              <w:t xml:space="preserve">se observa una distribución equitativa en la carga de trabajo de ambos equipos, por lo que se puede deducir que se acató la recomendación realizada en su momento de  equiparar las cargas de trabajo, así como el rendimiento de este equipo con </w:t>
            </w:r>
            <w:r w:rsidRPr="00C074AB">
              <w:rPr>
                <w:sz w:val="28"/>
                <w:szCs w:val="28"/>
              </w:rPr>
              <w:t xml:space="preserve">el del </w:t>
            </w:r>
            <w:r w:rsidRPr="00C074AB">
              <w:rPr>
                <w:sz w:val="28"/>
                <w:szCs w:val="28"/>
              </w:rPr>
              <w:lastRenderedPageBreak/>
              <w:t>equipo ordinario, con el fin de lograr respuestas más oportunas a las solicitudes de los estudios periciales.</w:t>
            </w:r>
          </w:p>
          <w:p w:rsidR="0089460C" w:rsidRPr="00C074AB" w:rsidRDefault="0089460C" w:rsidP="0089460C">
            <w:pPr>
              <w:spacing w:line="480" w:lineRule="auto"/>
              <w:jc w:val="both"/>
              <w:rPr>
                <w:sz w:val="28"/>
                <w:szCs w:val="28"/>
                <w:lang w:val="es-ES_tradnl"/>
              </w:rPr>
            </w:pPr>
            <w:r w:rsidRPr="00C074AB">
              <w:rPr>
                <w:sz w:val="28"/>
                <w:szCs w:val="28"/>
                <w:lang w:val="es-ES_tradnl"/>
              </w:rPr>
              <w:t xml:space="preserve">2. Los peritajes psicosociales constituyen la mayor cantidad de solicitudes realizadas por el Juzgado de Niñez y Adolescencia notándose que cada uno de los dos </w:t>
            </w:r>
            <w:r w:rsidR="00F87704" w:rsidRPr="00C074AB">
              <w:rPr>
                <w:sz w:val="28"/>
                <w:szCs w:val="28"/>
                <w:lang w:val="es-ES_tradnl"/>
              </w:rPr>
              <w:t>equipos cierran</w:t>
            </w:r>
            <w:r w:rsidRPr="00C074AB">
              <w:rPr>
                <w:sz w:val="28"/>
                <w:szCs w:val="28"/>
                <w:lang w:val="es-ES_tradnl"/>
              </w:rPr>
              <w:t xml:space="preserve"> en promedio </w:t>
            </w:r>
            <w:r w:rsidR="005D5002">
              <w:rPr>
                <w:sz w:val="28"/>
                <w:szCs w:val="28"/>
                <w:lang w:val="es-ES_tradnl"/>
              </w:rPr>
              <w:t>tres</w:t>
            </w:r>
            <w:r w:rsidR="005D5002" w:rsidRPr="00C074AB">
              <w:rPr>
                <w:sz w:val="28"/>
                <w:szCs w:val="28"/>
                <w:lang w:val="es-ES_tradnl"/>
              </w:rPr>
              <w:t xml:space="preserve"> casos</w:t>
            </w:r>
            <w:r w:rsidRPr="00C074AB">
              <w:rPr>
                <w:sz w:val="28"/>
                <w:szCs w:val="28"/>
                <w:lang w:val="es-ES_tradnl"/>
              </w:rPr>
              <w:t xml:space="preserve"> mensuales que cuentan con la participación del psicólogo o psicóloga y </w:t>
            </w:r>
            <w:r w:rsidR="005D5002">
              <w:rPr>
                <w:sz w:val="28"/>
                <w:szCs w:val="28"/>
                <w:lang w:val="es-ES_tradnl"/>
              </w:rPr>
              <w:t>tres</w:t>
            </w:r>
            <w:r w:rsidR="005D5002" w:rsidRPr="00C074AB">
              <w:rPr>
                <w:sz w:val="28"/>
                <w:szCs w:val="28"/>
                <w:lang w:val="es-ES_tradnl"/>
              </w:rPr>
              <w:t xml:space="preserve"> casos</w:t>
            </w:r>
            <w:r w:rsidRPr="00C074AB">
              <w:rPr>
                <w:sz w:val="28"/>
                <w:szCs w:val="28"/>
                <w:lang w:val="es-ES_tradnl"/>
              </w:rPr>
              <w:t xml:space="preserve"> con la participación del trabajador o trabajadora social. </w:t>
            </w:r>
          </w:p>
          <w:p w:rsidR="00F00561" w:rsidRDefault="0089460C" w:rsidP="00C074AB">
            <w:pPr>
              <w:spacing w:line="480" w:lineRule="auto"/>
              <w:jc w:val="both"/>
              <w:rPr>
                <w:bCs/>
                <w:i/>
                <w:sz w:val="28"/>
                <w:szCs w:val="28"/>
              </w:rPr>
            </w:pPr>
            <w:r w:rsidRPr="00C074AB">
              <w:rPr>
                <w:sz w:val="28"/>
                <w:szCs w:val="28"/>
                <w:lang w:val="es-ES_tradnl"/>
              </w:rPr>
              <w:t xml:space="preserve">3.  La dotación de estos recursos ha </w:t>
            </w:r>
            <w:r w:rsidR="00F87704" w:rsidRPr="00C074AB">
              <w:rPr>
                <w:sz w:val="28"/>
                <w:szCs w:val="28"/>
                <w:lang w:val="es-ES_tradnl"/>
              </w:rPr>
              <w:t>permitido inicialmente</w:t>
            </w:r>
            <w:r w:rsidRPr="00C074AB">
              <w:rPr>
                <w:sz w:val="28"/>
                <w:szCs w:val="28"/>
                <w:lang w:val="es-ES_tradnl"/>
              </w:rPr>
              <w:t xml:space="preserve"> reducir los atrasos presentados por el Departamento de Trabajo Social y Psicología para  la atención de los peritajes solicitados por el Juzgado de Niñez y Adolescencia reportados para el 2014</w:t>
            </w:r>
            <w:r w:rsidRPr="00C074AB">
              <w:rPr>
                <w:bCs/>
                <w:i/>
                <w:sz w:val="28"/>
                <w:szCs w:val="28"/>
              </w:rPr>
              <w:t xml:space="preserve">, pues anteriormente el tiempo promedio de espera oscilaba en un rango de </w:t>
            </w:r>
            <w:r w:rsidR="00F00561">
              <w:rPr>
                <w:bCs/>
                <w:i/>
                <w:sz w:val="28"/>
                <w:szCs w:val="28"/>
              </w:rPr>
              <w:t>siete</w:t>
            </w:r>
            <w:r w:rsidR="005D5002">
              <w:rPr>
                <w:bCs/>
                <w:i/>
                <w:sz w:val="28"/>
                <w:szCs w:val="28"/>
              </w:rPr>
              <w:t xml:space="preserve"> </w:t>
            </w:r>
            <w:r w:rsidRPr="00C074AB">
              <w:rPr>
                <w:bCs/>
                <w:i/>
                <w:sz w:val="28"/>
                <w:szCs w:val="28"/>
              </w:rPr>
              <w:t xml:space="preserve">a 11 meses, siendo </w:t>
            </w:r>
            <w:r w:rsidR="00A5073D">
              <w:rPr>
                <w:bCs/>
                <w:i/>
                <w:sz w:val="28"/>
                <w:szCs w:val="28"/>
              </w:rPr>
              <w:t>siete</w:t>
            </w:r>
            <w:r w:rsidR="00A5073D" w:rsidRPr="00C074AB">
              <w:rPr>
                <w:bCs/>
                <w:i/>
                <w:sz w:val="28"/>
                <w:szCs w:val="28"/>
              </w:rPr>
              <w:t xml:space="preserve"> meses</w:t>
            </w:r>
            <w:r w:rsidRPr="00C074AB">
              <w:rPr>
                <w:bCs/>
                <w:i/>
                <w:sz w:val="28"/>
                <w:szCs w:val="28"/>
              </w:rPr>
              <w:t xml:space="preserve"> el tiempo más corto de espera para que la solicitud de peritaje fuese atendida y 11 meses el plazo más largo de espera para el mismo fin.  Este rango se redujo en el 2015 a </w:t>
            </w:r>
            <w:r w:rsidR="00A5073D">
              <w:rPr>
                <w:bCs/>
                <w:i/>
                <w:sz w:val="28"/>
                <w:szCs w:val="28"/>
              </w:rPr>
              <w:t>cinco</w:t>
            </w:r>
            <w:r w:rsidR="00A5073D" w:rsidRPr="00C074AB">
              <w:rPr>
                <w:bCs/>
                <w:i/>
                <w:sz w:val="28"/>
                <w:szCs w:val="28"/>
              </w:rPr>
              <w:t xml:space="preserve"> meses</w:t>
            </w:r>
            <w:r w:rsidRPr="00C074AB">
              <w:rPr>
                <w:bCs/>
                <w:i/>
                <w:sz w:val="28"/>
                <w:szCs w:val="28"/>
              </w:rPr>
              <w:t xml:space="preserve">, lo que muestra una reducción significativa del tiempo en que la solicitud se mantenía en espera de ser atendida; tiempo que permanece constante </w:t>
            </w:r>
            <w:r w:rsidR="00F00561" w:rsidRPr="00C074AB">
              <w:rPr>
                <w:bCs/>
                <w:i/>
                <w:sz w:val="28"/>
                <w:szCs w:val="28"/>
              </w:rPr>
              <w:t>al reportarse</w:t>
            </w:r>
            <w:r w:rsidRPr="00C074AB">
              <w:rPr>
                <w:bCs/>
                <w:i/>
                <w:sz w:val="28"/>
                <w:szCs w:val="28"/>
              </w:rPr>
              <w:t xml:space="preserve"> en </w:t>
            </w:r>
            <w:r w:rsidRPr="00C074AB">
              <w:rPr>
                <w:bCs/>
                <w:i/>
                <w:sz w:val="28"/>
                <w:szCs w:val="28"/>
              </w:rPr>
              <w:lastRenderedPageBreak/>
              <w:t xml:space="preserve">el 2016 un promedio que oscila entre </w:t>
            </w:r>
            <w:r w:rsidR="00A5073D">
              <w:rPr>
                <w:bCs/>
                <w:i/>
                <w:sz w:val="28"/>
                <w:szCs w:val="28"/>
              </w:rPr>
              <w:t>cuatro</w:t>
            </w:r>
            <w:r w:rsidRPr="00C074AB">
              <w:rPr>
                <w:bCs/>
                <w:i/>
                <w:sz w:val="28"/>
                <w:szCs w:val="28"/>
              </w:rPr>
              <w:t xml:space="preserve">  </w:t>
            </w:r>
            <w:r w:rsidR="00A5073D">
              <w:rPr>
                <w:bCs/>
                <w:i/>
                <w:sz w:val="28"/>
                <w:szCs w:val="28"/>
              </w:rPr>
              <w:t>cinco</w:t>
            </w:r>
            <w:r w:rsidR="00A5073D" w:rsidRPr="00C074AB">
              <w:rPr>
                <w:bCs/>
                <w:i/>
                <w:sz w:val="28"/>
                <w:szCs w:val="28"/>
              </w:rPr>
              <w:t xml:space="preserve"> meses</w:t>
            </w:r>
            <w:r w:rsidRPr="00C074AB">
              <w:rPr>
                <w:bCs/>
                <w:i/>
                <w:sz w:val="28"/>
                <w:szCs w:val="28"/>
              </w:rPr>
              <w:t xml:space="preserve"> para la atención de la mayoría de las solicitudes de peritaje.</w:t>
            </w:r>
          </w:p>
          <w:p w:rsidR="003E5F87" w:rsidRPr="00A04589" w:rsidRDefault="0089460C" w:rsidP="00C074AB">
            <w:pPr>
              <w:spacing w:line="480" w:lineRule="auto"/>
              <w:jc w:val="both"/>
              <w:rPr>
                <w:i/>
                <w:sz w:val="28"/>
                <w:szCs w:val="28"/>
                <w:lang w:val="es-ES_tradnl"/>
              </w:rPr>
            </w:pPr>
            <w:r w:rsidRPr="00C074AB">
              <w:rPr>
                <w:sz w:val="28"/>
                <w:szCs w:val="28"/>
                <w:lang w:val="es-ES_tradnl"/>
              </w:rPr>
              <w:t xml:space="preserve">4. </w:t>
            </w:r>
            <w:r w:rsidRPr="00604651">
              <w:rPr>
                <w:i/>
                <w:sz w:val="28"/>
                <w:szCs w:val="28"/>
                <w:lang w:val="es-ES_tradnl"/>
              </w:rPr>
              <w:t xml:space="preserve">Es importante mencionar, que se recomienda mantener  las plazas en su condición de extraordinarias a la espera de lo que ocurra con el  proyecto de Ley expediente N°19455 Código Procesal de Familia, en el cual se contempla una adición del artículo 85 bis (personal interdisciplinario auxiliar de justicia) a la Ley Orgánica del Poder Judicial, el cual contempla que a cada uno de los Juzgados de Familia, Niñez y Adolescencia y Violencia Doméstica y Protección Cautelar, se les adscribirá un profesional en trabajo social y un profesional en psicología.  Ante tal situación, y siendo que el proyecto de Ley establece que estos recursos estarán adscritos administrativa y funcionalmente a cada juzgado y que el Departamento de Trabajo Social y Psicología  tendrá únicamente, una supervisión técnica sobre ellos es importante mantener este equipo laborando en forma extraordinaria  a espera de las reformas que eventualmente podrían presentarse o de las necesidades reales de estos profesionales que se logren determinar en el estudio de impacto de </w:t>
            </w:r>
            <w:r w:rsidRPr="00604651">
              <w:rPr>
                <w:i/>
                <w:sz w:val="28"/>
                <w:szCs w:val="28"/>
                <w:lang w:val="es-ES_tradnl"/>
              </w:rPr>
              <w:lastRenderedPageBreak/>
              <w:t>dicha reforma, que actualmente se realiza</w:t>
            </w:r>
            <w:r w:rsidR="00673969" w:rsidRPr="00A04589">
              <w:rPr>
                <w:i/>
                <w:sz w:val="28"/>
                <w:szCs w:val="28"/>
                <w:lang w:val="es-ES_tradnl"/>
              </w:rPr>
              <w:t>.</w:t>
            </w:r>
          </w:p>
          <w:p w:rsidR="00A04589" w:rsidRPr="00604651" w:rsidRDefault="00A04589" w:rsidP="00A04589">
            <w:pPr>
              <w:autoSpaceDE w:val="0"/>
              <w:autoSpaceDN w:val="0"/>
              <w:adjustRightInd w:val="0"/>
              <w:spacing w:line="480" w:lineRule="auto"/>
              <w:jc w:val="both"/>
              <w:rPr>
                <w:i/>
                <w:sz w:val="28"/>
                <w:szCs w:val="28"/>
                <w:lang w:val="es-ES_tradnl"/>
              </w:rPr>
            </w:pPr>
            <w:r w:rsidRPr="00604651">
              <w:rPr>
                <w:i/>
                <w:sz w:val="28"/>
                <w:szCs w:val="28"/>
                <w:lang w:val="es-ES_tradnl"/>
              </w:rPr>
              <w:t>5. En virtud de que en promedio en el 2016 se concluyó tanto por parte de las trabajadoras o trabajadores sociales y las psicólogas o psicólogos un promedio de tres casos mensuales, deberá de conformidad con el estudio integral del Departamento de Trabajo Social y Psicología que se lleva a cabo en esta Dirección, cumplir con el parámetro establecido en materia de niñez y adolescencia, el cual asciende a un mínimo de cuatro casos mensuales terminados para el caso de las psicólogas o psicólogos y de cinco para la trabajadora o trabajador social, por lo que deberá incrementarse el rendimiento de esos recursos.</w:t>
            </w:r>
          </w:p>
          <w:p w:rsidR="00A04589" w:rsidRPr="00604651" w:rsidRDefault="00A04589" w:rsidP="00C074AB">
            <w:pPr>
              <w:spacing w:line="480" w:lineRule="auto"/>
              <w:jc w:val="both"/>
              <w:rPr>
                <w:rFonts w:ascii="Calibri" w:hAnsi="Calibri"/>
                <w:i/>
                <w:lang w:val="es-ES_tradnl"/>
              </w:rPr>
            </w:pPr>
          </w:p>
          <w:p w:rsidR="00CE1F57" w:rsidRPr="00C074AB" w:rsidRDefault="00CE1F57" w:rsidP="00462283">
            <w:pPr>
              <w:spacing w:line="480" w:lineRule="auto"/>
              <w:ind w:left="720"/>
              <w:jc w:val="both"/>
              <w:rPr>
                <w:i/>
                <w:sz w:val="28"/>
                <w:szCs w:val="28"/>
              </w:rPr>
            </w:pPr>
          </w:p>
        </w:tc>
      </w:tr>
      <w:tr w:rsidR="00CE1F57" w:rsidRPr="00C074AB" w:rsidTr="00604651">
        <w:trPr>
          <w:trHeight w:val="1264"/>
          <w:jc w:val="center"/>
        </w:trPr>
        <w:tc>
          <w:tcPr>
            <w:tcW w:w="2518" w:type="dxa"/>
            <w:shd w:val="clear" w:color="auto" w:fill="C0C0C0"/>
          </w:tcPr>
          <w:p w:rsidR="00CE1F57" w:rsidRPr="00C074AB" w:rsidRDefault="00CE1F57" w:rsidP="009563C1">
            <w:pPr>
              <w:jc w:val="right"/>
              <w:rPr>
                <w:rFonts w:ascii="Calibri" w:hAnsi="Calibri"/>
                <w:b/>
              </w:rPr>
            </w:pPr>
            <w:r w:rsidRPr="00C074AB">
              <w:rPr>
                <w:rFonts w:ascii="Calibri" w:hAnsi="Calibri"/>
                <w:b/>
              </w:rPr>
              <w:lastRenderedPageBreak/>
              <w:t xml:space="preserve">V. </w:t>
            </w:r>
            <w:r w:rsidRPr="00C074AB">
              <w:rPr>
                <w:rFonts w:ascii="Calibri" w:hAnsi="Calibri"/>
                <w:b/>
                <w:sz w:val="22"/>
                <w:szCs w:val="22"/>
              </w:rPr>
              <w:t>Recomendaciones</w:t>
            </w:r>
          </w:p>
          <w:p w:rsidR="00CE1F57" w:rsidRPr="00C074AB" w:rsidRDefault="00CE1F57" w:rsidP="009563C1">
            <w:pPr>
              <w:jc w:val="right"/>
              <w:rPr>
                <w:rFonts w:ascii="Calibri" w:hAnsi="Calibri"/>
                <w:b/>
              </w:rPr>
            </w:pPr>
          </w:p>
          <w:p w:rsidR="00CE1F57" w:rsidRPr="00C074AB" w:rsidRDefault="00CE1F57" w:rsidP="009563C1">
            <w:pPr>
              <w:jc w:val="right"/>
              <w:rPr>
                <w:rFonts w:ascii="Calibri" w:hAnsi="Calibri"/>
                <w:b/>
              </w:rPr>
            </w:pPr>
          </w:p>
          <w:p w:rsidR="00CE1F57" w:rsidRPr="00C074AB" w:rsidRDefault="00CE1F57" w:rsidP="009563C1">
            <w:pPr>
              <w:jc w:val="right"/>
              <w:rPr>
                <w:rFonts w:ascii="Calibri" w:hAnsi="Calibri"/>
                <w:b/>
              </w:rPr>
            </w:pPr>
          </w:p>
          <w:p w:rsidR="00CE1F57" w:rsidRPr="00C074AB" w:rsidRDefault="00CE1F57" w:rsidP="009563C1">
            <w:pPr>
              <w:jc w:val="right"/>
              <w:rPr>
                <w:rFonts w:ascii="Calibri" w:hAnsi="Calibri"/>
                <w:b/>
              </w:rPr>
            </w:pPr>
          </w:p>
          <w:p w:rsidR="00CE1F57" w:rsidRPr="00C074AB" w:rsidRDefault="00CE1F57" w:rsidP="009563C1">
            <w:pPr>
              <w:jc w:val="right"/>
              <w:rPr>
                <w:rFonts w:ascii="Calibri" w:hAnsi="Calibri"/>
                <w:b/>
              </w:rPr>
            </w:pPr>
          </w:p>
          <w:p w:rsidR="00CE1F57" w:rsidRPr="00C074AB" w:rsidRDefault="00CE1F57" w:rsidP="009563C1">
            <w:pPr>
              <w:jc w:val="right"/>
              <w:rPr>
                <w:rFonts w:ascii="Calibri" w:hAnsi="Calibri"/>
                <w:b/>
              </w:rPr>
            </w:pPr>
          </w:p>
          <w:p w:rsidR="00CE1F57" w:rsidRPr="00C074AB" w:rsidRDefault="00CE1F57" w:rsidP="009563C1">
            <w:pPr>
              <w:jc w:val="right"/>
              <w:rPr>
                <w:rFonts w:ascii="Calibri" w:hAnsi="Calibri"/>
                <w:b/>
              </w:rPr>
            </w:pPr>
          </w:p>
          <w:p w:rsidR="00CE1F57" w:rsidRPr="00C074AB" w:rsidRDefault="00CE1F57" w:rsidP="009563C1">
            <w:pPr>
              <w:jc w:val="right"/>
              <w:rPr>
                <w:rFonts w:ascii="Calibri" w:hAnsi="Calibri"/>
                <w:b/>
              </w:rPr>
            </w:pPr>
          </w:p>
          <w:p w:rsidR="00CE1F57" w:rsidRPr="00C074AB" w:rsidRDefault="00CE1F57" w:rsidP="009563C1">
            <w:pPr>
              <w:jc w:val="right"/>
              <w:rPr>
                <w:rFonts w:ascii="Calibri" w:hAnsi="Calibri"/>
                <w:b/>
              </w:rPr>
            </w:pPr>
          </w:p>
          <w:p w:rsidR="00CE1F57" w:rsidRPr="00C074AB" w:rsidRDefault="00CE1F57" w:rsidP="009563C1">
            <w:pPr>
              <w:jc w:val="right"/>
              <w:rPr>
                <w:rFonts w:ascii="Calibri" w:hAnsi="Calibri"/>
                <w:b/>
              </w:rPr>
            </w:pPr>
          </w:p>
          <w:p w:rsidR="00CE1F57" w:rsidRPr="00C074AB" w:rsidRDefault="00CE1F57" w:rsidP="009563C1">
            <w:pPr>
              <w:jc w:val="right"/>
              <w:rPr>
                <w:rFonts w:ascii="Calibri" w:hAnsi="Calibri"/>
                <w:b/>
              </w:rPr>
            </w:pPr>
          </w:p>
        </w:tc>
        <w:tc>
          <w:tcPr>
            <w:tcW w:w="7762" w:type="dxa"/>
          </w:tcPr>
          <w:p w:rsidR="00CE1F57" w:rsidRPr="00C074AB" w:rsidRDefault="00CE1F57" w:rsidP="009563C1">
            <w:pPr>
              <w:jc w:val="both"/>
              <w:rPr>
                <w:rFonts w:ascii="Calibri" w:hAnsi="Calibri"/>
                <w:bCs/>
                <w:i/>
                <w:color w:val="0000FF"/>
              </w:rPr>
            </w:pPr>
          </w:p>
          <w:tbl>
            <w:tblPr>
              <w:tblW w:w="7949" w:type="dxa"/>
              <w:tblLayout w:type="fixed"/>
              <w:tblCellMar>
                <w:left w:w="0" w:type="dxa"/>
                <w:right w:w="0" w:type="dxa"/>
              </w:tblCellMar>
              <w:tblLook w:val="0000"/>
            </w:tblPr>
            <w:tblGrid>
              <w:gridCol w:w="968"/>
              <w:gridCol w:w="521"/>
              <w:gridCol w:w="1235"/>
              <w:gridCol w:w="982"/>
              <w:gridCol w:w="1280"/>
              <w:gridCol w:w="736"/>
              <w:gridCol w:w="1178"/>
              <w:gridCol w:w="1049"/>
            </w:tblGrid>
            <w:tr w:rsidR="0088224D" w:rsidRPr="00C074AB" w:rsidTr="00604651">
              <w:trPr>
                <w:trHeight w:val="51"/>
                <w:tblHeader/>
              </w:trPr>
              <w:tc>
                <w:tcPr>
                  <w:tcW w:w="608"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C074AB" w:rsidRDefault="00CE1F57" w:rsidP="00067C87">
                  <w:pPr>
                    <w:snapToGrid w:val="0"/>
                    <w:jc w:val="center"/>
                    <w:rPr>
                      <w:rFonts w:ascii="Calibri" w:hAnsi="Calibri"/>
                      <w:b/>
                      <w:bCs/>
                      <w:sz w:val="16"/>
                      <w:szCs w:val="16"/>
                    </w:rPr>
                  </w:pPr>
                  <w:r w:rsidRPr="00C074AB">
                    <w:rPr>
                      <w:rFonts w:ascii="Calibri" w:hAnsi="Calibri"/>
                      <w:b/>
                      <w:bCs/>
                      <w:sz w:val="16"/>
                      <w:szCs w:val="16"/>
                    </w:rPr>
                    <w:t>Despacho</w:t>
                  </w:r>
                </w:p>
              </w:tc>
              <w:tc>
                <w:tcPr>
                  <w:tcW w:w="328"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C074AB" w:rsidRDefault="00CE1F57" w:rsidP="00067C87">
                  <w:pPr>
                    <w:snapToGrid w:val="0"/>
                    <w:jc w:val="center"/>
                    <w:rPr>
                      <w:rFonts w:ascii="Calibri" w:hAnsi="Calibri"/>
                      <w:b/>
                      <w:bCs/>
                      <w:sz w:val="16"/>
                      <w:szCs w:val="16"/>
                    </w:rPr>
                  </w:pPr>
                  <w:r w:rsidRPr="00C074AB">
                    <w:rPr>
                      <w:rFonts w:ascii="Calibri" w:hAnsi="Calibri"/>
                      <w:b/>
                      <w:bCs/>
                      <w:sz w:val="16"/>
                      <w:szCs w:val="16"/>
                    </w:rPr>
                    <w:t>Cant</w:t>
                  </w:r>
                </w:p>
              </w:tc>
              <w:tc>
                <w:tcPr>
                  <w:tcW w:w="777"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C074AB" w:rsidRDefault="00CE1F57" w:rsidP="00067C87">
                  <w:pPr>
                    <w:snapToGrid w:val="0"/>
                    <w:jc w:val="center"/>
                    <w:rPr>
                      <w:rFonts w:ascii="Calibri" w:hAnsi="Calibri"/>
                      <w:b/>
                      <w:bCs/>
                      <w:sz w:val="16"/>
                      <w:szCs w:val="16"/>
                    </w:rPr>
                  </w:pPr>
                  <w:r w:rsidRPr="00C074AB">
                    <w:rPr>
                      <w:rFonts w:ascii="Calibri" w:hAnsi="Calibri"/>
                      <w:b/>
                      <w:bCs/>
                      <w:sz w:val="16"/>
                      <w:szCs w:val="16"/>
                    </w:rPr>
                    <w:t>Tipo de plaza</w:t>
                  </w:r>
                </w:p>
              </w:tc>
              <w:tc>
                <w:tcPr>
                  <w:tcW w:w="618"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C074AB" w:rsidRDefault="00CE1F57" w:rsidP="00067C87">
                  <w:pPr>
                    <w:snapToGrid w:val="0"/>
                    <w:jc w:val="center"/>
                    <w:rPr>
                      <w:rFonts w:ascii="Calibri" w:hAnsi="Calibri"/>
                      <w:b/>
                      <w:bCs/>
                      <w:sz w:val="16"/>
                      <w:szCs w:val="16"/>
                    </w:rPr>
                  </w:pPr>
                  <w:r w:rsidRPr="00C074AB">
                    <w:rPr>
                      <w:rFonts w:ascii="Calibri" w:hAnsi="Calibri"/>
                      <w:b/>
                      <w:bCs/>
                      <w:sz w:val="16"/>
                      <w:szCs w:val="16"/>
                    </w:rPr>
                    <w:t>Condición actual</w:t>
                  </w:r>
                </w:p>
              </w:tc>
              <w:tc>
                <w:tcPr>
                  <w:tcW w:w="805"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C074AB" w:rsidRDefault="00CE1F57" w:rsidP="00067C87">
                  <w:pPr>
                    <w:snapToGrid w:val="0"/>
                    <w:jc w:val="center"/>
                    <w:rPr>
                      <w:rFonts w:ascii="Calibri" w:hAnsi="Calibri"/>
                      <w:b/>
                      <w:bCs/>
                      <w:sz w:val="16"/>
                      <w:szCs w:val="16"/>
                    </w:rPr>
                  </w:pPr>
                  <w:r w:rsidRPr="00C074AB">
                    <w:rPr>
                      <w:rFonts w:ascii="Calibri" w:hAnsi="Calibri"/>
                      <w:b/>
                      <w:bCs/>
                      <w:sz w:val="16"/>
                      <w:szCs w:val="16"/>
                    </w:rPr>
                    <w:t>Recomendación</w:t>
                  </w:r>
                </w:p>
              </w:tc>
              <w:tc>
                <w:tcPr>
                  <w:tcW w:w="463"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C074AB" w:rsidRDefault="00CE1F57" w:rsidP="00067C87">
                  <w:pPr>
                    <w:jc w:val="center"/>
                    <w:rPr>
                      <w:rFonts w:ascii="Calibri" w:hAnsi="Calibri"/>
                      <w:b/>
                      <w:bCs/>
                      <w:sz w:val="16"/>
                      <w:szCs w:val="16"/>
                    </w:rPr>
                  </w:pPr>
                  <w:r w:rsidRPr="00C074AB">
                    <w:rPr>
                      <w:rFonts w:ascii="Calibri" w:hAnsi="Calibri"/>
                      <w:b/>
                      <w:bCs/>
                      <w:sz w:val="16"/>
                      <w:szCs w:val="16"/>
                    </w:rPr>
                    <w:t>Período</w:t>
                  </w:r>
                </w:p>
              </w:tc>
              <w:tc>
                <w:tcPr>
                  <w:tcW w:w="741"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C074AB" w:rsidRDefault="00CE1F57" w:rsidP="00067C87">
                  <w:pPr>
                    <w:snapToGrid w:val="0"/>
                    <w:jc w:val="center"/>
                    <w:rPr>
                      <w:rFonts w:ascii="Calibri" w:hAnsi="Calibri"/>
                      <w:b/>
                      <w:bCs/>
                      <w:sz w:val="16"/>
                      <w:szCs w:val="16"/>
                    </w:rPr>
                  </w:pPr>
                  <w:r w:rsidRPr="00C074AB">
                    <w:rPr>
                      <w:rFonts w:ascii="Calibri" w:hAnsi="Calibri"/>
                      <w:b/>
                      <w:bCs/>
                      <w:sz w:val="16"/>
                      <w:szCs w:val="16"/>
                    </w:rPr>
                    <w:t>Costo Estimado</w:t>
                  </w:r>
                </w:p>
              </w:tc>
              <w:tc>
                <w:tcPr>
                  <w:tcW w:w="661"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C074AB" w:rsidRDefault="00CE1F57" w:rsidP="00067C87">
                  <w:pPr>
                    <w:snapToGrid w:val="0"/>
                    <w:jc w:val="center"/>
                    <w:rPr>
                      <w:rFonts w:ascii="Calibri" w:hAnsi="Calibri"/>
                      <w:b/>
                      <w:bCs/>
                      <w:sz w:val="16"/>
                      <w:szCs w:val="16"/>
                    </w:rPr>
                  </w:pPr>
                  <w:r w:rsidRPr="00C074AB">
                    <w:rPr>
                      <w:rFonts w:ascii="Calibri" w:hAnsi="Calibri"/>
                      <w:b/>
                      <w:bCs/>
                      <w:sz w:val="16"/>
                      <w:szCs w:val="16"/>
                    </w:rPr>
                    <w:t>Observaciones</w:t>
                  </w:r>
                </w:p>
              </w:tc>
            </w:tr>
            <w:tr w:rsidR="0088224D" w:rsidRPr="00C074AB" w:rsidTr="00604651">
              <w:trPr>
                <w:trHeight w:val="1088"/>
              </w:trPr>
              <w:tc>
                <w:tcPr>
                  <w:tcW w:w="608" w:type="pct"/>
                  <w:vMerge w:val="restart"/>
                  <w:tcBorders>
                    <w:top w:val="nil"/>
                    <w:left w:val="single" w:sz="8" w:space="0" w:color="auto"/>
                    <w:right w:val="single" w:sz="8" w:space="0" w:color="auto"/>
                  </w:tcBorders>
                  <w:tcMar>
                    <w:top w:w="0" w:type="dxa"/>
                    <w:left w:w="108" w:type="dxa"/>
                    <w:bottom w:w="0" w:type="dxa"/>
                    <w:right w:w="108" w:type="dxa"/>
                  </w:tcMar>
                  <w:vAlign w:val="center"/>
                </w:tcPr>
                <w:p w:rsidR="00206B52" w:rsidRPr="00C074AB" w:rsidRDefault="008B54A6" w:rsidP="00206B52">
                  <w:pPr>
                    <w:snapToGrid w:val="0"/>
                    <w:jc w:val="center"/>
                    <w:rPr>
                      <w:sz w:val="18"/>
                      <w:szCs w:val="18"/>
                    </w:rPr>
                  </w:pPr>
                  <w:r w:rsidRPr="00C074AB">
                    <w:rPr>
                      <w:sz w:val="18"/>
                      <w:szCs w:val="18"/>
                    </w:rPr>
                    <w:t>Depto.</w:t>
                  </w:r>
                  <w:r w:rsidR="00206B52" w:rsidRPr="00C074AB">
                    <w:rPr>
                      <w:sz w:val="18"/>
                      <w:szCs w:val="18"/>
                    </w:rPr>
                    <w:t xml:space="preserve"> de Trabajo Social y Psicología</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6B52" w:rsidRPr="00C074AB" w:rsidRDefault="00206B52" w:rsidP="00067C87">
                  <w:pPr>
                    <w:snapToGrid w:val="0"/>
                    <w:jc w:val="center"/>
                    <w:rPr>
                      <w:sz w:val="18"/>
                      <w:szCs w:val="18"/>
                    </w:rPr>
                  </w:pPr>
                  <w:r w:rsidRPr="00C074AB">
                    <w:rPr>
                      <w:sz w:val="18"/>
                      <w:szCs w:val="18"/>
                    </w:rPr>
                    <w:t>1</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6B52" w:rsidRPr="00C074AB" w:rsidRDefault="00206B52" w:rsidP="0088224D">
                  <w:pPr>
                    <w:autoSpaceDE w:val="0"/>
                    <w:autoSpaceDN w:val="0"/>
                    <w:adjustRightInd w:val="0"/>
                    <w:jc w:val="center"/>
                    <w:rPr>
                      <w:sz w:val="18"/>
                      <w:szCs w:val="18"/>
                      <w:lang w:val="es-CR"/>
                    </w:rPr>
                  </w:pPr>
                  <w:r w:rsidRPr="00C074AB">
                    <w:rPr>
                      <w:sz w:val="18"/>
                      <w:szCs w:val="18"/>
                      <w:lang w:val="es-CR"/>
                    </w:rPr>
                    <w:t>Perito Judicial 2 (Psicólog</w:t>
                  </w:r>
                  <w:r w:rsidR="0088224D" w:rsidRPr="00C074AB">
                    <w:rPr>
                      <w:sz w:val="18"/>
                      <w:szCs w:val="18"/>
                      <w:lang w:val="es-CR"/>
                    </w:rPr>
                    <w:t>a o Psicólogo</w:t>
                  </w:r>
                  <w:r w:rsidRPr="00C074AB">
                    <w:rPr>
                      <w:sz w:val="18"/>
                      <w:szCs w:val="18"/>
                      <w:lang w:val="es-CR"/>
                    </w:rPr>
                    <w:t>)</w:t>
                  </w:r>
                </w:p>
              </w:tc>
              <w:tc>
                <w:tcPr>
                  <w:tcW w:w="618" w:type="pct"/>
                  <w:vMerge w:val="restart"/>
                  <w:tcBorders>
                    <w:top w:val="nil"/>
                    <w:left w:val="nil"/>
                    <w:right w:val="single" w:sz="8" w:space="0" w:color="auto"/>
                  </w:tcBorders>
                  <w:tcMar>
                    <w:top w:w="0" w:type="dxa"/>
                    <w:left w:w="108" w:type="dxa"/>
                    <w:bottom w:w="0" w:type="dxa"/>
                    <w:right w:w="108" w:type="dxa"/>
                  </w:tcMar>
                  <w:vAlign w:val="center"/>
                </w:tcPr>
                <w:p w:rsidR="00206B52" w:rsidRPr="00C074AB" w:rsidRDefault="00206B52" w:rsidP="00067C87">
                  <w:pPr>
                    <w:snapToGrid w:val="0"/>
                    <w:jc w:val="center"/>
                    <w:rPr>
                      <w:rFonts w:ascii="Calibri" w:hAnsi="Calibri"/>
                      <w:sz w:val="18"/>
                      <w:szCs w:val="18"/>
                    </w:rPr>
                  </w:pPr>
                  <w:r w:rsidRPr="00C074AB">
                    <w:rPr>
                      <w:sz w:val="18"/>
                      <w:szCs w:val="18"/>
                    </w:rPr>
                    <w:t>Extraordi</w:t>
                  </w:r>
                  <w:r w:rsidR="0088224D" w:rsidRPr="00C074AB">
                    <w:rPr>
                      <w:sz w:val="18"/>
                      <w:szCs w:val="18"/>
                    </w:rPr>
                    <w:t>-</w:t>
                  </w:r>
                  <w:r w:rsidRPr="00C074AB">
                    <w:rPr>
                      <w:sz w:val="18"/>
                      <w:szCs w:val="18"/>
                    </w:rPr>
                    <w:t>naria</w:t>
                  </w:r>
                </w:p>
              </w:tc>
              <w:tc>
                <w:tcPr>
                  <w:tcW w:w="805" w:type="pct"/>
                  <w:vMerge w:val="restart"/>
                  <w:tcBorders>
                    <w:top w:val="nil"/>
                    <w:left w:val="nil"/>
                    <w:right w:val="single" w:sz="8" w:space="0" w:color="auto"/>
                  </w:tcBorders>
                  <w:tcMar>
                    <w:top w:w="0" w:type="dxa"/>
                    <w:left w:w="108" w:type="dxa"/>
                    <w:bottom w:w="0" w:type="dxa"/>
                    <w:right w:w="108" w:type="dxa"/>
                  </w:tcMar>
                  <w:vAlign w:val="center"/>
                </w:tcPr>
                <w:p w:rsidR="00206B52" w:rsidRPr="00C074AB" w:rsidRDefault="00206B52" w:rsidP="00067C87">
                  <w:pPr>
                    <w:snapToGrid w:val="0"/>
                    <w:jc w:val="center"/>
                    <w:rPr>
                      <w:rFonts w:ascii="Calibri" w:hAnsi="Calibri"/>
                      <w:sz w:val="18"/>
                      <w:szCs w:val="18"/>
                    </w:rPr>
                  </w:pPr>
                  <w:r w:rsidRPr="00C074AB">
                    <w:rPr>
                      <w:sz w:val="18"/>
                      <w:szCs w:val="18"/>
                    </w:rPr>
                    <w:t>Extraordi</w:t>
                  </w:r>
                  <w:r w:rsidR="0088224D" w:rsidRPr="00C074AB">
                    <w:rPr>
                      <w:sz w:val="18"/>
                      <w:szCs w:val="18"/>
                    </w:rPr>
                    <w:t>-</w:t>
                  </w:r>
                  <w:r w:rsidRPr="00C074AB">
                    <w:rPr>
                      <w:sz w:val="18"/>
                      <w:szCs w:val="18"/>
                    </w:rPr>
                    <w:t>naria</w:t>
                  </w:r>
                </w:p>
              </w:tc>
              <w:tc>
                <w:tcPr>
                  <w:tcW w:w="463" w:type="pct"/>
                  <w:vMerge w:val="restart"/>
                  <w:tcBorders>
                    <w:top w:val="nil"/>
                    <w:left w:val="nil"/>
                    <w:right w:val="single" w:sz="8" w:space="0" w:color="auto"/>
                  </w:tcBorders>
                  <w:tcMar>
                    <w:top w:w="0" w:type="dxa"/>
                    <w:left w:w="108" w:type="dxa"/>
                    <w:bottom w:w="0" w:type="dxa"/>
                    <w:right w:w="108" w:type="dxa"/>
                  </w:tcMar>
                  <w:vAlign w:val="center"/>
                </w:tcPr>
                <w:p w:rsidR="00206B52" w:rsidRPr="00C074AB" w:rsidRDefault="00206B52" w:rsidP="00067C87">
                  <w:pPr>
                    <w:snapToGrid w:val="0"/>
                    <w:jc w:val="center"/>
                    <w:rPr>
                      <w:rFonts w:ascii="Calibri" w:hAnsi="Calibri"/>
                      <w:sz w:val="18"/>
                      <w:szCs w:val="18"/>
                    </w:rPr>
                  </w:pPr>
                  <w:r w:rsidRPr="00C074AB">
                    <w:rPr>
                      <w:sz w:val="18"/>
                      <w:szCs w:val="18"/>
                    </w:rPr>
                    <w:t>1 año</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308C" w:rsidRPr="00C074AB" w:rsidRDefault="000D308C" w:rsidP="000D308C">
                  <w:pPr>
                    <w:jc w:val="center"/>
                    <w:rPr>
                      <w:sz w:val="16"/>
                      <w:szCs w:val="16"/>
                    </w:rPr>
                  </w:pPr>
                  <w:r w:rsidRPr="00C074AB">
                    <w:rPr>
                      <w:sz w:val="18"/>
                      <w:szCs w:val="18"/>
                    </w:rPr>
                    <w:t xml:space="preserve">¢ </w:t>
                  </w:r>
                  <w:r w:rsidRPr="00C074AB">
                    <w:rPr>
                      <w:sz w:val="16"/>
                      <w:szCs w:val="16"/>
                    </w:rPr>
                    <w:t>38.476.000</w:t>
                  </w:r>
                </w:p>
                <w:p w:rsidR="00206B52" w:rsidRPr="00C074AB" w:rsidRDefault="00206B52" w:rsidP="00067C87">
                  <w:pPr>
                    <w:jc w:val="center"/>
                    <w:rPr>
                      <w:sz w:val="18"/>
                      <w:szCs w:val="18"/>
                    </w:rPr>
                  </w:pPr>
                </w:p>
              </w:tc>
              <w:tc>
                <w:tcPr>
                  <w:tcW w:w="661" w:type="pct"/>
                  <w:vMerge w:val="restart"/>
                  <w:tcBorders>
                    <w:top w:val="nil"/>
                    <w:left w:val="nil"/>
                    <w:right w:val="single" w:sz="8" w:space="0" w:color="auto"/>
                  </w:tcBorders>
                  <w:tcMar>
                    <w:top w:w="0" w:type="dxa"/>
                    <w:left w:w="108" w:type="dxa"/>
                    <w:bottom w:w="0" w:type="dxa"/>
                    <w:right w:w="108" w:type="dxa"/>
                  </w:tcMar>
                  <w:vAlign w:val="center"/>
                </w:tcPr>
                <w:p w:rsidR="00206B52" w:rsidRPr="00C074AB" w:rsidRDefault="00206B52" w:rsidP="00206B52">
                  <w:pPr>
                    <w:pStyle w:val="NormalWeb"/>
                    <w:rPr>
                      <w:sz w:val="18"/>
                      <w:szCs w:val="18"/>
                    </w:rPr>
                  </w:pPr>
                  <w:r w:rsidRPr="00C074AB">
                    <w:rPr>
                      <w:sz w:val="18"/>
                      <w:szCs w:val="18"/>
                    </w:rPr>
                    <w:t>Prioridad 1</w:t>
                  </w:r>
                </w:p>
              </w:tc>
            </w:tr>
            <w:tr w:rsidR="0088224D" w:rsidRPr="00C074AB" w:rsidTr="00604651">
              <w:trPr>
                <w:trHeight w:val="1088"/>
              </w:trPr>
              <w:tc>
                <w:tcPr>
                  <w:tcW w:w="608"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6B52" w:rsidRPr="00C074AB" w:rsidRDefault="00206B52" w:rsidP="00067C87">
                  <w:pPr>
                    <w:snapToGrid w:val="0"/>
                    <w:jc w:val="center"/>
                    <w:rPr>
                      <w:sz w:val="18"/>
                      <w:szCs w:val="18"/>
                    </w:rPr>
                  </w:pP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6B52" w:rsidRPr="00C074AB" w:rsidRDefault="00206B52" w:rsidP="00067C87">
                  <w:pPr>
                    <w:snapToGrid w:val="0"/>
                    <w:jc w:val="center"/>
                    <w:rPr>
                      <w:sz w:val="18"/>
                      <w:szCs w:val="18"/>
                    </w:rPr>
                  </w:pPr>
                  <w:r w:rsidRPr="00C074AB">
                    <w:rPr>
                      <w:sz w:val="18"/>
                      <w:szCs w:val="18"/>
                    </w:rPr>
                    <w:t>1</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6B52" w:rsidRPr="00C074AB" w:rsidRDefault="00206B52" w:rsidP="00206B52">
                  <w:pPr>
                    <w:autoSpaceDE w:val="0"/>
                    <w:autoSpaceDN w:val="0"/>
                    <w:adjustRightInd w:val="0"/>
                    <w:jc w:val="center"/>
                    <w:rPr>
                      <w:sz w:val="18"/>
                      <w:szCs w:val="18"/>
                      <w:lang w:val="es-CR"/>
                    </w:rPr>
                  </w:pPr>
                  <w:r w:rsidRPr="00C074AB">
                    <w:rPr>
                      <w:sz w:val="18"/>
                      <w:szCs w:val="18"/>
                      <w:lang w:val="es-CR"/>
                    </w:rPr>
                    <w:t>Perito Judicial 2</w:t>
                  </w:r>
                </w:p>
                <w:p w:rsidR="00206B52" w:rsidRPr="00C074AB" w:rsidRDefault="00206B52" w:rsidP="0088224D">
                  <w:pPr>
                    <w:snapToGrid w:val="0"/>
                    <w:jc w:val="center"/>
                    <w:rPr>
                      <w:rFonts w:ascii="Calibri" w:hAnsi="Calibri"/>
                      <w:sz w:val="18"/>
                      <w:szCs w:val="18"/>
                    </w:rPr>
                  </w:pPr>
                  <w:r w:rsidRPr="00C074AB">
                    <w:rPr>
                      <w:sz w:val="18"/>
                      <w:szCs w:val="18"/>
                      <w:lang w:val="es-CR"/>
                    </w:rPr>
                    <w:t>(Trabajado</w:t>
                  </w:r>
                  <w:r w:rsidR="0088224D" w:rsidRPr="00C074AB">
                    <w:rPr>
                      <w:sz w:val="18"/>
                      <w:szCs w:val="18"/>
                      <w:lang w:val="es-CR"/>
                    </w:rPr>
                    <w:t xml:space="preserve">ra o Trabajador </w:t>
                  </w:r>
                  <w:r w:rsidRPr="00C074AB">
                    <w:rPr>
                      <w:sz w:val="18"/>
                      <w:szCs w:val="18"/>
                      <w:lang w:val="es-CR"/>
                    </w:rPr>
                    <w:t>Social)</w:t>
                  </w:r>
                </w:p>
              </w:tc>
              <w:tc>
                <w:tcPr>
                  <w:tcW w:w="618" w:type="pct"/>
                  <w:vMerge/>
                  <w:tcBorders>
                    <w:left w:val="nil"/>
                    <w:bottom w:val="single" w:sz="8" w:space="0" w:color="auto"/>
                    <w:right w:val="single" w:sz="8" w:space="0" w:color="auto"/>
                  </w:tcBorders>
                  <w:tcMar>
                    <w:top w:w="0" w:type="dxa"/>
                    <w:left w:w="108" w:type="dxa"/>
                    <w:bottom w:w="0" w:type="dxa"/>
                    <w:right w:w="108" w:type="dxa"/>
                  </w:tcMar>
                  <w:vAlign w:val="center"/>
                </w:tcPr>
                <w:p w:rsidR="00206B52" w:rsidRPr="00C074AB" w:rsidRDefault="00206B52" w:rsidP="00067C87">
                  <w:pPr>
                    <w:snapToGrid w:val="0"/>
                    <w:jc w:val="center"/>
                    <w:rPr>
                      <w:rFonts w:ascii="Calibri" w:hAnsi="Calibri"/>
                      <w:sz w:val="18"/>
                      <w:szCs w:val="18"/>
                    </w:rPr>
                  </w:pPr>
                </w:p>
              </w:tc>
              <w:tc>
                <w:tcPr>
                  <w:tcW w:w="805" w:type="pct"/>
                  <w:vMerge/>
                  <w:tcBorders>
                    <w:left w:val="nil"/>
                    <w:bottom w:val="single" w:sz="8" w:space="0" w:color="auto"/>
                    <w:right w:val="single" w:sz="8" w:space="0" w:color="auto"/>
                  </w:tcBorders>
                  <w:tcMar>
                    <w:top w:w="0" w:type="dxa"/>
                    <w:left w:w="108" w:type="dxa"/>
                    <w:bottom w:w="0" w:type="dxa"/>
                    <w:right w:w="108" w:type="dxa"/>
                  </w:tcMar>
                  <w:vAlign w:val="center"/>
                </w:tcPr>
                <w:p w:rsidR="00206B52" w:rsidRPr="00C074AB" w:rsidRDefault="00206B52" w:rsidP="00067C87">
                  <w:pPr>
                    <w:snapToGrid w:val="0"/>
                    <w:jc w:val="center"/>
                    <w:rPr>
                      <w:rFonts w:ascii="Calibri" w:hAnsi="Calibri"/>
                      <w:sz w:val="18"/>
                      <w:szCs w:val="18"/>
                    </w:rPr>
                  </w:pPr>
                </w:p>
              </w:tc>
              <w:tc>
                <w:tcPr>
                  <w:tcW w:w="463" w:type="pct"/>
                  <w:vMerge/>
                  <w:tcBorders>
                    <w:left w:val="nil"/>
                    <w:bottom w:val="single" w:sz="8" w:space="0" w:color="auto"/>
                    <w:right w:val="single" w:sz="8" w:space="0" w:color="auto"/>
                  </w:tcBorders>
                  <w:tcMar>
                    <w:top w:w="0" w:type="dxa"/>
                    <w:left w:w="108" w:type="dxa"/>
                    <w:bottom w:w="0" w:type="dxa"/>
                    <w:right w:w="108" w:type="dxa"/>
                  </w:tcMar>
                  <w:vAlign w:val="center"/>
                </w:tcPr>
                <w:p w:rsidR="00206B52" w:rsidRPr="00C074AB" w:rsidRDefault="00206B52" w:rsidP="00067C87">
                  <w:pPr>
                    <w:snapToGrid w:val="0"/>
                    <w:jc w:val="center"/>
                    <w:rPr>
                      <w:rFonts w:ascii="Calibri" w:hAnsi="Calibri"/>
                      <w:sz w:val="18"/>
                      <w:szCs w:val="18"/>
                    </w:rPr>
                  </w:pP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308C" w:rsidRPr="00C074AB" w:rsidRDefault="000D308C" w:rsidP="000D308C">
                  <w:pPr>
                    <w:jc w:val="center"/>
                    <w:rPr>
                      <w:sz w:val="16"/>
                      <w:szCs w:val="16"/>
                    </w:rPr>
                  </w:pPr>
                  <w:r w:rsidRPr="00C074AB">
                    <w:rPr>
                      <w:sz w:val="18"/>
                      <w:szCs w:val="18"/>
                    </w:rPr>
                    <w:t xml:space="preserve">¢ </w:t>
                  </w:r>
                  <w:r w:rsidRPr="00C074AB">
                    <w:rPr>
                      <w:sz w:val="16"/>
                      <w:szCs w:val="16"/>
                    </w:rPr>
                    <w:t>38.476.000</w:t>
                  </w:r>
                </w:p>
                <w:p w:rsidR="00206B52" w:rsidRPr="00C074AB" w:rsidRDefault="00206B52" w:rsidP="00067C87">
                  <w:pPr>
                    <w:jc w:val="center"/>
                    <w:rPr>
                      <w:rFonts w:ascii="Calibri" w:hAnsi="Calibri"/>
                      <w:b/>
                      <w:bCs/>
                      <w:sz w:val="18"/>
                      <w:szCs w:val="18"/>
                    </w:rPr>
                  </w:pPr>
                </w:p>
              </w:tc>
              <w:tc>
                <w:tcPr>
                  <w:tcW w:w="661" w:type="pct"/>
                  <w:vMerge/>
                  <w:tcBorders>
                    <w:left w:val="nil"/>
                    <w:bottom w:val="single" w:sz="8" w:space="0" w:color="auto"/>
                    <w:right w:val="single" w:sz="8" w:space="0" w:color="auto"/>
                  </w:tcBorders>
                  <w:tcMar>
                    <w:top w:w="0" w:type="dxa"/>
                    <w:left w:w="108" w:type="dxa"/>
                    <w:bottom w:w="0" w:type="dxa"/>
                    <w:right w:w="108" w:type="dxa"/>
                  </w:tcMar>
                  <w:vAlign w:val="center"/>
                </w:tcPr>
                <w:p w:rsidR="00206B52" w:rsidRPr="00C074AB" w:rsidRDefault="00206B52" w:rsidP="00067C87">
                  <w:pPr>
                    <w:pStyle w:val="NormalWeb"/>
                    <w:jc w:val="center"/>
                    <w:rPr>
                      <w:sz w:val="18"/>
                      <w:szCs w:val="18"/>
                    </w:rPr>
                  </w:pPr>
                </w:p>
              </w:tc>
            </w:tr>
          </w:tbl>
          <w:p w:rsidR="00A04589" w:rsidRDefault="00A04589" w:rsidP="004F4BD4">
            <w:pPr>
              <w:jc w:val="both"/>
              <w:rPr>
                <w:rFonts w:ascii="Calibri" w:hAnsi="Calibri"/>
                <w:sz w:val="18"/>
                <w:szCs w:val="18"/>
              </w:rPr>
            </w:pPr>
          </w:p>
          <w:p w:rsidR="00D13078" w:rsidRDefault="00D13078" w:rsidP="004F4BD4">
            <w:pPr>
              <w:jc w:val="both"/>
              <w:rPr>
                <w:rFonts w:ascii="Calibri" w:hAnsi="Calibri"/>
                <w:sz w:val="18"/>
                <w:szCs w:val="18"/>
              </w:rPr>
            </w:pPr>
          </w:p>
          <w:p w:rsidR="00A04589" w:rsidRDefault="00A04589" w:rsidP="004F4BD4">
            <w:pPr>
              <w:jc w:val="both"/>
              <w:rPr>
                <w:rFonts w:ascii="Calibri" w:hAnsi="Calibri"/>
                <w:sz w:val="18"/>
                <w:szCs w:val="18"/>
              </w:rPr>
            </w:pPr>
          </w:p>
          <w:p w:rsidR="00A04589" w:rsidRPr="00604651" w:rsidRDefault="00A04589" w:rsidP="00A04589">
            <w:pPr>
              <w:spacing w:line="480" w:lineRule="auto"/>
              <w:jc w:val="both"/>
              <w:rPr>
                <w:i/>
                <w:sz w:val="28"/>
                <w:szCs w:val="28"/>
              </w:rPr>
            </w:pPr>
            <w:r w:rsidRPr="00604651">
              <w:rPr>
                <w:i/>
                <w:sz w:val="28"/>
                <w:szCs w:val="28"/>
              </w:rPr>
              <w:lastRenderedPageBreak/>
              <w:t xml:space="preserve">Deberán todos los profesionales responsables de atender asuntos de Niñez y Adolescencia, cumplir con los parámetros establecidos en el informe integral que se realiza en esta Dirección sobre ese Departamento, los cuales si bien no están avalados aún por el Consejo Superior, ya se han venido implementando en la práctica; además, deberán presentar a </w:t>
            </w:r>
            <w:smartTag w:uri="urn:schemas-microsoft-com:office:smarttags" w:element="PersonName">
              <w:smartTagPr>
                <w:attr w:name="ProductID" w:val="la Jefatura"/>
              </w:smartTagPr>
              <w:r w:rsidRPr="00604651">
                <w:rPr>
                  <w:i/>
                  <w:sz w:val="28"/>
                  <w:szCs w:val="28"/>
                </w:rPr>
                <w:t>la Jefatura</w:t>
              </w:r>
            </w:smartTag>
            <w:r w:rsidRPr="00604651">
              <w:rPr>
                <w:i/>
                <w:sz w:val="28"/>
                <w:szCs w:val="28"/>
              </w:rPr>
              <w:t xml:space="preserve"> del Departamento, informes mensuales con el fin de establecer control sobre la antigüedad de los asuntos pendientes de atender y monitorear y realizar los ajustes correspondientes  en el  rendimiento de estos recursos, para el cumplimiento de los objetivos para los cuales se otorgan.  Es responsabilidad de </w:t>
            </w:r>
            <w:smartTag w:uri="urn:schemas-microsoft-com:office:smarttags" w:element="PersonName">
              <w:smartTagPr>
                <w:attr w:name="ProductID" w:val="la Jefatura"/>
              </w:smartTagPr>
              <w:r w:rsidRPr="00604651">
                <w:rPr>
                  <w:i/>
                  <w:sz w:val="28"/>
                  <w:szCs w:val="28"/>
                </w:rPr>
                <w:t>la Jefatura</w:t>
              </w:r>
            </w:smartTag>
            <w:r w:rsidRPr="00604651">
              <w:rPr>
                <w:i/>
                <w:sz w:val="28"/>
                <w:szCs w:val="28"/>
              </w:rPr>
              <w:t xml:space="preserve"> del Departamento, establecer dichos controles y las metas que se establezcan para el desempeño de ese equipo de trabajo, así como los ajustes correspondientes.</w:t>
            </w:r>
          </w:p>
          <w:p w:rsidR="00A04589" w:rsidRPr="00604651" w:rsidRDefault="00A04589" w:rsidP="00A04589">
            <w:pPr>
              <w:spacing w:line="480" w:lineRule="auto"/>
              <w:jc w:val="both"/>
              <w:rPr>
                <w:i/>
                <w:sz w:val="28"/>
                <w:szCs w:val="28"/>
              </w:rPr>
            </w:pPr>
          </w:p>
          <w:p w:rsidR="00A04589" w:rsidRPr="00604651" w:rsidRDefault="00A04589" w:rsidP="00A04589">
            <w:pPr>
              <w:spacing w:line="480" w:lineRule="auto"/>
              <w:jc w:val="both"/>
              <w:rPr>
                <w:i/>
                <w:sz w:val="28"/>
                <w:szCs w:val="28"/>
              </w:rPr>
            </w:pPr>
            <w:r w:rsidRPr="00604651">
              <w:rPr>
                <w:i/>
                <w:sz w:val="28"/>
                <w:szCs w:val="28"/>
              </w:rPr>
              <w:t xml:space="preserve">El destino de estas plazas también estará supeditado a las recomendaciones que se deriven del análisis del impacto que se presente en caso de que se apruebe </w:t>
            </w:r>
            <w:r w:rsidRPr="00604651">
              <w:rPr>
                <w:i/>
                <w:sz w:val="28"/>
                <w:szCs w:val="28"/>
                <w:lang w:val="es-ES_tradnl"/>
              </w:rPr>
              <w:t>el proyecto de Ley expediente N°19455 Código Procesal de Familia.</w:t>
            </w:r>
          </w:p>
          <w:p w:rsidR="00A04589" w:rsidRPr="00604651" w:rsidRDefault="00A04589" w:rsidP="00A04589">
            <w:pPr>
              <w:spacing w:line="480" w:lineRule="auto"/>
              <w:jc w:val="both"/>
              <w:rPr>
                <w:i/>
                <w:sz w:val="28"/>
                <w:szCs w:val="28"/>
              </w:rPr>
            </w:pPr>
          </w:p>
          <w:p w:rsidR="00A04589" w:rsidRPr="00604651" w:rsidRDefault="00A04589" w:rsidP="00A04589">
            <w:pPr>
              <w:spacing w:line="480" w:lineRule="auto"/>
              <w:jc w:val="both"/>
              <w:rPr>
                <w:i/>
                <w:sz w:val="28"/>
                <w:szCs w:val="28"/>
              </w:rPr>
            </w:pPr>
            <w:r w:rsidRPr="00604651">
              <w:rPr>
                <w:i/>
                <w:sz w:val="28"/>
                <w:szCs w:val="28"/>
              </w:rPr>
              <w:t>Estas plazas quedan sujetas a evaluación de la Sección de Control y Evaluación de esta Dirección durante el segundo semestre del 2017 con la finalidad de conocer el cumplimiento de los parámetros correspondientes.</w:t>
            </w:r>
          </w:p>
          <w:p w:rsidR="00A04589" w:rsidRPr="00604651" w:rsidRDefault="00A04589" w:rsidP="004F4BD4">
            <w:pPr>
              <w:jc w:val="both"/>
              <w:rPr>
                <w:rFonts w:ascii="Calibri" w:hAnsi="Calibri"/>
                <w:i/>
                <w:sz w:val="18"/>
                <w:szCs w:val="18"/>
              </w:rPr>
            </w:pPr>
          </w:p>
          <w:p w:rsidR="00A04589" w:rsidRPr="00604651" w:rsidRDefault="00A04589" w:rsidP="004F4BD4">
            <w:pPr>
              <w:jc w:val="both"/>
              <w:rPr>
                <w:rFonts w:ascii="Calibri" w:hAnsi="Calibri"/>
                <w:i/>
                <w:sz w:val="18"/>
                <w:szCs w:val="18"/>
              </w:rPr>
            </w:pPr>
          </w:p>
          <w:p w:rsidR="00A04589" w:rsidRPr="00604651" w:rsidRDefault="00A04589" w:rsidP="004F4BD4">
            <w:pPr>
              <w:jc w:val="both"/>
              <w:rPr>
                <w:rFonts w:ascii="Calibri" w:hAnsi="Calibri"/>
                <w:i/>
                <w:sz w:val="18"/>
                <w:szCs w:val="18"/>
              </w:rPr>
            </w:pPr>
          </w:p>
          <w:p w:rsidR="00A04589" w:rsidRDefault="00A04589" w:rsidP="004F4BD4">
            <w:pPr>
              <w:jc w:val="both"/>
              <w:rPr>
                <w:rFonts w:ascii="Calibri" w:hAnsi="Calibri"/>
                <w:sz w:val="18"/>
                <w:szCs w:val="18"/>
              </w:rPr>
            </w:pPr>
          </w:p>
          <w:p w:rsidR="00A04589" w:rsidRDefault="00A04589" w:rsidP="004F4BD4">
            <w:pPr>
              <w:jc w:val="both"/>
              <w:rPr>
                <w:rFonts w:ascii="Calibri" w:hAnsi="Calibri"/>
                <w:sz w:val="18"/>
                <w:szCs w:val="18"/>
              </w:rPr>
            </w:pPr>
          </w:p>
          <w:p w:rsidR="00A04589" w:rsidRPr="00C074AB" w:rsidRDefault="00A04589" w:rsidP="004F4BD4">
            <w:pPr>
              <w:jc w:val="both"/>
              <w:rPr>
                <w:rFonts w:ascii="Calibri" w:hAnsi="Calibri"/>
                <w:sz w:val="18"/>
                <w:szCs w:val="18"/>
              </w:rPr>
            </w:pPr>
          </w:p>
          <w:p w:rsidR="00CE1F57" w:rsidRPr="00C074AB" w:rsidRDefault="00CE1F57" w:rsidP="009563C1">
            <w:pPr>
              <w:jc w:val="both"/>
              <w:rPr>
                <w:rFonts w:ascii="Calibri" w:hAnsi="Calibri"/>
                <w:bCs/>
                <w:i/>
                <w:color w:val="0000FF"/>
              </w:rPr>
            </w:pPr>
          </w:p>
        </w:tc>
      </w:tr>
    </w:tbl>
    <w:p w:rsidR="00CE1F57" w:rsidRPr="00C074AB" w:rsidRDefault="00CE1F57" w:rsidP="006713AB">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740"/>
      </w:tblGrid>
      <w:tr w:rsidR="00CE1F57" w:rsidRPr="00C074AB">
        <w:tc>
          <w:tcPr>
            <w:tcW w:w="2448" w:type="dxa"/>
            <w:shd w:val="clear" w:color="auto" w:fill="B3B3B3"/>
          </w:tcPr>
          <w:p w:rsidR="00CE1F57" w:rsidRPr="00C074AB" w:rsidRDefault="00CE1F57" w:rsidP="009563C1">
            <w:pPr>
              <w:jc w:val="right"/>
              <w:rPr>
                <w:rFonts w:ascii="Calibri" w:hAnsi="Calibri"/>
                <w:b/>
              </w:rPr>
            </w:pPr>
            <w:r w:rsidRPr="00C074AB">
              <w:rPr>
                <w:rFonts w:ascii="Calibri" w:hAnsi="Calibri"/>
                <w:b/>
              </w:rPr>
              <w:t>Realizado por:</w:t>
            </w:r>
          </w:p>
        </w:tc>
        <w:tc>
          <w:tcPr>
            <w:tcW w:w="7740" w:type="dxa"/>
          </w:tcPr>
          <w:p w:rsidR="00CE1F57" w:rsidRPr="00C074AB" w:rsidRDefault="00952FE6" w:rsidP="00067C87">
            <w:pPr>
              <w:rPr>
                <w:rFonts w:ascii="Calibri" w:hAnsi="Calibri"/>
                <w:bCs/>
                <w:i/>
              </w:rPr>
            </w:pPr>
            <w:r w:rsidRPr="00C074AB">
              <w:rPr>
                <w:rFonts w:ascii="Calibri" w:hAnsi="Calibri"/>
                <w:bCs/>
                <w:i/>
              </w:rPr>
              <w:t>Rocío Picado Vargas</w:t>
            </w:r>
            <w:r w:rsidR="00D343A4" w:rsidRPr="00C074AB">
              <w:rPr>
                <w:rFonts w:ascii="Calibri" w:hAnsi="Calibri"/>
                <w:bCs/>
                <w:i/>
              </w:rPr>
              <w:t>, Profesional 2</w:t>
            </w:r>
          </w:p>
        </w:tc>
      </w:tr>
      <w:tr w:rsidR="00CE1F57" w:rsidRPr="00C074AB">
        <w:tc>
          <w:tcPr>
            <w:tcW w:w="2448" w:type="dxa"/>
            <w:shd w:val="clear" w:color="auto" w:fill="B3B3B3"/>
          </w:tcPr>
          <w:p w:rsidR="00CE1F57" w:rsidRPr="00C074AB" w:rsidRDefault="00CE1F57" w:rsidP="009563C1">
            <w:pPr>
              <w:jc w:val="right"/>
              <w:rPr>
                <w:rFonts w:ascii="Calibri" w:hAnsi="Calibri"/>
                <w:b/>
              </w:rPr>
            </w:pPr>
            <w:r w:rsidRPr="00C074AB">
              <w:rPr>
                <w:rFonts w:ascii="Calibri" w:hAnsi="Calibri"/>
                <w:b/>
              </w:rPr>
              <w:t>Aprobado por:</w:t>
            </w:r>
          </w:p>
        </w:tc>
        <w:tc>
          <w:tcPr>
            <w:tcW w:w="7740" w:type="dxa"/>
          </w:tcPr>
          <w:p w:rsidR="00CE1F57" w:rsidRPr="00C074AB" w:rsidRDefault="00D343A4" w:rsidP="00067C87">
            <w:pPr>
              <w:rPr>
                <w:rFonts w:ascii="Calibri" w:hAnsi="Calibri"/>
                <w:bCs/>
                <w:i/>
              </w:rPr>
            </w:pPr>
            <w:r w:rsidRPr="00C074AB">
              <w:rPr>
                <w:rFonts w:ascii="Calibri" w:hAnsi="Calibri"/>
                <w:bCs/>
                <w:i/>
              </w:rPr>
              <w:t xml:space="preserve">Erick Monge Sandí, Jefe Sección de </w:t>
            </w:r>
            <w:r w:rsidR="00B4532A">
              <w:rPr>
                <w:rFonts w:ascii="Calibri" w:hAnsi="Calibri"/>
                <w:bCs/>
                <w:i/>
              </w:rPr>
              <w:t>Control y Evaluación</w:t>
            </w:r>
          </w:p>
        </w:tc>
      </w:tr>
      <w:tr w:rsidR="00CE1F57" w:rsidRPr="00C074AB">
        <w:tc>
          <w:tcPr>
            <w:tcW w:w="2448" w:type="dxa"/>
            <w:shd w:val="clear" w:color="auto" w:fill="B3B3B3"/>
          </w:tcPr>
          <w:p w:rsidR="00CE1F57" w:rsidRPr="00C074AB" w:rsidRDefault="00CE1F57" w:rsidP="009563C1">
            <w:pPr>
              <w:jc w:val="right"/>
              <w:rPr>
                <w:rFonts w:ascii="Calibri" w:hAnsi="Calibri"/>
                <w:b/>
              </w:rPr>
            </w:pPr>
            <w:r w:rsidRPr="00C074AB">
              <w:rPr>
                <w:rFonts w:ascii="Calibri" w:hAnsi="Calibri"/>
                <w:b/>
              </w:rPr>
              <w:t>Visto bueno:</w:t>
            </w:r>
          </w:p>
        </w:tc>
        <w:tc>
          <w:tcPr>
            <w:tcW w:w="7740" w:type="dxa"/>
          </w:tcPr>
          <w:p w:rsidR="00CE1F57" w:rsidRPr="00C074AB" w:rsidRDefault="0025742A" w:rsidP="00067C87">
            <w:pPr>
              <w:rPr>
                <w:rFonts w:ascii="Calibri" w:hAnsi="Calibri"/>
                <w:bCs/>
                <w:i/>
                <w:color w:val="0000FF"/>
              </w:rPr>
            </w:pPr>
            <w:r w:rsidRPr="00C074AB">
              <w:rPr>
                <w:rFonts w:ascii="Calibri" w:hAnsi="Calibri"/>
                <w:bCs/>
                <w:i/>
              </w:rPr>
              <w:t xml:space="preserve">Licda. </w:t>
            </w:r>
            <w:smartTag w:uri="urn:schemas-microsoft-com:office:smarttags" w:element="PersonName">
              <w:r w:rsidRPr="00C074AB">
                <w:rPr>
                  <w:rFonts w:ascii="Calibri" w:hAnsi="Calibri"/>
                  <w:bCs/>
                  <w:i/>
                </w:rPr>
                <w:t>Nacira Valverde Bermúdez</w:t>
              </w:r>
            </w:smartTag>
          </w:p>
        </w:tc>
      </w:tr>
    </w:tbl>
    <w:p w:rsidR="00CE1F57" w:rsidRPr="00C074AB" w:rsidRDefault="00CE1F57" w:rsidP="006713AB">
      <w:pPr>
        <w:jc w:val="center"/>
        <w:rPr>
          <w:rFonts w:ascii="Calibri" w:hAnsi="Calibri"/>
          <w:sz w:val="40"/>
          <w:szCs w:val="40"/>
        </w:rPr>
      </w:pPr>
    </w:p>
    <w:p w:rsidR="006713AB" w:rsidRPr="00C074AB" w:rsidRDefault="00267E70" w:rsidP="0025742A">
      <w:r>
        <w:t>NVB</w:t>
      </w:r>
      <w:bookmarkStart w:id="0" w:name="_GoBack"/>
      <w:bookmarkEnd w:id="0"/>
      <w:r w:rsidR="00D13078" w:rsidRPr="00D13078">
        <w:t>/</w:t>
      </w:r>
      <w:r w:rsidR="00D13078" w:rsidRPr="00D13078">
        <w:rPr>
          <w:color w:val="548DD4" w:themeColor="text2" w:themeTint="99"/>
        </w:rPr>
        <w:t>EMS</w:t>
      </w:r>
      <w:r w:rsidR="00B32AE7">
        <w:t>/kds</w:t>
      </w:r>
      <w:r w:rsidR="0088224D" w:rsidRPr="00C074AB">
        <w:br w:type="page"/>
      </w:r>
    </w:p>
    <w:p w:rsidR="002857FE" w:rsidRPr="00C074AB" w:rsidRDefault="002857FE" w:rsidP="001661A0">
      <w:pPr>
        <w:pStyle w:val="Ttulo2"/>
      </w:pPr>
      <w:bookmarkStart w:id="1" w:name="_Toc293406873"/>
      <w:bookmarkStart w:id="2" w:name="_Toc293407061"/>
      <w:bookmarkStart w:id="3" w:name="_Toc376937153"/>
      <w:bookmarkStart w:id="4" w:name="_Toc376938111"/>
      <w:bookmarkStart w:id="5" w:name="_Toc376938426"/>
      <w:bookmarkStart w:id="6" w:name="_Toc376939198"/>
      <w:bookmarkStart w:id="7" w:name="_Toc433889455"/>
      <w:r w:rsidRPr="00C074AB">
        <w:lastRenderedPageBreak/>
        <w:t xml:space="preserve">I </w:t>
      </w:r>
      <w:bookmarkEnd w:id="1"/>
      <w:bookmarkEnd w:id="2"/>
      <w:bookmarkEnd w:id="3"/>
      <w:bookmarkEnd w:id="4"/>
      <w:bookmarkEnd w:id="5"/>
      <w:bookmarkEnd w:id="6"/>
      <w:bookmarkEnd w:id="7"/>
      <w:r w:rsidR="00CE1F57" w:rsidRPr="00C074AB">
        <w:t>Plazas por Analizar</w:t>
      </w:r>
    </w:p>
    <w:p w:rsidR="002857FE" w:rsidRPr="00C074AB" w:rsidRDefault="002857FE" w:rsidP="002857FE">
      <w:pPr>
        <w:rPr>
          <w:rFonts w:cs="Arial"/>
          <w:lang w:val="es-ES_tradnl"/>
        </w:rPr>
      </w:pPr>
    </w:p>
    <w:p w:rsidR="0015445F" w:rsidRPr="00C074AB" w:rsidRDefault="0015445F" w:rsidP="002857FE">
      <w:pPr>
        <w:rPr>
          <w:rFonts w:cs="Arial"/>
          <w:lang w:val="es-ES_tradnl"/>
        </w:rPr>
      </w:pPr>
    </w:p>
    <w:p w:rsidR="0015445F" w:rsidRPr="00C074AB" w:rsidRDefault="0015445F" w:rsidP="00197472">
      <w:pPr>
        <w:jc w:val="center"/>
        <w:rPr>
          <w:rFonts w:cs="Arial"/>
          <w:lang w:val="es-ES_tradnl"/>
        </w:rPr>
      </w:pPr>
      <w:r w:rsidRPr="00C074AB">
        <w:rPr>
          <w:rFonts w:cs="Arial"/>
          <w:lang w:val="es-ES_tradnl"/>
        </w:rPr>
        <w:t>Cuadro N°1</w:t>
      </w:r>
    </w:p>
    <w:p w:rsidR="0015445F" w:rsidRPr="00C074AB" w:rsidRDefault="0015445F" w:rsidP="00197472">
      <w:pPr>
        <w:jc w:val="center"/>
        <w:rPr>
          <w:rFonts w:cs="Arial"/>
          <w:lang w:val="es-ES_tradnl"/>
        </w:rPr>
      </w:pPr>
      <w:r w:rsidRPr="00C074AB">
        <w:rPr>
          <w:rFonts w:cs="Arial"/>
          <w:lang w:val="es-ES_tradnl"/>
        </w:rPr>
        <w:t>Plazas por analizar para el ejercicio presupuestario 201</w:t>
      </w:r>
      <w:r w:rsidR="00A67728" w:rsidRPr="00C074AB">
        <w:rPr>
          <w:rFonts w:cs="Arial"/>
          <w:lang w:val="es-ES_tradnl"/>
        </w:rPr>
        <w:t>8</w:t>
      </w:r>
    </w:p>
    <w:p w:rsidR="0015445F" w:rsidRPr="00C074AB" w:rsidRDefault="0015445F" w:rsidP="00197472">
      <w:pPr>
        <w:jc w:val="center"/>
        <w:rPr>
          <w:rFonts w:cs="Arial"/>
          <w:lang w:val="es-ES_tradnl"/>
        </w:rPr>
      </w:pPr>
      <w:r w:rsidRPr="00C074AB">
        <w:rPr>
          <w:rFonts w:cs="Arial"/>
          <w:lang w:val="es-ES_tradnl"/>
        </w:rPr>
        <w:t>Departamento de Trabajo Social y Psicología</w:t>
      </w:r>
    </w:p>
    <w:p w:rsidR="0015445F" w:rsidRPr="00C074AB" w:rsidRDefault="0015445F" w:rsidP="00197472">
      <w:pPr>
        <w:jc w:val="center"/>
        <w:rPr>
          <w:rFonts w:cs="Arial"/>
          <w:lang w:val="es-ES_tradnl"/>
        </w:rPr>
      </w:pPr>
      <w:r w:rsidRPr="00C074AB">
        <w:rPr>
          <w:rFonts w:cs="Arial"/>
          <w:lang w:val="es-ES_tradnl"/>
        </w:rPr>
        <w:t>Programa de Niñez y Adolescencia</w:t>
      </w:r>
    </w:p>
    <w:p w:rsidR="0015445F" w:rsidRPr="00C074AB" w:rsidRDefault="0015445F" w:rsidP="002857FE">
      <w:pPr>
        <w:rPr>
          <w:rFonts w:cs="Arial"/>
          <w:lang w:val="es-ES_tradnl"/>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5"/>
        <w:gridCol w:w="1792"/>
        <w:gridCol w:w="1832"/>
        <w:gridCol w:w="1349"/>
        <w:gridCol w:w="1873"/>
        <w:gridCol w:w="1924"/>
      </w:tblGrid>
      <w:tr w:rsidR="00FC6CBA" w:rsidRPr="00C074AB">
        <w:trPr>
          <w:trHeight w:val="1113"/>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C6CBA" w:rsidRPr="00C074AB" w:rsidRDefault="00FC6CBA" w:rsidP="00BF25B4">
            <w:pPr>
              <w:jc w:val="center"/>
              <w:rPr>
                <w:b/>
                <w:bCs/>
              </w:rPr>
            </w:pPr>
            <w:r w:rsidRPr="00C074AB">
              <w:rPr>
                <w:b/>
                <w:bCs/>
              </w:rPr>
              <w:t>Cantidad</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rsidR="00FC6CBA" w:rsidRPr="00C074AB" w:rsidRDefault="00FC6CBA" w:rsidP="00BF25B4">
            <w:pPr>
              <w:jc w:val="center"/>
              <w:rPr>
                <w:b/>
                <w:bCs/>
              </w:rPr>
            </w:pPr>
            <w:r w:rsidRPr="00C074AB">
              <w:rPr>
                <w:b/>
                <w:bCs/>
              </w:rPr>
              <w:t>Tipo de plaza</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C6CBA" w:rsidRPr="00C074AB" w:rsidRDefault="00FC6CBA" w:rsidP="00BF25B4">
            <w:pPr>
              <w:jc w:val="center"/>
              <w:rPr>
                <w:b/>
                <w:bCs/>
              </w:rPr>
            </w:pPr>
            <w:r w:rsidRPr="00C074AB">
              <w:rPr>
                <w:b/>
                <w:bCs/>
              </w:rPr>
              <w:t>Condición actual</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FC6CBA" w:rsidRPr="00C074AB" w:rsidRDefault="00FC6CBA" w:rsidP="00BF25B4">
            <w:pPr>
              <w:jc w:val="center"/>
              <w:rPr>
                <w:b/>
                <w:bCs/>
              </w:rPr>
            </w:pPr>
            <w:r w:rsidRPr="00C074AB">
              <w:rPr>
                <w:b/>
                <w:bCs/>
              </w:rPr>
              <w:t>Plazo</w:t>
            </w:r>
          </w:p>
          <w:p w:rsidR="00FC6CBA" w:rsidRPr="00C074AB" w:rsidRDefault="00FC6CBA" w:rsidP="00BF25B4">
            <w:pPr>
              <w:jc w:val="center"/>
              <w:rPr>
                <w:b/>
                <w:bCs/>
              </w:rPr>
            </w:pPr>
            <w:r w:rsidRPr="00C074AB">
              <w:rPr>
                <w:b/>
                <w:bCs/>
              </w:rPr>
              <w:t>Actual</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FC6CBA" w:rsidRPr="00C074AB" w:rsidRDefault="00FC6CBA" w:rsidP="00BF25B4">
            <w:pPr>
              <w:jc w:val="center"/>
              <w:rPr>
                <w:b/>
                <w:bCs/>
              </w:rPr>
            </w:pPr>
            <w:r w:rsidRPr="00C074AB">
              <w:rPr>
                <w:b/>
                <w:bCs/>
              </w:rPr>
              <w:t>Tiempo de existir este recurso</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FC6CBA" w:rsidRPr="00C074AB" w:rsidRDefault="00FC6CBA" w:rsidP="00BF25B4">
            <w:pPr>
              <w:jc w:val="center"/>
              <w:rPr>
                <w:b/>
                <w:bCs/>
              </w:rPr>
            </w:pPr>
            <w:r w:rsidRPr="00C074AB">
              <w:rPr>
                <w:b/>
                <w:bCs/>
              </w:rPr>
              <w:t>Acuerdo</w:t>
            </w:r>
          </w:p>
        </w:tc>
      </w:tr>
      <w:tr w:rsidR="00247615" w:rsidRPr="00C074AB">
        <w:trPr>
          <w:trHeight w:val="705"/>
        </w:trPr>
        <w:tc>
          <w:tcPr>
            <w:tcW w:w="1255" w:type="dxa"/>
            <w:tcBorders>
              <w:top w:val="single" w:sz="4" w:space="0" w:color="auto"/>
              <w:left w:val="single" w:sz="4" w:space="0" w:color="auto"/>
              <w:bottom w:val="single" w:sz="4" w:space="0" w:color="auto"/>
              <w:right w:val="single" w:sz="4" w:space="0" w:color="auto"/>
            </w:tcBorders>
            <w:vAlign w:val="center"/>
          </w:tcPr>
          <w:p w:rsidR="00247615" w:rsidRPr="00C074AB" w:rsidRDefault="00247615" w:rsidP="00BF25B4">
            <w:pPr>
              <w:jc w:val="center"/>
            </w:pPr>
            <w:r w:rsidRPr="00C074AB">
              <w:t>1</w:t>
            </w:r>
          </w:p>
        </w:tc>
        <w:tc>
          <w:tcPr>
            <w:tcW w:w="1792" w:type="dxa"/>
            <w:tcBorders>
              <w:top w:val="single" w:sz="4" w:space="0" w:color="auto"/>
              <w:left w:val="single" w:sz="4" w:space="0" w:color="auto"/>
              <w:bottom w:val="single" w:sz="4" w:space="0" w:color="auto"/>
              <w:right w:val="single" w:sz="4" w:space="0" w:color="auto"/>
            </w:tcBorders>
            <w:vAlign w:val="center"/>
          </w:tcPr>
          <w:p w:rsidR="00247615" w:rsidRPr="00C074AB" w:rsidRDefault="00247615" w:rsidP="00BF25B4">
            <w:pPr>
              <w:autoSpaceDE w:val="0"/>
              <w:autoSpaceDN w:val="0"/>
              <w:adjustRightInd w:val="0"/>
              <w:jc w:val="center"/>
              <w:rPr>
                <w:lang w:val="es-CR"/>
              </w:rPr>
            </w:pPr>
            <w:r w:rsidRPr="00C074AB">
              <w:rPr>
                <w:lang w:val="es-CR"/>
              </w:rPr>
              <w:t>Perito Judicial 2 (Psicólog</w:t>
            </w:r>
            <w:r w:rsidR="0088224D" w:rsidRPr="00C074AB">
              <w:rPr>
                <w:lang w:val="es-CR"/>
              </w:rPr>
              <w:t>a o Psicólogo</w:t>
            </w:r>
            <w:r w:rsidRPr="00C074AB">
              <w:rPr>
                <w:lang w:val="es-CR"/>
              </w:rPr>
              <w:t>)</w:t>
            </w:r>
          </w:p>
        </w:tc>
        <w:tc>
          <w:tcPr>
            <w:tcW w:w="1832" w:type="dxa"/>
            <w:vMerge w:val="restart"/>
            <w:tcBorders>
              <w:top w:val="single" w:sz="4" w:space="0" w:color="auto"/>
              <w:left w:val="single" w:sz="4" w:space="0" w:color="auto"/>
              <w:right w:val="single" w:sz="4" w:space="0" w:color="auto"/>
            </w:tcBorders>
            <w:vAlign w:val="center"/>
          </w:tcPr>
          <w:p w:rsidR="00247615" w:rsidRPr="00C074AB" w:rsidRDefault="00247615" w:rsidP="00BF25B4">
            <w:pPr>
              <w:jc w:val="center"/>
            </w:pPr>
            <w:r w:rsidRPr="00C074AB">
              <w:t>Extraordinarias</w:t>
            </w:r>
          </w:p>
          <w:p w:rsidR="00247615" w:rsidRPr="00C074AB" w:rsidRDefault="00247615" w:rsidP="00BF25B4">
            <w:pPr>
              <w:jc w:val="center"/>
            </w:pPr>
          </w:p>
        </w:tc>
        <w:tc>
          <w:tcPr>
            <w:tcW w:w="1349" w:type="dxa"/>
            <w:vMerge w:val="restart"/>
            <w:tcBorders>
              <w:top w:val="single" w:sz="4" w:space="0" w:color="auto"/>
              <w:left w:val="single" w:sz="4" w:space="0" w:color="auto"/>
              <w:right w:val="single" w:sz="4" w:space="0" w:color="auto"/>
            </w:tcBorders>
            <w:vAlign w:val="center"/>
          </w:tcPr>
          <w:p w:rsidR="00247615" w:rsidRPr="00C074AB" w:rsidRDefault="00247615" w:rsidP="00BF25B4">
            <w:pPr>
              <w:jc w:val="center"/>
            </w:pPr>
            <w:r w:rsidRPr="00C074AB">
              <w:t>Inician a partir de Mayo 2015</w:t>
            </w:r>
          </w:p>
          <w:p w:rsidR="00247615" w:rsidRPr="00C074AB" w:rsidRDefault="00247615" w:rsidP="00BF25B4">
            <w:pPr>
              <w:jc w:val="center"/>
            </w:pPr>
          </w:p>
        </w:tc>
        <w:tc>
          <w:tcPr>
            <w:tcW w:w="1873" w:type="dxa"/>
            <w:vMerge w:val="restart"/>
            <w:tcBorders>
              <w:top w:val="single" w:sz="4" w:space="0" w:color="auto"/>
              <w:left w:val="single" w:sz="4" w:space="0" w:color="auto"/>
              <w:right w:val="single" w:sz="4" w:space="0" w:color="auto"/>
            </w:tcBorders>
            <w:vAlign w:val="center"/>
          </w:tcPr>
          <w:p w:rsidR="00247615" w:rsidRPr="00C074AB" w:rsidRDefault="0052648D" w:rsidP="00BF25B4">
            <w:pPr>
              <w:jc w:val="center"/>
            </w:pPr>
            <w:r w:rsidRPr="00C074AB">
              <w:t xml:space="preserve"> Un año y o</w:t>
            </w:r>
            <w:r w:rsidR="00286C4E" w:rsidRPr="00C074AB">
              <w:t>cho meses</w:t>
            </w:r>
          </w:p>
          <w:p w:rsidR="00247615" w:rsidRPr="00C074AB" w:rsidRDefault="00247615" w:rsidP="00BF25B4">
            <w:pPr>
              <w:jc w:val="center"/>
            </w:pPr>
          </w:p>
        </w:tc>
        <w:tc>
          <w:tcPr>
            <w:tcW w:w="1924" w:type="dxa"/>
            <w:vMerge w:val="restart"/>
            <w:tcBorders>
              <w:top w:val="single" w:sz="4" w:space="0" w:color="auto"/>
              <w:left w:val="single" w:sz="4" w:space="0" w:color="auto"/>
              <w:right w:val="single" w:sz="4" w:space="0" w:color="auto"/>
            </w:tcBorders>
            <w:vAlign w:val="center"/>
          </w:tcPr>
          <w:p w:rsidR="00D90CA4" w:rsidRPr="00C074AB" w:rsidRDefault="00D90CA4" w:rsidP="00D90CA4">
            <w:pPr>
              <w:pStyle w:val="Encabezado"/>
              <w:tabs>
                <w:tab w:val="clear" w:pos="4252"/>
                <w:tab w:val="clear" w:pos="8504"/>
                <w:tab w:val="center" w:pos="8804"/>
                <w:tab w:val="right" w:pos="8875"/>
              </w:tabs>
              <w:jc w:val="center"/>
              <w:rPr>
                <w:rFonts w:ascii="Book Antiqua" w:hAnsi="Book Antiqua"/>
                <w:lang w:val="es-CR"/>
              </w:rPr>
            </w:pPr>
          </w:p>
          <w:p w:rsidR="00D90CA4" w:rsidRPr="00C074AB" w:rsidRDefault="00D90CA4" w:rsidP="00D90CA4">
            <w:pPr>
              <w:pStyle w:val="Encabezado"/>
              <w:tabs>
                <w:tab w:val="clear" w:pos="4252"/>
                <w:tab w:val="clear" w:pos="8504"/>
                <w:tab w:val="center" w:pos="8804"/>
                <w:tab w:val="right" w:pos="8875"/>
              </w:tabs>
              <w:jc w:val="center"/>
              <w:rPr>
                <w:rFonts w:ascii="Book Antiqua" w:hAnsi="Book Antiqua"/>
                <w:lang w:val="es-CR"/>
              </w:rPr>
            </w:pPr>
            <w:r w:rsidRPr="00C074AB">
              <w:rPr>
                <w:rFonts w:ascii="Book Antiqua" w:hAnsi="Book Antiqua"/>
                <w:lang w:val="es-CR"/>
              </w:rPr>
              <w:t>Acta N°15-16, 17-02-16</w:t>
            </w:r>
          </w:p>
          <w:p w:rsidR="00247615" w:rsidRPr="00C074AB" w:rsidRDefault="00D90CA4" w:rsidP="00D90CA4">
            <w:pPr>
              <w:jc w:val="center"/>
              <w:rPr>
                <w:rFonts w:ascii="Book Antiqua" w:hAnsi="Book Antiqua"/>
                <w:lang w:val="es-CR"/>
              </w:rPr>
            </w:pPr>
            <w:r w:rsidRPr="00C074AB">
              <w:rPr>
                <w:rFonts w:ascii="Book Antiqua" w:hAnsi="Book Antiqua"/>
                <w:lang w:val="es-CR"/>
              </w:rPr>
              <w:t>Artículo V</w:t>
            </w:r>
          </w:p>
          <w:p w:rsidR="00D90CA4" w:rsidRPr="00C074AB" w:rsidRDefault="00D90CA4" w:rsidP="00D90CA4">
            <w:pPr>
              <w:jc w:val="center"/>
              <w:rPr>
                <w:rFonts w:ascii="Book Antiqua" w:hAnsi="Book Antiqua"/>
                <w:lang w:val="es-CR"/>
              </w:rPr>
            </w:pPr>
          </w:p>
          <w:p w:rsidR="00D90CA4" w:rsidRPr="00C074AB" w:rsidRDefault="00D90CA4" w:rsidP="00D90CA4">
            <w:pPr>
              <w:jc w:val="center"/>
              <w:rPr>
                <w:sz w:val="26"/>
                <w:szCs w:val="26"/>
                <w:lang w:val="es-CR"/>
              </w:rPr>
            </w:pPr>
          </w:p>
        </w:tc>
      </w:tr>
      <w:tr w:rsidR="00247615" w:rsidRPr="00C074AB">
        <w:trPr>
          <w:trHeight w:val="705"/>
        </w:trPr>
        <w:tc>
          <w:tcPr>
            <w:tcW w:w="1255" w:type="dxa"/>
            <w:tcBorders>
              <w:top w:val="single" w:sz="4" w:space="0" w:color="auto"/>
              <w:left w:val="single" w:sz="4" w:space="0" w:color="auto"/>
              <w:bottom w:val="single" w:sz="4" w:space="0" w:color="auto"/>
              <w:right w:val="single" w:sz="4" w:space="0" w:color="auto"/>
            </w:tcBorders>
            <w:vAlign w:val="center"/>
          </w:tcPr>
          <w:p w:rsidR="00247615" w:rsidRPr="00C074AB" w:rsidRDefault="00247615" w:rsidP="00BF25B4">
            <w:pPr>
              <w:jc w:val="center"/>
            </w:pPr>
            <w:r w:rsidRPr="00C074AB">
              <w:t>1</w:t>
            </w:r>
          </w:p>
        </w:tc>
        <w:tc>
          <w:tcPr>
            <w:tcW w:w="1792" w:type="dxa"/>
            <w:tcBorders>
              <w:top w:val="single" w:sz="4" w:space="0" w:color="auto"/>
              <w:left w:val="single" w:sz="4" w:space="0" w:color="auto"/>
              <w:bottom w:val="single" w:sz="4" w:space="0" w:color="auto"/>
              <w:right w:val="single" w:sz="4" w:space="0" w:color="auto"/>
            </w:tcBorders>
            <w:vAlign w:val="center"/>
          </w:tcPr>
          <w:p w:rsidR="00247615" w:rsidRPr="00C074AB" w:rsidRDefault="00247615" w:rsidP="00BF25B4">
            <w:pPr>
              <w:autoSpaceDE w:val="0"/>
              <w:autoSpaceDN w:val="0"/>
              <w:adjustRightInd w:val="0"/>
              <w:jc w:val="center"/>
              <w:rPr>
                <w:lang w:val="es-CR"/>
              </w:rPr>
            </w:pPr>
            <w:r w:rsidRPr="00C074AB">
              <w:rPr>
                <w:lang w:val="es-CR"/>
              </w:rPr>
              <w:t>Perito Judicial 2</w:t>
            </w:r>
          </w:p>
          <w:p w:rsidR="00247615" w:rsidRPr="00C074AB" w:rsidRDefault="00247615" w:rsidP="00BF25B4">
            <w:pPr>
              <w:autoSpaceDE w:val="0"/>
              <w:autoSpaceDN w:val="0"/>
              <w:adjustRightInd w:val="0"/>
              <w:jc w:val="center"/>
              <w:rPr>
                <w:lang w:val="es-CR"/>
              </w:rPr>
            </w:pPr>
            <w:r w:rsidRPr="00C074AB">
              <w:rPr>
                <w:lang w:val="es-CR"/>
              </w:rPr>
              <w:t>(Trabajador</w:t>
            </w:r>
            <w:r w:rsidR="0088224D" w:rsidRPr="00C074AB">
              <w:rPr>
                <w:lang w:val="es-CR"/>
              </w:rPr>
              <w:t>a o Trabajador</w:t>
            </w:r>
            <w:r w:rsidRPr="00C074AB">
              <w:rPr>
                <w:lang w:val="es-CR"/>
              </w:rPr>
              <w:t xml:space="preserve"> Social)</w:t>
            </w:r>
          </w:p>
        </w:tc>
        <w:tc>
          <w:tcPr>
            <w:tcW w:w="1832" w:type="dxa"/>
            <w:vMerge/>
            <w:tcBorders>
              <w:left w:val="single" w:sz="4" w:space="0" w:color="auto"/>
              <w:right w:val="single" w:sz="4" w:space="0" w:color="auto"/>
            </w:tcBorders>
            <w:vAlign w:val="center"/>
          </w:tcPr>
          <w:p w:rsidR="00247615" w:rsidRPr="00C074AB" w:rsidRDefault="00247615" w:rsidP="00BF25B4">
            <w:pPr>
              <w:jc w:val="center"/>
            </w:pPr>
          </w:p>
        </w:tc>
        <w:tc>
          <w:tcPr>
            <w:tcW w:w="1349" w:type="dxa"/>
            <w:vMerge/>
            <w:tcBorders>
              <w:left w:val="single" w:sz="4" w:space="0" w:color="auto"/>
              <w:right w:val="single" w:sz="4" w:space="0" w:color="auto"/>
            </w:tcBorders>
            <w:vAlign w:val="center"/>
          </w:tcPr>
          <w:p w:rsidR="00247615" w:rsidRPr="00C074AB" w:rsidRDefault="00247615" w:rsidP="00BF25B4">
            <w:pPr>
              <w:jc w:val="center"/>
            </w:pPr>
          </w:p>
        </w:tc>
        <w:tc>
          <w:tcPr>
            <w:tcW w:w="1873" w:type="dxa"/>
            <w:vMerge/>
            <w:tcBorders>
              <w:left w:val="single" w:sz="4" w:space="0" w:color="auto"/>
              <w:right w:val="single" w:sz="4" w:space="0" w:color="auto"/>
            </w:tcBorders>
            <w:vAlign w:val="center"/>
          </w:tcPr>
          <w:p w:rsidR="00247615" w:rsidRPr="00C074AB" w:rsidRDefault="00247615" w:rsidP="00BF25B4">
            <w:pPr>
              <w:jc w:val="center"/>
            </w:pPr>
          </w:p>
        </w:tc>
        <w:tc>
          <w:tcPr>
            <w:tcW w:w="1924" w:type="dxa"/>
            <w:vMerge/>
            <w:tcBorders>
              <w:left w:val="single" w:sz="4" w:space="0" w:color="auto"/>
              <w:bottom w:val="single" w:sz="4" w:space="0" w:color="auto"/>
              <w:right w:val="single" w:sz="4" w:space="0" w:color="auto"/>
            </w:tcBorders>
            <w:vAlign w:val="center"/>
          </w:tcPr>
          <w:p w:rsidR="00247615" w:rsidRPr="00C074AB" w:rsidRDefault="00247615" w:rsidP="00BF25B4">
            <w:pPr>
              <w:pStyle w:val="Encabezado"/>
              <w:tabs>
                <w:tab w:val="clear" w:pos="4252"/>
                <w:tab w:val="clear" w:pos="8504"/>
                <w:tab w:val="center" w:pos="8804"/>
                <w:tab w:val="right" w:pos="8875"/>
              </w:tabs>
              <w:jc w:val="center"/>
              <w:rPr>
                <w:lang w:val="es-CR"/>
              </w:rPr>
            </w:pPr>
          </w:p>
        </w:tc>
      </w:tr>
    </w:tbl>
    <w:p w:rsidR="002857FE" w:rsidRPr="00C074AB" w:rsidRDefault="0015445F" w:rsidP="002857FE">
      <w:pPr>
        <w:rPr>
          <w:rFonts w:cs="Arial"/>
          <w:lang w:val="es-ES_tradnl"/>
        </w:rPr>
      </w:pPr>
      <w:r w:rsidRPr="00C074AB">
        <w:rPr>
          <w:rFonts w:cs="Arial"/>
          <w:lang w:val="es-ES_tradnl"/>
        </w:rPr>
        <w:t xml:space="preserve">Fuente: </w:t>
      </w:r>
      <w:r w:rsidR="00A67728" w:rsidRPr="00C074AB">
        <w:rPr>
          <w:rFonts w:cs="Arial"/>
          <w:lang w:val="es-ES_tradnl"/>
        </w:rPr>
        <w:t>Presupuesto 2017</w:t>
      </w:r>
      <w:r w:rsidRPr="00C074AB">
        <w:rPr>
          <w:rFonts w:cs="Arial"/>
          <w:lang w:val="es-ES_tradnl"/>
        </w:rPr>
        <w:t>, Dirección de Planificación.</w:t>
      </w:r>
    </w:p>
    <w:p w:rsidR="002857FE" w:rsidRPr="00C074AB" w:rsidRDefault="002857FE" w:rsidP="002857FE">
      <w:pPr>
        <w:rPr>
          <w:rFonts w:cs="Arial"/>
          <w:lang w:val="es-ES_tradnl"/>
        </w:rPr>
      </w:pPr>
    </w:p>
    <w:p w:rsidR="00FC6CBA" w:rsidRPr="00C074AB" w:rsidRDefault="00FC6CBA" w:rsidP="002857FE">
      <w:pPr>
        <w:rPr>
          <w:rFonts w:cs="Arial"/>
          <w:lang w:val="es-ES_tradnl"/>
        </w:rPr>
      </w:pPr>
    </w:p>
    <w:p w:rsidR="002857FE" w:rsidRPr="00C074AB" w:rsidRDefault="002857FE" w:rsidP="001661A0">
      <w:pPr>
        <w:pStyle w:val="Ttulo2"/>
      </w:pPr>
      <w:r w:rsidRPr="00C074AB">
        <w:t>II Justificación</w:t>
      </w:r>
      <w:r w:rsidR="00CE1F57" w:rsidRPr="00C074AB">
        <w:t xml:space="preserve"> de </w:t>
      </w:r>
      <w:smartTag w:uri="urn:schemas-microsoft-com:office:smarttags" w:element="PersonName">
        <w:smartTagPr>
          <w:attr w:name="ProductID" w:val="la Situaci￳n"/>
        </w:smartTagPr>
        <w:r w:rsidR="00CE1F57" w:rsidRPr="00C074AB">
          <w:t>la Situación</w:t>
        </w:r>
      </w:smartTag>
      <w:r w:rsidR="00CE1F57" w:rsidRPr="00C074AB">
        <w:t xml:space="preserve"> o Necesidad Planteada</w:t>
      </w:r>
    </w:p>
    <w:p w:rsidR="006713AB" w:rsidRPr="00C074AB" w:rsidRDefault="006713AB" w:rsidP="00197472">
      <w:pPr>
        <w:spacing w:line="480" w:lineRule="auto"/>
        <w:jc w:val="both"/>
        <w:rPr>
          <w:sz w:val="28"/>
          <w:szCs w:val="28"/>
        </w:rPr>
      </w:pPr>
    </w:p>
    <w:p w:rsidR="008C1374" w:rsidRPr="00C074AB" w:rsidRDefault="00A21546" w:rsidP="00197472">
      <w:pPr>
        <w:spacing w:line="480" w:lineRule="auto"/>
        <w:jc w:val="both"/>
        <w:rPr>
          <w:bCs/>
          <w:sz w:val="28"/>
          <w:szCs w:val="28"/>
        </w:rPr>
      </w:pPr>
      <w:r w:rsidRPr="00C074AB">
        <w:rPr>
          <w:bCs/>
          <w:sz w:val="28"/>
          <w:szCs w:val="28"/>
        </w:rPr>
        <w:t>La asignación del</w:t>
      </w:r>
      <w:r w:rsidR="00D63662" w:rsidRPr="00C074AB">
        <w:rPr>
          <w:bCs/>
          <w:sz w:val="28"/>
          <w:szCs w:val="28"/>
        </w:rPr>
        <w:t xml:space="preserve"> equipo interdisciplinario (</w:t>
      </w:r>
      <w:r w:rsidR="0063752D" w:rsidRPr="00C074AB">
        <w:rPr>
          <w:bCs/>
          <w:sz w:val="28"/>
          <w:szCs w:val="28"/>
        </w:rPr>
        <w:t>psicóloga</w:t>
      </w:r>
      <w:r w:rsidR="001D6C32" w:rsidRPr="00C074AB">
        <w:rPr>
          <w:bCs/>
          <w:sz w:val="28"/>
          <w:szCs w:val="28"/>
        </w:rPr>
        <w:t xml:space="preserve"> o psicólogo </w:t>
      </w:r>
      <w:r w:rsidR="00D63662" w:rsidRPr="00C074AB">
        <w:rPr>
          <w:bCs/>
          <w:sz w:val="28"/>
          <w:szCs w:val="28"/>
        </w:rPr>
        <w:t xml:space="preserve"> y trabajador</w:t>
      </w:r>
      <w:r w:rsidR="001D6C32" w:rsidRPr="00C074AB">
        <w:rPr>
          <w:bCs/>
          <w:sz w:val="28"/>
          <w:szCs w:val="28"/>
        </w:rPr>
        <w:t>a</w:t>
      </w:r>
      <w:r w:rsidR="0063752D" w:rsidRPr="00C074AB">
        <w:rPr>
          <w:bCs/>
          <w:sz w:val="28"/>
          <w:szCs w:val="28"/>
        </w:rPr>
        <w:t xml:space="preserve"> o trabajador </w:t>
      </w:r>
      <w:r w:rsidR="00D63662" w:rsidRPr="00C074AB">
        <w:rPr>
          <w:bCs/>
          <w:sz w:val="28"/>
          <w:szCs w:val="28"/>
        </w:rPr>
        <w:t xml:space="preserve">social) extraordinario </w:t>
      </w:r>
      <w:r w:rsidRPr="00C074AB">
        <w:rPr>
          <w:bCs/>
          <w:sz w:val="28"/>
          <w:szCs w:val="28"/>
        </w:rPr>
        <w:t xml:space="preserve">que </w:t>
      </w:r>
      <w:r w:rsidR="00D63662" w:rsidRPr="00C074AB">
        <w:rPr>
          <w:bCs/>
          <w:sz w:val="28"/>
          <w:szCs w:val="28"/>
        </w:rPr>
        <w:t xml:space="preserve">se otorgó al Departamento  </w:t>
      </w:r>
      <w:r w:rsidR="008C1374" w:rsidRPr="00C074AB">
        <w:rPr>
          <w:bCs/>
          <w:sz w:val="28"/>
          <w:szCs w:val="28"/>
        </w:rPr>
        <w:t>de Trabajo Social y</w:t>
      </w:r>
      <w:r w:rsidRPr="00C074AB">
        <w:rPr>
          <w:bCs/>
          <w:sz w:val="28"/>
          <w:szCs w:val="28"/>
        </w:rPr>
        <w:t xml:space="preserve"> Psicología para la atención prioritaria de los asuntos relativos a los procesos de Niñez y Adolescencia</w:t>
      </w:r>
      <w:r w:rsidR="00FA41B7" w:rsidRPr="00C074AB">
        <w:rPr>
          <w:bCs/>
          <w:sz w:val="28"/>
          <w:szCs w:val="28"/>
        </w:rPr>
        <w:t>,</w:t>
      </w:r>
      <w:r w:rsidRPr="00C074AB">
        <w:rPr>
          <w:bCs/>
          <w:sz w:val="28"/>
          <w:szCs w:val="28"/>
        </w:rPr>
        <w:t xml:space="preserve"> surge de la necesidad de una atención más expedita de los informes solicitados a estos profesionales por </w:t>
      </w:r>
      <w:r w:rsidR="00132B91" w:rsidRPr="00C074AB">
        <w:rPr>
          <w:bCs/>
          <w:sz w:val="28"/>
          <w:szCs w:val="28"/>
        </w:rPr>
        <w:t xml:space="preserve">ese </w:t>
      </w:r>
      <w:r w:rsidRPr="00C074AB">
        <w:rPr>
          <w:bCs/>
          <w:sz w:val="28"/>
          <w:szCs w:val="28"/>
        </w:rPr>
        <w:t xml:space="preserve"> Juzgado, los cuales en </w:t>
      </w:r>
      <w:r w:rsidR="00132B91" w:rsidRPr="00C074AB">
        <w:rPr>
          <w:bCs/>
          <w:sz w:val="28"/>
          <w:szCs w:val="28"/>
        </w:rPr>
        <w:t xml:space="preserve">periodos anteriores al 2015 </w:t>
      </w:r>
      <w:r w:rsidRPr="00C074AB">
        <w:rPr>
          <w:bCs/>
          <w:sz w:val="28"/>
          <w:szCs w:val="28"/>
        </w:rPr>
        <w:t>presentaban demoras significativas que retrasaban la resolución de los procesos en esta materia.</w:t>
      </w:r>
    </w:p>
    <w:p w:rsidR="00176E08" w:rsidRPr="00C074AB" w:rsidRDefault="00176E08" w:rsidP="00197472">
      <w:pPr>
        <w:spacing w:line="480" w:lineRule="auto"/>
        <w:jc w:val="both"/>
        <w:rPr>
          <w:bCs/>
          <w:sz w:val="28"/>
          <w:szCs w:val="28"/>
        </w:rPr>
      </w:pPr>
    </w:p>
    <w:p w:rsidR="00F336D4" w:rsidRPr="00C074AB" w:rsidRDefault="00BA7CDA" w:rsidP="00BA7CDA">
      <w:pPr>
        <w:spacing w:line="480" w:lineRule="auto"/>
        <w:jc w:val="both"/>
        <w:rPr>
          <w:sz w:val="28"/>
          <w:szCs w:val="28"/>
          <w:lang w:val="es-CR"/>
        </w:rPr>
      </w:pPr>
      <w:r w:rsidRPr="00C074AB">
        <w:rPr>
          <w:sz w:val="28"/>
          <w:szCs w:val="28"/>
          <w:lang w:val="es-CR"/>
        </w:rPr>
        <w:lastRenderedPageBreak/>
        <w:t xml:space="preserve">La dotación de estos recursos permitió durante el 2015 aumentar la cantidad de asuntos concluidos respecto del 2014, generándose así un impacto positivo en el </w:t>
      </w:r>
      <w:r w:rsidR="00F041CA" w:rsidRPr="00C074AB">
        <w:rPr>
          <w:sz w:val="28"/>
          <w:szCs w:val="28"/>
          <w:lang w:val="es-CR"/>
        </w:rPr>
        <w:t>Juzgado de Niñez y Adolescencia</w:t>
      </w:r>
      <w:r w:rsidRPr="00C074AB">
        <w:rPr>
          <w:sz w:val="28"/>
          <w:szCs w:val="28"/>
          <w:lang w:val="es-CR"/>
        </w:rPr>
        <w:t xml:space="preserve"> al poder disponer de </w:t>
      </w:r>
      <w:r w:rsidR="00F041CA" w:rsidRPr="00C074AB">
        <w:rPr>
          <w:sz w:val="28"/>
          <w:szCs w:val="28"/>
          <w:lang w:val="es-CR"/>
        </w:rPr>
        <w:t>un mayor número de peritajes</w:t>
      </w:r>
      <w:r w:rsidR="00C95E6B" w:rsidRPr="00C074AB">
        <w:rPr>
          <w:sz w:val="28"/>
          <w:szCs w:val="28"/>
          <w:lang w:val="es-CR"/>
        </w:rPr>
        <w:t xml:space="preserve"> que sustentaran la resolución de </w:t>
      </w:r>
      <w:r w:rsidRPr="00C074AB">
        <w:rPr>
          <w:sz w:val="28"/>
          <w:szCs w:val="28"/>
          <w:lang w:val="es-CR"/>
        </w:rPr>
        <w:t xml:space="preserve">una mayor cantidad de expedientes.  </w:t>
      </w:r>
    </w:p>
    <w:p w:rsidR="00F336D4" w:rsidRPr="00C074AB" w:rsidRDefault="00F336D4" w:rsidP="00BA7CDA">
      <w:pPr>
        <w:spacing w:line="480" w:lineRule="auto"/>
        <w:jc w:val="both"/>
        <w:rPr>
          <w:sz w:val="28"/>
          <w:szCs w:val="28"/>
          <w:lang w:val="es-CR"/>
        </w:rPr>
      </w:pPr>
    </w:p>
    <w:p w:rsidR="00F041CA" w:rsidRDefault="001010CF" w:rsidP="00BA7CDA">
      <w:pPr>
        <w:spacing w:line="480" w:lineRule="auto"/>
        <w:jc w:val="both"/>
        <w:rPr>
          <w:sz w:val="28"/>
          <w:szCs w:val="28"/>
          <w:lang w:val="es-CR"/>
        </w:rPr>
      </w:pPr>
      <w:r w:rsidRPr="00604651">
        <w:rPr>
          <w:sz w:val="28"/>
          <w:szCs w:val="28"/>
          <w:lang w:val="es-CR"/>
        </w:rPr>
        <w:t xml:space="preserve">Durante el 2016, se observa que del total de solicitudes ingresadas, el mayor número de solicitudes estuvo conformado por las valoraciones psicosociales y en este sentido el equipo extraordinario logró concluir un 55% de los asuntos que les fueron asignados en este tipo de valoraciones, siendo que éstas  constituyen el 73% del total de valoraciones que se solicitaron.  </w:t>
      </w:r>
    </w:p>
    <w:p w:rsidR="001010CF" w:rsidRPr="001010CF" w:rsidRDefault="001010CF" w:rsidP="00BA7CDA">
      <w:pPr>
        <w:spacing w:line="480" w:lineRule="auto"/>
        <w:jc w:val="both"/>
        <w:rPr>
          <w:sz w:val="28"/>
          <w:szCs w:val="28"/>
          <w:lang w:val="es-CR"/>
        </w:rPr>
      </w:pPr>
    </w:p>
    <w:p w:rsidR="00642A8F" w:rsidRPr="00C074AB" w:rsidRDefault="00642A8F" w:rsidP="00BA7CDA">
      <w:pPr>
        <w:spacing w:line="480" w:lineRule="auto"/>
        <w:jc w:val="both"/>
        <w:rPr>
          <w:sz w:val="28"/>
          <w:szCs w:val="28"/>
          <w:lang w:val="es-CR"/>
        </w:rPr>
      </w:pPr>
      <w:r w:rsidRPr="00C074AB">
        <w:rPr>
          <w:sz w:val="28"/>
          <w:szCs w:val="28"/>
          <w:lang w:val="es-CR"/>
        </w:rPr>
        <w:t xml:space="preserve">Nótese </w:t>
      </w:r>
      <w:r w:rsidR="00C318A5" w:rsidRPr="00C074AB">
        <w:rPr>
          <w:sz w:val="28"/>
          <w:szCs w:val="28"/>
          <w:lang w:val="es-CR"/>
        </w:rPr>
        <w:t>que,</w:t>
      </w:r>
      <w:r w:rsidRPr="00C074AB">
        <w:rPr>
          <w:sz w:val="28"/>
          <w:szCs w:val="28"/>
          <w:lang w:val="es-CR"/>
        </w:rPr>
        <w:t xml:space="preserve"> de no existir este equipo, esas valoraciones vendrían a engrosar la lista de espera y los tiempos de respuesta del equipo ordinario</w:t>
      </w:r>
      <w:r w:rsidR="00F336D4" w:rsidRPr="00C074AB">
        <w:rPr>
          <w:sz w:val="28"/>
          <w:szCs w:val="28"/>
          <w:lang w:val="es-CR"/>
        </w:rPr>
        <w:t xml:space="preserve"> se extenderían por encima de los </w:t>
      </w:r>
      <w:r w:rsidR="00F00561">
        <w:rPr>
          <w:sz w:val="28"/>
          <w:szCs w:val="28"/>
          <w:lang w:val="es-CR"/>
        </w:rPr>
        <w:t xml:space="preserve">cinco </w:t>
      </w:r>
      <w:r w:rsidR="00F336D4" w:rsidRPr="00C074AB">
        <w:rPr>
          <w:sz w:val="28"/>
          <w:szCs w:val="28"/>
          <w:lang w:val="es-CR"/>
        </w:rPr>
        <w:t>meses promedio tal y como sucedía anteriormente</w:t>
      </w:r>
      <w:r w:rsidRPr="00C074AB">
        <w:rPr>
          <w:sz w:val="28"/>
          <w:szCs w:val="28"/>
          <w:lang w:val="es-CR"/>
        </w:rPr>
        <w:t>.</w:t>
      </w:r>
    </w:p>
    <w:p w:rsidR="00642A8F" w:rsidRPr="00C074AB" w:rsidRDefault="00642A8F" w:rsidP="00BA7CDA">
      <w:pPr>
        <w:spacing w:line="480" w:lineRule="auto"/>
        <w:jc w:val="both"/>
        <w:rPr>
          <w:sz w:val="28"/>
          <w:szCs w:val="28"/>
          <w:lang w:val="es-CR"/>
        </w:rPr>
      </w:pPr>
    </w:p>
    <w:p w:rsidR="00BA7CDA" w:rsidRPr="00C074AB" w:rsidRDefault="00BA7CDA" w:rsidP="00BA7CDA">
      <w:pPr>
        <w:spacing w:line="480" w:lineRule="auto"/>
        <w:jc w:val="both"/>
        <w:rPr>
          <w:i/>
          <w:sz w:val="28"/>
          <w:szCs w:val="28"/>
          <w:lang w:val="es-CR"/>
        </w:rPr>
      </w:pPr>
      <w:r w:rsidRPr="00C074AB">
        <w:rPr>
          <w:sz w:val="28"/>
          <w:szCs w:val="28"/>
          <w:lang w:val="es-CR"/>
        </w:rPr>
        <w:t xml:space="preserve">Por otra parte, se acortaron los tiempos de espera para rendir los peritajes, </w:t>
      </w:r>
      <w:r w:rsidR="00AE613B" w:rsidRPr="00C074AB">
        <w:rPr>
          <w:sz w:val="28"/>
          <w:szCs w:val="28"/>
          <w:lang w:val="es-CR"/>
        </w:rPr>
        <w:t>pues en 2015 el rango de espera para que las solicitudes de valoraci</w:t>
      </w:r>
      <w:r w:rsidR="00A52E6E" w:rsidRPr="00C074AB">
        <w:rPr>
          <w:sz w:val="28"/>
          <w:szCs w:val="28"/>
          <w:lang w:val="es-CR"/>
        </w:rPr>
        <w:t xml:space="preserve">ón psicosocial fueran </w:t>
      </w:r>
      <w:r w:rsidR="00A5073D" w:rsidRPr="00C074AB">
        <w:rPr>
          <w:sz w:val="28"/>
          <w:szCs w:val="28"/>
          <w:lang w:val="es-CR"/>
        </w:rPr>
        <w:t>atendidas era</w:t>
      </w:r>
      <w:r w:rsidR="00A52E6E" w:rsidRPr="00C074AB">
        <w:rPr>
          <w:sz w:val="28"/>
          <w:szCs w:val="28"/>
          <w:lang w:val="es-CR"/>
        </w:rPr>
        <w:t xml:space="preserve"> de </w:t>
      </w:r>
      <w:r w:rsidR="00AE613B" w:rsidRPr="00C074AB">
        <w:rPr>
          <w:sz w:val="28"/>
          <w:szCs w:val="28"/>
          <w:lang w:val="es-CR"/>
        </w:rPr>
        <w:t xml:space="preserve"> un mínimo de </w:t>
      </w:r>
      <w:r w:rsidR="00A5073D">
        <w:rPr>
          <w:sz w:val="28"/>
          <w:szCs w:val="28"/>
          <w:lang w:val="es-CR"/>
        </w:rPr>
        <w:t>siete</w:t>
      </w:r>
      <w:r w:rsidR="00A5073D" w:rsidRPr="00C074AB">
        <w:rPr>
          <w:sz w:val="28"/>
          <w:szCs w:val="28"/>
          <w:lang w:val="es-CR"/>
        </w:rPr>
        <w:t xml:space="preserve"> meses</w:t>
      </w:r>
      <w:r w:rsidR="00AE613B" w:rsidRPr="00C074AB">
        <w:rPr>
          <w:sz w:val="28"/>
          <w:szCs w:val="28"/>
          <w:lang w:val="es-CR"/>
        </w:rPr>
        <w:t xml:space="preserve">  y un máximo de 11 meses en promedio</w:t>
      </w:r>
      <w:r w:rsidR="00A52E6E" w:rsidRPr="00C074AB">
        <w:rPr>
          <w:sz w:val="28"/>
          <w:szCs w:val="28"/>
          <w:lang w:val="es-CR"/>
        </w:rPr>
        <w:t xml:space="preserve">, logrando reducirse </w:t>
      </w:r>
      <w:r w:rsidRPr="00C074AB">
        <w:rPr>
          <w:sz w:val="28"/>
          <w:szCs w:val="28"/>
          <w:lang w:val="es-CR"/>
        </w:rPr>
        <w:t xml:space="preserve">a  un plazo de cinco meses en el 2015. Durante el 2016, ambos equipos mantienen tiempos promedio de respuesta muy similares a los del 2015, año en el cual se mantuvo </w:t>
      </w:r>
      <w:r w:rsidRPr="00C074AB">
        <w:rPr>
          <w:sz w:val="28"/>
          <w:szCs w:val="28"/>
          <w:lang w:val="es-CR"/>
        </w:rPr>
        <w:lastRenderedPageBreak/>
        <w:t xml:space="preserve">en una cifra promedio de </w:t>
      </w:r>
      <w:r w:rsidR="00A5073D">
        <w:rPr>
          <w:sz w:val="28"/>
          <w:szCs w:val="28"/>
          <w:lang w:val="es-CR"/>
        </w:rPr>
        <w:t>cinco</w:t>
      </w:r>
      <w:r w:rsidR="00A5073D" w:rsidRPr="00C074AB">
        <w:rPr>
          <w:sz w:val="28"/>
          <w:szCs w:val="28"/>
          <w:lang w:val="es-CR"/>
        </w:rPr>
        <w:t xml:space="preserve"> meses</w:t>
      </w:r>
      <w:r w:rsidR="00A52E6E" w:rsidRPr="00C074AB">
        <w:rPr>
          <w:sz w:val="28"/>
          <w:szCs w:val="28"/>
          <w:lang w:val="es-CR"/>
        </w:rPr>
        <w:t xml:space="preserve"> como se indicó anteriormente</w:t>
      </w:r>
      <w:r w:rsidRPr="00C074AB">
        <w:rPr>
          <w:sz w:val="28"/>
          <w:szCs w:val="28"/>
          <w:lang w:val="es-CR"/>
        </w:rPr>
        <w:t xml:space="preserve">, mientras que en el 2016 los tiempos promedio de respuesta oscilan entre </w:t>
      </w:r>
      <w:r w:rsidR="00A5073D">
        <w:rPr>
          <w:sz w:val="28"/>
          <w:szCs w:val="28"/>
          <w:lang w:val="es-CR"/>
        </w:rPr>
        <w:t>cuatro</w:t>
      </w:r>
      <w:r w:rsidRPr="00C074AB">
        <w:rPr>
          <w:sz w:val="28"/>
          <w:szCs w:val="28"/>
          <w:lang w:val="es-CR"/>
        </w:rPr>
        <w:t xml:space="preserve"> </w:t>
      </w:r>
      <w:r w:rsidR="00A5073D">
        <w:rPr>
          <w:sz w:val="28"/>
          <w:szCs w:val="28"/>
          <w:lang w:val="es-CR"/>
        </w:rPr>
        <w:t>cinco</w:t>
      </w:r>
      <w:r w:rsidR="00A5073D" w:rsidRPr="00C074AB">
        <w:rPr>
          <w:sz w:val="28"/>
          <w:szCs w:val="28"/>
          <w:lang w:val="es-CR"/>
        </w:rPr>
        <w:t xml:space="preserve"> meses</w:t>
      </w:r>
      <w:r w:rsidRPr="00C074AB">
        <w:rPr>
          <w:sz w:val="28"/>
          <w:szCs w:val="28"/>
          <w:lang w:val="es-CR"/>
        </w:rPr>
        <w:t xml:space="preserve"> en la mayoría de las solicitudes, registrándose en algunas de carácter más complejo un plazo mayor</w:t>
      </w:r>
      <w:r w:rsidRPr="00C074AB">
        <w:rPr>
          <w:i/>
          <w:sz w:val="28"/>
          <w:szCs w:val="28"/>
          <w:lang w:val="es-CR"/>
        </w:rPr>
        <w:t>.</w:t>
      </w:r>
    </w:p>
    <w:p w:rsidR="00BA7CDA" w:rsidRPr="00C074AB" w:rsidRDefault="00BA7CDA" w:rsidP="00197472">
      <w:pPr>
        <w:spacing w:line="480" w:lineRule="auto"/>
        <w:jc w:val="both"/>
        <w:rPr>
          <w:sz w:val="28"/>
          <w:szCs w:val="28"/>
        </w:rPr>
      </w:pPr>
    </w:p>
    <w:p w:rsidR="00D43635" w:rsidRPr="00C074AB" w:rsidRDefault="00176E08" w:rsidP="00197472">
      <w:pPr>
        <w:spacing w:line="480" w:lineRule="auto"/>
        <w:jc w:val="both"/>
        <w:rPr>
          <w:sz w:val="28"/>
          <w:szCs w:val="28"/>
        </w:rPr>
      </w:pPr>
      <w:r w:rsidRPr="00C074AB">
        <w:rPr>
          <w:sz w:val="28"/>
          <w:szCs w:val="28"/>
        </w:rPr>
        <w:t>Teniendo estos recursos un im</w:t>
      </w:r>
      <w:r w:rsidR="00434087" w:rsidRPr="00C074AB">
        <w:rPr>
          <w:sz w:val="28"/>
          <w:szCs w:val="28"/>
        </w:rPr>
        <w:t>pacto positivo</w:t>
      </w:r>
      <w:r w:rsidR="00826C28" w:rsidRPr="00C074AB">
        <w:rPr>
          <w:sz w:val="28"/>
          <w:szCs w:val="28"/>
        </w:rPr>
        <w:t xml:space="preserve"> en el 2015, fueron prorrogados por todo el </w:t>
      </w:r>
      <w:r w:rsidR="00434087" w:rsidRPr="00C074AB">
        <w:rPr>
          <w:sz w:val="28"/>
          <w:szCs w:val="28"/>
        </w:rPr>
        <w:t>2016</w:t>
      </w:r>
      <w:r w:rsidR="00826C28" w:rsidRPr="00C074AB">
        <w:rPr>
          <w:sz w:val="28"/>
          <w:szCs w:val="28"/>
        </w:rPr>
        <w:t xml:space="preserve">para la atención </w:t>
      </w:r>
      <w:r w:rsidR="00A21546" w:rsidRPr="00C074AB">
        <w:rPr>
          <w:sz w:val="28"/>
          <w:szCs w:val="28"/>
        </w:rPr>
        <w:t xml:space="preserve">prioritaria </w:t>
      </w:r>
      <w:r w:rsidR="00826C28" w:rsidRPr="00C074AB">
        <w:rPr>
          <w:sz w:val="28"/>
          <w:szCs w:val="28"/>
        </w:rPr>
        <w:t xml:space="preserve">de </w:t>
      </w:r>
      <w:r w:rsidR="00A21546" w:rsidRPr="00C074AB">
        <w:rPr>
          <w:sz w:val="28"/>
          <w:szCs w:val="28"/>
        </w:rPr>
        <w:t xml:space="preserve">los peritajes que solicita </w:t>
      </w:r>
      <w:r w:rsidRPr="00C074AB">
        <w:rPr>
          <w:sz w:val="28"/>
          <w:szCs w:val="28"/>
        </w:rPr>
        <w:t>este Juzgado</w:t>
      </w:r>
      <w:r w:rsidR="00434087" w:rsidRPr="00C074AB">
        <w:rPr>
          <w:sz w:val="28"/>
          <w:szCs w:val="28"/>
        </w:rPr>
        <w:t>,</w:t>
      </w:r>
      <w:r w:rsidRPr="00C074AB">
        <w:rPr>
          <w:sz w:val="28"/>
          <w:szCs w:val="28"/>
        </w:rPr>
        <w:t xml:space="preserve"> en conjunto </w:t>
      </w:r>
      <w:r w:rsidR="00A21546" w:rsidRPr="00C074AB">
        <w:rPr>
          <w:sz w:val="28"/>
          <w:szCs w:val="28"/>
        </w:rPr>
        <w:t>con el equipo ordinario que ya existe para ese fin</w:t>
      </w:r>
      <w:r w:rsidRPr="00C074AB">
        <w:rPr>
          <w:sz w:val="28"/>
          <w:szCs w:val="28"/>
        </w:rPr>
        <w:t xml:space="preserve">, </w:t>
      </w:r>
      <w:r w:rsidR="00826C28" w:rsidRPr="00C074AB">
        <w:rPr>
          <w:sz w:val="28"/>
          <w:szCs w:val="28"/>
        </w:rPr>
        <w:t xml:space="preserve">abordando de </w:t>
      </w:r>
      <w:r w:rsidR="00642A8F" w:rsidRPr="00C074AB">
        <w:rPr>
          <w:sz w:val="28"/>
          <w:szCs w:val="28"/>
        </w:rPr>
        <w:t xml:space="preserve">manera prioritaria aquellos </w:t>
      </w:r>
      <w:r w:rsidR="00A21546" w:rsidRPr="00C074AB">
        <w:rPr>
          <w:sz w:val="28"/>
          <w:szCs w:val="28"/>
        </w:rPr>
        <w:t>asuntos con mayor antigüedad, con la finalidad de que se acorten los plazos de espera para la con</w:t>
      </w:r>
      <w:r w:rsidRPr="00C074AB">
        <w:rPr>
          <w:sz w:val="28"/>
          <w:szCs w:val="28"/>
        </w:rPr>
        <w:t>clusión de los peritajes y se otorgue</w:t>
      </w:r>
      <w:r w:rsidR="00A21546" w:rsidRPr="00C074AB">
        <w:rPr>
          <w:sz w:val="28"/>
          <w:szCs w:val="28"/>
        </w:rPr>
        <w:t xml:space="preserve"> una respuesta oportuna a los requerimientos del Juzgado de Niñez y Adolescencia</w:t>
      </w:r>
      <w:r w:rsidRPr="00C074AB">
        <w:rPr>
          <w:sz w:val="28"/>
          <w:szCs w:val="28"/>
        </w:rPr>
        <w:t>.</w:t>
      </w:r>
    </w:p>
    <w:p w:rsidR="00176E08" w:rsidRPr="00C074AB" w:rsidRDefault="00176E08" w:rsidP="00197472">
      <w:pPr>
        <w:spacing w:line="480" w:lineRule="auto"/>
        <w:jc w:val="both"/>
        <w:rPr>
          <w:sz w:val="28"/>
          <w:szCs w:val="28"/>
        </w:rPr>
      </w:pPr>
    </w:p>
    <w:p w:rsidR="002857FE" w:rsidRPr="00C074AB" w:rsidRDefault="002857FE" w:rsidP="001661A0">
      <w:pPr>
        <w:pStyle w:val="Ttulo2"/>
      </w:pPr>
      <w:r w:rsidRPr="00C074AB">
        <w:t>III Información Relevante</w:t>
      </w:r>
    </w:p>
    <w:p w:rsidR="002857FE" w:rsidRPr="00C074AB" w:rsidRDefault="002857FE" w:rsidP="00197472">
      <w:pPr>
        <w:spacing w:line="480" w:lineRule="auto"/>
        <w:ind w:left="360"/>
        <w:jc w:val="both"/>
        <w:rPr>
          <w:sz w:val="28"/>
          <w:szCs w:val="28"/>
        </w:rPr>
      </w:pPr>
    </w:p>
    <w:p w:rsidR="00537215" w:rsidRPr="00C074AB" w:rsidRDefault="003E06C4" w:rsidP="00197472">
      <w:pPr>
        <w:spacing w:line="480" w:lineRule="auto"/>
        <w:jc w:val="both"/>
        <w:rPr>
          <w:sz w:val="28"/>
          <w:szCs w:val="28"/>
          <w:lang w:val="es-ES_tradnl"/>
        </w:rPr>
      </w:pPr>
      <w:r w:rsidRPr="00C074AB">
        <w:rPr>
          <w:bCs/>
          <w:sz w:val="28"/>
          <w:szCs w:val="28"/>
        </w:rPr>
        <w:t xml:space="preserve">A continuación se presentan los datos estadísticos de la cantidad de solicitudes realizadas según tipo de valoración (psicosocial, psicológica o social) </w:t>
      </w:r>
      <w:r w:rsidR="00D10751" w:rsidRPr="00C074AB">
        <w:rPr>
          <w:bCs/>
          <w:sz w:val="28"/>
          <w:szCs w:val="28"/>
        </w:rPr>
        <w:t xml:space="preserve">para el 2015 y 2016, teniendo en cuenta que los datos consignados para el 2015 corresponden únicamente a ocho meses, dado que las plazas iniciaron funciones </w:t>
      </w:r>
      <w:r w:rsidR="00930B33" w:rsidRPr="00C074AB">
        <w:rPr>
          <w:bCs/>
          <w:sz w:val="28"/>
          <w:szCs w:val="28"/>
        </w:rPr>
        <w:t xml:space="preserve">en mayo de ese año </w:t>
      </w:r>
      <w:r w:rsidR="00481DB2" w:rsidRPr="00C074AB">
        <w:rPr>
          <w:bCs/>
          <w:sz w:val="28"/>
          <w:szCs w:val="28"/>
        </w:rPr>
        <w:t>por factores presupuestarios</w:t>
      </w:r>
      <w:r w:rsidR="00930B33" w:rsidRPr="00C074AB">
        <w:rPr>
          <w:bCs/>
          <w:sz w:val="28"/>
          <w:szCs w:val="28"/>
        </w:rPr>
        <w:t>.</w:t>
      </w:r>
    </w:p>
    <w:p w:rsidR="00930B33" w:rsidRPr="00C074AB" w:rsidRDefault="00930B33" w:rsidP="00197472">
      <w:pPr>
        <w:spacing w:line="480" w:lineRule="auto"/>
        <w:jc w:val="both"/>
        <w:rPr>
          <w:sz w:val="28"/>
          <w:szCs w:val="28"/>
          <w:lang w:val="es-ES_tradnl"/>
        </w:rPr>
      </w:pPr>
    </w:p>
    <w:p w:rsidR="00F00561" w:rsidRDefault="00F00561" w:rsidP="00C7568A">
      <w:pPr>
        <w:jc w:val="center"/>
        <w:rPr>
          <w:b/>
          <w:bCs/>
          <w:iCs/>
          <w:sz w:val="28"/>
          <w:szCs w:val="28"/>
        </w:rPr>
      </w:pPr>
    </w:p>
    <w:p w:rsidR="00C7568A" w:rsidRPr="00C074AB" w:rsidRDefault="00485040" w:rsidP="00C7568A">
      <w:pPr>
        <w:jc w:val="center"/>
        <w:rPr>
          <w:b/>
          <w:bCs/>
          <w:iCs/>
          <w:sz w:val="28"/>
          <w:szCs w:val="28"/>
        </w:rPr>
      </w:pPr>
      <w:r w:rsidRPr="00C074AB">
        <w:rPr>
          <w:b/>
          <w:bCs/>
          <w:iCs/>
          <w:sz w:val="28"/>
          <w:szCs w:val="28"/>
        </w:rPr>
        <w:lastRenderedPageBreak/>
        <w:t xml:space="preserve">Cuadro </w:t>
      </w:r>
      <w:r w:rsidR="00F00561" w:rsidRPr="00C074AB">
        <w:rPr>
          <w:b/>
          <w:bCs/>
          <w:iCs/>
          <w:sz w:val="28"/>
          <w:szCs w:val="28"/>
        </w:rPr>
        <w:t>Nº</w:t>
      </w:r>
      <w:r w:rsidR="00F00561">
        <w:rPr>
          <w:b/>
          <w:bCs/>
          <w:iCs/>
          <w:sz w:val="28"/>
          <w:szCs w:val="28"/>
        </w:rPr>
        <w:t>2</w:t>
      </w:r>
    </w:p>
    <w:p w:rsidR="00C7568A" w:rsidRPr="00C074AB" w:rsidRDefault="00C7568A" w:rsidP="00C7568A">
      <w:pPr>
        <w:jc w:val="center"/>
        <w:rPr>
          <w:b/>
          <w:bCs/>
          <w:iCs/>
          <w:sz w:val="28"/>
          <w:szCs w:val="28"/>
        </w:rPr>
      </w:pPr>
      <w:r w:rsidRPr="00C074AB">
        <w:rPr>
          <w:b/>
          <w:bCs/>
          <w:iCs/>
          <w:sz w:val="28"/>
          <w:szCs w:val="28"/>
        </w:rPr>
        <w:t>Cantidad y estado de los estudios ingresados por equipo de trabajo que</w:t>
      </w:r>
      <w:r w:rsidR="000E5A4A" w:rsidRPr="00C074AB">
        <w:rPr>
          <w:b/>
          <w:bCs/>
          <w:iCs/>
          <w:sz w:val="28"/>
          <w:szCs w:val="28"/>
        </w:rPr>
        <w:t xml:space="preserve"> se</w:t>
      </w:r>
      <w:r w:rsidRPr="00C074AB">
        <w:rPr>
          <w:b/>
          <w:bCs/>
          <w:iCs/>
          <w:sz w:val="28"/>
          <w:szCs w:val="28"/>
        </w:rPr>
        <w:t xml:space="preserve"> atiende</w:t>
      </w:r>
      <w:r w:rsidR="000E5A4A" w:rsidRPr="00C074AB">
        <w:rPr>
          <w:b/>
          <w:bCs/>
          <w:iCs/>
          <w:sz w:val="28"/>
          <w:szCs w:val="28"/>
        </w:rPr>
        <w:t xml:space="preserve">n del Juzgado </w:t>
      </w:r>
      <w:r w:rsidRPr="00C074AB">
        <w:rPr>
          <w:b/>
          <w:bCs/>
          <w:iCs/>
          <w:sz w:val="28"/>
          <w:szCs w:val="28"/>
        </w:rPr>
        <w:t>Niñez y Adolescencia</w:t>
      </w:r>
      <w:r w:rsidR="00224722">
        <w:rPr>
          <w:b/>
          <w:bCs/>
          <w:iCs/>
          <w:sz w:val="28"/>
          <w:szCs w:val="28"/>
        </w:rPr>
        <w:t xml:space="preserve"> de marzo a diciembre de </w:t>
      </w:r>
      <w:r w:rsidRPr="00C074AB">
        <w:rPr>
          <w:b/>
          <w:bCs/>
          <w:iCs/>
          <w:sz w:val="28"/>
          <w:szCs w:val="28"/>
        </w:rPr>
        <w:t>2015</w:t>
      </w:r>
    </w:p>
    <w:p w:rsidR="00C7568A" w:rsidRPr="00C074AB" w:rsidRDefault="00C7568A" w:rsidP="00C7568A">
      <w:pPr>
        <w:jc w:val="both"/>
        <w:rPr>
          <w:rFonts w:ascii="Calibri" w:hAnsi="Calibri"/>
        </w:rPr>
      </w:pPr>
    </w:p>
    <w:p w:rsidR="00C7568A" w:rsidRPr="00C074AB" w:rsidRDefault="00C7568A" w:rsidP="00C7568A">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1059"/>
        <w:gridCol w:w="1039"/>
        <w:gridCol w:w="725"/>
        <w:gridCol w:w="716"/>
        <w:gridCol w:w="798"/>
        <w:gridCol w:w="934"/>
        <w:gridCol w:w="798"/>
        <w:gridCol w:w="934"/>
        <w:gridCol w:w="796"/>
        <w:gridCol w:w="926"/>
      </w:tblGrid>
      <w:tr w:rsidR="00C7568A" w:rsidRPr="00C074AB">
        <w:trPr>
          <w:trHeight w:val="644"/>
          <w:jc w:val="center"/>
        </w:trPr>
        <w:tc>
          <w:tcPr>
            <w:tcW w:w="1387" w:type="dxa"/>
            <w:vMerge w:val="restart"/>
          </w:tcPr>
          <w:p w:rsidR="00C7568A" w:rsidRPr="00C074AB" w:rsidRDefault="00C7568A" w:rsidP="00370707">
            <w:pPr>
              <w:jc w:val="center"/>
              <w:rPr>
                <w:sz w:val="18"/>
                <w:szCs w:val="18"/>
              </w:rPr>
            </w:pPr>
          </w:p>
          <w:p w:rsidR="00C7568A" w:rsidRPr="00C074AB" w:rsidRDefault="00C7568A" w:rsidP="00370707">
            <w:pPr>
              <w:jc w:val="center"/>
              <w:rPr>
                <w:sz w:val="18"/>
                <w:szCs w:val="18"/>
              </w:rPr>
            </w:pPr>
          </w:p>
          <w:p w:rsidR="00C7568A" w:rsidRPr="00C074AB" w:rsidRDefault="00C7568A" w:rsidP="00370707">
            <w:pPr>
              <w:jc w:val="center"/>
              <w:rPr>
                <w:sz w:val="18"/>
                <w:szCs w:val="18"/>
              </w:rPr>
            </w:pPr>
          </w:p>
          <w:p w:rsidR="00C7568A" w:rsidRPr="00C074AB" w:rsidRDefault="00C7568A" w:rsidP="0088224D">
            <w:pPr>
              <w:jc w:val="center"/>
              <w:rPr>
                <w:sz w:val="18"/>
                <w:szCs w:val="18"/>
                <w:vertAlign w:val="superscript"/>
              </w:rPr>
            </w:pPr>
            <w:r w:rsidRPr="00C074AB">
              <w:rPr>
                <w:sz w:val="18"/>
                <w:szCs w:val="18"/>
              </w:rPr>
              <w:t>Equipo</w:t>
            </w:r>
          </w:p>
        </w:tc>
        <w:tc>
          <w:tcPr>
            <w:tcW w:w="1084" w:type="dxa"/>
            <w:vMerge w:val="restart"/>
          </w:tcPr>
          <w:p w:rsidR="00C7568A" w:rsidRPr="00C074AB" w:rsidRDefault="00C7568A" w:rsidP="00370707">
            <w:pPr>
              <w:jc w:val="center"/>
              <w:rPr>
                <w:sz w:val="18"/>
                <w:szCs w:val="18"/>
              </w:rPr>
            </w:pPr>
          </w:p>
          <w:p w:rsidR="00C7568A" w:rsidRPr="00C074AB" w:rsidRDefault="00C7568A" w:rsidP="00370707">
            <w:pPr>
              <w:jc w:val="center"/>
              <w:rPr>
                <w:sz w:val="18"/>
                <w:szCs w:val="18"/>
              </w:rPr>
            </w:pPr>
          </w:p>
          <w:p w:rsidR="00C7568A" w:rsidRPr="00C074AB" w:rsidRDefault="00C7568A" w:rsidP="00370707">
            <w:pPr>
              <w:jc w:val="center"/>
              <w:rPr>
                <w:sz w:val="18"/>
                <w:szCs w:val="18"/>
              </w:rPr>
            </w:pPr>
          </w:p>
          <w:p w:rsidR="00C7568A" w:rsidRPr="00C074AB" w:rsidRDefault="00C7568A" w:rsidP="00370707">
            <w:pPr>
              <w:jc w:val="center"/>
              <w:rPr>
                <w:sz w:val="18"/>
                <w:szCs w:val="18"/>
              </w:rPr>
            </w:pPr>
            <w:r w:rsidRPr="00C074AB">
              <w:rPr>
                <w:sz w:val="18"/>
                <w:szCs w:val="18"/>
              </w:rPr>
              <w:t>Total solicitudes</w:t>
            </w:r>
          </w:p>
        </w:tc>
        <w:tc>
          <w:tcPr>
            <w:tcW w:w="2529" w:type="dxa"/>
            <w:gridSpan w:val="3"/>
          </w:tcPr>
          <w:p w:rsidR="00C7568A" w:rsidRPr="00C074AB" w:rsidRDefault="00C7568A" w:rsidP="00370707">
            <w:pPr>
              <w:jc w:val="center"/>
              <w:rPr>
                <w:sz w:val="18"/>
                <w:szCs w:val="18"/>
              </w:rPr>
            </w:pPr>
          </w:p>
          <w:p w:rsidR="00C7568A" w:rsidRPr="00C074AB" w:rsidRDefault="00C7568A" w:rsidP="00370707">
            <w:pPr>
              <w:jc w:val="center"/>
              <w:rPr>
                <w:sz w:val="18"/>
                <w:szCs w:val="18"/>
              </w:rPr>
            </w:pPr>
            <w:r w:rsidRPr="00C074AB">
              <w:rPr>
                <w:sz w:val="18"/>
                <w:szCs w:val="18"/>
              </w:rPr>
              <w:t>Total ingresado por tipo de  peritaje</w:t>
            </w:r>
          </w:p>
        </w:tc>
        <w:tc>
          <w:tcPr>
            <w:tcW w:w="5190" w:type="dxa"/>
            <w:gridSpan w:val="6"/>
          </w:tcPr>
          <w:p w:rsidR="00C7568A" w:rsidRPr="00C074AB" w:rsidRDefault="00C7568A" w:rsidP="00370707">
            <w:pPr>
              <w:jc w:val="center"/>
              <w:rPr>
                <w:sz w:val="18"/>
                <w:szCs w:val="18"/>
              </w:rPr>
            </w:pPr>
          </w:p>
          <w:p w:rsidR="00C7568A" w:rsidRPr="00C074AB" w:rsidRDefault="00C7568A" w:rsidP="00370707">
            <w:pPr>
              <w:jc w:val="center"/>
            </w:pPr>
            <w:r w:rsidRPr="00C074AB">
              <w:rPr>
                <w:sz w:val="18"/>
                <w:szCs w:val="18"/>
              </w:rPr>
              <w:t xml:space="preserve">Estado a </w:t>
            </w:r>
            <w:r w:rsidR="00F00561">
              <w:rPr>
                <w:sz w:val="18"/>
                <w:szCs w:val="18"/>
              </w:rPr>
              <w:t>D</w:t>
            </w:r>
            <w:r w:rsidRPr="00C074AB">
              <w:rPr>
                <w:sz w:val="18"/>
                <w:szCs w:val="18"/>
              </w:rPr>
              <w:t>ic</w:t>
            </w:r>
            <w:r w:rsidR="00F00561">
              <w:rPr>
                <w:sz w:val="18"/>
                <w:szCs w:val="18"/>
              </w:rPr>
              <w:t>iembre</w:t>
            </w:r>
            <w:r w:rsidRPr="00C074AB">
              <w:rPr>
                <w:sz w:val="18"/>
                <w:szCs w:val="18"/>
              </w:rPr>
              <w:t xml:space="preserve"> 2015</w:t>
            </w:r>
            <w:r w:rsidR="00224722">
              <w:rPr>
                <w:sz w:val="18"/>
                <w:szCs w:val="18"/>
              </w:rPr>
              <w:t xml:space="preserve"> (ocho meses)</w:t>
            </w:r>
            <w:r w:rsidRPr="00C074AB">
              <w:rPr>
                <w:sz w:val="18"/>
                <w:szCs w:val="18"/>
              </w:rPr>
              <w:t xml:space="preserve"> por tipo de peritaje</w:t>
            </w:r>
          </w:p>
        </w:tc>
      </w:tr>
      <w:tr w:rsidR="00C7568A" w:rsidRPr="00C074AB">
        <w:trPr>
          <w:trHeight w:val="144"/>
          <w:jc w:val="center"/>
        </w:trPr>
        <w:tc>
          <w:tcPr>
            <w:tcW w:w="1387" w:type="dxa"/>
            <w:vMerge/>
          </w:tcPr>
          <w:p w:rsidR="00C7568A" w:rsidRPr="00C074AB" w:rsidRDefault="00C7568A" w:rsidP="00370707">
            <w:pPr>
              <w:jc w:val="center"/>
              <w:rPr>
                <w:sz w:val="18"/>
                <w:szCs w:val="18"/>
              </w:rPr>
            </w:pPr>
          </w:p>
        </w:tc>
        <w:tc>
          <w:tcPr>
            <w:tcW w:w="1084" w:type="dxa"/>
            <w:vMerge/>
          </w:tcPr>
          <w:p w:rsidR="00C7568A" w:rsidRPr="00C074AB" w:rsidRDefault="00C7568A" w:rsidP="00370707">
            <w:pPr>
              <w:jc w:val="center"/>
              <w:rPr>
                <w:sz w:val="18"/>
                <w:szCs w:val="18"/>
              </w:rPr>
            </w:pPr>
          </w:p>
        </w:tc>
        <w:tc>
          <w:tcPr>
            <w:tcW w:w="1043" w:type="dxa"/>
            <w:vMerge w:val="restart"/>
          </w:tcPr>
          <w:p w:rsidR="00C7568A" w:rsidRPr="00C074AB" w:rsidRDefault="00C7568A" w:rsidP="00370707">
            <w:pPr>
              <w:jc w:val="center"/>
              <w:rPr>
                <w:sz w:val="18"/>
                <w:szCs w:val="18"/>
              </w:rPr>
            </w:pPr>
          </w:p>
          <w:p w:rsidR="00C7568A" w:rsidRPr="00C074AB" w:rsidRDefault="00C7568A" w:rsidP="00370707">
            <w:pPr>
              <w:jc w:val="center"/>
              <w:rPr>
                <w:sz w:val="18"/>
                <w:szCs w:val="18"/>
              </w:rPr>
            </w:pPr>
            <w:r w:rsidRPr="00C074AB">
              <w:rPr>
                <w:sz w:val="18"/>
                <w:szCs w:val="18"/>
              </w:rPr>
              <w:t>Psicosocial</w:t>
            </w:r>
          </w:p>
        </w:tc>
        <w:tc>
          <w:tcPr>
            <w:tcW w:w="733" w:type="dxa"/>
            <w:vMerge w:val="restart"/>
          </w:tcPr>
          <w:p w:rsidR="00C7568A" w:rsidRPr="00C074AB" w:rsidRDefault="00C7568A" w:rsidP="00370707">
            <w:pPr>
              <w:jc w:val="center"/>
              <w:rPr>
                <w:sz w:val="18"/>
                <w:szCs w:val="18"/>
              </w:rPr>
            </w:pPr>
          </w:p>
          <w:p w:rsidR="00C7568A" w:rsidRPr="00C074AB" w:rsidRDefault="00C7568A" w:rsidP="00370707">
            <w:pPr>
              <w:jc w:val="center"/>
              <w:rPr>
                <w:sz w:val="18"/>
                <w:szCs w:val="18"/>
              </w:rPr>
            </w:pPr>
            <w:r w:rsidRPr="00C074AB">
              <w:rPr>
                <w:sz w:val="18"/>
                <w:szCs w:val="18"/>
              </w:rPr>
              <w:t>Psicol.</w:t>
            </w:r>
          </w:p>
        </w:tc>
        <w:tc>
          <w:tcPr>
            <w:tcW w:w="753" w:type="dxa"/>
            <w:vMerge w:val="restart"/>
          </w:tcPr>
          <w:p w:rsidR="00C7568A" w:rsidRPr="00C074AB" w:rsidRDefault="00C7568A" w:rsidP="00370707">
            <w:pPr>
              <w:jc w:val="center"/>
              <w:rPr>
                <w:sz w:val="18"/>
                <w:szCs w:val="18"/>
              </w:rPr>
            </w:pPr>
          </w:p>
          <w:p w:rsidR="00C7568A" w:rsidRPr="00C074AB" w:rsidRDefault="00C7568A" w:rsidP="00370707">
            <w:pPr>
              <w:jc w:val="center"/>
              <w:rPr>
                <w:sz w:val="18"/>
                <w:szCs w:val="18"/>
              </w:rPr>
            </w:pPr>
            <w:r w:rsidRPr="00C074AB">
              <w:rPr>
                <w:sz w:val="18"/>
                <w:szCs w:val="18"/>
              </w:rPr>
              <w:t>Trab. Soc.</w:t>
            </w:r>
          </w:p>
        </w:tc>
        <w:tc>
          <w:tcPr>
            <w:tcW w:w="1734" w:type="dxa"/>
            <w:gridSpan w:val="2"/>
          </w:tcPr>
          <w:p w:rsidR="00C7568A" w:rsidRPr="00C074AB" w:rsidRDefault="00C7568A" w:rsidP="00370707">
            <w:pPr>
              <w:jc w:val="center"/>
              <w:rPr>
                <w:sz w:val="18"/>
                <w:szCs w:val="18"/>
              </w:rPr>
            </w:pPr>
            <w:r w:rsidRPr="00C074AB">
              <w:rPr>
                <w:sz w:val="18"/>
                <w:szCs w:val="18"/>
              </w:rPr>
              <w:t>Psicosocial</w:t>
            </w:r>
          </w:p>
        </w:tc>
        <w:tc>
          <w:tcPr>
            <w:tcW w:w="1734" w:type="dxa"/>
            <w:gridSpan w:val="2"/>
          </w:tcPr>
          <w:p w:rsidR="00C7568A" w:rsidRPr="00C074AB" w:rsidRDefault="00C7568A" w:rsidP="00370707">
            <w:pPr>
              <w:jc w:val="center"/>
              <w:rPr>
                <w:sz w:val="18"/>
                <w:szCs w:val="18"/>
              </w:rPr>
            </w:pPr>
            <w:r w:rsidRPr="00C074AB">
              <w:rPr>
                <w:sz w:val="18"/>
                <w:szCs w:val="18"/>
              </w:rPr>
              <w:t>Psicol</w:t>
            </w:r>
            <w:r w:rsidR="00F00561">
              <w:rPr>
                <w:sz w:val="18"/>
                <w:szCs w:val="18"/>
              </w:rPr>
              <w:t>ogía</w:t>
            </w:r>
          </w:p>
        </w:tc>
        <w:tc>
          <w:tcPr>
            <w:tcW w:w="1722" w:type="dxa"/>
            <w:gridSpan w:val="2"/>
          </w:tcPr>
          <w:p w:rsidR="00C7568A" w:rsidRPr="00C074AB" w:rsidRDefault="00C7568A" w:rsidP="00370707">
            <w:pPr>
              <w:jc w:val="center"/>
              <w:rPr>
                <w:sz w:val="18"/>
                <w:szCs w:val="18"/>
              </w:rPr>
            </w:pPr>
            <w:r w:rsidRPr="00C074AB">
              <w:rPr>
                <w:sz w:val="18"/>
                <w:szCs w:val="18"/>
              </w:rPr>
              <w:t>Tra</w:t>
            </w:r>
            <w:r w:rsidR="00F00561">
              <w:rPr>
                <w:sz w:val="18"/>
                <w:szCs w:val="18"/>
              </w:rPr>
              <w:t xml:space="preserve">bajo </w:t>
            </w:r>
            <w:r w:rsidRPr="00C074AB">
              <w:rPr>
                <w:sz w:val="18"/>
                <w:szCs w:val="18"/>
              </w:rPr>
              <w:t xml:space="preserve"> Soc</w:t>
            </w:r>
            <w:r w:rsidR="00F00561">
              <w:rPr>
                <w:sz w:val="18"/>
                <w:szCs w:val="18"/>
              </w:rPr>
              <w:t>ial</w:t>
            </w:r>
          </w:p>
        </w:tc>
      </w:tr>
      <w:tr w:rsidR="00C7568A" w:rsidRPr="00C074AB">
        <w:trPr>
          <w:trHeight w:val="475"/>
          <w:jc w:val="center"/>
        </w:trPr>
        <w:tc>
          <w:tcPr>
            <w:tcW w:w="1387" w:type="dxa"/>
            <w:vMerge/>
          </w:tcPr>
          <w:p w:rsidR="00C7568A" w:rsidRPr="00C074AB" w:rsidRDefault="00C7568A" w:rsidP="00370707">
            <w:pPr>
              <w:jc w:val="center"/>
            </w:pPr>
          </w:p>
        </w:tc>
        <w:tc>
          <w:tcPr>
            <w:tcW w:w="1084" w:type="dxa"/>
            <w:vMerge/>
          </w:tcPr>
          <w:p w:rsidR="00C7568A" w:rsidRPr="00C074AB" w:rsidRDefault="00C7568A" w:rsidP="00370707">
            <w:pPr>
              <w:jc w:val="center"/>
            </w:pPr>
          </w:p>
        </w:tc>
        <w:tc>
          <w:tcPr>
            <w:tcW w:w="1043" w:type="dxa"/>
            <w:vMerge/>
          </w:tcPr>
          <w:p w:rsidR="00C7568A" w:rsidRPr="00C074AB" w:rsidRDefault="00C7568A" w:rsidP="00370707">
            <w:pPr>
              <w:jc w:val="center"/>
            </w:pPr>
          </w:p>
        </w:tc>
        <w:tc>
          <w:tcPr>
            <w:tcW w:w="733" w:type="dxa"/>
            <w:vMerge/>
          </w:tcPr>
          <w:p w:rsidR="00C7568A" w:rsidRPr="00C074AB" w:rsidRDefault="00C7568A" w:rsidP="00370707">
            <w:pPr>
              <w:jc w:val="center"/>
            </w:pPr>
          </w:p>
        </w:tc>
        <w:tc>
          <w:tcPr>
            <w:tcW w:w="753" w:type="dxa"/>
            <w:vMerge/>
          </w:tcPr>
          <w:p w:rsidR="00C7568A" w:rsidRPr="00C074AB" w:rsidRDefault="00C7568A" w:rsidP="00370707">
            <w:pPr>
              <w:jc w:val="center"/>
            </w:pPr>
          </w:p>
        </w:tc>
        <w:tc>
          <w:tcPr>
            <w:tcW w:w="798" w:type="dxa"/>
            <w:shd w:val="clear" w:color="auto" w:fill="auto"/>
          </w:tcPr>
          <w:p w:rsidR="00C7568A" w:rsidRPr="00C074AB" w:rsidRDefault="00C7568A" w:rsidP="00370707">
            <w:pPr>
              <w:jc w:val="center"/>
              <w:rPr>
                <w:sz w:val="18"/>
                <w:szCs w:val="18"/>
              </w:rPr>
            </w:pPr>
            <w:r w:rsidRPr="00C074AB">
              <w:rPr>
                <w:sz w:val="18"/>
                <w:szCs w:val="18"/>
              </w:rPr>
              <w:t>Cerrado</w:t>
            </w:r>
          </w:p>
        </w:tc>
        <w:tc>
          <w:tcPr>
            <w:tcW w:w="936" w:type="dxa"/>
            <w:shd w:val="clear" w:color="auto" w:fill="auto"/>
          </w:tcPr>
          <w:p w:rsidR="00C7568A" w:rsidRPr="00C074AB" w:rsidRDefault="00C7568A" w:rsidP="00370707">
            <w:pPr>
              <w:jc w:val="center"/>
              <w:rPr>
                <w:sz w:val="18"/>
                <w:szCs w:val="18"/>
              </w:rPr>
            </w:pPr>
            <w:r w:rsidRPr="00C074AB">
              <w:rPr>
                <w:sz w:val="18"/>
                <w:szCs w:val="18"/>
              </w:rPr>
              <w:t>Pendiente</w:t>
            </w:r>
          </w:p>
        </w:tc>
        <w:tc>
          <w:tcPr>
            <w:tcW w:w="798" w:type="dxa"/>
            <w:shd w:val="clear" w:color="auto" w:fill="auto"/>
          </w:tcPr>
          <w:p w:rsidR="00C7568A" w:rsidRPr="00C074AB" w:rsidRDefault="00C7568A" w:rsidP="00370707">
            <w:pPr>
              <w:jc w:val="center"/>
              <w:rPr>
                <w:sz w:val="18"/>
                <w:szCs w:val="18"/>
              </w:rPr>
            </w:pPr>
            <w:r w:rsidRPr="00C074AB">
              <w:rPr>
                <w:sz w:val="18"/>
                <w:szCs w:val="18"/>
              </w:rPr>
              <w:t>Cerrado</w:t>
            </w:r>
          </w:p>
        </w:tc>
        <w:tc>
          <w:tcPr>
            <w:tcW w:w="936" w:type="dxa"/>
            <w:shd w:val="clear" w:color="auto" w:fill="auto"/>
          </w:tcPr>
          <w:p w:rsidR="00C7568A" w:rsidRPr="00C074AB" w:rsidRDefault="00C7568A" w:rsidP="00370707">
            <w:pPr>
              <w:jc w:val="center"/>
              <w:rPr>
                <w:sz w:val="18"/>
                <w:szCs w:val="18"/>
              </w:rPr>
            </w:pPr>
            <w:r w:rsidRPr="00C074AB">
              <w:rPr>
                <w:sz w:val="18"/>
                <w:szCs w:val="18"/>
              </w:rPr>
              <w:t>Pendiente</w:t>
            </w:r>
          </w:p>
        </w:tc>
        <w:tc>
          <w:tcPr>
            <w:tcW w:w="796" w:type="dxa"/>
            <w:shd w:val="clear" w:color="auto" w:fill="auto"/>
          </w:tcPr>
          <w:p w:rsidR="00C7568A" w:rsidRPr="00C074AB" w:rsidRDefault="00C7568A" w:rsidP="00370707">
            <w:pPr>
              <w:jc w:val="center"/>
              <w:rPr>
                <w:sz w:val="18"/>
                <w:szCs w:val="18"/>
              </w:rPr>
            </w:pPr>
            <w:r w:rsidRPr="00C074AB">
              <w:rPr>
                <w:sz w:val="18"/>
                <w:szCs w:val="18"/>
              </w:rPr>
              <w:t>Cerrado</w:t>
            </w:r>
          </w:p>
        </w:tc>
        <w:tc>
          <w:tcPr>
            <w:tcW w:w="926" w:type="dxa"/>
            <w:shd w:val="clear" w:color="auto" w:fill="auto"/>
          </w:tcPr>
          <w:p w:rsidR="00C7568A" w:rsidRPr="00C074AB" w:rsidRDefault="00C7568A" w:rsidP="00370707">
            <w:pPr>
              <w:jc w:val="center"/>
              <w:rPr>
                <w:sz w:val="18"/>
                <w:szCs w:val="18"/>
              </w:rPr>
            </w:pPr>
            <w:r w:rsidRPr="00C074AB">
              <w:rPr>
                <w:sz w:val="18"/>
                <w:szCs w:val="18"/>
              </w:rPr>
              <w:t>Pendiente</w:t>
            </w:r>
          </w:p>
        </w:tc>
      </w:tr>
      <w:tr w:rsidR="00C7568A" w:rsidRPr="00C074AB">
        <w:trPr>
          <w:trHeight w:val="867"/>
          <w:jc w:val="center"/>
        </w:trPr>
        <w:tc>
          <w:tcPr>
            <w:tcW w:w="1387" w:type="dxa"/>
          </w:tcPr>
          <w:p w:rsidR="00C7568A" w:rsidRPr="00C074AB" w:rsidRDefault="00C7568A" w:rsidP="00370707">
            <w:pPr>
              <w:jc w:val="center"/>
              <w:rPr>
                <w:sz w:val="18"/>
                <w:szCs w:val="18"/>
              </w:rPr>
            </w:pPr>
            <w:r w:rsidRPr="00C074AB">
              <w:rPr>
                <w:sz w:val="18"/>
                <w:szCs w:val="18"/>
              </w:rPr>
              <w:t>Equipo 1 Ordinario (Exclusivo N</w:t>
            </w:r>
            <w:r w:rsidR="0088224D" w:rsidRPr="00C074AB">
              <w:rPr>
                <w:sz w:val="18"/>
                <w:szCs w:val="18"/>
              </w:rPr>
              <w:t>iñez</w:t>
            </w:r>
            <w:r w:rsidRPr="00C074AB">
              <w:rPr>
                <w:sz w:val="18"/>
                <w:szCs w:val="18"/>
              </w:rPr>
              <w:t xml:space="preserve"> y A</w:t>
            </w:r>
            <w:r w:rsidR="0088224D" w:rsidRPr="00C074AB">
              <w:rPr>
                <w:sz w:val="18"/>
                <w:szCs w:val="18"/>
              </w:rPr>
              <w:t>dolescencia</w:t>
            </w:r>
            <w:r w:rsidRPr="00C074AB">
              <w:rPr>
                <w:sz w:val="18"/>
                <w:szCs w:val="18"/>
              </w:rPr>
              <w:t>)</w:t>
            </w:r>
          </w:p>
        </w:tc>
        <w:tc>
          <w:tcPr>
            <w:tcW w:w="1084" w:type="dxa"/>
            <w:vAlign w:val="center"/>
          </w:tcPr>
          <w:p w:rsidR="00C7568A" w:rsidRPr="00C074AB" w:rsidRDefault="00C221A2" w:rsidP="0088224D">
            <w:pPr>
              <w:jc w:val="center"/>
              <w:rPr>
                <w:sz w:val="18"/>
                <w:szCs w:val="18"/>
              </w:rPr>
            </w:pPr>
            <w:r w:rsidRPr="00C074AB">
              <w:rPr>
                <w:sz w:val="18"/>
                <w:szCs w:val="18"/>
              </w:rPr>
              <w:t>42</w:t>
            </w:r>
          </w:p>
          <w:p w:rsidR="00C7568A" w:rsidRPr="00C074AB" w:rsidRDefault="00C7568A" w:rsidP="00197472">
            <w:pPr>
              <w:jc w:val="center"/>
              <w:rPr>
                <w:sz w:val="18"/>
                <w:szCs w:val="18"/>
              </w:rPr>
            </w:pPr>
          </w:p>
        </w:tc>
        <w:tc>
          <w:tcPr>
            <w:tcW w:w="1043" w:type="dxa"/>
            <w:vAlign w:val="center"/>
          </w:tcPr>
          <w:p w:rsidR="00C7568A" w:rsidRPr="00C074AB" w:rsidRDefault="00C221A2" w:rsidP="00197472">
            <w:pPr>
              <w:jc w:val="center"/>
              <w:rPr>
                <w:sz w:val="18"/>
                <w:szCs w:val="18"/>
              </w:rPr>
            </w:pPr>
            <w:r w:rsidRPr="00C074AB">
              <w:rPr>
                <w:sz w:val="18"/>
                <w:szCs w:val="18"/>
              </w:rPr>
              <w:t>30</w:t>
            </w:r>
          </w:p>
        </w:tc>
        <w:tc>
          <w:tcPr>
            <w:tcW w:w="733" w:type="dxa"/>
            <w:vAlign w:val="center"/>
          </w:tcPr>
          <w:p w:rsidR="00C7568A" w:rsidRPr="00C074AB" w:rsidRDefault="00C221A2" w:rsidP="00197472">
            <w:pPr>
              <w:jc w:val="center"/>
              <w:rPr>
                <w:sz w:val="18"/>
                <w:szCs w:val="18"/>
              </w:rPr>
            </w:pPr>
            <w:r w:rsidRPr="00C074AB">
              <w:rPr>
                <w:sz w:val="18"/>
                <w:szCs w:val="18"/>
              </w:rPr>
              <w:t>3</w:t>
            </w:r>
          </w:p>
        </w:tc>
        <w:tc>
          <w:tcPr>
            <w:tcW w:w="753" w:type="dxa"/>
            <w:vAlign w:val="center"/>
          </w:tcPr>
          <w:p w:rsidR="00C7568A" w:rsidRPr="00C074AB" w:rsidRDefault="00C221A2" w:rsidP="00197472">
            <w:pPr>
              <w:jc w:val="center"/>
              <w:rPr>
                <w:sz w:val="18"/>
                <w:szCs w:val="18"/>
              </w:rPr>
            </w:pPr>
            <w:r w:rsidRPr="00C074AB">
              <w:rPr>
                <w:sz w:val="18"/>
                <w:szCs w:val="18"/>
              </w:rPr>
              <w:t>9</w:t>
            </w:r>
          </w:p>
        </w:tc>
        <w:tc>
          <w:tcPr>
            <w:tcW w:w="798" w:type="dxa"/>
            <w:shd w:val="clear" w:color="auto" w:fill="auto"/>
            <w:vAlign w:val="center"/>
          </w:tcPr>
          <w:p w:rsidR="00C7568A" w:rsidRPr="00C074AB" w:rsidRDefault="00995B37" w:rsidP="00197472">
            <w:pPr>
              <w:jc w:val="center"/>
              <w:rPr>
                <w:sz w:val="18"/>
                <w:szCs w:val="18"/>
              </w:rPr>
            </w:pPr>
            <w:r w:rsidRPr="00C074AB">
              <w:rPr>
                <w:sz w:val="18"/>
                <w:szCs w:val="18"/>
              </w:rPr>
              <w:t>13</w:t>
            </w:r>
          </w:p>
        </w:tc>
        <w:tc>
          <w:tcPr>
            <w:tcW w:w="936" w:type="dxa"/>
            <w:shd w:val="clear" w:color="auto" w:fill="auto"/>
            <w:vAlign w:val="center"/>
          </w:tcPr>
          <w:p w:rsidR="00C7568A" w:rsidRPr="00C074AB" w:rsidRDefault="00995B37" w:rsidP="00197472">
            <w:pPr>
              <w:jc w:val="center"/>
              <w:rPr>
                <w:sz w:val="18"/>
                <w:szCs w:val="18"/>
                <w:vertAlign w:val="superscript"/>
              </w:rPr>
            </w:pPr>
            <w:r w:rsidRPr="00C074AB">
              <w:rPr>
                <w:sz w:val="18"/>
                <w:szCs w:val="18"/>
              </w:rPr>
              <w:t>17</w:t>
            </w:r>
            <w:r w:rsidR="00C7568A" w:rsidRPr="00C074AB">
              <w:rPr>
                <w:sz w:val="18"/>
                <w:szCs w:val="18"/>
                <w:vertAlign w:val="superscript"/>
              </w:rPr>
              <w:t>(</w:t>
            </w:r>
            <w:r w:rsidR="0088224D" w:rsidRPr="00C074AB">
              <w:rPr>
                <w:sz w:val="18"/>
                <w:szCs w:val="18"/>
                <w:vertAlign w:val="superscript"/>
              </w:rPr>
              <w:t>1</w:t>
            </w:r>
            <w:r w:rsidR="00C7568A" w:rsidRPr="00C074AB">
              <w:rPr>
                <w:sz w:val="18"/>
                <w:szCs w:val="18"/>
                <w:vertAlign w:val="superscript"/>
              </w:rPr>
              <w:t>)</w:t>
            </w:r>
          </w:p>
        </w:tc>
        <w:tc>
          <w:tcPr>
            <w:tcW w:w="798" w:type="dxa"/>
            <w:shd w:val="clear" w:color="auto" w:fill="auto"/>
            <w:vAlign w:val="center"/>
          </w:tcPr>
          <w:p w:rsidR="00C7568A" w:rsidRPr="00C074AB" w:rsidRDefault="00995B37" w:rsidP="00197472">
            <w:pPr>
              <w:jc w:val="center"/>
              <w:rPr>
                <w:sz w:val="18"/>
                <w:szCs w:val="18"/>
              </w:rPr>
            </w:pPr>
            <w:r w:rsidRPr="00C074AB">
              <w:rPr>
                <w:sz w:val="18"/>
                <w:szCs w:val="18"/>
              </w:rPr>
              <w:t>2</w:t>
            </w:r>
          </w:p>
        </w:tc>
        <w:tc>
          <w:tcPr>
            <w:tcW w:w="936" w:type="dxa"/>
            <w:shd w:val="clear" w:color="auto" w:fill="auto"/>
            <w:vAlign w:val="center"/>
          </w:tcPr>
          <w:p w:rsidR="00C7568A" w:rsidRPr="00C074AB" w:rsidRDefault="00995B37" w:rsidP="00197472">
            <w:pPr>
              <w:jc w:val="center"/>
              <w:rPr>
                <w:sz w:val="18"/>
                <w:szCs w:val="18"/>
              </w:rPr>
            </w:pPr>
            <w:r w:rsidRPr="00C074AB">
              <w:rPr>
                <w:sz w:val="18"/>
                <w:szCs w:val="18"/>
              </w:rPr>
              <w:t>1</w:t>
            </w:r>
          </w:p>
        </w:tc>
        <w:tc>
          <w:tcPr>
            <w:tcW w:w="796" w:type="dxa"/>
            <w:shd w:val="clear" w:color="auto" w:fill="auto"/>
            <w:vAlign w:val="center"/>
          </w:tcPr>
          <w:p w:rsidR="00C7568A" w:rsidRPr="00C074AB" w:rsidRDefault="00995B37" w:rsidP="00197472">
            <w:pPr>
              <w:jc w:val="center"/>
              <w:rPr>
                <w:sz w:val="18"/>
                <w:szCs w:val="18"/>
              </w:rPr>
            </w:pPr>
            <w:r w:rsidRPr="00C074AB">
              <w:rPr>
                <w:sz w:val="18"/>
                <w:szCs w:val="18"/>
              </w:rPr>
              <w:t>8</w:t>
            </w:r>
          </w:p>
        </w:tc>
        <w:tc>
          <w:tcPr>
            <w:tcW w:w="926" w:type="dxa"/>
            <w:shd w:val="clear" w:color="auto" w:fill="auto"/>
            <w:vAlign w:val="center"/>
          </w:tcPr>
          <w:p w:rsidR="00C7568A" w:rsidRPr="00C074AB" w:rsidRDefault="00995B37" w:rsidP="00197472">
            <w:pPr>
              <w:jc w:val="center"/>
              <w:rPr>
                <w:sz w:val="18"/>
                <w:szCs w:val="18"/>
              </w:rPr>
            </w:pPr>
            <w:r w:rsidRPr="00C074AB">
              <w:rPr>
                <w:sz w:val="18"/>
                <w:szCs w:val="18"/>
              </w:rPr>
              <w:t>1</w:t>
            </w:r>
          </w:p>
        </w:tc>
      </w:tr>
      <w:tr w:rsidR="00C7568A" w:rsidRPr="00C074AB">
        <w:trPr>
          <w:trHeight w:val="209"/>
          <w:jc w:val="center"/>
        </w:trPr>
        <w:tc>
          <w:tcPr>
            <w:tcW w:w="1387" w:type="dxa"/>
          </w:tcPr>
          <w:p w:rsidR="00C7568A" w:rsidRPr="00C074AB" w:rsidRDefault="00C7568A" w:rsidP="00370707">
            <w:pPr>
              <w:jc w:val="center"/>
              <w:rPr>
                <w:sz w:val="18"/>
                <w:szCs w:val="18"/>
              </w:rPr>
            </w:pPr>
            <w:r w:rsidRPr="00C074AB">
              <w:rPr>
                <w:sz w:val="18"/>
                <w:szCs w:val="18"/>
              </w:rPr>
              <w:t>Equipo 2 Ordinario (Apoyo Juzgado I FA)</w:t>
            </w:r>
          </w:p>
        </w:tc>
        <w:tc>
          <w:tcPr>
            <w:tcW w:w="1084" w:type="dxa"/>
            <w:vAlign w:val="center"/>
          </w:tcPr>
          <w:p w:rsidR="00C7568A" w:rsidRPr="00C074AB" w:rsidRDefault="00C221A2" w:rsidP="0088224D">
            <w:pPr>
              <w:jc w:val="center"/>
              <w:rPr>
                <w:sz w:val="18"/>
                <w:szCs w:val="18"/>
              </w:rPr>
            </w:pPr>
            <w:r w:rsidRPr="00C074AB">
              <w:rPr>
                <w:sz w:val="18"/>
                <w:szCs w:val="18"/>
              </w:rPr>
              <w:t>5</w:t>
            </w:r>
          </w:p>
        </w:tc>
        <w:tc>
          <w:tcPr>
            <w:tcW w:w="1043" w:type="dxa"/>
            <w:vAlign w:val="center"/>
          </w:tcPr>
          <w:p w:rsidR="00C7568A" w:rsidRPr="00C074AB" w:rsidRDefault="00C221A2" w:rsidP="00197472">
            <w:pPr>
              <w:jc w:val="center"/>
              <w:rPr>
                <w:sz w:val="18"/>
                <w:szCs w:val="18"/>
              </w:rPr>
            </w:pPr>
            <w:r w:rsidRPr="00C074AB">
              <w:rPr>
                <w:sz w:val="18"/>
                <w:szCs w:val="18"/>
              </w:rPr>
              <w:t>3</w:t>
            </w:r>
          </w:p>
        </w:tc>
        <w:tc>
          <w:tcPr>
            <w:tcW w:w="733" w:type="dxa"/>
            <w:vAlign w:val="center"/>
          </w:tcPr>
          <w:p w:rsidR="00C7568A" w:rsidRPr="00C074AB" w:rsidRDefault="00C221A2" w:rsidP="00197472">
            <w:pPr>
              <w:jc w:val="center"/>
              <w:rPr>
                <w:sz w:val="18"/>
                <w:szCs w:val="18"/>
              </w:rPr>
            </w:pPr>
            <w:r w:rsidRPr="00C074AB">
              <w:rPr>
                <w:sz w:val="18"/>
                <w:szCs w:val="18"/>
              </w:rPr>
              <w:t>2</w:t>
            </w:r>
          </w:p>
        </w:tc>
        <w:tc>
          <w:tcPr>
            <w:tcW w:w="753" w:type="dxa"/>
            <w:vAlign w:val="center"/>
          </w:tcPr>
          <w:p w:rsidR="00C7568A" w:rsidRPr="00C074AB" w:rsidRDefault="00C7568A" w:rsidP="00197472">
            <w:pPr>
              <w:jc w:val="center"/>
              <w:rPr>
                <w:sz w:val="18"/>
                <w:szCs w:val="18"/>
              </w:rPr>
            </w:pPr>
            <w:r w:rsidRPr="00C074AB">
              <w:rPr>
                <w:sz w:val="18"/>
                <w:szCs w:val="18"/>
              </w:rPr>
              <w:t>0</w:t>
            </w:r>
          </w:p>
        </w:tc>
        <w:tc>
          <w:tcPr>
            <w:tcW w:w="798" w:type="dxa"/>
            <w:shd w:val="clear" w:color="auto" w:fill="auto"/>
            <w:vAlign w:val="center"/>
          </w:tcPr>
          <w:p w:rsidR="00C7568A" w:rsidRPr="00C074AB" w:rsidRDefault="00995B37" w:rsidP="00197472">
            <w:pPr>
              <w:jc w:val="center"/>
              <w:rPr>
                <w:sz w:val="18"/>
                <w:szCs w:val="18"/>
                <w:vertAlign w:val="superscript"/>
              </w:rPr>
            </w:pPr>
            <w:r w:rsidRPr="00C074AB">
              <w:rPr>
                <w:sz w:val="18"/>
                <w:szCs w:val="18"/>
              </w:rPr>
              <w:t>1</w:t>
            </w:r>
          </w:p>
        </w:tc>
        <w:tc>
          <w:tcPr>
            <w:tcW w:w="936" w:type="dxa"/>
            <w:shd w:val="clear" w:color="auto" w:fill="auto"/>
            <w:vAlign w:val="center"/>
          </w:tcPr>
          <w:p w:rsidR="00C7568A" w:rsidRPr="00C074AB" w:rsidRDefault="00C7568A" w:rsidP="00197472">
            <w:pPr>
              <w:jc w:val="center"/>
              <w:rPr>
                <w:sz w:val="18"/>
                <w:szCs w:val="18"/>
              </w:rPr>
            </w:pPr>
            <w:r w:rsidRPr="00C074AB">
              <w:rPr>
                <w:sz w:val="18"/>
                <w:szCs w:val="18"/>
              </w:rPr>
              <w:t>2</w:t>
            </w:r>
            <w:r w:rsidR="00BC1D3B" w:rsidRPr="00C074AB">
              <w:rPr>
                <w:sz w:val="18"/>
                <w:szCs w:val="18"/>
                <w:vertAlign w:val="superscript"/>
              </w:rPr>
              <w:t>(</w:t>
            </w:r>
            <w:r w:rsidR="0088224D" w:rsidRPr="00C074AB">
              <w:rPr>
                <w:sz w:val="18"/>
                <w:szCs w:val="18"/>
                <w:vertAlign w:val="superscript"/>
              </w:rPr>
              <w:t>2</w:t>
            </w:r>
            <w:r w:rsidR="00BC1D3B" w:rsidRPr="00C074AB">
              <w:rPr>
                <w:sz w:val="18"/>
                <w:szCs w:val="18"/>
                <w:vertAlign w:val="superscript"/>
              </w:rPr>
              <w:t>)</w:t>
            </w:r>
          </w:p>
        </w:tc>
        <w:tc>
          <w:tcPr>
            <w:tcW w:w="798" w:type="dxa"/>
            <w:shd w:val="clear" w:color="auto" w:fill="auto"/>
            <w:vAlign w:val="center"/>
          </w:tcPr>
          <w:p w:rsidR="00C7568A" w:rsidRPr="00C074AB" w:rsidRDefault="00084D39" w:rsidP="00197472">
            <w:pPr>
              <w:jc w:val="center"/>
              <w:rPr>
                <w:sz w:val="18"/>
                <w:szCs w:val="18"/>
              </w:rPr>
            </w:pPr>
            <w:r w:rsidRPr="00C074AB">
              <w:rPr>
                <w:sz w:val="18"/>
                <w:szCs w:val="18"/>
              </w:rPr>
              <w:t>2</w:t>
            </w:r>
          </w:p>
        </w:tc>
        <w:tc>
          <w:tcPr>
            <w:tcW w:w="936" w:type="dxa"/>
            <w:shd w:val="clear" w:color="auto" w:fill="auto"/>
            <w:vAlign w:val="center"/>
          </w:tcPr>
          <w:p w:rsidR="00C7568A" w:rsidRPr="00C074AB" w:rsidRDefault="00C7568A" w:rsidP="00197472">
            <w:pPr>
              <w:jc w:val="center"/>
              <w:rPr>
                <w:sz w:val="18"/>
                <w:szCs w:val="18"/>
              </w:rPr>
            </w:pPr>
            <w:r w:rsidRPr="00C074AB">
              <w:rPr>
                <w:sz w:val="18"/>
                <w:szCs w:val="18"/>
              </w:rPr>
              <w:t>0</w:t>
            </w:r>
          </w:p>
        </w:tc>
        <w:tc>
          <w:tcPr>
            <w:tcW w:w="796" w:type="dxa"/>
            <w:shd w:val="clear" w:color="auto" w:fill="auto"/>
            <w:vAlign w:val="center"/>
          </w:tcPr>
          <w:p w:rsidR="00C7568A" w:rsidRPr="00C074AB" w:rsidRDefault="00C7568A" w:rsidP="00197472">
            <w:pPr>
              <w:jc w:val="center"/>
              <w:rPr>
                <w:sz w:val="18"/>
                <w:szCs w:val="18"/>
              </w:rPr>
            </w:pPr>
            <w:r w:rsidRPr="00C074AB">
              <w:rPr>
                <w:sz w:val="18"/>
                <w:szCs w:val="18"/>
              </w:rPr>
              <w:t>0</w:t>
            </w:r>
          </w:p>
        </w:tc>
        <w:tc>
          <w:tcPr>
            <w:tcW w:w="926" w:type="dxa"/>
            <w:shd w:val="clear" w:color="auto" w:fill="auto"/>
            <w:vAlign w:val="center"/>
          </w:tcPr>
          <w:p w:rsidR="00C7568A" w:rsidRPr="00C074AB" w:rsidRDefault="00C7568A" w:rsidP="00197472">
            <w:pPr>
              <w:jc w:val="center"/>
              <w:rPr>
                <w:sz w:val="18"/>
                <w:szCs w:val="18"/>
              </w:rPr>
            </w:pPr>
            <w:r w:rsidRPr="00C074AB">
              <w:rPr>
                <w:sz w:val="18"/>
                <w:szCs w:val="18"/>
              </w:rPr>
              <w:t>0</w:t>
            </w:r>
          </w:p>
        </w:tc>
      </w:tr>
      <w:tr w:rsidR="00C7568A" w:rsidRPr="00C074AB">
        <w:trPr>
          <w:trHeight w:val="225"/>
          <w:jc w:val="center"/>
        </w:trPr>
        <w:tc>
          <w:tcPr>
            <w:tcW w:w="1387" w:type="dxa"/>
          </w:tcPr>
          <w:p w:rsidR="00C7568A" w:rsidRPr="00C074AB" w:rsidRDefault="00C7568A" w:rsidP="00370707">
            <w:pPr>
              <w:jc w:val="center"/>
              <w:rPr>
                <w:sz w:val="18"/>
                <w:szCs w:val="18"/>
              </w:rPr>
            </w:pPr>
            <w:r w:rsidRPr="00C074AB">
              <w:rPr>
                <w:sz w:val="18"/>
                <w:szCs w:val="18"/>
              </w:rPr>
              <w:t>Equipo 3 Ordinario (Apoyo Juzgado II FA)</w:t>
            </w:r>
          </w:p>
        </w:tc>
        <w:tc>
          <w:tcPr>
            <w:tcW w:w="1084" w:type="dxa"/>
            <w:vAlign w:val="center"/>
          </w:tcPr>
          <w:p w:rsidR="00C7568A" w:rsidRPr="00C074AB" w:rsidRDefault="00C7568A" w:rsidP="0088224D">
            <w:pPr>
              <w:jc w:val="center"/>
              <w:rPr>
                <w:sz w:val="18"/>
                <w:szCs w:val="18"/>
              </w:rPr>
            </w:pPr>
            <w:r w:rsidRPr="00C074AB">
              <w:rPr>
                <w:sz w:val="18"/>
                <w:szCs w:val="18"/>
              </w:rPr>
              <w:t>2</w:t>
            </w:r>
          </w:p>
        </w:tc>
        <w:tc>
          <w:tcPr>
            <w:tcW w:w="1043" w:type="dxa"/>
            <w:vAlign w:val="center"/>
          </w:tcPr>
          <w:p w:rsidR="00C7568A" w:rsidRPr="00C074AB" w:rsidRDefault="00C7568A" w:rsidP="00197472">
            <w:pPr>
              <w:jc w:val="center"/>
              <w:rPr>
                <w:sz w:val="18"/>
                <w:szCs w:val="18"/>
              </w:rPr>
            </w:pPr>
            <w:r w:rsidRPr="00C074AB">
              <w:rPr>
                <w:sz w:val="18"/>
                <w:szCs w:val="18"/>
              </w:rPr>
              <w:t>1</w:t>
            </w:r>
          </w:p>
        </w:tc>
        <w:tc>
          <w:tcPr>
            <w:tcW w:w="733" w:type="dxa"/>
            <w:vAlign w:val="center"/>
          </w:tcPr>
          <w:p w:rsidR="00C7568A" w:rsidRPr="00C074AB" w:rsidRDefault="00C7568A" w:rsidP="00197472">
            <w:pPr>
              <w:jc w:val="center"/>
              <w:rPr>
                <w:sz w:val="18"/>
                <w:szCs w:val="18"/>
              </w:rPr>
            </w:pPr>
            <w:r w:rsidRPr="00C074AB">
              <w:rPr>
                <w:sz w:val="18"/>
                <w:szCs w:val="18"/>
              </w:rPr>
              <w:t>0</w:t>
            </w:r>
          </w:p>
        </w:tc>
        <w:tc>
          <w:tcPr>
            <w:tcW w:w="753" w:type="dxa"/>
            <w:vAlign w:val="center"/>
          </w:tcPr>
          <w:p w:rsidR="00C7568A" w:rsidRPr="00C074AB" w:rsidRDefault="00C7568A" w:rsidP="00197472">
            <w:pPr>
              <w:jc w:val="center"/>
              <w:rPr>
                <w:sz w:val="18"/>
                <w:szCs w:val="18"/>
              </w:rPr>
            </w:pPr>
            <w:r w:rsidRPr="00C074AB">
              <w:rPr>
                <w:sz w:val="18"/>
                <w:szCs w:val="18"/>
              </w:rPr>
              <w:t>1</w:t>
            </w:r>
          </w:p>
        </w:tc>
        <w:tc>
          <w:tcPr>
            <w:tcW w:w="798" w:type="dxa"/>
            <w:shd w:val="clear" w:color="auto" w:fill="auto"/>
            <w:vAlign w:val="center"/>
          </w:tcPr>
          <w:p w:rsidR="00C7568A" w:rsidRPr="00C074AB" w:rsidRDefault="00C7568A" w:rsidP="00197472">
            <w:pPr>
              <w:jc w:val="center"/>
              <w:rPr>
                <w:sz w:val="18"/>
                <w:szCs w:val="18"/>
              </w:rPr>
            </w:pPr>
            <w:r w:rsidRPr="00C074AB">
              <w:rPr>
                <w:sz w:val="18"/>
                <w:szCs w:val="18"/>
              </w:rPr>
              <w:t>0</w:t>
            </w:r>
          </w:p>
        </w:tc>
        <w:tc>
          <w:tcPr>
            <w:tcW w:w="936" w:type="dxa"/>
            <w:shd w:val="clear" w:color="auto" w:fill="auto"/>
            <w:vAlign w:val="center"/>
          </w:tcPr>
          <w:p w:rsidR="00C7568A" w:rsidRPr="00C074AB" w:rsidRDefault="00C7568A" w:rsidP="00197472">
            <w:pPr>
              <w:jc w:val="center"/>
              <w:rPr>
                <w:sz w:val="18"/>
                <w:szCs w:val="18"/>
              </w:rPr>
            </w:pPr>
            <w:r w:rsidRPr="00C074AB">
              <w:rPr>
                <w:sz w:val="18"/>
                <w:szCs w:val="18"/>
              </w:rPr>
              <w:t>1</w:t>
            </w:r>
          </w:p>
        </w:tc>
        <w:tc>
          <w:tcPr>
            <w:tcW w:w="798" w:type="dxa"/>
            <w:shd w:val="clear" w:color="auto" w:fill="auto"/>
            <w:vAlign w:val="center"/>
          </w:tcPr>
          <w:p w:rsidR="00C7568A" w:rsidRPr="00C074AB" w:rsidRDefault="00C7568A" w:rsidP="00197472">
            <w:pPr>
              <w:jc w:val="center"/>
              <w:rPr>
                <w:sz w:val="18"/>
                <w:szCs w:val="18"/>
              </w:rPr>
            </w:pPr>
            <w:r w:rsidRPr="00C074AB">
              <w:rPr>
                <w:sz w:val="18"/>
                <w:szCs w:val="18"/>
              </w:rPr>
              <w:t>0</w:t>
            </w:r>
          </w:p>
        </w:tc>
        <w:tc>
          <w:tcPr>
            <w:tcW w:w="936" w:type="dxa"/>
            <w:shd w:val="clear" w:color="auto" w:fill="auto"/>
            <w:vAlign w:val="center"/>
          </w:tcPr>
          <w:p w:rsidR="00C7568A" w:rsidRPr="00C074AB" w:rsidRDefault="00C7568A" w:rsidP="00197472">
            <w:pPr>
              <w:jc w:val="center"/>
              <w:rPr>
                <w:sz w:val="18"/>
                <w:szCs w:val="18"/>
              </w:rPr>
            </w:pPr>
            <w:r w:rsidRPr="00C074AB">
              <w:rPr>
                <w:sz w:val="18"/>
                <w:szCs w:val="18"/>
              </w:rPr>
              <w:t>0</w:t>
            </w:r>
          </w:p>
        </w:tc>
        <w:tc>
          <w:tcPr>
            <w:tcW w:w="796" w:type="dxa"/>
            <w:shd w:val="clear" w:color="auto" w:fill="auto"/>
            <w:vAlign w:val="center"/>
          </w:tcPr>
          <w:p w:rsidR="00C7568A" w:rsidRPr="00C074AB" w:rsidRDefault="00C7568A" w:rsidP="00197472">
            <w:pPr>
              <w:jc w:val="center"/>
              <w:rPr>
                <w:sz w:val="18"/>
                <w:szCs w:val="18"/>
              </w:rPr>
            </w:pPr>
            <w:r w:rsidRPr="00C074AB">
              <w:rPr>
                <w:sz w:val="18"/>
                <w:szCs w:val="18"/>
              </w:rPr>
              <w:t>1</w:t>
            </w:r>
          </w:p>
        </w:tc>
        <w:tc>
          <w:tcPr>
            <w:tcW w:w="926" w:type="dxa"/>
            <w:shd w:val="clear" w:color="auto" w:fill="auto"/>
            <w:vAlign w:val="center"/>
          </w:tcPr>
          <w:p w:rsidR="00C7568A" w:rsidRPr="00C074AB" w:rsidRDefault="00C7568A" w:rsidP="00197472">
            <w:pPr>
              <w:jc w:val="center"/>
              <w:rPr>
                <w:sz w:val="18"/>
                <w:szCs w:val="18"/>
              </w:rPr>
            </w:pPr>
            <w:r w:rsidRPr="00C074AB">
              <w:rPr>
                <w:sz w:val="18"/>
                <w:szCs w:val="18"/>
              </w:rPr>
              <w:t>0</w:t>
            </w:r>
          </w:p>
        </w:tc>
      </w:tr>
      <w:tr w:rsidR="00C7568A" w:rsidRPr="00C074AB">
        <w:trPr>
          <w:trHeight w:val="209"/>
          <w:jc w:val="center"/>
        </w:trPr>
        <w:tc>
          <w:tcPr>
            <w:tcW w:w="1387" w:type="dxa"/>
          </w:tcPr>
          <w:p w:rsidR="00C7568A" w:rsidRPr="00C074AB" w:rsidRDefault="00C7568A" w:rsidP="00370707">
            <w:pPr>
              <w:pStyle w:val="WW-Predeterminado123"/>
              <w:jc w:val="center"/>
              <w:rPr>
                <w:color w:val="auto"/>
                <w:kern w:val="0"/>
                <w:sz w:val="18"/>
                <w:szCs w:val="18"/>
                <w:lang w:eastAsia="es-ES" w:bidi="ar-SA"/>
              </w:rPr>
            </w:pPr>
            <w:r w:rsidRPr="00C074AB">
              <w:rPr>
                <w:color w:val="auto"/>
                <w:kern w:val="0"/>
                <w:sz w:val="18"/>
                <w:szCs w:val="18"/>
                <w:lang w:eastAsia="es-ES" w:bidi="ar-SA"/>
              </w:rPr>
              <w:t xml:space="preserve">Equipo </w:t>
            </w:r>
            <w:r w:rsidR="0097072C" w:rsidRPr="00C074AB">
              <w:rPr>
                <w:color w:val="auto"/>
                <w:kern w:val="0"/>
                <w:sz w:val="18"/>
                <w:szCs w:val="18"/>
                <w:lang w:eastAsia="es-ES" w:bidi="ar-SA"/>
              </w:rPr>
              <w:t>4</w:t>
            </w:r>
            <w:r w:rsidR="00FF2552" w:rsidRPr="00C074AB">
              <w:rPr>
                <w:sz w:val="18"/>
                <w:szCs w:val="18"/>
                <w:vertAlign w:val="superscript"/>
              </w:rPr>
              <w:t>(4</w:t>
            </w:r>
            <w:r w:rsidR="0088224D" w:rsidRPr="00C074AB">
              <w:rPr>
                <w:sz w:val="18"/>
                <w:szCs w:val="18"/>
                <w:vertAlign w:val="superscript"/>
              </w:rPr>
              <w:t>)</w:t>
            </w:r>
            <w:r w:rsidRPr="00C074AB">
              <w:rPr>
                <w:color w:val="auto"/>
                <w:kern w:val="0"/>
                <w:sz w:val="18"/>
                <w:szCs w:val="18"/>
                <w:lang w:eastAsia="es-ES" w:bidi="ar-SA"/>
              </w:rPr>
              <w:t>(Extraordinario</w:t>
            </w:r>
            <w:r w:rsidR="0088224D" w:rsidRPr="00C074AB">
              <w:rPr>
                <w:color w:val="auto"/>
                <w:kern w:val="0"/>
                <w:sz w:val="18"/>
                <w:szCs w:val="18"/>
                <w:lang w:eastAsia="es-ES" w:bidi="ar-SA"/>
              </w:rPr>
              <w:t xml:space="preserve"> Niñez y Adolescencia</w:t>
            </w:r>
            <w:r w:rsidRPr="00C074AB">
              <w:rPr>
                <w:color w:val="auto"/>
                <w:kern w:val="0"/>
                <w:sz w:val="18"/>
                <w:szCs w:val="18"/>
                <w:lang w:eastAsia="es-ES" w:bidi="ar-SA"/>
              </w:rPr>
              <w:t>)</w:t>
            </w:r>
          </w:p>
          <w:p w:rsidR="00C7568A" w:rsidRPr="00C074AB" w:rsidRDefault="00C7568A" w:rsidP="0088224D">
            <w:pPr>
              <w:jc w:val="center"/>
              <w:rPr>
                <w:b/>
                <w:sz w:val="18"/>
                <w:szCs w:val="18"/>
              </w:rPr>
            </w:pPr>
          </w:p>
        </w:tc>
        <w:tc>
          <w:tcPr>
            <w:tcW w:w="1084" w:type="dxa"/>
            <w:vAlign w:val="center"/>
          </w:tcPr>
          <w:p w:rsidR="00C7568A" w:rsidRPr="00C074AB" w:rsidRDefault="005E51A8" w:rsidP="0088224D">
            <w:pPr>
              <w:jc w:val="center"/>
              <w:rPr>
                <w:sz w:val="18"/>
                <w:szCs w:val="18"/>
              </w:rPr>
            </w:pPr>
            <w:r w:rsidRPr="00C074AB">
              <w:rPr>
                <w:sz w:val="18"/>
                <w:szCs w:val="18"/>
              </w:rPr>
              <w:t>53</w:t>
            </w:r>
          </w:p>
        </w:tc>
        <w:tc>
          <w:tcPr>
            <w:tcW w:w="1043" w:type="dxa"/>
            <w:vAlign w:val="center"/>
          </w:tcPr>
          <w:p w:rsidR="00C7568A" w:rsidRPr="00C074AB" w:rsidRDefault="005E51A8" w:rsidP="00197472">
            <w:pPr>
              <w:jc w:val="center"/>
              <w:rPr>
                <w:sz w:val="18"/>
                <w:szCs w:val="18"/>
              </w:rPr>
            </w:pPr>
            <w:r w:rsidRPr="00C074AB">
              <w:rPr>
                <w:sz w:val="18"/>
                <w:szCs w:val="18"/>
              </w:rPr>
              <w:t>45</w:t>
            </w:r>
          </w:p>
        </w:tc>
        <w:tc>
          <w:tcPr>
            <w:tcW w:w="733" w:type="dxa"/>
            <w:vAlign w:val="center"/>
          </w:tcPr>
          <w:p w:rsidR="00C7568A" w:rsidRPr="00C074AB" w:rsidRDefault="00C7568A" w:rsidP="00197472">
            <w:pPr>
              <w:jc w:val="center"/>
              <w:rPr>
                <w:sz w:val="18"/>
                <w:szCs w:val="18"/>
              </w:rPr>
            </w:pPr>
            <w:r w:rsidRPr="00C074AB">
              <w:rPr>
                <w:sz w:val="18"/>
                <w:szCs w:val="18"/>
              </w:rPr>
              <w:t>0</w:t>
            </w:r>
          </w:p>
        </w:tc>
        <w:tc>
          <w:tcPr>
            <w:tcW w:w="753" w:type="dxa"/>
            <w:vAlign w:val="center"/>
          </w:tcPr>
          <w:p w:rsidR="00C7568A" w:rsidRPr="00C074AB" w:rsidRDefault="005E51A8" w:rsidP="00197472">
            <w:pPr>
              <w:jc w:val="center"/>
              <w:rPr>
                <w:sz w:val="18"/>
                <w:szCs w:val="18"/>
              </w:rPr>
            </w:pPr>
            <w:r w:rsidRPr="00C074AB">
              <w:rPr>
                <w:sz w:val="18"/>
                <w:szCs w:val="18"/>
              </w:rPr>
              <w:t>8</w:t>
            </w:r>
          </w:p>
        </w:tc>
        <w:tc>
          <w:tcPr>
            <w:tcW w:w="798" w:type="dxa"/>
            <w:shd w:val="clear" w:color="auto" w:fill="auto"/>
            <w:vAlign w:val="center"/>
          </w:tcPr>
          <w:p w:rsidR="00C7568A" w:rsidRPr="00C074AB" w:rsidRDefault="00D80093" w:rsidP="00197472">
            <w:pPr>
              <w:jc w:val="center"/>
              <w:rPr>
                <w:sz w:val="18"/>
                <w:szCs w:val="18"/>
              </w:rPr>
            </w:pPr>
            <w:r w:rsidRPr="00C074AB">
              <w:rPr>
                <w:sz w:val="18"/>
                <w:szCs w:val="18"/>
              </w:rPr>
              <w:t>22</w:t>
            </w:r>
          </w:p>
        </w:tc>
        <w:tc>
          <w:tcPr>
            <w:tcW w:w="936" w:type="dxa"/>
            <w:shd w:val="clear" w:color="auto" w:fill="auto"/>
            <w:vAlign w:val="center"/>
          </w:tcPr>
          <w:p w:rsidR="00C7568A" w:rsidRPr="00C074AB" w:rsidRDefault="00D80093" w:rsidP="00197472">
            <w:pPr>
              <w:jc w:val="center"/>
              <w:rPr>
                <w:sz w:val="18"/>
                <w:szCs w:val="18"/>
                <w:vertAlign w:val="superscript"/>
              </w:rPr>
            </w:pPr>
            <w:r w:rsidRPr="00C074AB">
              <w:rPr>
                <w:sz w:val="18"/>
                <w:szCs w:val="18"/>
              </w:rPr>
              <w:t>23</w:t>
            </w:r>
            <w:r w:rsidR="00C7568A" w:rsidRPr="00C074AB">
              <w:rPr>
                <w:sz w:val="18"/>
                <w:szCs w:val="18"/>
                <w:vertAlign w:val="superscript"/>
              </w:rPr>
              <w:t>(</w:t>
            </w:r>
            <w:r w:rsidR="0088224D" w:rsidRPr="00C074AB">
              <w:rPr>
                <w:sz w:val="18"/>
                <w:szCs w:val="18"/>
                <w:vertAlign w:val="superscript"/>
              </w:rPr>
              <w:t>3</w:t>
            </w:r>
            <w:r w:rsidR="00C7568A" w:rsidRPr="00C074AB">
              <w:rPr>
                <w:sz w:val="18"/>
                <w:szCs w:val="18"/>
                <w:vertAlign w:val="superscript"/>
              </w:rPr>
              <w:t>)</w:t>
            </w:r>
          </w:p>
        </w:tc>
        <w:tc>
          <w:tcPr>
            <w:tcW w:w="798" w:type="dxa"/>
            <w:shd w:val="clear" w:color="auto" w:fill="auto"/>
            <w:vAlign w:val="center"/>
          </w:tcPr>
          <w:p w:rsidR="00C7568A" w:rsidRPr="00C074AB" w:rsidRDefault="00C7568A" w:rsidP="00197472">
            <w:pPr>
              <w:jc w:val="center"/>
              <w:rPr>
                <w:sz w:val="18"/>
                <w:szCs w:val="18"/>
              </w:rPr>
            </w:pPr>
            <w:r w:rsidRPr="00C074AB">
              <w:rPr>
                <w:sz w:val="18"/>
                <w:szCs w:val="18"/>
              </w:rPr>
              <w:t>0</w:t>
            </w:r>
          </w:p>
        </w:tc>
        <w:tc>
          <w:tcPr>
            <w:tcW w:w="936" w:type="dxa"/>
            <w:shd w:val="clear" w:color="auto" w:fill="auto"/>
            <w:vAlign w:val="center"/>
          </w:tcPr>
          <w:p w:rsidR="00C7568A" w:rsidRPr="00C074AB" w:rsidRDefault="00C7568A" w:rsidP="00197472">
            <w:pPr>
              <w:jc w:val="center"/>
              <w:rPr>
                <w:sz w:val="18"/>
                <w:szCs w:val="18"/>
              </w:rPr>
            </w:pPr>
            <w:r w:rsidRPr="00C074AB">
              <w:rPr>
                <w:sz w:val="18"/>
                <w:szCs w:val="18"/>
              </w:rPr>
              <w:t>0</w:t>
            </w:r>
          </w:p>
        </w:tc>
        <w:tc>
          <w:tcPr>
            <w:tcW w:w="796" w:type="dxa"/>
            <w:shd w:val="clear" w:color="auto" w:fill="auto"/>
            <w:vAlign w:val="center"/>
          </w:tcPr>
          <w:p w:rsidR="00C7568A" w:rsidRPr="00C074AB" w:rsidRDefault="00D80093" w:rsidP="00197472">
            <w:pPr>
              <w:jc w:val="center"/>
              <w:rPr>
                <w:sz w:val="18"/>
                <w:szCs w:val="18"/>
              </w:rPr>
            </w:pPr>
            <w:r w:rsidRPr="00C074AB">
              <w:rPr>
                <w:sz w:val="18"/>
                <w:szCs w:val="18"/>
              </w:rPr>
              <w:t>5</w:t>
            </w:r>
          </w:p>
        </w:tc>
        <w:tc>
          <w:tcPr>
            <w:tcW w:w="926" w:type="dxa"/>
            <w:shd w:val="clear" w:color="auto" w:fill="auto"/>
            <w:vAlign w:val="center"/>
          </w:tcPr>
          <w:p w:rsidR="00C7568A" w:rsidRPr="00C074AB" w:rsidRDefault="00D80093" w:rsidP="00197472">
            <w:pPr>
              <w:jc w:val="center"/>
              <w:rPr>
                <w:sz w:val="18"/>
                <w:szCs w:val="18"/>
              </w:rPr>
            </w:pPr>
            <w:r w:rsidRPr="00C074AB">
              <w:rPr>
                <w:sz w:val="18"/>
                <w:szCs w:val="18"/>
              </w:rPr>
              <w:t>3</w:t>
            </w:r>
          </w:p>
        </w:tc>
      </w:tr>
      <w:tr w:rsidR="00C7568A" w:rsidRPr="00C074AB">
        <w:trPr>
          <w:trHeight w:val="209"/>
          <w:jc w:val="center"/>
        </w:trPr>
        <w:tc>
          <w:tcPr>
            <w:tcW w:w="1387" w:type="dxa"/>
          </w:tcPr>
          <w:p w:rsidR="00C7568A" w:rsidRPr="00C074AB" w:rsidRDefault="00C7568A" w:rsidP="00370707">
            <w:pPr>
              <w:jc w:val="center"/>
              <w:rPr>
                <w:sz w:val="18"/>
                <w:szCs w:val="18"/>
              </w:rPr>
            </w:pPr>
          </w:p>
        </w:tc>
        <w:tc>
          <w:tcPr>
            <w:tcW w:w="1084" w:type="dxa"/>
          </w:tcPr>
          <w:p w:rsidR="00C7568A" w:rsidRPr="00C074AB" w:rsidRDefault="00C7568A" w:rsidP="00370707">
            <w:pPr>
              <w:jc w:val="center"/>
              <w:rPr>
                <w:sz w:val="18"/>
                <w:szCs w:val="18"/>
              </w:rPr>
            </w:pPr>
          </w:p>
        </w:tc>
        <w:tc>
          <w:tcPr>
            <w:tcW w:w="1043" w:type="dxa"/>
          </w:tcPr>
          <w:p w:rsidR="00C7568A" w:rsidRPr="00C074AB" w:rsidRDefault="00C7568A" w:rsidP="00370707">
            <w:pPr>
              <w:jc w:val="center"/>
              <w:rPr>
                <w:sz w:val="18"/>
                <w:szCs w:val="18"/>
              </w:rPr>
            </w:pPr>
          </w:p>
        </w:tc>
        <w:tc>
          <w:tcPr>
            <w:tcW w:w="733" w:type="dxa"/>
          </w:tcPr>
          <w:p w:rsidR="00C7568A" w:rsidRPr="00C074AB" w:rsidRDefault="00C7568A" w:rsidP="00370707">
            <w:pPr>
              <w:jc w:val="center"/>
              <w:rPr>
                <w:sz w:val="18"/>
                <w:szCs w:val="18"/>
              </w:rPr>
            </w:pPr>
          </w:p>
        </w:tc>
        <w:tc>
          <w:tcPr>
            <w:tcW w:w="753" w:type="dxa"/>
          </w:tcPr>
          <w:p w:rsidR="00C7568A" w:rsidRPr="00C074AB" w:rsidRDefault="00C7568A" w:rsidP="00370707">
            <w:pPr>
              <w:jc w:val="center"/>
              <w:rPr>
                <w:sz w:val="18"/>
                <w:szCs w:val="18"/>
              </w:rPr>
            </w:pPr>
          </w:p>
        </w:tc>
        <w:tc>
          <w:tcPr>
            <w:tcW w:w="798" w:type="dxa"/>
            <w:shd w:val="clear" w:color="auto" w:fill="auto"/>
          </w:tcPr>
          <w:p w:rsidR="00C7568A" w:rsidRPr="00C074AB" w:rsidRDefault="00C7568A" w:rsidP="00370707">
            <w:pPr>
              <w:jc w:val="center"/>
              <w:rPr>
                <w:sz w:val="18"/>
                <w:szCs w:val="18"/>
              </w:rPr>
            </w:pPr>
          </w:p>
        </w:tc>
        <w:tc>
          <w:tcPr>
            <w:tcW w:w="936" w:type="dxa"/>
            <w:shd w:val="clear" w:color="auto" w:fill="auto"/>
          </w:tcPr>
          <w:p w:rsidR="00C7568A" w:rsidRPr="00C074AB" w:rsidRDefault="00C7568A" w:rsidP="00370707">
            <w:pPr>
              <w:jc w:val="center"/>
              <w:rPr>
                <w:sz w:val="18"/>
                <w:szCs w:val="18"/>
              </w:rPr>
            </w:pPr>
          </w:p>
        </w:tc>
        <w:tc>
          <w:tcPr>
            <w:tcW w:w="798" w:type="dxa"/>
            <w:shd w:val="clear" w:color="auto" w:fill="auto"/>
          </w:tcPr>
          <w:p w:rsidR="00C7568A" w:rsidRPr="00C074AB" w:rsidRDefault="00C7568A" w:rsidP="00370707">
            <w:pPr>
              <w:jc w:val="center"/>
              <w:rPr>
                <w:sz w:val="18"/>
                <w:szCs w:val="18"/>
              </w:rPr>
            </w:pPr>
          </w:p>
        </w:tc>
        <w:tc>
          <w:tcPr>
            <w:tcW w:w="936" w:type="dxa"/>
            <w:shd w:val="clear" w:color="auto" w:fill="auto"/>
          </w:tcPr>
          <w:p w:rsidR="00C7568A" w:rsidRPr="00C074AB" w:rsidRDefault="00C7568A" w:rsidP="00370707">
            <w:pPr>
              <w:jc w:val="center"/>
              <w:rPr>
                <w:sz w:val="18"/>
                <w:szCs w:val="18"/>
              </w:rPr>
            </w:pPr>
          </w:p>
        </w:tc>
        <w:tc>
          <w:tcPr>
            <w:tcW w:w="796" w:type="dxa"/>
            <w:shd w:val="clear" w:color="auto" w:fill="auto"/>
          </w:tcPr>
          <w:p w:rsidR="00C7568A" w:rsidRPr="00C074AB" w:rsidRDefault="00C7568A" w:rsidP="00370707">
            <w:pPr>
              <w:jc w:val="center"/>
              <w:rPr>
                <w:sz w:val="18"/>
                <w:szCs w:val="18"/>
              </w:rPr>
            </w:pPr>
          </w:p>
        </w:tc>
        <w:tc>
          <w:tcPr>
            <w:tcW w:w="926" w:type="dxa"/>
            <w:shd w:val="clear" w:color="auto" w:fill="auto"/>
          </w:tcPr>
          <w:p w:rsidR="00C7568A" w:rsidRPr="00C074AB" w:rsidRDefault="00C7568A" w:rsidP="00370707">
            <w:pPr>
              <w:jc w:val="center"/>
              <w:rPr>
                <w:sz w:val="18"/>
                <w:szCs w:val="18"/>
              </w:rPr>
            </w:pPr>
          </w:p>
        </w:tc>
      </w:tr>
      <w:tr w:rsidR="00C7568A" w:rsidRPr="00C074AB">
        <w:trPr>
          <w:trHeight w:val="225"/>
          <w:jc w:val="center"/>
        </w:trPr>
        <w:tc>
          <w:tcPr>
            <w:tcW w:w="1387" w:type="dxa"/>
          </w:tcPr>
          <w:p w:rsidR="00C7568A" w:rsidRPr="00C074AB" w:rsidRDefault="00C7568A" w:rsidP="00370707">
            <w:pPr>
              <w:jc w:val="center"/>
              <w:rPr>
                <w:rFonts w:ascii="Calibri" w:hAnsi="Calibri"/>
                <w:b/>
                <w:sz w:val="20"/>
                <w:szCs w:val="20"/>
              </w:rPr>
            </w:pPr>
            <w:r w:rsidRPr="00C074AB">
              <w:rPr>
                <w:rFonts w:ascii="Calibri" w:hAnsi="Calibri"/>
                <w:b/>
                <w:sz w:val="20"/>
                <w:szCs w:val="20"/>
              </w:rPr>
              <w:t>Total</w:t>
            </w:r>
          </w:p>
        </w:tc>
        <w:tc>
          <w:tcPr>
            <w:tcW w:w="1084" w:type="dxa"/>
          </w:tcPr>
          <w:p w:rsidR="00C7568A" w:rsidRPr="00C074AB" w:rsidRDefault="003F41F1" w:rsidP="00370707">
            <w:pPr>
              <w:jc w:val="center"/>
              <w:rPr>
                <w:rFonts w:ascii="Calibri" w:hAnsi="Calibri"/>
                <w:b/>
                <w:sz w:val="20"/>
                <w:szCs w:val="20"/>
              </w:rPr>
            </w:pPr>
            <w:r w:rsidRPr="00C074AB">
              <w:rPr>
                <w:rFonts w:ascii="Calibri" w:hAnsi="Calibri"/>
                <w:b/>
                <w:sz w:val="20"/>
                <w:szCs w:val="20"/>
              </w:rPr>
              <w:t>102</w:t>
            </w:r>
          </w:p>
        </w:tc>
        <w:tc>
          <w:tcPr>
            <w:tcW w:w="1043" w:type="dxa"/>
          </w:tcPr>
          <w:p w:rsidR="00C7568A" w:rsidRPr="00C074AB" w:rsidRDefault="003F41F1" w:rsidP="00370707">
            <w:pPr>
              <w:jc w:val="center"/>
              <w:rPr>
                <w:rFonts w:ascii="Calibri" w:hAnsi="Calibri"/>
                <w:b/>
                <w:sz w:val="20"/>
                <w:szCs w:val="20"/>
              </w:rPr>
            </w:pPr>
            <w:r w:rsidRPr="00C074AB">
              <w:rPr>
                <w:rFonts w:ascii="Calibri" w:hAnsi="Calibri"/>
                <w:b/>
                <w:sz w:val="20"/>
                <w:szCs w:val="20"/>
              </w:rPr>
              <w:t>79</w:t>
            </w:r>
          </w:p>
        </w:tc>
        <w:tc>
          <w:tcPr>
            <w:tcW w:w="733" w:type="dxa"/>
          </w:tcPr>
          <w:p w:rsidR="00C7568A" w:rsidRPr="00C074AB" w:rsidRDefault="003F41F1" w:rsidP="00370707">
            <w:pPr>
              <w:jc w:val="center"/>
              <w:rPr>
                <w:rFonts w:ascii="Calibri" w:hAnsi="Calibri"/>
                <w:b/>
                <w:sz w:val="20"/>
                <w:szCs w:val="20"/>
              </w:rPr>
            </w:pPr>
            <w:r w:rsidRPr="00C074AB">
              <w:rPr>
                <w:rFonts w:ascii="Calibri" w:hAnsi="Calibri"/>
                <w:b/>
                <w:sz w:val="20"/>
                <w:szCs w:val="20"/>
              </w:rPr>
              <w:t>5</w:t>
            </w:r>
          </w:p>
        </w:tc>
        <w:tc>
          <w:tcPr>
            <w:tcW w:w="753" w:type="dxa"/>
          </w:tcPr>
          <w:p w:rsidR="00C7568A" w:rsidRPr="00C074AB" w:rsidRDefault="003F41F1" w:rsidP="00370707">
            <w:pPr>
              <w:jc w:val="center"/>
              <w:rPr>
                <w:rFonts w:ascii="Calibri" w:hAnsi="Calibri"/>
                <w:b/>
                <w:sz w:val="20"/>
                <w:szCs w:val="20"/>
              </w:rPr>
            </w:pPr>
            <w:r w:rsidRPr="00C074AB">
              <w:rPr>
                <w:rFonts w:ascii="Calibri" w:hAnsi="Calibri"/>
                <w:b/>
                <w:sz w:val="20"/>
                <w:szCs w:val="20"/>
              </w:rPr>
              <w:t>18</w:t>
            </w:r>
          </w:p>
        </w:tc>
        <w:tc>
          <w:tcPr>
            <w:tcW w:w="798" w:type="dxa"/>
            <w:shd w:val="clear" w:color="auto" w:fill="auto"/>
          </w:tcPr>
          <w:p w:rsidR="00C7568A" w:rsidRPr="00C074AB" w:rsidRDefault="003F41F1" w:rsidP="00370707">
            <w:pPr>
              <w:jc w:val="center"/>
              <w:rPr>
                <w:rFonts w:ascii="Calibri" w:hAnsi="Calibri"/>
                <w:b/>
                <w:sz w:val="20"/>
                <w:szCs w:val="20"/>
              </w:rPr>
            </w:pPr>
            <w:r w:rsidRPr="00C074AB">
              <w:rPr>
                <w:rFonts w:ascii="Calibri" w:hAnsi="Calibri"/>
                <w:b/>
                <w:sz w:val="20"/>
                <w:szCs w:val="20"/>
              </w:rPr>
              <w:t>36</w:t>
            </w:r>
          </w:p>
        </w:tc>
        <w:tc>
          <w:tcPr>
            <w:tcW w:w="936" w:type="dxa"/>
            <w:shd w:val="clear" w:color="auto" w:fill="auto"/>
          </w:tcPr>
          <w:p w:rsidR="00C7568A" w:rsidRPr="00C074AB" w:rsidRDefault="003F41F1" w:rsidP="00370707">
            <w:pPr>
              <w:jc w:val="center"/>
              <w:rPr>
                <w:rFonts w:ascii="Calibri" w:hAnsi="Calibri"/>
                <w:b/>
                <w:sz w:val="20"/>
                <w:szCs w:val="20"/>
              </w:rPr>
            </w:pPr>
            <w:r w:rsidRPr="00C074AB">
              <w:rPr>
                <w:rFonts w:ascii="Calibri" w:hAnsi="Calibri"/>
                <w:b/>
                <w:sz w:val="20"/>
                <w:szCs w:val="20"/>
              </w:rPr>
              <w:t>43</w:t>
            </w:r>
          </w:p>
        </w:tc>
        <w:tc>
          <w:tcPr>
            <w:tcW w:w="798" w:type="dxa"/>
            <w:shd w:val="clear" w:color="auto" w:fill="auto"/>
          </w:tcPr>
          <w:p w:rsidR="00C7568A" w:rsidRPr="00C074AB" w:rsidRDefault="003F41F1" w:rsidP="00370707">
            <w:pPr>
              <w:jc w:val="center"/>
              <w:rPr>
                <w:rFonts w:ascii="Calibri" w:hAnsi="Calibri"/>
                <w:b/>
                <w:sz w:val="20"/>
                <w:szCs w:val="20"/>
              </w:rPr>
            </w:pPr>
            <w:r w:rsidRPr="00C074AB">
              <w:rPr>
                <w:rFonts w:ascii="Calibri" w:hAnsi="Calibri"/>
                <w:b/>
                <w:sz w:val="20"/>
                <w:szCs w:val="20"/>
              </w:rPr>
              <w:t>4</w:t>
            </w:r>
          </w:p>
        </w:tc>
        <w:tc>
          <w:tcPr>
            <w:tcW w:w="936" w:type="dxa"/>
            <w:shd w:val="clear" w:color="auto" w:fill="auto"/>
          </w:tcPr>
          <w:p w:rsidR="00C7568A" w:rsidRPr="00C074AB" w:rsidRDefault="003F41F1" w:rsidP="00370707">
            <w:pPr>
              <w:jc w:val="center"/>
              <w:rPr>
                <w:rFonts w:ascii="Calibri" w:hAnsi="Calibri"/>
                <w:b/>
                <w:sz w:val="20"/>
                <w:szCs w:val="20"/>
              </w:rPr>
            </w:pPr>
            <w:r w:rsidRPr="00C074AB">
              <w:rPr>
                <w:rFonts w:ascii="Calibri" w:hAnsi="Calibri"/>
                <w:b/>
                <w:sz w:val="20"/>
                <w:szCs w:val="20"/>
              </w:rPr>
              <w:t>1</w:t>
            </w:r>
          </w:p>
        </w:tc>
        <w:tc>
          <w:tcPr>
            <w:tcW w:w="796" w:type="dxa"/>
            <w:shd w:val="clear" w:color="auto" w:fill="auto"/>
          </w:tcPr>
          <w:p w:rsidR="00C7568A" w:rsidRPr="00C074AB" w:rsidRDefault="003F41F1" w:rsidP="00370707">
            <w:pPr>
              <w:jc w:val="center"/>
              <w:rPr>
                <w:rFonts w:ascii="Calibri" w:hAnsi="Calibri"/>
                <w:b/>
                <w:sz w:val="20"/>
                <w:szCs w:val="20"/>
              </w:rPr>
            </w:pPr>
            <w:r w:rsidRPr="00C074AB">
              <w:rPr>
                <w:rFonts w:ascii="Calibri" w:hAnsi="Calibri"/>
                <w:b/>
                <w:sz w:val="20"/>
                <w:szCs w:val="20"/>
              </w:rPr>
              <w:t>14</w:t>
            </w:r>
          </w:p>
        </w:tc>
        <w:tc>
          <w:tcPr>
            <w:tcW w:w="926" w:type="dxa"/>
            <w:shd w:val="clear" w:color="auto" w:fill="auto"/>
          </w:tcPr>
          <w:p w:rsidR="00C7568A" w:rsidRPr="00C074AB" w:rsidRDefault="003F41F1" w:rsidP="00370707">
            <w:pPr>
              <w:jc w:val="center"/>
              <w:rPr>
                <w:rFonts w:ascii="Calibri" w:hAnsi="Calibri"/>
                <w:b/>
                <w:sz w:val="20"/>
                <w:szCs w:val="20"/>
              </w:rPr>
            </w:pPr>
            <w:r w:rsidRPr="00C074AB">
              <w:rPr>
                <w:rFonts w:ascii="Calibri" w:hAnsi="Calibri"/>
                <w:b/>
                <w:sz w:val="20"/>
                <w:szCs w:val="20"/>
              </w:rPr>
              <w:t>4</w:t>
            </w:r>
          </w:p>
        </w:tc>
      </w:tr>
    </w:tbl>
    <w:p w:rsidR="00C7568A" w:rsidRPr="00C074AB" w:rsidRDefault="00C7568A" w:rsidP="00C7568A">
      <w:pPr>
        <w:jc w:val="both"/>
        <w:rPr>
          <w:sz w:val="20"/>
          <w:szCs w:val="20"/>
        </w:rPr>
      </w:pPr>
    </w:p>
    <w:p w:rsidR="00C7568A" w:rsidRPr="00C074AB" w:rsidRDefault="00C7568A" w:rsidP="00C7568A">
      <w:pPr>
        <w:jc w:val="both"/>
        <w:rPr>
          <w:sz w:val="20"/>
          <w:szCs w:val="20"/>
        </w:rPr>
      </w:pPr>
      <w:r w:rsidRPr="00C074AB">
        <w:rPr>
          <w:b/>
          <w:sz w:val="20"/>
          <w:szCs w:val="20"/>
        </w:rPr>
        <w:t>Notas</w:t>
      </w:r>
      <w:r w:rsidRPr="00C074AB">
        <w:rPr>
          <w:sz w:val="20"/>
          <w:szCs w:val="20"/>
        </w:rPr>
        <w:t xml:space="preserve">: </w:t>
      </w:r>
    </w:p>
    <w:p w:rsidR="00C7568A" w:rsidRPr="00C074AB" w:rsidRDefault="00C7568A" w:rsidP="000E5A4A">
      <w:pPr>
        <w:ind w:left="540"/>
        <w:jc w:val="both"/>
        <w:rPr>
          <w:sz w:val="20"/>
          <w:szCs w:val="20"/>
        </w:rPr>
      </w:pPr>
      <w:r w:rsidRPr="00C074AB">
        <w:rPr>
          <w:sz w:val="20"/>
          <w:szCs w:val="20"/>
        </w:rPr>
        <w:t>(</w:t>
      </w:r>
      <w:r w:rsidR="0088224D" w:rsidRPr="00C074AB">
        <w:rPr>
          <w:sz w:val="20"/>
          <w:szCs w:val="20"/>
        </w:rPr>
        <w:t>1</w:t>
      </w:r>
      <w:r w:rsidRPr="00C074AB">
        <w:rPr>
          <w:sz w:val="20"/>
          <w:szCs w:val="20"/>
        </w:rPr>
        <w:t xml:space="preserve">) </w:t>
      </w:r>
      <w:r w:rsidR="00995B37" w:rsidRPr="00C074AB">
        <w:rPr>
          <w:sz w:val="20"/>
          <w:szCs w:val="20"/>
        </w:rPr>
        <w:t>Uno de estos 17</w:t>
      </w:r>
      <w:r w:rsidRPr="00C074AB">
        <w:rPr>
          <w:sz w:val="20"/>
          <w:szCs w:val="20"/>
        </w:rPr>
        <w:t xml:space="preserve"> casos pendientes tiene cerrado el estudio social, pero continúan pendientes a la</w:t>
      </w:r>
      <w:r w:rsidR="00995B37" w:rsidRPr="00C074AB">
        <w:rPr>
          <w:sz w:val="20"/>
          <w:szCs w:val="20"/>
        </w:rPr>
        <w:t xml:space="preserve"> espera del informe psicológico y tres de ellos tienen cerrado el informe psicológico y están a la espera del informe de trabajo social.</w:t>
      </w:r>
    </w:p>
    <w:p w:rsidR="00BC1D3B" w:rsidRPr="00C074AB" w:rsidRDefault="00C7568A" w:rsidP="000E5A4A">
      <w:pPr>
        <w:ind w:left="540"/>
        <w:jc w:val="both"/>
        <w:rPr>
          <w:sz w:val="20"/>
          <w:szCs w:val="20"/>
        </w:rPr>
      </w:pPr>
      <w:r w:rsidRPr="00C074AB">
        <w:rPr>
          <w:sz w:val="20"/>
          <w:szCs w:val="20"/>
        </w:rPr>
        <w:t>(</w:t>
      </w:r>
      <w:r w:rsidR="0088224D" w:rsidRPr="00C074AB">
        <w:rPr>
          <w:sz w:val="20"/>
          <w:szCs w:val="20"/>
        </w:rPr>
        <w:t>2</w:t>
      </w:r>
      <w:r w:rsidRPr="00C074AB">
        <w:rPr>
          <w:sz w:val="20"/>
          <w:szCs w:val="20"/>
        </w:rPr>
        <w:t xml:space="preserve">) </w:t>
      </w:r>
      <w:r w:rsidR="00BC1D3B" w:rsidRPr="00C074AB">
        <w:rPr>
          <w:sz w:val="20"/>
          <w:szCs w:val="20"/>
        </w:rPr>
        <w:t>Uno de estos informes está a la espera de la redacción de la investigación por parte de trabajo social para dar por cerrado el peritaje</w:t>
      </w:r>
    </w:p>
    <w:p w:rsidR="00C7568A" w:rsidRPr="00C074AB" w:rsidRDefault="00A61CB1" w:rsidP="000E5A4A">
      <w:pPr>
        <w:ind w:left="540"/>
        <w:jc w:val="both"/>
        <w:rPr>
          <w:sz w:val="20"/>
          <w:szCs w:val="20"/>
        </w:rPr>
      </w:pPr>
      <w:r w:rsidRPr="00C074AB">
        <w:rPr>
          <w:sz w:val="20"/>
          <w:szCs w:val="20"/>
        </w:rPr>
        <w:t>(</w:t>
      </w:r>
      <w:r w:rsidR="0088224D" w:rsidRPr="00C074AB">
        <w:rPr>
          <w:sz w:val="20"/>
          <w:szCs w:val="20"/>
        </w:rPr>
        <w:t>3</w:t>
      </w:r>
      <w:r w:rsidRPr="00C074AB">
        <w:rPr>
          <w:sz w:val="20"/>
          <w:szCs w:val="20"/>
        </w:rPr>
        <w:t xml:space="preserve">) </w:t>
      </w:r>
      <w:r w:rsidR="00C7568A" w:rsidRPr="00C074AB">
        <w:rPr>
          <w:sz w:val="20"/>
          <w:szCs w:val="20"/>
        </w:rPr>
        <w:t xml:space="preserve">Dos de estos </w:t>
      </w:r>
      <w:r w:rsidRPr="00C074AB">
        <w:rPr>
          <w:sz w:val="20"/>
          <w:szCs w:val="20"/>
        </w:rPr>
        <w:t>2</w:t>
      </w:r>
      <w:r w:rsidR="00C7568A" w:rsidRPr="00C074AB">
        <w:rPr>
          <w:sz w:val="20"/>
          <w:szCs w:val="20"/>
        </w:rPr>
        <w:t xml:space="preserve">3 casos pendientes de entrega, </w:t>
      </w:r>
      <w:r w:rsidR="00C10800" w:rsidRPr="00C074AB">
        <w:rPr>
          <w:sz w:val="20"/>
          <w:szCs w:val="20"/>
        </w:rPr>
        <w:t xml:space="preserve">se </w:t>
      </w:r>
      <w:r w:rsidRPr="00C074AB">
        <w:rPr>
          <w:sz w:val="20"/>
          <w:szCs w:val="20"/>
        </w:rPr>
        <w:t>encuentran en etapa de investigación</w:t>
      </w:r>
      <w:r w:rsidR="00C10800" w:rsidRPr="00C074AB">
        <w:rPr>
          <w:sz w:val="20"/>
          <w:szCs w:val="20"/>
        </w:rPr>
        <w:t xml:space="preserve"> 13</w:t>
      </w:r>
      <w:r w:rsidRPr="00C074AB">
        <w:rPr>
          <w:sz w:val="20"/>
          <w:szCs w:val="20"/>
        </w:rPr>
        <w:t>.</w:t>
      </w:r>
    </w:p>
    <w:p w:rsidR="0088224D" w:rsidRPr="00C074AB" w:rsidRDefault="0088224D" w:rsidP="000E5A4A">
      <w:pPr>
        <w:ind w:left="540"/>
        <w:jc w:val="both"/>
        <w:rPr>
          <w:sz w:val="20"/>
          <w:szCs w:val="20"/>
        </w:rPr>
      </w:pPr>
      <w:r w:rsidRPr="00C074AB">
        <w:rPr>
          <w:sz w:val="20"/>
          <w:szCs w:val="20"/>
        </w:rPr>
        <w:t>(4) Para el equipo 4 (extraordinario) los datos registrados corresponden a los meses de mayo a diciembre, debido a que entraron a laborar a partir de mayo 2015.</w:t>
      </w:r>
    </w:p>
    <w:p w:rsidR="00C60084" w:rsidRPr="00C074AB" w:rsidRDefault="00C60084" w:rsidP="00C60084">
      <w:pPr>
        <w:jc w:val="both"/>
        <w:rPr>
          <w:sz w:val="20"/>
          <w:szCs w:val="20"/>
        </w:rPr>
      </w:pPr>
      <w:r w:rsidRPr="00C074AB">
        <w:rPr>
          <w:b/>
          <w:sz w:val="20"/>
          <w:szCs w:val="20"/>
        </w:rPr>
        <w:t>Fuente</w:t>
      </w:r>
      <w:r w:rsidRPr="00C074AB">
        <w:rPr>
          <w:sz w:val="20"/>
          <w:szCs w:val="20"/>
        </w:rPr>
        <w:t>: Departamento de Trabajo Social y Psicología.</w:t>
      </w:r>
    </w:p>
    <w:p w:rsidR="00D80691" w:rsidRPr="00C074AB" w:rsidRDefault="00D80691" w:rsidP="00C60084">
      <w:pPr>
        <w:jc w:val="both"/>
        <w:rPr>
          <w:sz w:val="20"/>
          <w:szCs w:val="20"/>
        </w:rPr>
      </w:pPr>
    </w:p>
    <w:p w:rsidR="00D80691" w:rsidRPr="00C074AB" w:rsidRDefault="00D80691" w:rsidP="00C60084">
      <w:pPr>
        <w:jc w:val="both"/>
        <w:rPr>
          <w:sz w:val="20"/>
          <w:szCs w:val="20"/>
        </w:rPr>
      </w:pPr>
    </w:p>
    <w:p w:rsidR="00C60084" w:rsidRPr="00C074AB" w:rsidRDefault="00C60084" w:rsidP="00C60084">
      <w:pPr>
        <w:jc w:val="both"/>
        <w:rPr>
          <w:sz w:val="20"/>
          <w:szCs w:val="20"/>
        </w:rPr>
      </w:pPr>
    </w:p>
    <w:p w:rsidR="007946CE" w:rsidRPr="00C074AB" w:rsidRDefault="007946CE" w:rsidP="00C60084">
      <w:pPr>
        <w:jc w:val="both"/>
        <w:rPr>
          <w:sz w:val="20"/>
          <w:szCs w:val="20"/>
        </w:rPr>
      </w:pPr>
    </w:p>
    <w:p w:rsidR="007946CE" w:rsidRPr="00C074AB" w:rsidRDefault="007946CE" w:rsidP="00C60084">
      <w:pPr>
        <w:jc w:val="both"/>
        <w:rPr>
          <w:sz w:val="20"/>
          <w:szCs w:val="20"/>
        </w:rPr>
      </w:pPr>
    </w:p>
    <w:p w:rsidR="007946CE" w:rsidRPr="00C074AB" w:rsidRDefault="007946CE" w:rsidP="00C60084">
      <w:pPr>
        <w:jc w:val="both"/>
        <w:rPr>
          <w:sz w:val="20"/>
          <w:szCs w:val="20"/>
        </w:rPr>
      </w:pPr>
    </w:p>
    <w:p w:rsidR="007946CE" w:rsidRPr="00C074AB" w:rsidRDefault="007946CE" w:rsidP="00C60084">
      <w:pPr>
        <w:jc w:val="both"/>
        <w:rPr>
          <w:sz w:val="20"/>
          <w:szCs w:val="20"/>
        </w:rPr>
      </w:pPr>
    </w:p>
    <w:p w:rsidR="007946CE" w:rsidRPr="00C074AB" w:rsidRDefault="007946CE" w:rsidP="00C60084">
      <w:pPr>
        <w:jc w:val="both"/>
        <w:rPr>
          <w:sz w:val="20"/>
          <w:szCs w:val="20"/>
        </w:rPr>
      </w:pPr>
    </w:p>
    <w:p w:rsidR="007946CE" w:rsidRPr="00C074AB" w:rsidRDefault="007946CE" w:rsidP="00C60084">
      <w:pPr>
        <w:jc w:val="both"/>
        <w:rPr>
          <w:sz w:val="20"/>
          <w:szCs w:val="20"/>
        </w:rPr>
      </w:pPr>
    </w:p>
    <w:p w:rsidR="007946CE" w:rsidRDefault="007946CE" w:rsidP="00C60084">
      <w:pPr>
        <w:jc w:val="both"/>
        <w:rPr>
          <w:sz w:val="20"/>
          <w:szCs w:val="20"/>
        </w:rPr>
      </w:pPr>
    </w:p>
    <w:p w:rsidR="00C368B9" w:rsidRDefault="00C368B9" w:rsidP="00C60084">
      <w:pPr>
        <w:jc w:val="both"/>
        <w:rPr>
          <w:sz w:val="20"/>
          <w:szCs w:val="20"/>
        </w:rPr>
      </w:pPr>
    </w:p>
    <w:p w:rsidR="00C368B9" w:rsidRPr="00C074AB" w:rsidRDefault="00C368B9" w:rsidP="00C60084">
      <w:pPr>
        <w:jc w:val="both"/>
        <w:rPr>
          <w:sz w:val="20"/>
          <w:szCs w:val="20"/>
        </w:rPr>
      </w:pPr>
    </w:p>
    <w:p w:rsidR="007946CE" w:rsidRPr="00C074AB" w:rsidRDefault="007946CE" w:rsidP="00C60084">
      <w:pPr>
        <w:jc w:val="both"/>
        <w:rPr>
          <w:sz w:val="20"/>
          <w:szCs w:val="20"/>
        </w:rPr>
      </w:pPr>
    </w:p>
    <w:p w:rsidR="007946CE" w:rsidRPr="00C074AB" w:rsidRDefault="007946CE" w:rsidP="00C60084">
      <w:pPr>
        <w:jc w:val="both"/>
        <w:rPr>
          <w:sz w:val="20"/>
          <w:szCs w:val="20"/>
        </w:rPr>
      </w:pPr>
    </w:p>
    <w:p w:rsidR="007946CE" w:rsidRPr="00C074AB" w:rsidRDefault="007946CE" w:rsidP="00C60084">
      <w:pPr>
        <w:jc w:val="both"/>
        <w:rPr>
          <w:sz w:val="20"/>
          <w:szCs w:val="20"/>
        </w:rPr>
      </w:pPr>
    </w:p>
    <w:p w:rsidR="00D80691" w:rsidRPr="00C074AB" w:rsidRDefault="00D80691" w:rsidP="00D80691">
      <w:pPr>
        <w:spacing w:line="480" w:lineRule="auto"/>
        <w:jc w:val="both"/>
        <w:rPr>
          <w:sz w:val="28"/>
          <w:szCs w:val="28"/>
          <w:lang w:val="es-ES_tradnl"/>
        </w:rPr>
      </w:pPr>
      <w:r w:rsidRPr="00C074AB">
        <w:rPr>
          <w:sz w:val="28"/>
          <w:szCs w:val="28"/>
          <w:lang w:val="es-ES_tradnl"/>
        </w:rPr>
        <w:lastRenderedPageBreak/>
        <w:t>Para el 2016 la situación respecto a esos equipos de trabajo es la siguiente:</w:t>
      </w:r>
    </w:p>
    <w:p w:rsidR="00D80691" w:rsidRPr="00C074AB" w:rsidRDefault="00D80691" w:rsidP="00D80691">
      <w:pPr>
        <w:jc w:val="both"/>
        <w:rPr>
          <w:bCs/>
          <w:sz w:val="28"/>
          <w:szCs w:val="28"/>
          <w:lang w:val="es-ES_tradnl"/>
        </w:rPr>
      </w:pPr>
    </w:p>
    <w:p w:rsidR="00F302C5" w:rsidRPr="00C074AB" w:rsidRDefault="00F302C5" w:rsidP="00F302C5">
      <w:pPr>
        <w:jc w:val="center"/>
        <w:rPr>
          <w:b/>
          <w:bCs/>
          <w:iCs/>
          <w:sz w:val="28"/>
          <w:szCs w:val="28"/>
        </w:rPr>
      </w:pPr>
      <w:r w:rsidRPr="00C074AB">
        <w:rPr>
          <w:b/>
          <w:bCs/>
          <w:iCs/>
          <w:sz w:val="28"/>
          <w:szCs w:val="28"/>
        </w:rPr>
        <w:t>Cuadro Nº2</w:t>
      </w:r>
    </w:p>
    <w:p w:rsidR="00F302C5" w:rsidRPr="00C074AB" w:rsidRDefault="00F302C5" w:rsidP="00F302C5">
      <w:pPr>
        <w:jc w:val="center"/>
        <w:rPr>
          <w:b/>
          <w:bCs/>
          <w:iCs/>
          <w:sz w:val="28"/>
          <w:szCs w:val="28"/>
        </w:rPr>
      </w:pPr>
      <w:r w:rsidRPr="00C074AB">
        <w:rPr>
          <w:b/>
          <w:bCs/>
          <w:iCs/>
          <w:sz w:val="28"/>
          <w:szCs w:val="28"/>
        </w:rPr>
        <w:t xml:space="preserve">Cantidad y estado de los estudios ingresados por equipo de trabajo </w:t>
      </w:r>
      <w:r w:rsidR="00A5073D">
        <w:rPr>
          <w:b/>
          <w:bCs/>
          <w:iCs/>
          <w:sz w:val="28"/>
          <w:szCs w:val="28"/>
        </w:rPr>
        <w:t>atendidos en</w:t>
      </w:r>
      <w:r w:rsidR="00224722">
        <w:rPr>
          <w:b/>
          <w:bCs/>
          <w:iCs/>
          <w:sz w:val="28"/>
          <w:szCs w:val="28"/>
        </w:rPr>
        <w:t xml:space="preserve"> el </w:t>
      </w:r>
      <w:r w:rsidRPr="00C074AB">
        <w:rPr>
          <w:b/>
          <w:bCs/>
          <w:iCs/>
          <w:sz w:val="28"/>
          <w:szCs w:val="28"/>
        </w:rPr>
        <w:t xml:space="preserve"> Juzgado Niñez y Adolescencia </w:t>
      </w:r>
      <w:r w:rsidR="00224722">
        <w:rPr>
          <w:b/>
          <w:bCs/>
          <w:iCs/>
          <w:sz w:val="28"/>
          <w:szCs w:val="28"/>
        </w:rPr>
        <w:t xml:space="preserve">durante </w:t>
      </w:r>
      <w:r w:rsidRPr="00C074AB">
        <w:rPr>
          <w:b/>
          <w:bCs/>
          <w:iCs/>
          <w:sz w:val="28"/>
          <w:szCs w:val="28"/>
        </w:rPr>
        <w:t>2016</w:t>
      </w:r>
    </w:p>
    <w:p w:rsidR="00F302C5" w:rsidRPr="00C074AB" w:rsidRDefault="00F302C5" w:rsidP="00F302C5">
      <w:pPr>
        <w:jc w:val="both"/>
        <w:rPr>
          <w:rFonts w:ascii="Calibri" w:hAnsi="Calibri"/>
        </w:rPr>
      </w:pPr>
    </w:p>
    <w:p w:rsidR="00F302C5" w:rsidRPr="00C074AB" w:rsidRDefault="00F302C5" w:rsidP="00F302C5">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7"/>
        <w:gridCol w:w="1084"/>
        <w:gridCol w:w="1043"/>
        <w:gridCol w:w="733"/>
        <w:gridCol w:w="753"/>
        <w:gridCol w:w="798"/>
        <w:gridCol w:w="936"/>
        <w:gridCol w:w="798"/>
        <w:gridCol w:w="936"/>
        <w:gridCol w:w="796"/>
        <w:gridCol w:w="926"/>
      </w:tblGrid>
      <w:tr w:rsidR="00F302C5" w:rsidRPr="00C074AB" w:rsidTr="005033B5">
        <w:trPr>
          <w:trHeight w:val="644"/>
          <w:jc w:val="center"/>
        </w:trPr>
        <w:tc>
          <w:tcPr>
            <w:tcW w:w="1387" w:type="dxa"/>
            <w:vMerge w:val="restart"/>
          </w:tcPr>
          <w:p w:rsidR="00F302C5" w:rsidRPr="00C074AB" w:rsidRDefault="00F302C5" w:rsidP="005033B5">
            <w:pPr>
              <w:jc w:val="center"/>
              <w:rPr>
                <w:sz w:val="18"/>
                <w:szCs w:val="18"/>
              </w:rPr>
            </w:pPr>
          </w:p>
          <w:p w:rsidR="00F302C5" w:rsidRPr="00C074AB" w:rsidRDefault="00F302C5" w:rsidP="005033B5">
            <w:pPr>
              <w:jc w:val="center"/>
              <w:rPr>
                <w:sz w:val="18"/>
                <w:szCs w:val="18"/>
              </w:rPr>
            </w:pPr>
          </w:p>
          <w:p w:rsidR="00F302C5" w:rsidRPr="00C074AB" w:rsidRDefault="00F302C5" w:rsidP="005033B5">
            <w:pPr>
              <w:jc w:val="center"/>
              <w:rPr>
                <w:sz w:val="18"/>
                <w:szCs w:val="18"/>
              </w:rPr>
            </w:pPr>
          </w:p>
          <w:p w:rsidR="00F302C5" w:rsidRPr="00C074AB" w:rsidRDefault="00F302C5" w:rsidP="005033B5">
            <w:pPr>
              <w:jc w:val="center"/>
              <w:rPr>
                <w:sz w:val="18"/>
                <w:szCs w:val="18"/>
                <w:vertAlign w:val="superscript"/>
              </w:rPr>
            </w:pPr>
            <w:r w:rsidRPr="00C074AB">
              <w:rPr>
                <w:sz w:val="18"/>
                <w:szCs w:val="18"/>
              </w:rPr>
              <w:t>Equipo</w:t>
            </w:r>
          </w:p>
        </w:tc>
        <w:tc>
          <w:tcPr>
            <w:tcW w:w="1084" w:type="dxa"/>
            <w:vMerge w:val="restart"/>
          </w:tcPr>
          <w:p w:rsidR="00F302C5" w:rsidRPr="00C074AB" w:rsidRDefault="00F302C5" w:rsidP="005033B5">
            <w:pPr>
              <w:jc w:val="center"/>
              <w:rPr>
                <w:sz w:val="18"/>
                <w:szCs w:val="18"/>
              </w:rPr>
            </w:pPr>
          </w:p>
          <w:p w:rsidR="00F302C5" w:rsidRPr="00C074AB" w:rsidRDefault="00F302C5" w:rsidP="005033B5">
            <w:pPr>
              <w:jc w:val="center"/>
              <w:rPr>
                <w:sz w:val="18"/>
                <w:szCs w:val="18"/>
              </w:rPr>
            </w:pPr>
          </w:p>
          <w:p w:rsidR="00F302C5" w:rsidRPr="00C074AB" w:rsidRDefault="00F302C5" w:rsidP="005033B5">
            <w:pPr>
              <w:jc w:val="center"/>
              <w:rPr>
                <w:sz w:val="18"/>
                <w:szCs w:val="18"/>
              </w:rPr>
            </w:pPr>
          </w:p>
          <w:p w:rsidR="00F302C5" w:rsidRPr="00C074AB" w:rsidRDefault="00F302C5" w:rsidP="005033B5">
            <w:pPr>
              <w:jc w:val="center"/>
              <w:rPr>
                <w:sz w:val="18"/>
                <w:szCs w:val="18"/>
              </w:rPr>
            </w:pPr>
            <w:r w:rsidRPr="00C074AB">
              <w:rPr>
                <w:sz w:val="18"/>
                <w:szCs w:val="18"/>
              </w:rPr>
              <w:t>Total solicitudes</w:t>
            </w:r>
          </w:p>
        </w:tc>
        <w:tc>
          <w:tcPr>
            <w:tcW w:w="2529" w:type="dxa"/>
            <w:gridSpan w:val="3"/>
          </w:tcPr>
          <w:p w:rsidR="00F302C5" w:rsidRPr="00C074AB" w:rsidRDefault="00F302C5" w:rsidP="005033B5">
            <w:pPr>
              <w:jc w:val="center"/>
              <w:rPr>
                <w:sz w:val="18"/>
                <w:szCs w:val="18"/>
              </w:rPr>
            </w:pPr>
          </w:p>
          <w:p w:rsidR="00F302C5" w:rsidRPr="00C074AB" w:rsidRDefault="00F302C5" w:rsidP="005033B5">
            <w:pPr>
              <w:jc w:val="center"/>
              <w:rPr>
                <w:sz w:val="18"/>
                <w:szCs w:val="18"/>
              </w:rPr>
            </w:pPr>
            <w:r w:rsidRPr="00C074AB">
              <w:rPr>
                <w:sz w:val="18"/>
                <w:szCs w:val="18"/>
              </w:rPr>
              <w:t>Total ingresado por tipo de  peritaje</w:t>
            </w:r>
          </w:p>
        </w:tc>
        <w:tc>
          <w:tcPr>
            <w:tcW w:w="5190" w:type="dxa"/>
            <w:gridSpan w:val="6"/>
          </w:tcPr>
          <w:p w:rsidR="00F302C5" w:rsidRPr="00C074AB" w:rsidRDefault="00F302C5" w:rsidP="005033B5">
            <w:pPr>
              <w:jc w:val="center"/>
              <w:rPr>
                <w:sz w:val="18"/>
                <w:szCs w:val="18"/>
              </w:rPr>
            </w:pPr>
          </w:p>
          <w:p w:rsidR="00F302C5" w:rsidRPr="00C074AB" w:rsidRDefault="00F302C5" w:rsidP="00224722">
            <w:pPr>
              <w:jc w:val="center"/>
            </w:pPr>
            <w:r w:rsidRPr="00C074AB">
              <w:rPr>
                <w:sz w:val="18"/>
                <w:szCs w:val="18"/>
              </w:rPr>
              <w:t xml:space="preserve">Estado a </w:t>
            </w:r>
            <w:r w:rsidR="00224722">
              <w:rPr>
                <w:sz w:val="18"/>
                <w:szCs w:val="18"/>
              </w:rPr>
              <w:t>Diciembre</w:t>
            </w:r>
            <w:r w:rsidRPr="00C074AB">
              <w:rPr>
                <w:sz w:val="18"/>
                <w:szCs w:val="18"/>
              </w:rPr>
              <w:t xml:space="preserve"> 2016 por tipo de peritaje</w:t>
            </w:r>
          </w:p>
        </w:tc>
      </w:tr>
      <w:tr w:rsidR="00F302C5" w:rsidRPr="00C074AB" w:rsidTr="005033B5">
        <w:trPr>
          <w:trHeight w:val="144"/>
          <w:jc w:val="center"/>
        </w:trPr>
        <w:tc>
          <w:tcPr>
            <w:tcW w:w="1387" w:type="dxa"/>
            <w:vMerge/>
          </w:tcPr>
          <w:p w:rsidR="00F302C5" w:rsidRPr="00C074AB" w:rsidRDefault="00F302C5" w:rsidP="005033B5">
            <w:pPr>
              <w:jc w:val="center"/>
              <w:rPr>
                <w:sz w:val="18"/>
                <w:szCs w:val="18"/>
              </w:rPr>
            </w:pPr>
          </w:p>
        </w:tc>
        <w:tc>
          <w:tcPr>
            <w:tcW w:w="1084" w:type="dxa"/>
            <w:vMerge/>
          </w:tcPr>
          <w:p w:rsidR="00F302C5" w:rsidRPr="00C074AB" w:rsidRDefault="00F302C5" w:rsidP="005033B5">
            <w:pPr>
              <w:jc w:val="center"/>
              <w:rPr>
                <w:sz w:val="18"/>
                <w:szCs w:val="18"/>
              </w:rPr>
            </w:pPr>
          </w:p>
        </w:tc>
        <w:tc>
          <w:tcPr>
            <w:tcW w:w="1043" w:type="dxa"/>
            <w:vMerge w:val="restart"/>
          </w:tcPr>
          <w:p w:rsidR="00F302C5" w:rsidRPr="00C074AB" w:rsidRDefault="00F302C5" w:rsidP="005033B5">
            <w:pPr>
              <w:jc w:val="center"/>
              <w:rPr>
                <w:sz w:val="18"/>
                <w:szCs w:val="18"/>
              </w:rPr>
            </w:pPr>
          </w:p>
          <w:p w:rsidR="00F302C5" w:rsidRPr="00C074AB" w:rsidRDefault="00F302C5" w:rsidP="005033B5">
            <w:pPr>
              <w:jc w:val="center"/>
              <w:rPr>
                <w:sz w:val="18"/>
                <w:szCs w:val="18"/>
              </w:rPr>
            </w:pPr>
            <w:r w:rsidRPr="00C074AB">
              <w:rPr>
                <w:sz w:val="18"/>
                <w:szCs w:val="18"/>
              </w:rPr>
              <w:t>Psicosocial</w:t>
            </w:r>
          </w:p>
        </w:tc>
        <w:tc>
          <w:tcPr>
            <w:tcW w:w="733" w:type="dxa"/>
            <w:vMerge w:val="restart"/>
          </w:tcPr>
          <w:p w:rsidR="00F302C5" w:rsidRPr="00C074AB" w:rsidRDefault="00F302C5" w:rsidP="005033B5">
            <w:pPr>
              <w:jc w:val="center"/>
              <w:rPr>
                <w:sz w:val="18"/>
                <w:szCs w:val="18"/>
              </w:rPr>
            </w:pPr>
          </w:p>
          <w:p w:rsidR="00F302C5" w:rsidRPr="00C074AB" w:rsidRDefault="00F302C5" w:rsidP="005033B5">
            <w:pPr>
              <w:jc w:val="center"/>
              <w:rPr>
                <w:sz w:val="18"/>
                <w:szCs w:val="18"/>
              </w:rPr>
            </w:pPr>
            <w:r w:rsidRPr="00C074AB">
              <w:rPr>
                <w:sz w:val="18"/>
                <w:szCs w:val="18"/>
              </w:rPr>
              <w:t>Psicol.</w:t>
            </w:r>
          </w:p>
        </w:tc>
        <w:tc>
          <w:tcPr>
            <w:tcW w:w="753" w:type="dxa"/>
            <w:vMerge w:val="restart"/>
          </w:tcPr>
          <w:p w:rsidR="00F302C5" w:rsidRPr="00C074AB" w:rsidRDefault="00F302C5" w:rsidP="005033B5">
            <w:pPr>
              <w:jc w:val="center"/>
              <w:rPr>
                <w:sz w:val="18"/>
                <w:szCs w:val="18"/>
              </w:rPr>
            </w:pPr>
          </w:p>
          <w:p w:rsidR="00F302C5" w:rsidRPr="00C074AB" w:rsidRDefault="00F302C5" w:rsidP="005033B5">
            <w:pPr>
              <w:jc w:val="center"/>
              <w:rPr>
                <w:sz w:val="18"/>
                <w:szCs w:val="18"/>
              </w:rPr>
            </w:pPr>
            <w:r w:rsidRPr="00C074AB">
              <w:rPr>
                <w:sz w:val="18"/>
                <w:szCs w:val="18"/>
              </w:rPr>
              <w:t>Trab. Soc.</w:t>
            </w:r>
          </w:p>
        </w:tc>
        <w:tc>
          <w:tcPr>
            <w:tcW w:w="1734" w:type="dxa"/>
            <w:gridSpan w:val="2"/>
          </w:tcPr>
          <w:p w:rsidR="00F302C5" w:rsidRPr="00C074AB" w:rsidRDefault="00F302C5" w:rsidP="005033B5">
            <w:pPr>
              <w:jc w:val="center"/>
              <w:rPr>
                <w:sz w:val="18"/>
                <w:szCs w:val="18"/>
              </w:rPr>
            </w:pPr>
            <w:r w:rsidRPr="00C074AB">
              <w:rPr>
                <w:sz w:val="18"/>
                <w:szCs w:val="18"/>
              </w:rPr>
              <w:t>Psicosocial</w:t>
            </w:r>
          </w:p>
        </w:tc>
        <w:tc>
          <w:tcPr>
            <w:tcW w:w="1734" w:type="dxa"/>
            <w:gridSpan w:val="2"/>
          </w:tcPr>
          <w:p w:rsidR="00F302C5" w:rsidRPr="00C074AB" w:rsidRDefault="00F302C5" w:rsidP="005033B5">
            <w:pPr>
              <w:jc w:val="center"/>
              <w:rPr>
                <w:sz w:val="18"/>
                <w:szCs w:val="18"/>
              </w:rPr>
            </w:pPr>
            <w:r w:rsidRPr="00C074AB">
              <w:rPr>
                <w:sz w:val="18"/>
                <w:szCs w:val="18"/>
              </w:rPr>
              <w:t>Psicol</w:t>
            </w:r>
            <w:r w:rsidR="00224722">
              <w:rPr>
                <w:sz w:val="18"/>
                <w:szCs w:val="18"/>
              </w:rPr>
              <w:t>ogía</w:t>
            </w:r>
          </w:p>
        </w:tc>
        <w:tc>
          <w:tcPr>
            <w:tcW w:w="1722" w:type="dxa"/>
            <w:gridSpan w:val="2"/>
          </w:tcPr>
          <w:p w:rsidR="00F302C5" w:rsidRPr="00C074AB" w:rsidRDefault="00F302C5" w:rsidP="00224722">
            <w:pPr>
              <w:jc w:val="center"/>
              <w:rPr>
                <w:sz w:val="18"/>
                <w:szCs w:val="18"/>
              </w:rPr>
            </w:pPr>
            <w:r w:rsidRPr="00C074AB">
              <w:rPr>
                <w:sz w:val="18"/>
                <w:szCs w:val="18"/>
              </w:rPr>
              <w:t>Trab</w:t>
            </w:r>
            <w:r w:rsidR="00224722">
              <w:rPr>
                <w:sz w:val="18"/>
                <w:szCs w:val="18"/>
              </w:rPr>
              <w:t>ajo</w:t>
            </w:r>
            <w:r w:rsidRPr="00C074AB">
              <w:rPr>
                <w:sz w:val="18"/>
                <w:szCs w:val="18"/>
              </w:rPr>
              <w:t xml:space="preserve"> Soc</w:t>
            </w:r>
            <w:r w:rsidR="00224722">
              <w:rPr>
                <w:sz w:val="18"/>
                <w:szCs w:val="18"/>
              </w:rPr>
              <w:t>ial</w:t>
            </w:r>
          </w:p>
        </w:tc>
      </w:tr>
      <w:tr w:rsidR="00F302C5" w:rsidRPr="00C074AB" w:rsidTr="005033B5">
        <w:trPr>
          <w:trHeight w:val="475"/>
          <w:jc w:val="center"/>
        </w:trPr>
        <w:tc>
          <w:tcPr>
            <w:tcW w:w="1387" w:type="dxa"/>
            <w:vMerge/>
          </w:tcPr>
          <w:p w:rsidR="00F302C5" w:rsidRPr="00C074AB" w:rsidRDefault="00F302C5" w:rsidP="005033B5">
            <w:pPr>
              <w:jc w:val="center"/>
            </w:pPr>
          </w:p>
        </w:tc>
        <w:tc>
          <w:tcPr>
            <w:tcW w:w="1084" w:type="dxa"/>
            <w:vMerge/>
          </w:tcPr>
          <w:p w:rsidR="00F302C5" w:rsidRPr="00C074AB" w:rsidRDefault="00F302C5" w:rsidP="005033B5">
            <w:pPr>
              <w:jc w:val="center"/>
            </w:pPr>
          </w:p>
        </w:tc>
        <w:tc>
          <w:tcPr>
            <w:tcW w:w="1043" w:type="dxa"/>
            <w:vMerge/>
          </w:tcPr>
          <w:p w:rsidR="00F302C5" w:rsidRPr="00C074AB" w:rsidRDefault="00F302C5" w:rsidP="005033B5">
            <w:pPr>
              <w:jc w:val="center"/>
            </w:pPr>
          </w:p>
        </w:tc>
        <w:tc>
          <w:tcPr>
            <w:tcW w:w="733" w:type="dxa"/>
            <w:vMerge/>
          </w:tcPr>
          <w:p w:rsidR="00F302C5" w:rsidRPr="00C074AB" w:rsidRDefault="00F302C5" w:rsidP="005033B5">
            <w:pPr>
              <w:jc w:val="center"/>
            </w:pPr>
          </w:p>
        </w:tc>
        <w:tc>
          <w:tcPr>
            <w:tcW w:w="753" w:type="dxa"/>
            <w:vMerge/>
          </w:tcPr>
          <w:p w:rsidR="00F302C5" w:rsidRPr="00C074AB" w:rsidRDefault="00F302C5" w:rsidP="005033B5">
            <w:pPr>
              <w:jc w:val="center"/>
            </w:pPr>
          </w:p>
        </w:tc>
        <w:tc>
          <w:tcPr>
            <w:tcW w:w="798" w:type="dxa"/>
            <w:shd w:val="clear" w:color="auto" w:fill="auto"/>
          </w:tcPr>
          <w:p w:rsidR="00F302C5" w:rsidRPr="00C074AB" w:rsidRDefault="00F302C5" w:rsidP="005033B5">
            <w:pPr>
              <w:jc w:val="center"/>
              <w:rPr>
                <w:sz w:val="18"/>
                <w:szCs w:val="18"/>
              </w:rPr>
            </w:pPr>
            <w:r w:rsidRPr="00C074AB">
              <w:rPr>
                <w:sz w:val="18"/>
                <w:szCs w:val="18"/>
              </w:rPr>
              <w:t>Cerrado</w:t>
            </w:r>
          </w:p>
        </w:tc>
        <w:tc>
          <w:tcPr>
            <w:tcW w:w="936" w:type="dxa"/>
            <w:shd w:val="clear" w:color="auto" w:fill="auto"/>
          </w:tcPr>
          <w:p w:rsidR="00F302C5" w:rsidRPr="00C074AB" w:rsidRDefault="00F302C5" w:rsidP="005033B5">
            <w:pPr>
              <w:jc w:val="center"/>
              <w:rPr>
                <w:sz w:val="18"/>
                <w:szCs w:val="18"/>
              </w:rPr>
            </w:pPr>
            <w:r w:rsidRPr="00C074AB">
              <w:rPr>
                <w:sz w:val="18"/>
                <w:szCs w:val="18"/>
              </w:rPr>
              <w:t>Pendiente</w:t>
            </w:r>
          </w:p>
        </w:tc>
        <w:tc>
          <w:tcPr>
            <w:tcW w:w="798" w:type="dxa"/>
            <w:shd w:val="clear" w:color="auto" w:fill="auto"/>
          </w:tcPr>
          <w:p w:rsidR="00F302C5" w:rsidRPr="00C074AB" w:rsidRDefault="00F302C5" w:rsidP="005033B5">
            <w:pPr>
              <w:jc w:val="center"/>
              <w:rPr>
                <w:sz w:val="18"/>
                <w:szCs w:val="18"/>
              </w:rPr>
            </w:pPr>
            <w:r w:rsidRPr="00C074AB">
              <w:rPr>
                <w:sz w:val="18"/>
                <w:szCs w:val="18"/>
              </w:rPr>
              <w:t>Cerrado</w:t>
            </w:r>
          </w:p>
        </w:tc>
        <w:tc>
          <w:tcPr>
            <w:tcW w:w="936" w:type="dxa"/>
            <w:shd w:val="clear" w:color="auto" w:fill="auto"/>
          </w:tcPr>
          <w:p w:rsidR="00F302C5" w:rsidRPr="00C074AB" w:rsidRDefault="00F302C5" w:rsidP="005033B5">
            <w:pPr>
              <w:jc w:val="center"/>
              <w:rPr>
                <w:sz w:val="18"/>
                <w:szCs w:val="18"/>
              </w:rPr>
            </w:pPr>
            <w:r w:rsidRPr="00C074AB">
              <w:rPr>
                <w:sz w:val="18"/>
                <w:szCs w:val="18"/>
              </w:rPr>
              <w:t>Pendiente</w:t>
            </w:r>
          </w:p>
        </w:tc>
        <w:tc>
          <w:tcPr>
            <w:tcW w:w="796" w:type="dxa"/>
            <w:shd w:val="clear" w:color="auto" w:fill="auto"/>
          </w:tcPr>
          <w:p w:rsidR="00F302C5" w:rsidRPr="00C074AB" w:rsidRDefault="00F302C5" w:rsidP="005033B5">
            <w:pPr>
              <w:jc w:val="center"/>
              <w:rPr>
                <w:sz w:val="18"/>
                <w:szCs w:val="18"/>
              </w:rPr>
            </w:pPr>
            <w:r w:rsidRPr="00C074AB">
              <w:rPr>
                <w:sz w:val="18"/>
                <w:szCs w:val="18"/>
              </w:rPr>
              <w:t>Cerrado</w:t>
            </w:r>
          </w:p>
        </w:tc>
        <w:tc>
          <w:tcPr>
            <w:tcW w:w="926" w:type="dxa"/>
            <w:shd w:val="clear" w:color="auto" w:fill="auto"/>
          </w:tcPr>
          <w:p w:rsidR="00F302C5" w:rsidRPr="00C074AB" w:rsidRDefault="00F302C5" w:rsidP="005033B5">
            <w:pPr>
              <w:jc w:val="center"/>
              <w:rPr>
                <w:sz w:val="18"/>
                <w:szCs w:val="18"/>
              </w:rPr>
            </w:pPr>
            <w:r w:rsidRPr="00C074AB">
              <w:rPr>
                <w:sz w:val="18"/>
                <w:szCs w:val="18"/>
              </w:rPr>
              <w:t>Pendiente</w:t>
            </w:r>
          </w:p>
        </w:tc>
      </w:tr>
      <w:tr w:rsidR="00F302C5" w:rsidRPr="00C074AB" w:rsidTr="005033B5">
        <w:trPr>
          <w:trHeight w:val="867"/>
          <w:jc w:val="center"/>
        </w:trPr>
        <w:tc>
          <w:tcPr>
            <w:tcW w:w="1387" w:type="dxa"/>
          </w:tcPr>
          <w:p w:rsidR="00F302C5" w:rsidRPr="00C074AB" w:rsidRDefault="00F302C5" w:rsidP="005033B5">
            <w:pPr>
              <w:jc w:val="center"/>
              <w:rPr>
                <w:sz w:val="18"/>
                <w:szCs w:val="18"/>
              </w:rPr>
            </w:pPr>
            <w:r w:rsidRPr="00C074AB">
              <w:rPr>
                <w:sz w:val="18"/>
                <w:szCs w:val="18"/>
              </w:rPr>
              <w:t>Equipo 1 Ordinario (Exclusivo Niñez y Adolescencia)</w:t>
            </w:r>
          </w:p>
        </w:tc>
        <w:tc>
          <w:tcPr>
            <w:tcW w:w="1084" w:type="dxa"/>
            <w:vAlign w:val="center"/>
          </w:tcPr>
          <w:p w:rsidR="00F302C5" w:rsidRPr="00C074AB" w:rsidRDefault="00F302C5" w:rsidP="005033B5">
            <w:pPr>
              <w:jc w:val="center"/>
              <w:rPr>
                <w:sz w:val="18"/>
                <w:szCs w:val="18"/>
              </w:rPr>
            </w:pPr>
            <w:r w:rsidRPr="00C074AB">
              <w:rPr>
                <w:sz w:val="18"/>
                <w:szCs w:val="18"/>
              </w:rPr>
              <w:t>63</w:t>
            </w:r>
          </w:p>
        </w:tc>
        <w:tc>
          <w:tcPr>
            <w:tcW w:w="1043" w:type="dxa"/>
            <w:vAlign w:val="center"/>
          </w:tcPr>
          <w:p w:rsidR="00F302C5" w:rsidRPr="00C074AB" w:rsidRDefault="00F302C5" w:rsidP="005033B5">
            <w:pPr>
              <w:jc w:val="center"/>
              <w:rPr>
                <w:sz w:val="18"/>
                <w:szCs w:val="18"/>
              </w:rPr>
            </w:pPr>
            <w:r w:rsidRPr="00C074AB">
              <w:rPr>
                <w:sz w:val="18"/>
                <w:szCs w:val="18"/>
              </w:rPr>
              <w:t>45</w:t>
            </w:r>
          </w:p>
        </w:tc>
        <w:tc>
          <w:tcPr>
            <w:tcW w:w="733" w:type="dxa"/>
            <w:vAlign w:val="center"/>
          </w:tcPr>
          <w:p w:rsidR="00F302C5" w:rsidRPr="00C074AB" w:rsidRDefault="00F302C5" w:rsidP="005033B5">
            <w:pPr>
              <w:jc w:val="center"/>
              <w:rPr>
                <w:sz w:val="18"/>
                <w:szCs w:val="18"/>
              </w:rPr>
            </w:pPr>
            <w:r w:rsidRPr="00C074AB">
              <w:rPr>
                <w:sz w:val="18"/>
                <w:szCs w:val="18"/>
              </w:rPr>
              <w:t>5</w:t>
            </w:r>
          </w:p>
        </w:tc>
        <w:tc>
          <w:tcPr>
            <w:tcW w:w="753" w:type="dxa"/>
            <w:vAlign w:val="center"/>
          </w:tcPr>
          <w:p w:rsidR="00F302C5" w:rsidRPr="00C074AB" w:rsidRDefault="00F302C5" w:rsidP="005033B5">
            <w:pPr>
              <w:jc w:val="center"/>
              <w:rPr>
                <w:sz w:val="18"/>
                <w:szCs w:val="18"/>
              </w:rPr>
            </w:pPr>
            <w:r w:rsidRPr="00C074AB">
              <w:rPr>
                <w:sz w:val="18"/>
                <w:szCs w:val="18"/>
              </w:rPr>
              <w:t>13</w:t>
            </w:r>
          </w:p>
        </w:tc>
        <w:tc>
          <w:tcPr>
            <w:tcW w:w="798" w:type="dxa"/>
            <w:shd w:val="clear" w:color="auto" w:fill="auto"/>
            <w:vAlign w:val="center"/>
          </w:tcPr>
          <w:p w:rsidR="00F302C5" w:rsidRPr="00C074AB" w:rsidRDefault="00F302C5" w:rsidP="005033B5">
            <w:pPr>
              <w:jc w:val="center"/>
              <w:rPr>
                <w:sz w:val="18"/>
                <w:szCs w:val="18"/>
              </w:rPr>
            </w:pPr>
            <w:r w:rsidRPr="00C074AB">
              <w:rPr>
                <w:sz w:val="18"/>
                <w:szCs w:val="18"/>
              </w:rPr>
              <w:t>25</w:t>
            </w:r>
          </w:p>
        </w:tc>
        <w:tc>
          <w:tcPr>
            <w:tcW w:w="936" w:type="dxa"/>
            <w:shd w:val="clear" w:color="auto" w:fill="auto"/>
            <w:vAlign w:val="center"/>
          </w:tcPr>
          <w:p w:rsidR="00F302C5" w:rsidRPr="00C074AB" w:rsidRDefault="00F302C5" w:rsidP="005033B5">
            <w:pPr>
              <w:jc w:val="center"/>
              <w:rPr>
                <w:sz w:val="18"/>
                <w:szCs w:val="18"/>
              </w:rPr>
            </w:pPr>
            <w:r w:rsidRPr="00C074AB">
              <w:rPr>
                <w:sz w:val="18"/>
                <w:szCs w:val="18"/>
              </w:rPr>
              <w:t>20</w:t>
            </w:r>
            <w:r w:rsidRPr="00C074AB">
              <w:rPr>
                <w:sz w:val="18"/>
                <w:szCs w:val="18"/>
                <w:vertAlign w:val="superscript"/>
              </w:rPr>
              <w:t>(1)</w:t>
            </w:r>
          </w:p>
        </w:tc>
        <w:tc>
          <w:tcPr>
            <w:tcW w:w="798" w:type="dxa"/>
            <w:shd w:val="clear" w:color="auto" w:fill="auto"/>
            <w:vAlign w:val="center"/>
          </w:tcPr>
          <w:p w:rsidR="00F302C5" w:rsidRPr="00C074AB" w:rsidRDefault="00F302C5" w:rsidP="005033B5">
            <w:pPr>
              <w:jc w:val="center"/>
              <w:rPr>
                <w:sz w:val="18"/>
                <w:szCs w:val="18"/>
              </w:rPr>
            </w:pPr>
            <w:r w:rsidRPr="00C074AB">
              <w:rPr>
                <w:sz w:val="18"/>
                <w:szCs w:val="18"/>
              </w:rPr>
              <w:t>3</w:t>
            </w:r>
          </w:p>
        </w:tc>
        <w:tc>
          <w:tcPr>
            <w:tcW w:w="936" w:type="dxa"/>
            <w:shd w:val="clear" w:color="auto" w:fill="auto"/>
            <w:vAlign w:val="center"/>
          </w:tcPr>
          <w:p w:rsidR="00F302C5" w:rsidRPr="00C074AB" w:rsidRDefault="00F302C5" w:rsidP="005033B5">
            <w:pPr>
              <w:jc w:val="center"/>
              <w:rPr>
                <w:sz w:val="18"/>
                <w:szCs w:val="18"/>
                <w:vertAlign w:val="superscript"/>
              </w:rPr>
            </w:pPr>
            <w:r w:rsidRPr="00C074AB">
              <w:rPr>
                <w:sz w:val="18"/>
                <w:szCs w:val="18"/>
              </w:rPr>
              <w:t>2</w:t>
            </w:r>
            <w:r w:rsidRPr="00C074AB">
              <w:rPr>
                <w:sz w:val="18"/>
                <w:szCs w:val="18"/>
                <w:vertAlign w:val="superscript"/>
              </w:rPr>
              <w:t>(3)</w:t>
            </w:r>
          </w:p>
        </w:tc>
        <w:tc>
          <w:tcPr>
            <w:tcW w:w="796" w:type="dxa"/>
            <w:shd w:val="clear" w:color="auto" w:fill="auto"/>
            <w:vAlign w:val="center"/>
          </w:tcPr>
          <w:p w:rsidR="00F302C5" w:rsidRPr="00C074AB" w:rsidRDefault="00F302C5" w:rsidP="005033B5">
            <w:pPr>
              <w:jc w:val="center"/>
              <w:rPr>
                <w:sz w:val="18"/>
                <w:szCs w:val="18"/>
              </w:rPr>
            </w:pPr>
            <w:r w:rsidRPr="00C074AB">
              <w:rPr>
                <w:sz w:val="18"/>
                <w:szCs w:val="18"/>
              </w:rPr>
              <w:t>7</w:t>
            </w:r>
          </w:p>
        </w:tc>
        <w:tc>
          <w:tcPr>
            <w:tcW w:w="926" w:type="dxa"/>
            <w:shd w:val="clear" w:color="auto" w:fill="auto"/>
            <w:vAlign w:val="center"/>
          </w:tcPr>
          <w:p w:rsidR="00F302C5" w:rsidRPr="00C074AB" w:rsidRDefault="00F302C5" w:rsidP="005033B5">
            <w:pPr>
              <w:jc w:val="center"/>
              <w:rPr>
                <w:sz w:val="18"/>
                <w:szCs w:val="18"/>
                <w:vertAlign w:val="superscript"/>
              </w:rPr>
            </w:pPr>
            <w:r w:rsidRPr="00C074AB">
              <w:rPr>
                <w:sz w:val="18"/>
                <w:szCs w:val="18"/>
              </w:rPr>
              <w:t>6</w:t>
            </w:r>
            <w:r w:rsidRPr="00C074AB">
              <w:rPr>
                <w:sz w:val="18"/>
                <w:szCs w:val="18"/>
                <w:vertAlign w:val="superscript"/>
              </w:rPr>
              <w:t>(2)</w:t>
            </w:r>
          </w:p>
        </w:tc>
      </w:tr>
      <w:tr w:rsidR="00F302C5" w:rsidRPr="00C074AB" w:rsidTr="005033B5">
        <w:trPr>
          <w:trHeight w:val="209"/>
          <w:jc w:val="center"/>
        </w:trPr>
        <w:tc>
          <w:tcPr>
            <w:tcW w:w="1387" w:type="dxa"/>
          </w:tcPr>
          <w:p w:rsidR="00F302C5" w:rsidRPr="00C074AB" w:rsidRDefault="00F302C5" w:rsidP="005033B5">
            <w:pPr>
              <w:jc w:val="center"/>
              <w:rPr>
                <w:sz w:val="18"/>
                <w:szCs w:val="18"/>
              </w:rPr>
            </w:pPr>
            <w:r w:rsidRPr="00C074AB">
              <w:rPr>
                <w:sz w:val="18"/>
                <w:szCs w:val="18"/>
              </w:rPr>
              <w:t>Equipo 2 Ordinario (Apoyo Juzgado I FA)</w:t>
            </w:r>
          </w:p>
        </w:tc>
        <w:tc>
          <w:tcPr>
            <w:tcW w:w="1084" w:type="dxa"/>
            <w:vAlign w:val="center"/>
          </w:tcPr>
          <w:p w:rsidR="00F302C5" w:rsidRPr="00C074AB" w:rsidRDefault="00F302C5" w:rsidP="005033B5">
            <w:pPr>
              <w:jc w:val="center"/>
              <w:rPr>
                <w:sz w:val="18"/>
                <w:szCs w:val="18"/>
              </w:rPr>
            </w:pPr>
            <w:r w:rsidRPr="00C074AB">
              <w:rPr>
                <w:sz w:val="18"/>
                <w:szCs w:val="18"/>
              </w:rPr>
              <w:t>2</w:t>
            </w:r>
          </w:p>
        </w:tc>
        <w:tc>
          <w:tcPr>
            <w:tcW w:w="1043" w:type="dxa"/>
            <w:vAlign w:val="center"/>
          </w:tcPr>
          <w:p w:rsidR="00F302C5" w:rsidRPr="00C074AB" w:rsidRDefault="00F302C5" w:rsidP="005033B5">
            <w:pPr>
              <w:jc w:val="center"/>
              <w:rPr>
                <w:sz w:val="18"/>
                <w:szCs w:val="18"/>
              </w:rPr>
            </w:pPr>
            <w:r w:rsidRPr="00C074AB">
              <w:rPr>
                <w:sz w:val="18"/>
                <w:szCs w:val="18"/>
              </w:rPr>
              <w:t>2</w:t>
            </w:r>
          </w:p>
        </w:tc>
        <w:tc>
          <w:tcPr>
            <w:tcW w:w="733" w:type="dxa"/>
            <w:vAlign w:val="center"/>
          </w:tcPr>
          <w:p w:rsidR="00F302C5" w:rsidRPr="00C074AB" w:rsidRDefault="00F302C5" w:rsidP="005033B5">
            <w:pPr>
              <w:jc w:val="center"/>
              <w:rPr>
                <w:sz w:val="18"/>
                <w:szCs w:val="18"/>
              </w:rPr>
            </w:pPr>
            <w:r w:rsidRPr="00C074AB">
              <w:rPr>
                <w:sz w:val="18"/>
                <w:szCs w:val="18"/>
              </w:rPr>
              <w:t>0</w:t>
            </w:r>
          </w:p>
        </w:tc>
        <w:tc>
          <w:tcPr>
            <w:tcW w:w="753" w:type="dxa"/>
            <w:vAlign w:val="center"/>
          </w:tcPr>
          <w:p w:rsidR="00F302C5" w:rsidRPr="00C074AB" w:rsidRDefault="00F302C5" w:rsidP="005033B5">
            <w:pPr>
              <w:jc w:val="center"/>
              <w:rPr>
                <w:sz w:val="18"/>
                <w:szCs w:val="18"/>
              </w:rPr>
            </w:pPr>
            <w:r w:rsidRPr="00C074AB">
              <w:rPr>
                <w:sz w:val="18"/>
                <w:szCs w:val="18"/>
              </w:rPr>
              <w:t>0</w:t>
            </w:r>
          </w:p>
        </w:tc>
        <w:tc>
          <w:tcPr>
            <w:tcW w:w="798" w:type="dxa"/>
            <w:shd w:val="clear" w:color="auto" w:fill="auto"/>
            <w:vAlign w:val="center"/>
          </w:tcPr>
          <w:p w:rsidR="00F302C5" w:rsidRPr="00C074AB" w:rsidRDefault="00F302C5" w:rsidP="005033B5">
            <w:pPr>
              <w:jc w:val="center"/>
              <w:rPr>
                <w:sz w:val="18"/>
                <w:szCs w:val="18"/>
              </w:rPr>
            </w:pPr>
            <w:r w:rsidRPr="00C074AB">
              <w:rPr>
                <w:sz w:val="18"/>
                <w:szCs w:val="18"/>
              </w:rPr>
              <w:t>2</w:t>
            </w:r>
          </w:p>
        </w:tc>
        <w:tc>
          <w:tcPr>
            <w:tcW w:w="936" w:type="dxa"/>
            <w:shd w:val="clear" w:color="auto" w:fill="auto"/>
            <w:vAlign w:val="center"/>
          </w:tcPr>
          <w:p w:rsidR="00F302C5" w:rsidRPr="00C074AB" w:rsidRDefault="00F302C5" w:rsidP="005033B5">
            <w:pPr>
              <w:jc w:val="center"/>
              <w:rPr>
                <w:sz w:val="18"/>
                <w:szCs w:val="18"/>
              </w:rPr>
            </w:pPr>
            <w:r w:rsidRPr="00C074AB">
              <w:rPr>
                <w:sz w:val="18"/>
                <w:szCs w:val="18"/>
              </w:rPr>
              <w:t>0</w:t>
            </w:r>
          </w:p>
        </w:tc>
        <w:tc>
          <w:tcPr>
            <w:tcW w:w="798" w:type="dxa"/>
            <w:shd w:val="clear" w:color="auto" w:fill="auto"/>
            <w:vAlign w:val="center"/>
          </w:tcPr>
          <w:p w:rsidR="00F302C5" w:rsidRPr="00C074AB" w:rsidRDefault="00F302C5" w:rsidP="005033B5">
            <w:pPr>
              <w:jc w:val="center"/>
              <w:rPr>
                <w:sz w:val="18"/>
                <w:szCs w:val="18"/>
              </w:rPr>
            </w:pPr>
            <w:r w:rsidRPr="00C074AB">
              <w:rPr>
                <w:sz w:val="18"/>
                <w:szCs w:val="18"/>
              </w:rPr>
              <w:t>0</w:t>
            </w:r>
          </w:p>
        </w:tc>
        <w:tc>
          <w:tcPr>
            <w:tcW w:w="936" w:type="dxa"/>
            <w:shd w:val="clear" w:color="auto" w:fill="auto"/>
            <w:vAlign w:val="center"/>
          </w:tcPr>
          <w:p w:rsidR="00F302C5" w:rsidRPr="00C074AB" w:rsidRDefault="00F302C5" w:rsidP="005033B5">
            <w:pPr>
              <w:jc w:val="center"/>
              <w:rPr>
                <w:sz w:val="18"/>
                <w:szCs w:val="18"/>
              </w:rPr>
            </w:pPr>
            <w:r w:rsidRPr="00C074AB">
              <w:rPr>
                <w:sz w:val="18"/>
                <w:szCs w:val="18"/>
              </w:rPr>
              <w:t>0</w:t>
            </w:r>
          </w:p>
        </w:tc>
        <w:tc>
          <w:tcPr>
            <w:tcW w:w="796" w:type="dxa"/>
            <w:shd w:val="clear" w:color="auto" w:fill="auto"/>
            <w:vAlign w:val="center"/>
          </w:tcPr>
          <w:p w:rsidR="00F302C5" w:rsidRPr="00C074AB" w:rsidRDefault="00F302C5" w:rsidP="005033B5">
            <w:pPr>
              <w:jc w:val="center"/>
              <w:rPr>
                <w:sz w:val="18"/>
                <w:szCs w:val="18"/>
              </w:rPr>
            </w:pPr>
            <w:r w:rsidRPr="00C074AB">
              <w:rPr>
                <w:sz w:val="18"/>
                <w:szCs w:val="18"/>
              </w:rPr>
              <w:t>0</w:t>
            </w:r>
          </w:p>
        </w:tc>
        <w:tc>
          <w:tcPr>
            <w:tcW w:w="926" w:type="dxa"/>
            <w:shd w:val="clear" w:color="auto" w:fill="auto"/>
            <w:vAlign w:val="center"/>
          </w:tcPr>
          <w:p w:rsidR="00F302C5" w:rsidRPr="00C074AB" w:rsidRDefault="00F302C5" w:rsidP="005033B5">
            <w:pPr>
              <w:jc w:val="center"/>
              <w:rPr>
                <w:sz w:val="18"/>
                <w:szCs w:val="18"/>
              </w:rPr>
            </w:pPr>
            <w:r w:rsidRPr="00C074AB">
              <w:rPr>
                <w:sz w:val="18"/>
                <w:szCs w:val="18"/>
              </w:rPr>
              <w:t>0</w:t>
            </w:r>
          </w:p>
        </w:tc>
      </w:tr>
      <w:tr w:rsidR="00F302C5" w:rsidRPr="00C074AB" w:rsidTr="005033B5">
        <w:trPr>
          <w:trHeight w:val="225"/>
          <w:jc w:val="center"/>
        </w:trPr>
        <w:tc>
          <w:tcPr>
            <w:tcW w:w="1387" w:type="dxa"/>
          </w:tcPr>
          <w:p w:rsidR="00F302C5" w:rsidRPr="00C074AB" w:rsidRDefault="00F302C5" w:rsidP="005033B5">
            <w:pPr>
              <w:jc w:val="center"/>
              <w:rPr>
                <w:sz w:val="18"/>
                <w:szCs w:val="18"/>
              </w:rPr>
            </w:pPr>
            <w:r w:rsidRPr="00C074AB">
              <w:rPr>
                <w:sz w:val="18"/>
                <w:szCs w:val="18"/>
              </w:rPr>
              <w:t>Equipo 3 Ordinario (Apoyo Juzgado II FA)</w:t>
            </w:r>
          </w:p>
        </w:tc>
        <w:tc>
          <w:tcPr>
            <w:tcW w:w="1084" w:type="dxa"/>
            <w:vAlign w:val="center"/>
          </w:tcPr>
          <w:p w:rsidR="00F302C5" w:rsidRPr="00C074AB" w:rsidRDefault="00F302C5" w:rsidP="005033B5">
            <w:pPr>
              <w:jc w:val="center"/>
              <w:rPr>
                <w:sz w:val="18"/>
                <w:szCs w:val="18"/>
              </w:rPr>
            </w:pPr>
            <w:r w:rsidRPr="00C074AB">
              <w:rPr>
                <w:sz w:val="18"/>
                <w:szCs w:val="18"/>
              </w:rPr>
              <w:t>2</w:t>
            </w:r>
          </w:p>
        </w:tc>
        <w:tc>
          <w:tcPr>
            <w:tcW w:w="1043" w:type="dxa"/>
            <w:vAlign w:val="center"/>
          </w:tcPr>
          <w:p w:rsidR="00F302C5" w:rsidRPr="00C074AB" w:rsidRDefault="00F302C5" w:rsidP="005033B5">
            <w:pPr>
              <w:jc w:val="center"/>
              <w:rPr>
                <w:sz w:val="18"/>
                <w:szCs w:val="18"/>
              </w:rPr>
            </w:pPr>
            <w:r w:rsidRPr="00C074AB">
              <w:rPr>
                <w:sz w:val="18"/>
                <w:szCs w:val="18"/>
              </w:rPr>
              <w:t>0</w:t>
            </w:r>
          </w:p>
        </w:tc>
        <w:tc>
          <w:tcPr>
            <w:tcW w:w="733" w:type="dxa"/>
            <w:vAlign w:val="center"/>
          </w:tcPr>
          <w:p w:rsidR="00F302C5" w:rsidRPr="00C074AB" w:rsidRDefault="00F302C5" w:rsidP="005033B5">
            <w:pPr>
              <w:jc w:val="center"/>
              <w:rPr>
                <w:sz w:val="18"/>
                <w:szCs w:val="18"/>
              </w:rPr>
            </w:pPr>
            <w:r w:rsidRPr="00C074AB">
              <w:rPr>
                <w:sz w:val="18"/>
                <w:szCs w:val="18"/>
              </w:rPr>
              <w:t>2</w:t>
            </w:r>
          </w:p>
        </w:tc>
        <w:tc>
          <w:tcPr>
            <w:tcW w:w="753" w:type="dxa"/>
            <w:vAlign w:val="center"/>
          </w:tcPr>
          <w:p w:rsidR="00F302C5" w:rsidRPr="00C074AB" w:rsidRDefault="00F302C5" w:rsidP="005033B5">
            <w:pPr>
              <w:jc w:val="center"/>
              <w:rPr>
                <w:sz w:val="18"/>
                <w:szCs w:val="18"/>
              </w:rPr>
            </w:pPr>
            <w:r w:rsidRPr="00C074AB">
              <w:rPr>
                <w:sz w:val="18"/>
                <w:szCs w:val="18"/>
              </w:rPr>
              <w:t>0</w:t>
            </w:r>
          </w:p>
        </w:tc>
        <w:tc>
          <w:tcPr>
            <w:tcW w:w="798" w:type="dxa"/>
            <w:shd w:val="clear" w:color="auto" w:fill="auto"/>
            <w:vAlign w:val="center"/>
          </w:tcPr>
          <w:p w:rsidR="00F302C5" w:rsidRPr="00C074AB" w:rsidRDefault="00F302C5" w:rsidP="005033B5">
            <w:pPr>
              <w:jc w:val="center"/>
              <w:rPr>
                <w:sz w:val="18"/>
                <w:szCs w:val="18"/>
              </w:rPr>
            </w:pPr>
            <w:r w:rsidRPr="00C074AB">
              <w:rPr>
                <w:sz w:val="18"/>
                <w:szCs w:val="18"/>
              </w:rPr>
              <w:t>0</w:t>
            </w:r>
          </w:p>
        </w:tc>
        <w:tc>
          <w:tcPr>
            <w:tcW w:w="936" w:type="dxa"/>
            <w:shd w:val="clear" w:color="auto" w:fill="auto"/>
            <w:vAlign w:val="center"/>
          </w:tcPr>
          <w:p w:rsidR="00F302C5" w:rsidRPr="00C074AB" w:rsidRDefault="00F302C5" w:rsidP="005033B5">
            <w:pPr>
              <w:jc w:val="center"/>
              <w:rPr>
                <w:sz w:val="18"/>
                <w:szCs w:val="18"/>
              </w:rPr>
            </w:pPr>
            <w:r w:rsidRPr="00C074AB">
              <w:rPr>
                <w:sz w:val="18"/>
                <w:szCs w:val="18"/>
              </w:rPr>
              <w:t>0</w:t>
            </w:r>
          </w:p>
        </w:tc>
        <w:tc>
          <w:tcPr>
            <w:tcW w:w="798" w:type="dxa"/>
            <w:shd w:val="clear" w:color="auto" w:fill="auto"/>
            <w:vAlign w:val="center"/>
          </w:tcPr>
          <w:p w:rsidR="00F302C5" w:rsidRPr="00C074AB" w:rsidRDefault="00F302C5" w:rsidP="005033B5">
            <w:pPr>
              <w:jc w:val="center"/>
              <w:rPr>
                <w:sz w:val="18"/>
                <w:szCs w:val="18"/>
              </w:rPr>
            </w:pPr>
            <w:r w:rsidRPr="00C074AB">
              <w:rPr>
                <w:sz w:val="18"/>
                <w:szCs w:val="18"/>
              </w:rPr>
              <w:t>2</w:t>
            </w:r>
          </w:p>
        </w:tc>
        <w:tc>
          <w:tcPr>
            <w:tcW w:w="936" w:type="dxa"/>
            <w:shd w:val="clear" w:color="auto" w:fill="auto"/>
            <w:vAlign w:val="center"/>
          </w:tcPr>
          <w:p w:rsidR="00F302C5" w:rsidRPr="00C074AB" w:rsidRDefault="00F302C5" w:rsidP="005033B5">
            <w:pPr>
              <w:jc w:val="center"/>
              <w:rPr>
                <w:sz w:val="18"/>
                <w:szCs w:val="18"/>
              </w:rPr>
            </w:pPr>
            <w:r w:rsidRPr="00C074AB">
              <w:rPr>
                <w:sz w:val="18"/>
                <w:szCs w:val="18"/>
              </w:rPr>
              <w:t>0</w:t>
            </w:r>
          </w:p>
        </w:tc>
        <w:tc>
          <w:tcPr>
            <w:tcW w:w="796" w:type="dxa"/>
            <w:shd w:val="clear" w:color="auto" w:fill="auto"/>
            <w:vAlign w:val="center"/>
          </w:tcPr>
          <w:p w:rsidR="00F302C5" w:rsidRPr="00C074AB" w:rsidRDefault="00F302C5" w:rsidP="005033B5">
            <w:pPr>
              <w:jc w:val="center"/>
              <w:rPr>
                <w:sz w:val="18"/>
                <w:szCs w:val="18"/>
              </w:rPr>
            </w:pPr>
            <w:r w:rsidRPr="00C074AB">
              <w:rPr>
                <w:sz w:val="18"/>
                <w:szCs w:val="18"/>
              </w:rPr>
              <w:t>0</w:t>
            </w:r>
          </w:p>
        </w:tc>
        <w:tc>
          <w:tcPr>
            <w:tcW w:w="926" w:type="dxa"/>
            <w:shd w:val="clear" w:color="auto" w:fill="auto"/>
            <w:vAlign w:val="center"/>
          </w:tcPr>
          <w:p w:rsidR="00F302C5" w:rsidRPr="00C074AB" w:rsidRDefault="00F302C5" w:rsidP="005033B5">
            <w:pPr>
              <w:jc w:val="center"/>
              <w:rPr>
                <w:sz w:val="18"/>
                <w:szCs w:val="18"/>
              </w:rPr>
            </w:pPr>
            <w:r w:rsidRPr="00C074AB">
              <w:rPr>
                <w:sz w:val="18"/>
                <w:szCs w:val="18"/>
              </w:rPr>
              <w:t>0</w:t>
            </w:r>
          </w:p>
        </w:tc>
      </w:tr>
      <w:tr w:rsidR="00F302C5" w:rsidRPr="00C074AB" w:rsidTr="005033B5">
        <w:trPr>
          <w:trHeight w:val="209"/>
          <w:jc w:val="center"/>
        </w:trPr>
        <w:tc>
          <w:tcPr>
            <w:tcW w:w="1387" w:type="dxa"/>
          </w:tcPr>
          <w:p w:rsidR="00F302C5" w:rsidRPr="00C074AB" w:rsidRDefault="00F302C5" w:rsidP="005033B5">
            <w:pPr>
              <w:pStyle w:val="WW-Predeterminado123"/>
              <w:jc w:val="center"/>
              <w:rPr>
                <w:color w:val="auto"/>
                <w:kern w:val="0"/>
                <w:sz w:val="18"/>
                <w:szCs w:val="18"/>
                <w:lang w:eastAsia="es-ES" w:bidi="ar-SA"/>
              </w:rPr>
            </w:pPr>
            <w:r w:rsidRPr="00C074AB">
              <w:rPr>
                <w:color w:val="auto"/>
                <w:kern w:val="0"/>
                <w:sz w:val="18"/>
                <w:szCs w:val="18"/>
                <w:lang w:eastAsia="es-ES" w:bidi="ar-SA"/>
              </w:rPr>
              <w:t xml:space="preserve">Equipo 4 </w:t>
            </w:r>
            <w:r w:rsidRPr="00C074AB">
              <w:rPr>
                <w:sz w:val="18"/>
                <w:szCs w:val="18"/>
                <w:vertAlign w:val="superscript"/>
              </w:rPr>
              <w:t>(7)</w:t>
            </w:r>
            <w:r w:rsidRPr="00C074AB">
              <w:rPr>
                <w:color w:val="auto"/>
                <w:kern w:val="0"/>
                <w:sz w:val="18"/>
                <w:szCs w:val="18"/>
                <w:lang w:eastAsia="es-ES" w:bidi="ar-SA"/>
              </w:rPr>
              <w:t xml:space="preserve"> (Extraordinario Niñez y Adolescencia)</w:t>
            </w:r>
          </w:p>
          <w:p w:rsidR="00F302C5" w:rsidRPr="00C074AB" w:rsidRDefault="00F302C5" w:rsidP="005033B5">
            <w:pPr>
              <w:jc w:val="center"/>
              <w:rPr>
                <w:b/>
                <w:sz w:val="18"/>
                <w:szCs w:val="18"/>
              </w:rPr>
            </w:pPr>
          </w:p>
        </w:tc>
        <w:tc>
          <w:tcPr>
            <w:tcW w:w="1084" w:type="dxa"/>
            <w:vAlign w:val="center"/>
          </w:tcPr>
          <w:p w:rsidR="00F302C5" w:rsidRPr="00C074AB" w:rsidRDefault="00F302C5" w:rsidP="005033B5">
            <w:pPr>
              <w:jc w:val="center"/>
              <w:rPr>
                <w:sz w:val="18"/>
                <w:szCs w:val="18"/>
              </w:rPr>
            </w:pPr>
            <w:r w:rsidRPr="00C074AB">
              <w:rPr>
                <w:sz w:val="18"/>
                <w:szCs w:val="18"/>
              </w:rPr>
              <w:t>64</w:t>
            </w:r>
          </w:p>
        </w:tc>
        <w:tc>
          <w:tcPr>
            <w:tcW w:w="1043" w:type="dxa"/>
            <w:vAlign w:val="center"/>
          </w:tcPr>
          <w:p w:rsidR="00F302C5" w:rsidRPr="00C074AB" w:rsidRDefault="00F302C5" w:rsidP="005033B5">
            <w:pPr>
              <w:jc w:val="center"/>
              <w:rPr>
                <w:sz w:val="18"/>
                <w:szCs w:val="18"/>
              </w:rPr>
            </w:pPr>
            <w:r w:rsidRPr="00C074AB">
              <w:rPr>
                <w:sz w:val="18"/>
                <w:szCs w:val="18"/>
              </w:rPr>
              <w:t>47</w:t>
            </w:r>
          </w:p>
        </w:tc>
        <w:tc>
          <w:tcPr>
            <w:tcW w:w="733" w:type="dxa"/>
            <w:vAlign w:val="center"/>
          </w:tcPr>
          <w:p w:rsidR="00F302C5" w:rsidRPr="00C074AB" w:rsidRDefault="00F302C5" w:rsidP="005033B5">
            <w:pPr>
              <w:jc w:val="center"/>
              <w:rPr>
                <w:sz w:val="18"/>
                <w:szCs w:val="18"/>
              </w:rPr>
            </w:pPr>
            <w:r w:rsidRPr="00C074AB">
              <w:rPr>
                <w:sz w:val="18"/>
                <w:szCs w:val="18"/>
              </w:rPr>
              <w:t>6</w:t>
            </w:r>
          </w:p>
        </w:tc>
        <w:tc>
          <w:tcPr>
            <w:tcW w:w="753" w:type="dxa"/>
            <w:vAlign w:val="center"/>
          </w:tcPr>
          <w:p w:rsidR="00F302C5" w:rsidRPr="00C074AB" w:rsidRDefault="00F302C5" w:rsidP="005033B5">
            <w:pPr>
              <w:jc w:val="center"/>
              <w:rPr>
                <w:sz w:val="18"/>
                <w:szCs w:val="18"/>
              </w:rPr>
            </w:pPr>
            <w:r w:rsidRPr="00C074AB">
              <w:rPr>
                <w:sz w:val="18"/>
                <w:szCs w:val="18"/>
              </w:rPr>
              <w:t>11</w:t>
            </w:r>
          </w:p>
        </w:tc>
        <w:tc>
          <w:tcPr>
            <w:tcW w:w="798" w:type="dxa"/>
            <w:shd w:val="clear" w:color="auto" w:fill="auto"/>
            <w:vAlign w:val="center"/>
          </w:tcPr>
          <w:p w:rsidR="00F302C5" w:rsidRPr="00C074AB" w:rsidRDefault="00F302C5" w:rsidP="005033B5">
            <w:pPr>
              <w:jc w:val="center"/>
              <w:rPr>
                <w:sz w:val="18"/>
                <w:szCs w:val="18"/>
              </w:rPr>
            </w:pPr>
            <w:r w:rsidRPr="00C074AB">
              <w:rPr>
                <w:sz w:val="18"/>
                <w:szCs w:val="18"/>
              </w:rPr>
              <w:t>26</w:t>
            </w:r>
          </w:p>
        </w:tc>
        <w:tc>
          <w:tcPr>
            <w:tcW w:w="936" w:type="dxa"/>
            <w:shd w:val="clear" w:color="auto" w:fill="auto"/>
            <w:vAlign w:val="center"/>
          </w:tcPr>
          <w:p w:rsidR="00F302C5" w:rsidRPr="00C074AB" w:rsidRDefault="00F302C5" w:rsidP="005033B5">
            <w:pPr>
              <w:jc w:val="center"/>
              <w:rPr>
                <w:sz w:val="18"/>
                <w:szCs w:val="18"/>
                <w:vertAlign w:val="superscript"/>
              </w:rPr>
            </w:pPr>
            <w:r w:rsidRPr="00C074AB">
              <w:rPr>
                <w:sz w:val="18"/>
                <w:szCs w:val="18"/>
              </w:rPr>
              <w:t>19</w:t>
            </w:r>
            <w:r w:rsidRPr="00C074AB">
              <w:rPr>
                <w:sz w:val="18"/>
                <w:szCs w:val="18"/>
                <w:vertAlign w:val="superscript"/>
              </w:rPr>
              <w:t>(4)</w:t>
            </w:r>
          </w:p>
        </w:tc>
        <w:tc>
          <w:tcPr>
            <w:tcW w:w="798" w:type="dxa"/>
            <w:shd w:val="clear" w:color="auto" w:fill="auto"/>
            <w:vAlign w:val="center"/>
          </w:tcPr>
          <w:p w:rsidR="00F302C5" w:rsidRPr="00C074AB" w:rsidRDefault="00F302C5" w:rsidP="005033B5">
            <w:pPr>
              <w:jc w:val="center"/>
              <w:rPr>
                <w:sz w:val="18"/>
                <w:szCs w:val="18"/>
              </w:rPr>
            </w:pPr>
            <w:r w:rsidRPr="00C074AB">
              <w:rPr>
                <w:sz w:val="18"/>
                <w:szCs w:val="18"/>
              </w:rPr>
              <w:t>2</w:t>
            </w:r>
          </w:p>
        </w:tc>
        <w:tc>
          <w:tcPr>
            <w:tcW w:w="936" w:type="dxa"/>
            <w:shd w:val="clear" w:color="auto" w:fill="auto"/>
            <w:vAlign w:val="center"/>
          </w:tcPr>
          <w:p w:rsidR="00F302C5" w:rsidRPr="00C074AB" w:rsidRDefault="00F302C5" w:rsidP="005033B5">
            <w:pPr>
              <w:jc w:val="center"/>
              <w:rPr>
                <w:sz w:val="18"/>
                <w:szCs w:val="18"/>
                <w:vertAlign w:val="superscript"/>
              </w:rPr>
            </w:pPr>
            <w:r w:rsidRPr="00C074AB">
              <w:rPr>
                <w:sz w:val="18"/>
                <w:szCs w:val="18"/>
              </w:rPr>
              <w:t>4</w:t>
            </w:r>
            <w:r w:rsidRPr="00C074AB">
              <w:rPr>
                <w:sz w:val="18"/>
                <w:szCs w:val="18"/>
                <w:vertAlign w:val="superscript"/>
              </w:rPr>
              <w:t>(5)</w:t>
            </w:r>
          </w:p>
        </w:tc>
        <w:tc>
          <w:tcPr>
            <w:tcW w:w="796" w:type="dxa"/>
            <w:shd w:val="clear" w:color="auto" w:fill="auto"/>
            <w:vAlign w:val="center"/>
          </w:tcPr>
          <w:p w:rsidR="00F302C5" w:rsidRPr="00C074AB" w:rsidRDefault="00F302C5" w:rsidP="005033B5">
            <w:pPr>
              <w:jc w:val="center"/>
              <w:rPr>
                <w:sz w:val="18"/>
                <w:szCs w:val="18"/>
              </w:rPr>
            </w:pPr>
            <w:r w:rsidRPr="00C074AB">
              <w:rPr>
                <w:sz w:val="18"/>
                <w:szCs w:val="18"/>
              </w:rPr>
              <w:t>6</w:t>
            </w:r>
          </w:p>
        </w:tc>
        <w:tc>
          <w:tcPr>
            <w:tcW w:w="926" w:type="dxa"/>
            <w:shd w:val="clear" w:color="auto" w:fill="auto"/>
            <w:vAlign w:val="center"/>
          </w:tcPr>
          <w:p w:rsidR="00F302C5" w:rsidRPr="00C074AB" w:rsidRDefault="00F302C5" w:rsidP="005033B5">
            <w:pPr>
              <w:jc w:val="center"/>
              <w:rPr>
                <w:sz w:val="18"/>
                <w:szCs w:val="18"/>
                <w:vertAlign w:val="superscript"/>
              </w:rPr>
            </w:pPr>
            <w:r w:rsidRPr="00C074AB">
              <w:rPr>
                <w:sz w:val="18"/>
                <w:szCs w:val="18"/>
              </w:rPr>
              <w:t>5</w:t>
            </w:r>
            <w:r w:rsidRPr="00C074AB">
              <w:rPr>
                <w:sz w:val="18"/>
                <w:szCs w:val="18"/>
                <w:vertAlign w:val="superscript"/>
              </w:rPr>
              <w:t>(6)</w:t>
            </w:r>
          </w:p>
        </w:tc>
      </w:tr>
      <w:tr w:rsidR="00F302C5" w:rsidRPr="00C074AB" w:rsidTr="005033B5">
        <w:trPr>
          <w:trHeight w:val="209"/>
          <w:jc w:val="center"/>
        </w:trPr>
        <w:tc>
          <w:tcPr>
            <w:tcW w:w="1387" w:type="dxa"/>
          </w:tcPr>
          <w:p w:rsidR="00F302C5" w:rsidRPr="00C074AB" w:rsidRDefault="00F302C5" w:rsidP="005033B5">
            <w:pPr>
              <w:jc w:val="center"/>
              <w:rPr>
                <w:sz w:val="18"/>
                <w:szCs w:val="18"/>
              </w:rPr>
            </w:pPr>
          </w:p>
        </w:tc>
        <w:tc>
          <w:tcPr>
            <w:tcW w:w="1084" w:type="dxa"/>
          </w:tcPr>
          <w:p w:rsidR="00F302C5" w:rsidRPr="00C074AB" w:rsidRDefault="00F302C5" w:rsidP="005033B5">
            <w:pPr>
              <w:jc w:val="center"/>
              <w:rPr>
                <w:sz w:val="18"/>
                <w:szCs w:val="18"/>
              </w:rPr>
            </w:pPr>
          </w:p>
        </w:tc>
        <w:tc>
          <w:tcPr>
            <w:tcW w:w="1043" w:type="dxa"/>
          </w:tcPr>
          <w:p w:rsidR="00F302C5" w:rsidRPr="00C074AB" w:rsidRDefault="00F302C5" w:rsidP="005033B5">
            <w:pPr>
              <w:jc w:val="center"/>
              <w:rPr>
                <w:sz w:val="18"/>
                <w:szCs w:val="18"/>
              </w:rPr>
            </w:pPr>
          </w:p>
        </w:tc>
        <w:tc>
          <w:tcPr>
            <w:tcW w:w="733" w:type="dxa"/>
          </w:tcPr>
          <w:p w:rsidR="00F302C5" w:rsidRPr="00C074AB" w:rsidRDefault="00F302C5" w:rsidP="005033B5">
            <w:pPr>
              <w:jc w:val="center"/>
              <w:rPr>
                <w:sz w:val="18"/>
                <w:szCs w:val="18"/>
              </w:rPr>
            </w:pPr>
          </w:p>
        </w:tc>
        <w:tc>
          <w:tcPr>
            <w:tcW w:w="753" w:type="dxa"/>
          </w:tcPr>
          <w:p w:rsidR="00F302C5" w:rsidRPr="00C074AB" w:rsidRDefault="00F302C5" w:rsidP="005033B5">
            <w:pPr>
              <w:jc w:val="center"/>
              <w:rPr>
                <w:sz w:val="18"/>
                <w:szCs w:val="18"/>
              </w:rPr>
            </w:pPr>
          </w:p>
        </w:tc>
        <w:tc>
          <w:tcPr>
            <w:tcW w:w="798" w:type="dxa"/>
            <w:shd w:val="clear" w:color="auto" w:fill="auto"/>
          </w:tcPr>
          <w:p w:rsidR="00F302C5" w:rsidRPr="00C074AB" w:rsidRDefault="00F302C5" w:rsidP="005033B5">
            <w:pPr>
              <w:jc w:val="center"/>
              <w:rPr>
                <w:sz w:val="18"/>
                <w:szCs w:val="18"/>
              </w:rPr>
            </w:pPr>
          </w:p>
        </w:tc>
        <w:tc>
          <w:tcPr>
            <w:tcW w:w="936" w:type="dxa"/>
            <w:shd w:val="clear" w:color="auto" w:fill="auto"/>
          </w:tcPr>
          <w:p w:rsidR="00F302C5" w:rsidRPr="00C074AB" w:rsidRDefault="00F302C5" w:rsidP="005033B5">
            <w:pPr>
              <w:jc w:val="center"/>
              <w:rPr>
                <w:sz w:val="18"/>
                <w:szCs w:val="18"/>
              </w:rPr>
            </w:pPr>
          </w:p>
        </w:tc>
        <w:tc>
          <w:tcPr>
            <w:tcW w:w="798" w:type="dxa"/>
            <w:shd w:val="clear" w:color="auto" w:fill="auto"/>
          </w:tcPr>
          <w:p w:rsidR="00F302C5" w:rsidRPr="00C074AB" w:rsidRDefault="00F302C5" w:rsidP="005033B5">
            <w:pPr>
              <w:jc w:val="center"/>
              <w:rPr>
                <w:sz w:val="18"/>
                <w:szCs w:val="18"/>
              </w:rPr>
            </w:pPr>
          </w:p>
        </w:tc>
        <w:tc>
          <w:tcPr>
            <w:tcW w:w="936" w:type="dxa"/>
            <w:shd w:val="clear" w:color="auto" w:fill="auto"/>
          </w:tcPr>
          <w:p w:rsidR="00F302C5" w:rsidRPr="00C074AB" w:rsidRDefault="00F302C5" w:rsidP="005033B5">
            <w:pPr>
              <w:jc w:val="center"/>
              <w:rPr>
                <w:sz w:val="18"/>
                <w:szCs w:val="18"/>
              </w:rPr>
            </w:pPr>
          </w:p>
        </w:tc>
        <w:tc>
          <w:tcPr>
            <w:tcW w:w="796" w:type="dxa"/>
            <w:shd w:val="clear" w:color="auto" w:fill="auto"/>
          </w:tcPr>
          <w:p w:rsidR="00F302C5" w:rsidRPr="00C074AB" w:rsidRDefault="00F302C5" w:rsidP="005033B5">
            <w:pPr>
              <w:jc w:val="center"/>
              <w:rPr>
                <w:sz w:val="18"/>
                <w:szCs w:val="18"/>
              </w:rPr>
            </w:pPr>
          </w:p>
        </w:tc>
        <w:tc>
          <w:tcPr>
            <w:tcW w:w="926" w:type="dxa"/>
            <w:shd w:val="clear" w:color="auto" w:fill="auto"/>
          </w:tcPr>
          <w:p w:rsidR="00F302C5" w:rsidRPr="00C074AB" w:rsidRDefault="00F302C5" w:rsidP="005033B5">
            <w:pPr>
              <w:jc w:val="center"/>
              <w:rPr>
                <w:sz w:val="18"/>
                <w:szCs w:val="18"/>
              </w:rPr>
            </w:pPr>
          </w:p>
        </w:tc>
      </w:tr>
      <w:tr w:rsidR="00F302C5" w:rsidRPr="00C074AB" w:rsidTr="005033B5">
        <w:trPr>
          <w:trHeight w:val="225"/>
          <w:jc w:val="center"/>
        </w:trPr>
        <w:tc>
          <w:tcPr>
            <w:tcW w:w="1387" w:type="dxa"/>
          </w:tcPr>
          <w:p w:rsidR="00F302C5" w:rsidRPr="00C074AB" w:rsidRDefault="00F302C5" w:rsidP="005033B5">
            <w:pPr>
              <w:jc w:val="center"/>
              <w:rPr>
                <w:rFonts w:ascii="Calibri" w:hAnsi="Calibri"/>
                <w:b/>
                <w:sz w:val="20"/>
                <w:szCs w:val="20"/>
              </w:rPr>
            </w:pPr>
            <w:r w:rsidRPr="00C074AB">
              <w:rPr>
                <w:rFonts w:ascii="Calibri" w:hAnsi="Calibri"/>
                <w:b/>
                <w:sz w:val="20"/>
                <w:szCs w:val="20"/>
              </w:rPr>
              <w:t>Total</w:t>
            </w:r>
          </w:p>
        </w:tc>
        <w:tc>
          <w:tcPr>
            <w:tcW w:w="1084" w:type="dxa"/>
          </w:tcPr>
          <w:p w:rsidR="00F302C5" w:rsidRPr="00C074AB" w:rsidRDefault="001012FA" w:rsidP="005033B5">
            <w:pPr>
              <w:jc w:val="center"/>
              <w:rPr>
                <w:rFonts w:ascii="Calibri" w:hAnsi="Calibri"/>
                <w:b/>
                <w:sz w:val="20"/>
                <w:szCs w:val="20"/>
              </w:rPr>
            </w:pPr>
            <w:r w:rsidRPr="00C074AB">
              <w:rPr>
                <w:rFonts w:ascii="Calibri" w:hAnsi="Calibri"/>
                <w:b/>
                <w:sz w:val="20"/>
                <w:szCs w:val="20"/>
              </w:rPr>
              <w:t>1</w:t>
            </w:r>
            <w:r w:rsidR="00D1286E">
              <w:rPr>
                <w:rFonts w:ascii="Calibri" w:hAnsi="Calibri"/>
                <w:b/>
                <w:sz w:val="20"/>
                <w:szCs w:val="20"/>
              </w:rPr>
              <w:t>31</w:t>
            </w:r>
          </w:p>
        </w:tc>
        <w:tc>
          <w:tcPr>
            <w:tcW w:w="1043" w:type="dxa"/>
          </w:tcPr>
          <w:p w:rsidR="00F302C5" w:rsidRPr="00C074AB" w:rsidRDefault="00F302C5" w:rsidP="005033B5">
            <w:pPr>
              <w:jc w:val="center"/>
              <w:rPr>
                <w:rFonts w:ascii="Calibri" w:hAnsi="Calibri"/>
                <w:b/>
                <w:sz w:val="20"/>
                <w:szCs w:val="20"/>
              </w:rPr>
            </w:pPr>
            <w:r w:rsidRPr="00C074AB">
              <w:rPr>
                <w:rFonts w:ascii="Calibri" w:hAnsi="Calibri"/>
                <w:b/>
                <w:sz w:val="20"/>
                <w:szCs w:val="20"/>
              </w:rPr>
              <w:t>9</w:t>
            </w:r>
            <w:r w:rsidR="00D1286E">
              <w:rPr>
                <w:rFonts w:ascii="Calibri" w:hAnsi="Calibri"/>
                <w:b/>
                <w:sz w:val="20"/>
                <w:szCs w:val="20"/>
              </w:rPr>
              <w:t>4</w:t>
            </w:r>
          </w:p>
        </w:tc>
        <w:tc>
          <w:tcPr>
            <w:tcW w:w="733" w:type="dxa"/>
          </w:tcPr>
          <w:p w:rsidR="00F302C5" w:rsidRPr="00C074AB" w:rsidRDefault="00F302C5" w:rsidP="005033B5">
            <w:pPr>
              <w:jc w:val="center"/>
              <w:rPr>
                <w:rFonts w:ascii="Calibri" w:hAnsi="Calibri"/>
                <w:b/>
                <w:sz w:val="20"/>
                <w:szCs w:val="20"/>
              </w:rPr>
            </w:pPr>
            <w:r w:rsidRPr="00C074AB">
              <w:rPr>
                <w:rFonts w:ascii="Calibri" w:hAnsi="Calibri"/>
                <w:b/>
                <w:sz w:val="20"/>
                <w:szCs w:val="20"/>
              </w:rPr>
              <w:t>13</w:t>
            </w:r>
          </w:p>
        </w:tc>
        <w:tc>
          <w:tcPr>
            <w:tcW w:w="753" w:type="dxa"/>
          </w:tcPr>
          <w:p w:rsidR="00F302C5" w:rsidRPr="00C074AB" w:rsidRDefault="00F302C5" w:rsidP="005033B5">
            <w:pPr>
              <w:jc w:val="center"/>
              <w:rPr>
                <w:rFonts w:ascii="Calibri" w:hAnsi="Calibri"/>
                <w:b/>
                <w:sz w:val="20"/>
                <w:szCs w:val="20"/>
              </w:rPr>
            </w:pPr>
            <w:r w:rsidRPr="00C074AB">
              <w:rPr>
                <w:rFonts w:ascii="Calibri" w:hAnsi="Calibri"/>
                <w:b/>
                <w:sz w:val="20"/>
                <w:szCs w:val="20"/>
              </w:rPr>
              <w:t>24</w:t>
            </w:r>
          </w:p>
        </w:tc>
        <w:tc>
          <w:tcPr>
            <w:tcW w:w="798" w:type="dxa"/>
            <w:shd w:val="clear" w:color="auto" w:fill="auto"/>
          </w:tcPr>
          <w:p w:rsidR="00F302C5" w:rsidRPr="00C074AB" w:rsidRDefault="00F302C5" w:rsidP="005033B5">
            <w:pPr>
              <w:jc w:val="center"/>
              <w:rPr>
                <w:rFonts w:ascii="Calibri" w:hAnsi="Calibri"/>
                <w:b/>
                <w:sz w:val="20"/>
                <w:szCs w:val="20"/>
              </w:rPr>
            </w:pPr>
            <w:r w:rsidRPr="00C074AB">
              <w:rPr>
                <w:rFonts w:ascii="Calibri" w:hAnsi="Calibri"/>
                <w:b/>
                <w:sz w:val="20"/>
                <w:szCs w:val="20"/>
              </w:rPr>
              <w:t>53</w:t>
            </w:r>
          </w:p>
        </w:tc>
        <w:tc>
          <w:tcPr>
            <w:tcW w:w="936" w:type="dxa"/>
            <w:shd w:val="clear" w:color="auto" w:fill="auto"/>
          </w:tcPr>
          <w:p w:rsidR="00F302C5" w:rsidRPr="00C074AB" w:rsidRDefault="00F302C5" w:rsidP="005033B5">
            <w:pPr>
              <w:jc w:val="center"/>
              <w:rPr>
                <w:rFonts w:ascii="Calibri" w:hAnsi="Calibri"/>
                <w:b/>
                <w:sz w:val="20"/>
                <w:szCs w:val="20"/>
              </w:rPr>
            </w:pPr>
            <w:r w:rsidRPr="00C074AB">
              <w:rPr>
                <w:rFonts w:ascii="Calibri" w:hAnsi="Calibri"/>
                <w:b/>
                <w:sz w:val="20"/>
                <w:szCs w:val="20"/>
              </w:rPr>
              <w:t>39</w:t>
            </w:r>
          </w:p>
        </w:tc>
        <w:tc>
          <w:tcPr>
            <w:tcW w:w="798" w:type="dxa"/>
            <w:shd w:val="clear" w:color="auto" w:fill="auto"/>
          </w:tcPr>
          <w:p w:rsidR="00F302C5" w:rsidRPr="00C074AB" w:rsidRDefault="00F302C5" w:rsidP="005033B5">
            <w:pPr>
              <w:jc w:val="center"/>
              <w:rPr>
                <w:rFonts w:ascii="Calibri" w:hAnsi="Calibri"/>
                <w:b/>
                <w:sz w:val="20"/>
                <w:szCs w:val="20"/>
              </w:rPr>
            </w:pPr>
            <w:r w:rsidRPr="00C074AB">
              <w:rPr>
                <w:rFonts w:ascii="Calibri" w:hAnsi="Calibri"/>
                <w:b/>
                <w:sz w:val="20"/>
                <w:szCs w:val="20"/>
              </w:rPr>
              <w:t>7</w:t>
            </w:r>
          </w:p>
        </w:tc>
        <w:tc>
          <w:tcPr>
            <w:tcW w:w="936" w:type="dxa"/>
            <w:shd w:val="clear" w:color="auto" w:fill="auto"/>
          </w:tcPr>
          <w:p w:rsidR="00F302C5" w:rsidRPr="00C074AB" w:rsidRDefault="00F302C5" w:rsidP="005033B5">
            <w:pPr>
              <w:jc w:val="center"/>
              <w:rPr>
                <w:rFonts w:ascii="Calibri" w:hAnsi="Calibri"/>
                <w:b/>
                <w:sz w:val="20"/>
                <w:szCs w:val="20"/>
              </w:rPr>
            </w:pPr>
            <w:r w:rsidRPr="00C074AB">
              <w:rPr>
                <w:rFonts w:ascii="Calibri" w:hAnsi="Calibri"/>
                <w:b/>
                <w:sz w:val="20"/>
                <w:szCs w:val="20"/>
              </w:rPr>
              <w:t>6</w:t>
            </w:r>
          </w:p>
        </w:tc>
        <w:tc>
          <w:tcPr>
            <w:tcW w:w="796" w:type="dxa"/>
            <w:shd w:val="clear" w:color="auto" w:fill="auto"/>
          </w:tcPr>
          <w:p w:rsidR="00F302C5" w:rsidRPr="00C074AB" w:rsidRDefault="00F302C5" w:rsidP="005033B5">
            <w:pPr>
              <w:jc w:val="center"/>
              <w:rPr>
                <w:rFonts w:ascii="Calibri" w:hAnsi="Calibri"/>
                <w:b/>
                <w:sz w:val="20"/>
                <w:szCs w:val="20"/>
              </w:rPr>
            </w:pPr>
            <w:r w:rsidRPr="00C074AB">
              <w:rPr>
                <w:rFonts w:ascii="Calibri" w:hAnsi="Calibri"/>
                <w:b/>
                <w:sz w:val="20"/>
                <w:szCs w:val="20"/>
              </w:rPr>
              <w:t>13</w:t>
            </w:r>
          </w:p>
        </w:tc>
        <w:tc>
          <w:tcPr>
            <w:tcW w:w="926" w:type="dxa"/>
            <w:shd w:val="clear" w:color="auto" w:fill="auto"/>
          </w:tcPr>
          <w:p w:rsidR="00F302C5" w:rsidRPr="00C074AB" w:rsidRDefault="00F302C5" w:rsidP="005033B5">
            <w:pPr>
              <w:jc w:val="center"/>
              <w:rPr>
                <w:rFonts w:ascii="Calibri" w:hAnsi="Calibri"/>
                <w:b/>
                <w:sz w:val="20"/>
                <w:szCs w:val="20"/>
              </w:rPr>
            </w:pPr>
            <w:r w:rsidRPr="00C074AB">
              <w:rPr>
                <w:rFonts w:ascii="Calibri" w:hAnsi="Calibri"/>
                <w:b/>
                <w:sz w:val="20"/>
                <w:szCs w:val="20"/>
              </w:rPr>
              <w:t>11</w:t>
            </w:r>
          </w:p>
        </w:tc>
      </w:tr>
    </w:tbl>
    <w:p w:rsidR="00F302C5" w:rsidRPr="00C074AB" w:rsidRDefault="00F302C5" w:rsidP="00604651">
      <w:pPr>
        <w:numPr>
          <w:ilvl w:val="0"/>
          <w:numId w:val="14"/>
        </w:numPr>
        <w:ind w:left="357" w:hanging="357"/>
        <w:jc w:val="both"/>
        <w:rPr>
          <w:sz w:val="18"/>
          <w:szCs w:val="18"/>
        </w:rPr>
      </w:pPr>
      <w:r w:rsidRPr="00C074AB">
        <w:rPr>
          <w:sz w:val="18"/>
          <w:szCs w:val="18"/>
        </w:rPr>
        <w:t xml:space="preserve">Se dejaron sin efecto dos solicitudes. Del total </w:t>
      </w:r>
      <w:r w:rsidR="00224722">
        <w:rPr>
          <w:sz w:val="18"/>
          <w:szCs w:val="18"/>
        </w:rPr>
        <w:t>cuatro</w:t>
      </w:r>
      <w:r w:rsidRPr="00C074AB">
        <w:rPr>
          <w:sz w:val="18"/>
          <w:szCs w:val="18"/>
        </w:rPr>
        <w:t>s</w:t>
      </w:r>
      <w:r w:rsidR="00A5073D">
        <w:rPr>
          <w:sz w:val="18"/>
          <w:szCs w:val="18"/>
        </w:rPr>
        <w:t xml:space="preserve"> s</w:t>
      </w:r>
      <w:r w:rsidRPr="00C074AB">
        <w:rPr>
          <w:sz w:val="18"/>
          <w:szCs w:val="18"/>
        </w:rPr>
        <w:t xml:space="preserve">e encuentran en investigación, </w:t>
      </w:r>
      <w:r w:rsidR="00224722">
        <w:rPr>
          <w:sz w:val="18"/>
          <w:szCs w:val="18"/>
        </w:rPr>
        <w:t>ocho</w:t>
      </w:r>
      <w:r w:rsidRPr="00C074AB">
        <w:rPr>
          <w:sz w:val="18"/>
          <w:szCs w:val="18"/>
        </w:rPr>
        <w:t xml:space="preserve"> en fase inicial, </w:t>
      </w:r>
      <w:r w:rsidR="00224722">
        <w:rPr>
          <w:sz w:val="18"/>
          <w:szCs w:val="18"/>
        </w:rPr>
        <w:t xml:space="preserve">seis </w:t>
      </w:r>
      <w:r w:rsidR="00D65FA4">
        <w:rPr>
          <w:sz w:val="18"/>
          <w:szCs w:val="18"/>
        </w:rPr>
        <w:t>están</w:t>
      </w:r>
      <w:r w:rsidRPr="00C074AB">
        <w:rPr>
          <w:sz w:val="18"/>
          <w:szCs w:val="18"/>
        </w:rPr>
        <w:t xml:space="preserve"> concluido</w:t>
      </w:r>
      <w:r w:rsidR="00224722">
        <w:rPr>
          <w:sz w:val="18"/>
          <w:szCs w:val="18"/>
        </w:rPr>
        <w:t>s</w:t>
      </w:r>
      <w:r w:rsidRPr="00C074AB">
        <w:rPr>
          <w:sz w:val="18"/>
          <w:szCs w:val="18"/>
        </w:rPr>
        <w:t xml:space="preserve"> el informe psicológico cerrado pero en fase de investigación el informe social,  uno se dejó sin efecto la solicitud y uno la investigación está suspendida a la espera de que el Juzgado reactive el caso.</w:t>
      </w:r>
    </w:p>
    <w:p w:rsidR="00F302C5" w:rsidRPr="00C074AB" w:rsidRDefault="00F302C5" w:rsidP="003D4C71">
      <w:pPr>
        <w:numPr>
          <w:ilvl w:val="0"/>
          <w:numId w:val="14"/>
        </w:numPr>
        <w:ind w:left="357" w:hanging="357"/>
        <w:rPr>
          <w:sz w:val="18"/>
          <w:szCs w:val="18"/>
        </w:rPr>
      </w:pPr>
      <w:r w:rsidRPr="00C074AB">
        <w:rPr>
          <w:sz w:val="18"/>
          <w:szCs w:val="18"/>
        </w:rPr>
        <w:t xml:space="preserve">En investigación </w:t>
      </w:r>
      <w:r w:rsidR="00224722">
        <w:rPr>
          <w:sz w:val="18"/>
          <w:szCs w:val="18"/>
        </w:rPr>
        <w:t>cuatro</w:t>
      </w:r>
      <w:r w:rsidRPr="00C074AB">
        <w:rPr>
          <w:sz w:val="18"/>
          <w:szCs w:val="18"/>
        </w:rPr>
        <w:t xml:space="preserve"> y </w:t>
      </w:r>
      <w:r w:rsidR="00224722">
        <w:rPr>
          <w:sz w:val="18"/>
          <w:szCs w:val="18"/>
        </w:rPr>
        <w:t>dos</w:t>
      </w:r>
      <w:r w:rsidRPr="00C074AB">
        <w:rPr>
          <w:sz w:val="18"/>
          <w:szCs w:val="18"/>
        </w:rPr>
        <w:t xml:space="preserve"> en fase inicial. </w:t>
      </w:r>
    </w:p>
    <w:p w:rsidR="00F302C5" w:rsidRPr="00C074AB" w:rsidRDefault="00F302C5" w:rsidP="003D4C71">
      <w:pPr>
        <w:numPr>
          <w:ilvl w:val="0"/>
          <w:numId w:val="14"/>
        </w:numPr>
        <w:ind w:left="357" w:hanging="357"/>
        <w:rPr>
          <w:sz w:val="18"/>
          <w:szCs w:val="18"/>
        </w:rPr>
      </w:pPr>
      <w:r w:rsidRPr="00C074AB">
        <w:rPr>
          <w:sz w:val="18"/>
          <w:szCs w:val="18"/>
        </w:rPr>
        <w:t>En investigación.</w:t>
      </w:r>
    </w:p>
    <w:p w:rsidR="00F302C5" w:rsidRPr="00C074AB" w:rsidRDefault="00F302C5" w:rsidP="003D4C71">
      <w:pPr>
        <w:numPr>
          <w:ilvl w:val="0"/>
          <w:numId w:val="14"/>
        </w:numPr>
        <w:ind w:left="357" w:hanging="357"/>
        <w:rPr>
          <w:sz w:val="18"/>
          <w:szCs w:val="18"/>
        </w:rPr>
      </w:pPr>
      <w:r w:rsidRPr="00C074AB">
        <w:rPr>
          <w:sz w:val="18"/>
          <w:szCs w:val="18"/>
        </w:rPr>
        <w:t xml:space="preserve">En fase de conclusión </w:t>
      </w:r>
      <w:r w:rsidR="00224722">
        <w:rPr>
          <w:sz w:val="18"/>
          <w:szCs w:val="18"/>
        </w:rPr>
        <w:t>uno</w:t>
      </w:r>
      <w:r w:rsidRPr="00C074AB">
        <w:rPr>
          <w:sz w:val="18"/>
          <w:szCs w:val="18"/>
        </w:rPr>
        <w:t xml:space="preserve">, en fase inicial </w:t>
      </w:r>
      <w:r w:rsidR="00224722">
        <w:rPr>
          <w:sz w:val="18"/>
          <w:szCs w:val="18"/>
        </w:rPr>
        <w:t>nueve</w:t>
      </w:r>
      <w:r w:rsidRPr="00C074AB">
        <w:rPr>
          <w:sz w:val="18"/>
          <w:szCs w:val="18"/>
        </w:rPr>
        <w:t xml:space="preserve">, en investigación </w:t>
      </w:r>
      <w:r w:rsidR="00224722">
        <w:rPr>
          <w:sz w:val="18"/>
          <w:szCs w:val="18"/>
        </w:rPr>
        <w:t>nueve</w:t>
      </w:r>
      <w:r w:rsidRPr="00C074AB">
        <w:rPr>
          <w:sz w:val="18"/>
          <w:szCs w:val="18"/>
        </w:rPr>
        <w:t>.</w:t>
      </w:r>
    </w:p>
    <w:p w:rsidR="00F302C5" w:rsidRPr="00C074AB" w:rsidRDefault="00F302C5" w:rsidP="003D4C71">
      <w:pPr>
        <w:numPr>
          <w:ilvl w:val="0"/>
          <w:numId w:val="14"/>
        </w:numPr>
        <w:ind w:left="357" w:hanging="357"/>
        <w:rPr>
          <w:sz w:val="18"/>
          <w:szCs w:val="18"/>
        </w:rPr>
      </w:pPr>
      <w:r w:rsidRPr="00C074AB">
        <w:rPr>
          <w:sz w:val="18"/>
          <w:szCs w:val="18"/>
        </w:rPr>
        <w:t xml:space="preserve">En fase inicial </w:t>
      </w:r>
      <w:r w:rsidR="00224722">
        <w:rPr>
          <w:sz w:val="18"/>
          <w:szCs w:val="18"/>
        </w:rPr>
        <w:t>dos</w:t>
      </w:r>
      <w:r w:rsidRPr="00C074AB">
        <w:rPr>
          <w:sz w:val="18"/>
          <w:szCs w:val="18"/>
        </w:rPr>
        <w:t xml:space="preserve"> y </w:t>
      </w:r>
      <w:r w:rsidR="00224722">
        <w:rPr>
          <w:sz w:val="18"/>
          <w:szCs w:val="18"/>
        </w:rPr>
        <w:t>dos</w:t>
      </w:r>
      <w:r w:rsidRPr="00C074AB">
        <w:rPr>
          <w:sz w:val="18"/>
          <w:szCs w:val="18"/>
        </w:rPr>
        <w:t xml:space="preserve"> en investigación.</w:t>
      </w:r>
    </w:p>
    <w:p w:rsidR="00F302C5" w:rsidRPr="00C074AB" w:rsidRDefault="00F302C5" w:rsidP="003D4C71">
      <w:pPr>
        <w:numPr>
          <w:ilvl w:val="0"/>
          <w:numId w:val="14"/>
        </w:numPr>
        <w:ind w:left="357" w:hanging="357"/>
        <w:rPr>
          <w:sz w:val="18"/>
          <w:szCs w:val="18"/>
        </w:rPr>
      </w:pPr>
      <w:r w:rsidRPr="00C074AB">
        <w:rPr>
          <w:sz w:val="18"/>
          <w:szCs w:val="18"/>
        </w:rPr>
        <w:t xml:space="preserve">En fase inicial </w:t>
      </w:r>
      <w:r w:rsidR="00224722">
        <w:rPr>
          <w:sz w:val="18"/>
          <w:szCs w:val="18"/>
        </w:rPr>
        <w:t>tres</w:t>
      </w:r>
      <w:r w:rsidRPr="00C074AB">
        <w:rPr>
          <w:sz w:val="18"/>
          <w:szCs w:val="18"/>
        </w:rPr>
        <w:t xml:space="preserve"> y dos en investigación.</w:t>
      </w:r>
    </w:p>
    <w:p w:rsidR="00481DB2" w:rsidRPr="00C074AB" w:rsidRDefault="00481DB2" w:rsidP="00481DB2">
      <w:pPr>
        <w:jc w:val="both"/>
        <w:rPr>
          <w:sz w:val="20"/>
          <w:szCs w:val="20"/>
        </w:rPr>
      </w:pPr>
      <w:r w:rsidRPr="00C074AB">
        <w:rPr>
          <w:b/>
          <w:sz w:val="20"/>
          <w:szCs w:val="20"/>
        </w:rPr>
        <w:t>Fuente</w:t>
      </w:r>
      <w:r w:rsidRPr="00C074AB">
        <w:rPr>
          <w:sz w:val="20"/>
          <w:szCs w:val="20"/>
        </w:rPr>
        <w:t>: Departamento de Trabajo Social y Psicología.</w:t>
      </w:r>
    </w:p>
    <w:p w:rsidR="00F302C5" w:rsidRPr="00C074AB" w:rsidRDefault="00F302C5" w:rsidP="00F302C5">
      <w:pPr>
        <w:spacing w:line="480" w:lineRule="auto"/>
        <w:jc w:val="both"/>
        <w:rPr>
          <w:b/>
          <w:sz w:val="28"/>
          <w:szCs w:val="28"/>
        </w:rPr>
      </w:pPr>
    </w:p>
    <w:p w:rsidR="00050337" w:rsidRPr="00C074AB" w:rsidRDefault="00050337" w:rsidP="00050337">
      <w:pPr>
        <w:spacing w:line="360" w:lineRule="auto"/>
        <w:jc w:val="both"/>
        <w:rPr>
          <w:sz w:val="28"/>
          <w:szCs w:val="28"/>
          <w:lang w:val="es-ES_tradnl"/>
        </w:rPr>
      </w:pPr>
      <w:r w:rsidRPr="00C074AB">
        <w:rPr>
          <w:bCs/>
          <w:sz w:val="28"/>
          <w:szCs w:val="28"/>
        </w:rPr>
        <w:t>Durante el 2015</w:t>
      </w:r>
      <w:r w:rsidRPr="00C074AB">
        <w:rPr>
          <w:sz w:val="28"/>
          <w:szCs w:val="28"/>
          <w:lang w:val="es-ES_tradnl"/>
        </w:rPr>
        <w:t xml:space="preserve"> ingresaron al Departamento de Trabajo Social y Psicología provenientes del Juzgado de Niñez y Adolescencia 102 solicitudes de peritajes, de los cuales el 77 % corresponden a estudios de carácter psicosocial (79 casos), 5%  psicológicos (5 casos) y 18% sociales (18 casos).  </w:t>
      </w:r>
    </w:p>
    <w:p w:rsidR="00050337" w:rsidRPr="00C074AB" w:rsidRDefault="00050337" w:rsidP="00050337">
      <w:pPr>
        <w:spacing w:line="360" w:lineRule="auto"/>
        <w:jc w:val="both"/>
        <w:rPr>
          <w:sz w:val="28"/>
          <w:szCs w:val="28"/>
          <w:lang w:val="es-ES_tradnl"/>
        </w:rPr>
      </w:pPr>
    </w:p>
    <w:p w:rsidR="00050337" w:rsidRPr="00C074AB" w:rsidRDefault="00050337" w:rsidP="00050337">
      <w:pPr>
        <w:spacing w:line="480" w:lineRule="auto"/>
        <w:jc w:val="both"/>
        <w:rPr>
          <w:sz w:val="28"/>
          <w:szCs w:val="28"/>
          <w:lang w:val="es-ES_tradnl"/>
        </w:rPr>
      </w:pPr>
      <w:r w:rsidRPr="00C074AB">
        <w:rPr>
          <w:sz w:val="28"/>
          <w:szCs w:val="28"/>
          <w:lang w:val="es-ES_tradnl"/>
        </w:rPr>
        <w:t>Para el 2016 ingresaron al Departamento de Trabajo Social y Psicología provenientes del Juzgado de Niñez y Adolescencia</w:t>
      </w:r>
      <w:r w:rsidR="00224722">
        <w:rPr>
          <w:sz w:val="28"/>
          <w:szCs w:val="28"/>
          <w:lang w:val="es-ES_tradnl"/>
        </w:rPr>
        <w:t>,</w:t>
      </w:r>
      <w:r w:rsidRPr="00C074AB">
        <w:rPr>
          <w:sz w:val="28"/>
          <w:szCs w:val="28"/>
          <w:lang w:val="es-ES_tradnl"/>
        </w:rPr>
        <w:t xml:space="preserve"> un total de 1</w:t>
      </w:r>
      <w:r w:rsidR="00D1286E">
        <w:rPr>
          <w:sz w:val="28"/>
          <w:szCs w:val="28"/>
          <w:lang w:val="es-ES_tradnl"/>
        </w:rPr>
        <w:t>31</w:t>
      </w:r>
      <w:r w:rsidRPr="00C074AB">
        <w:rPr>
          <w:sz w:val="28"/>
          <w:szCs w:val="28"/>
          <w:lang w:val="es-ES_tradnl"/>
        </w:rPr>
        <w:t xml:space="preserve"> solicitudes, de las cuales  el 71% correspondieron a informes psicosociales (9</w:t>
      </w:r>
      <w:r w:rsidR="00D1286E">
        <w:rPr>
          <w:sz w:val="28"/>
          <w:szCs w:val="28"/>
          <w:lang w:val="es-ES_tradnl"/>
        </w:rPr>
        <w:t>4</w:t>
      </w:r>
      <w:r w:rsidRPr="00C074AB">
        <w:rPr>
          <w:sz w:val="28"/>
          <w:szCs w:val="28"/>
          <w:lang w:val="es-ES_tradnl"/>
        </w:rPr>
        <w:t xml:space="preserve"> casos),  10% correspondieron a </w:t>
      </w:r>
      <w:r w:rsidR="00E456A8" w:rsidRPr="00C074AB">
        <w:rPr>
          <w:sz w:val="28"/>
          <w:szCs w:val="28"/>
          <w:lang w:val="es-ES_tradnl"/>
        </w:rPr>
        <w:t>estudios psicológicos (13 casos) y</w:t>
      </w:r>
      <w:r w:rsidRPr="00C074AB">
        <w:rPr>
          <w:sz w:val="28"/>
          <w:szCs w:val="28"/>
          <w:lang w:val="es-ES_tradnl"/>
        </w:rPr>
        <w:t xml:space="preserve">  19% a estudios sociales (24 casos).</w:t>
      </w:r>
    </w:p>
    <w:p w:rsidR="007946CE" w:rsidRPr="00C074AB" w:rsidRDefault="007946CE" w:rsidP="00050337">
      <w:pPr>
        <w:spacing w:line="480" w:lineRule="auto"/>
        <w:jc w:val="both"/>
        <w:rPr>
          <w:sz w:val="28"/>
          <w:szCs w:val="28"/>
          <w:lang w:val="es-ES_tradnl"/>
        </w:rPr>
      </w:pPr>
    </w:p>
    <w:p w:rsidR="00050337" w:rsidRPr="00C074AB" w:rsidRDefault="00050337" w:rsidP="00050337">
      <w:pPr>
        <w:spacing w:line="480" w:lineRule="auto"/>
        <w:jc w:val="both"/>
        <w:rPr>
          <w:sz w:val="28"/>
          <w:szCs w:val="28"/>
          <w:lang w:val="es-ES_tradnl"/>
        </w:rPr>
      </w:pPr>
      <w:r w:rsidRPr="00C074AB">
        <w:rPr>
          <w:sz w:val="28"/>
          <w:szCs w:val="28"/>
          <w:lang w:val="es-ES_tradnl"/>
        </w:rPr>
        <w:t>De los cuatro equipos que apoyan las labores del Juzgado de Niñez y Adolescencia (equipo ordinario, extraordinario y los equipos del Juzgado Primero y del Juzgado Segundo de Familia), se observa que a diferencia del 2015</w:t>
      </w:r>
      <w:r w:rsidR="00224722">
        <w:rPr>
          <w:sz w:val="28"/>
          <w:szCs w:val="28"/>
          <w:lang w:val="es-ES_tradnl"/>
        </w:rPr>
        <w:t>,</w:t>
      </w:r>
      <w:r w:rsidRPr="00C074AB">
        <w:rPr>
          <w:sz w:val="28"/>
          <w:szCs w:val="28"/>
          <w:lang w:val="es-ES_tradnl"/>
        </w:rPr>
        <w:t xml:space="preserve"> en que el equipo Nº4 denominado extraordinario,  presentaba la mayor carga de trabajo respecto de su homólogo ordinario, para el 2016 la carga de trabajo de observa totalmente equilibrada entre el equipo ordinario y el extraordinario, logrando ambos eq</w:t>
      </w:r>
      <w:r w:rsidR="00E456A8" w:rsidRPr="00C074AB">
        <w:rPr>
          <w:sz w:val="28"/>
          <w:szCs w:val="28"/>
          <w:lang w:val="es-ES_tradnl"/>
        </w:rPr>
        <w:t xml:space="preserve">uipos, cerrar una cantidad muy similar </w:t>
      </w:r>
      <w:r w:rsidRPr="00C074AB">
        <w:rPr>
          <w:sz w:val="28"/>
          <w:szCs w:val="28"/>
          <w:lang w:val="es-ES_tradnl"/>
        </w:rPr>
        <w:t>de asuntos.</w:t>
      </w:r>
    </w:p>
    <w:p w:rsidR="00050337" w:rsidRPr="00C074AB" w:rsidRDefault="00050337" w:rsidP="007A06AF">
      <w:pPr>
        <w:spacing w:line="360" w:lineRule="auto"/>
        <w:jc w:val="both"/>
        <w:rPr>
          <w:sz w:val="28"/>
          <w:szCs w:val="28"/>
          <w:lang w:val="es-ES_tradnl"/>
        </w:rPr>
      </w:pPr>
    </w:p>
    <w:p w:rsidR="00050337" w:rsidRPr="00C074AB" w:rsidRDefault="00050337" w:rsidP="00C074AB">
      <w:pPr>
        <w:autoSpaceDE w:val="0"/>
        <w:autoSpaceDN w:val="0"/>
        <w:adjustRightInd w:val="0"/>
        <w:spacing w:line="480" w:lineRule="auto"/>
        <w:jc w:val="both"/>
        <w:rPr>
          <w:sz w:val="28"/>
          <w:szCs w:val="28"/>
          <w:lang w:val="es-ES_tradnl"/>
        </w:rPr>
      </w:pPr>
      <w:r w:rsidRPr="00C074AB">
        <w:rPr>
          <w:sz w:val="28"/>
          <w:szCs w:val="28"/>
          <w:lang w:val="es-ES_tradnl"/>
        </w:rPr>
        <w:t>Cabe aclarar, que a partir de Julio</w:t>
      </w:r>
      <w:r w:rsidR="00777C9D" w:rsidRPr="00C074AB">
        <w:rPr>
          <w:sz w:val="28"/>
          <w:szCs w:val="28"/>
          <w:lang w:val="es-ES_tradnl"/>
        </w:rPr>
        <w:t xml:space="preserve"> de 2016</w:t>
      </w:r>
      <w:r w:rsidRPr="00C074AB">
        <w:rPr>
          <w:sz w:val="28"/>
          <w:szCs w:val="28"/>
          <w:lang w:val="es-ES_tradnl"/>
        </w:rPr>
        <w:t xml:space="preserve"> no se asignó ningún caso más del Juzgado </w:t>
      </w:r>
      <w:r w:rsidR="00C468AB" w:rsidRPr="00C074AB">
        <w:rPr>
          <w:sz w:val="28"/>
          <w:szCs w:val="28"/>
          <w:lang w:val="es-ES_tradnl"/>
        </w:rPr>
        <w:t>de Niñez</w:t>
      </w:r>
      <w:r w:rsidRPr="00C074AB">
        <w:rPr>
          <w:sz w:val="28"/>
          <w:szCs w:val="28"/>
          <w:lang w:val="es-ES_tradnl"/>
        </w:rPr>
        <w:t xml:space="preserve"> y Adolescencia a los Equipos que atendían los Juzgados I y II Familia, por cuanto a partir de esta fecha, con la autorización del Consejo Superior estos equipos dejaron </w:t>
      </w:r>
      <w:r w:rsidR="00C468AB" w:rsidRPr="00C074AB">
        <w:rPr>
          <w:sz w:val="28"/>
          <w:szCs w:val="28"/>
          <w:lang w:val="es-ES_tradnl"/>
        </w:rPr>
        <w:t>desatender</w:t>
      </w:r>
      <w:r w:rsidRPr="00C074AB">
        <w:rPr>
          <w:sz w:val="28"/>
          <w:szCs w:val="28"/>
          <w:lang w:val="es-ES_tradnl"/>
        </w:rPr>
        <w:t xml:space="preserve"> de manera exclusiva los asuntos remitidos en materia de </w:t>
      </w:r>
      <w:r w:rsidR="00224722" w:rsidRPr="00604651">
        <w:rPr>
          <w:sz w:val="28"/>
          <w:szCs w:val="28"/>
          <w:lang w:val="es-ES_tradnl"/>
        </w:rPr>
        <w:t>F</w:t>
      </w:r>
      <w:r w:rsidR="00224722" w:rsidRPr="00224722">
        <w:rPr>
          <w:sz w:val="28"/>
          <w:szCs w:val="28"/>
          <w:lang w:val="es-ES_tradnl"/>
        </w:rPr>
        <w:t>a</w:t>
      </w:r>
      <w:r w:rsidR="00224722" w:rsidRPr="00C074AB">
        <w:rPr>
          <w:sz w:val="28"/>
          <w:szCs w:val="28"/>
          <w:lang w:val="es-ES_tradnl"/>
        </w:rPr>
        <w:t xml:space="preserve">milia </w:t>
      </w:r>
      <w:r w:rsidRPr="00C074AB">
        <w:rPr>
          <w:sz w:val="28"/>
          <w:szCs w:val="28"/>
          <w:lang w:val="es-ES_tradnl"/>
        </w:rPr>
        <w:t xml:space="preserve">y se integran </w:t>
      </w:r>
      <w:r w:rsidR="00C468AB" w:rsidRPr="00C074AB">
        <w:rPr>
          <w:sz w:val="28"/>
          <w:szCs w:val="28"/>
          <w:lang w:val="es-ES_tradnl"/>
        </w:rPr>
        <w:t>aúna</w:t>
      </w:r>
      <w:r w:rsidRPr="00C074AB">
        <w:rPr>
          <w:sz w:val="28"/>
          <w:szCs w:val="28"/>
          <w:lang w:val="es-ES_tradnl"/>
        </w:rPr>
        <w:t xml:space="preserve"> distribución del ingreso total entre los demás profesionales de</w:t>
      </w:r>
      <w:r w:rsidR="00CC042E" w:rsidRPr="00C074AB">
        <w:rPr>
          <w:sz w:val="28"/>
          <w:szCs w:val="28"/>
          <w:lang w:val="es-ES_tradnl"/>
        </w:rPr>
        <w:t xml:space="preserve">l </w:t>
      </w:r>
      <w:r w:rsidR="00777C9D" w:rsidRPr="00C074AB">
        <w:rPr>
          <w:sz w:val="28"/>
          <w:szCs w:val="28"/>
          <w:lang w:val="es-ES_tradnl"/>
        </w:rPr>
        <w:t>D</w:t>
      </w:r>
      <w:r w:rsidR="00CC042E" w:rsidRPr="00C074AB">
        <w:rPr>
          <w:sz w:val="28"/>
          <w:szCs w:val="28"/>
          <w:lang w:val="es-ES_tradnl"/>
        </w:rPr>
        <w:t>epartamento de Trabajo Social y Psicología</w:t>
      </w:r>
      <w:r w:rsidRPr="00C074AB">
        <w:rPr>
          <w:sz w:val="28"/>
          <w:szCs w:val="28"/>
          <w:lang w:val="es-ES_tradnl"/>
        </w:rPr>
        <w:t>.</w:t>
      </w:r>
    </w:p>
    <w:p w:rsidR="00050337" w:rsidRPr="00C074AB" w:rsidRDefault="00050337" w:rsidP="00CC042E">
      <w:pPr>
        <w:spacing w:line="480" w:lineRule="auto"/>
        <w:jc w:val="both"/>
        <w:rPr>
          <w:sz w:val="28"/>
          <w:szCs w:val="28"/>
          <w:lang w:val="es-ES_tradnl"/>
        </w:rPr>
      </w:pPr>
    </w:p>
    <w:p w:rsidR="00752FBA" w:rsidRPr="00C074AB" w:rsidRDefault="00576F55" w:rsidP="00197472">
      <w:pPr>
        <w:spacing w:line="480" w:lineRule="auto"/>
        <w:jc w:val="both"/>
        <w:rPr>
          <w:sz w:val="28"/>
          <w:szCs w:val="28"/>
          <w:lang w:val="es-ES_tradnl"/>
        </w:rPr>
      </w:pPr>
      <w:r w:rsidRPr="00C074AB">
        <w:rPr>
          <w:sz w:val="28"/>
          <w:szCs w:val="28"/>
          <w:lang w:val="es-ES_tradnl"/>
        </w:rPr>
        <w:t xml:space="preserve">Al analizar específicamente la carga de trabajo </w:t>
      </w:r>
      <w:r w:rsidR="00752FBA" w:rsidRPr="00C074AB">
        <w:rPr>
          <w:sz w:val="28"/>
          <w:szCs w:val="28"/>
          <w:lang w:val="es-ES_tradnl"/>
        </w:rPr>
        <w:t xml:space="preserve">tanto para el equipo ordinario como para el extraordinario, se observa que </w:t>
      </w:r>
      <w:r w:rsidR="00CC042E" w:rsidRPr="00C074AB">
        <w:rPr>
          <w:sz w:val="28"/>
          <w:szCs w:val="28"/>
          <w:lang w:val="es-ES_tradnl"/>
        </w:rPr>
        <w:t>durante el 201</w:t>
      </w:r>
      <w:r w:rsidR="00752FBA" w:rsidRPr="00C074AB">
        <w:rPr>
          <w:sz w:val="28"/>
          <w:szCs w:val="28"/>
          <w:lang w:val="es-ES_tradnl"/>
        </w:rPr>
        <w:t>5</w:t>
      </w:r>
      <w:r w:rsidR="00CC042E" w:rsidRPr="00C074AB">
        <w:rPr>
          <w:sz w:val="28"/>
          <w:szCs w:val="28"/>
          <w:lang w:val="es-ES_tradnl"/>
        </w:rPr>
        <w:t>, el promedio mensual de casos para el equipo ordinario</w:t>
      </w:r>
      <w:r w:rsidR="00752FBA" w:rsidRPr="00C074AB">
        <w:rPr>
          <w:sz w:val="28"/>
          <w:szCs w:val="28"/>
          <w:lang w:val="es-ES_tradnl"/>
        </w:rPr>
        <w:t xml:space="preserve"> en que correspondía participar al psicólogo o psicóloga fue de </w:t>
      </w:r>
      <w:r w:rsidR="009A03C0">
        <w:rPr>
          <w:sz w:val="28"/>
          <w:szCs w:val="28"/>
          <w:lang w:val="es-ES_tradnl"/>
        </w:rPr>
        <w:t xml:space="preserve">tres </w:t>
      </w:r>
      <w:r w:rsidR="00752FBA" w:rsidRPr="00C074AB">
        <w:rPr>
          <w:sz w:val="28"/>
          <w:szCs w:val="28"/>
          <w:lang w:val="es-ES_tradnl"/>
        </w:rPr>
        <w:t>casos mensuales</w:t>
      </w:r>
      <w:r w:rsidR="00CC042E" w:rsidRPr="00C074AB">
        <w:rPr>
          <w:sz w:val="28"/>
          <w:szCs w:val="28"/>
          <w:lang w:val="es-ES_tradnl"/>
        </w:rPr>
        <w:t xml:space="preserve"> y de </w:t>
      </w:r>
      <w:r w:rsidR="009A03C0">
        <w:rPr>
          <w:sz w:val="28"/>
          <w:szCs w:val="28"/>
          <w:lang w:val="es-ES_tradnl"/>
        </w:rPr>
        <w:t xml:space="preserve">cuatro </w:t>
      </w:r>
      <w:r w:rsidR="00752FBA" w:rsidRPr="00C074AB">
        <w:rPr>
          <w:sz w:val="28"/>
          <w:szCs w:val="28"/>
          <w:lang w:val="es-ES_tradnl"/>
        </w:rPr>
        <w:t>en los que participaba el trabajador social.  P</w:t>
      </w:r>
      <w:r w:rsidR="00CC042E" w:rsidRPr="00C074AB">
        <w:rPr>
          <w:sz w:val="28"/>
          <w:szCs w:val="28"/>
          <w:lang w:val="es-ES_tradnl"/>
        </w:rPr>
        <w:t>ara el equipo extraordinario</w:t>
      </w:r>
      <w:r w:rsidR="00752FBA" w:rsidRPr="00C074AB">
        <w:rPr>
          <w:sz w:val="28"/>
          <w:szCs w:val="28"/>
          <w:lang w:val="es-ES_tradnl"/>
        </w:rPr>
        <w:t xml:space="preserve"> el promedio de casos entrados mensualmente para el 2015 en que correspondía participar al psicólogo o psicóloga fue de </w:t>
      </w:r>
      <w:r w:rsidR="009A03C0">
        <w:rPr>
          <w:sz w:val="28"/>
          <w:szCs w:val="28"/>
          <w:lang w:val="es-ES_tradnl"/>
        </w:rPr>
        <w:t xml:space="preserve">cuatro </w:t>
      </w:r>
      <w:r w:rsidR="00752FBA" w:rsidRPr="00C074AB">
        <w:rPr>
          <w:sz w:val="28"/>
          <w:szCs w:val="28"/>
          <w:lang w:val="es-ES_tradnl"/>
        </w:rPr>
        <w:t xml:space="preserve">valoraciones, mientras que en los que debía participar el trabajador social fue de </w:t>
      </w:r>
      <w:r w:rsidR="009A03C0">
        <w:rPr>
          <w:sz w:val="28"/>
          <w:szCs w:val="28"/>
          <w:lang w:val="es-ES_tradnl"/>
        </w:rPr>
        <w:t>cinco</w:t>
      </w:r>
      <w:r w:rsidR="000668E5" w:rsidRPr="00C074AB">
        <w:rPr>
          <w:sz w:val="28"/>
          <w:szCs w:val="28"/>
          <w:lang w:val="es-ES_tradnl"/>
        </w:rPr>
        <w:t>, razón por la cual dentro de las recomend</w:t>
      </w:r>
      <w:r w:rsidR="00344AC5" w:rsidRPr="00C074AB">
        <w:rPr>
          <w:sz w:val="28"/>
          <w:szCs w:val="28"/>
          <w:lang w:val="es-ES_tradnl"/>
        </w:rPr>
        <w:t xml:space="preserve">aciones emitidas en su momento, </w:t>
      </w:r>
      <w:r w:rsidR="00777C9D" w:rsidRPr="00C074AB">
        <w:rPr>
          <w:sz w:val="28"/>
          <w:szCs w:val="28"/>
          <w:lang w:val="es-ES_tradnl"/>
        </w:rPr>
        <w:t>se indicó</w:t>
      </w:r>
      <w:r w:rsidR="00344AC5" w:rsidRPr="00C074AB">
        <w:rPr>
          <w:sz w:val="28"/>
          <w:szCs w:val="28"/>
        </w:rPr>
        <w:t xml:space="preserve">que el equipo ordinario equiparara su rendimiento con el mostrado por el equipo extraordinario, con el fin de lograr respuestas más oportunas a las solicitudes de los estudios periciales. </w:t>
      </w:r>
      <w:r w:rsidR="00CC042E" w:rsidRPr="00C074AB">
        <w:rPr>
          <w:sz w:val="28"/>
          <w:szCs w:val="28"/>
          <w:lang w:val="es-ES_tradnl"/>
        </w:rPr>
        <w:t>.</w:t>
      </w:r>
    </w:p>
    <w:p w:rsidR="00752FBA" w:rsidRPr="00C074AB" w:rsidRDefault="00752FBA" w:rsidP="00197472">
      <w:pPr>
        <w:spacing w:line="480" w:lineRule="auto"/>
        <w:jc w:val="both"/>
        <w:rPr>
          <w:sz w:val="28"/>
          <w:szCs w:val="28"/>
          <w:lang w:val="es-ES_tradnl"/>
        </w:rPr>
      </w:pPr>
    </w:p>
    <w:p w:rsidR="00AC08F4" w:rsidRPr="00C074AB" w:rsidRDefault="00CC042E" w:rsidP="00197472">
      <w:pPr>
        <w:spacing w:line="480" w:lineRule="auto"/>
        <w:jc w:val="both"/>
        <w:rPr>
          <w:sz w:val="28"/>
          <w:szCs w:val="28"/>
          <w:lang w:val="es-ES_tradnl"/>
        </w:rPr>
      </w:pPr>
      <w:r w:rsidRPr="00C074AB">
        <w:rPr>
          <w:sz w:val="28"/>
          <w:szCs w:val="28"/>
          <w:lang w:val="es-ES_tradnl"/>
        </w:rPr>
        <w:t xml:space="preserve">Durante el 2016 esas cifras corresponden en promedio a </w:t>
      </w:r>
      <w:r w:rsidR="00224722">
        <w:rPr>
          <w:sz w:val="28"/>
          <w:szCs w:val="28"/>
          <w:lang w:val="es-ES_tradnl"/>
        </w:rPr>
        <w:t>cinco</w:t>
      </w:r>
      <w:r w:rsidR="00120FBF">
        <w:rPr>
          <w:sz w:val="28"/>
          <w:szCs w:val="28"/>
          <w:lang w:val="es-ES_tradnl"/>
        </w:rPr>
        <w:t xml:space="preserve"> </w:t>
      </w:r>
      <w:r w:rsidRPr="00C074AB">
        <w:rPr>
          <w:sz w:val="28"/>
          <w:szCs w:val="28"/>
          <w:lang w:val="es-ES_tradnl"/>
        </w:rPr>
        <w:t>valoraciones</w:t>
      </w:r>
      <w:r w:rsidR="000668E5" w:rsidRPr="00C074AB">
        <w:rPr>
          <w:sz w:val="28"/>
          <w:szCs w:val="28"/>
          <w:lang w:val="es-ES_tradnl"/>
        </w:rPr>
        <w:t xml:space="preserve"> en las cuales participa el psicólogo o psicóloga y a igual número de ellas en las que participa el trabajador o trabajadora social</w:t>
      </w:r>
      <w:r w:rsidRPr="00C074AB">
        <w:rPr>
          <w:sz w:val="28"/>
          <w:szCs w:val="28"/>
          <w:lang w:val="es-ES_tradnl"/>
        </w:rPr>
        <w:t xml:space="preserve"> por mes para ambos equipos</w:t>
      </w:r>
      <w:r w:rsidR="00AC08F4" w:rsidRPr="00C074AB">
        <w:rPr>
          <w:sz w:val="28"/>
          <w:szCs w:val="28"/>
          <w:lang w:val="es-ES_tradnl"/>
        </w:rPr>
        <w:t>.</w:t>
      </w:r>
    </w:p>
    <w:p w:rsidR="00D565A5" w:rsidRPr="00C074AB" w:rsidRDefault="00D565A5" w:rsidP="00197472">
      <w:pPr>
        <w:spacing w:line="480" w:lineRule="auto"/>
        <w:jc w:val="both"/>
        <w:rPr>
          <w:sz w:val="28"/>
          <w:szCs w:val="28"/>
          <w:lang w:val="es-ES_tradnl"/>
        </w:rPr>
      </w:pPr>
    </w:p>
    <w:p w:rsidR="00AC08F4" w:rsidRPr="00C074AB" w:rsidRDefault="001C2443" w:rsidP="00197472">
      <w:pPr>
        <w:spacing w:line="480" w:lineRule="auto"/>
        <w:jc w:val="both"/>
        <w:rPr>
          <w:sz w:val="28"/>
          <w:szCs w:val="28"/>
          <w:lang w:val="es-ES_tradnl"/>
        </w:rPr>
      </w:pPr>
      <w:r w:rsidRPr="00C074AB">
        <w:rPr>
          <w:sz w:val="28"/>
          <w:szCs w:val="28"/>
          <w:lang w:val="es-ES_tradnl"/>
        </w:rPr>
        <w:t xml:space="preserve">Los equipos correspondientes a los Juzgados </w:t>
      </w:r>
      <w:r w:rsidR="00D22E62" w:rsidRPr="00C074AB">
        <w:rPr>
          <w:sz w:val="28"/>
          <w:szCs w:val="28"/>
          <w:lang w:val="es-ES_tradnl"/>
        </w:rPr>
        <w:t>“</w:t>
      </w:r>
      <w:smartTag w:uri="urn:schemas-microsoft-com:office:smarttags" w:element="metricconverter">
        <w:smartTagPr>
          <w:attr w:name="ProductID" w:val="1”"/>
        </w:smartTagPr>
        <w:r w:rsidR="00D22E62" w:rsidRPr="00C074AB">
          <w:rPr>
            <w:sz w:val="28"/>
            <w:szCs w:val="28"/>
            <w:lang w:val="es-ES_tradnl"/>
          </w:rPr>
          <w:t>1”</w:t>
        </w:r>
      </w:smartTag>
      <w:r w:rsidRPr="00C074AB">
        <w:rPr>
          <w:sz w:val="28"/>
          <w:szCs w:val="28"/>
          <w:lang w:val="es-ES_tradnl"/>
        </w:rPr>
        <w:t xml:space="preserve"> y </w:t>
      </w:r>
      <w:r w:rsidR="00D22E62" w:rsidRPr="00C074AB">
        <w:rPr>
          <w:sz w:val="28"/>
          <w:szCs w:val="28"/>
          <w:lang w:val="es-ES_tradnl"/>
        </w:rPr>
        <w:t>“</w:t>
      </w:r>
      <w:smartTag w:uri="urn:schemas-microsoft-com:office:smarttags" w:element="metricconverter">
        <w:smartTagPr>
          <w:attr w:name="ProductID" w:val="2”"/>
        </w:smartTagPr>
        <w:r w:rsidR="00D22E62" w:rsidRPr="00C074AB">
          <w:rPr>
            <w:sz w:val="28"/>
            <w:szCs w:val="28"/>
            <w:lang w:val="es-ES_tradnl"/>
          </w:rPr>
          <w:t>2”</w:t>
        </w:r>
      </w:smartTag>
      <w:r w:rsidRPr="00C074AB">
        <w:rPr>
          <w:sz w:val="28"/>
          <w:szCs w:val="28"/>
          <w:lang w:val="es-ES_tradnl"/>
        </w:rPr>
        <w:t xml:space="preserve"> de Familia, no se analizan en virtud de que el apoyo brindado durante el 2015</w:t>
      </w:r>
      <w:r w:rsidR="00AC08F4" w:rsidRPr="00C074AB">
        <w:rPr>
          <w:sz w:val="28"/>
          <w:szCs w:val="28"/>
          <w:lang w:val="es-ES_tradnl"/>
        </w:rPr>
        <w:t xml:space="preserve"> y el 2016</w:t>
      </w:r>
      <w:r w:rsidRPr="00C074AB">
        <w:rPr>
          <w:sz w:val="28"/>
          <w:szCs w:val="28"/>
          <w:lang w:val="es-ES_tradnl"/>
        </w:rPr>
        <w:t xml:space="preserve"> no es significativo en términos numéricos para el análisis.</w:t>
      </w:r>
    </w:p>
    <w:p w:rsidR="00AC08F4" w:rsidRPr="00C074AB" w:rsidRDefault="00AC08F4" w:rsidP="00197472">
      <w:pPr>
        <w:spacing w:line="480" w:lineRule="auto"/>
        <w:jc w:val="both"/>
        <w:rPr>
          <w:sz w:val="28"/>
          <w:szCs w:val="28"/>
          <w:lang w:val="es-ES_tradnl"/>
        </w:rPr>
      </w:pPr>
    </w:p>
    <w:p w:rsidR="004D6EAE" w:rsidRPr="00C074AB" w:rsidRDefault="00752FBA" w:rsidP="00197472">
      <w:pPr>
        <w:spacing w:line="480" w:lineRule="auto"/>
        <w:jc w:val="both"/>
        <w:rPr>
          <w:sz w:val="28"/>
          <w:szCs w:val="28"/>
          <w:lang w:val="es-ES_tradnl"/>
        </w:rPr>
      </w:pPr>
      <w:r w:rsidRPr="00C074AB">
        <w:rPr>
          <w:sz w:val="28"/>
          <w:szCs w:val="28"/>
          <w:lang w:val="es-ES_tradnl"/>
        </w:rPr>
        <w:lastRenderedPageBreak/>
        <w:t>En cuanto a lo que lo</w:t>
      </w:r>
      <w:r w:rsidR="00A12CED" w:rsidRPr="00C074AB">
        <w:rPr>
          <w:sz w:val="28"/>
          <w:szCs w:val="28"/>
          <w:lang w:val="es-ES_tradnl"/>
        </w:rPr>
        <w:t xml:space="preserve">graron concluir durante el 2015, se aprecia que el equipo ordinario concluyó en promedio mensual </w:t>
      </w:r>
      <w:r w:rsidR="004D6EAE" w:rsidRPr="008F0E5F">
        <w:rPr>
          <w:sz w:val="28"/>
          <w:szCs w:val="28"/>
          <w:lang w:val="es-ES_tradnl"/>
        </w:rPr>
        <w:t>una</w:t>
      </w:r>
      <w:r w:rsidR="00A12CED" w:rsidRPr="008F0E5F">
        <w:rPr>
          <w:sz w:val="28"/>
          <w:szCs w:val="28"/>
          <w:lang w:val="es-ES_tradnl"/>
        </w:rPr>
        <w:t xml:space="preserve"> v</w:t>
      </w:r>
      <w:r w:rsidR="00A12CED" w:rsidRPr="00C074AB">
        <w:rPr>
          <w:sz w:val="28"/>
          <w:szCs w:val="28"/>
          <w:lang w:val="es-ES_tradnl"/>
        </w:rPr>
        <w:t xml:space="preserve">aloración en la cual debió participar la psicóloga o psicólogo </w:t>
      </w:r>
      <w:r w:rsidR="00A12CED" w:rsidRPr="008F0E5F">
        <w:rPr>
          <w:sz w:val="28"/>
          <w:szCs w:val="28"/>
          <w:lang w:val="es-ES_tradnl"/>
        </w:rPr>
        <w:t>y</w:t>
      </w:r>
      <w:r w:rsidR="004D6EAE" w:rsidRPr="008F0E5F">
        <w:rPr>
          <w:sz w:val="28"/>
          <w:szCs w:val="28"/>
          <w:lang w:val="es-ES_tradnl"/>
        </w:rPr>
        <w:t xml:space="preserve"> dos</w:t>
      </w:r>
      <w:r w:rsidR="00A12CED" w:rsidRPr="00C074AB">
        <w:rPr>
          <w:sz w:val="28"/>
          <w:szCs w:val="28"/>
          <w:lang w:val="es-ES_tradnl"/>
        </w:rPr>
        <w:t xml:space="preserve"> en las que participó la trabajadora o trabajador </w:t>
      </w:r>
      <w:r w:rsidR="000663C8" w:rsidRPr="00C074AB">
        <w:rPr>
          <w:sz w:val="28"/>
          <w:szCs w:val="28"/>
          <w:lang w:val="es-ES_tradnl"/>
        </w:rPr>
        <w:t>social. Por</w:t>
      </w:r>
      <w:r w:rsidR="00A12CED" w:rsidRPr="00C074AB">
        <w:rPr>
          <w:sz w:val="28"/>
          <w:szCs w:val="28"/>
          <w:lang w:val="es-ES_tradnl"/>
        </w:rPr>
        <w:t xml:space="preserve"> su parte el equipo extraordinario logró concluir en promedio mensual</w:t>
      </w:r>
      <w:r w:rsidR="009A03C0">
        <w:rPr>
          <w:sz w:val="28"/>
          <w:szCs w:val="28"/>
          <w:lang w:val="es-ES_tradnl"/>
        </w:rPr>
        <w:t xml:space="preserve"> </w:t>
      </w:r>
      <w:r w:rsidR="000663C8">
        <w:rPr>
          <w:sz w:val="28"/>
          <w:szCs w:val="28"/>
          <w:lang w:val="es-ES_tradnl"/>
        </w:rPr>
        <w:t>dos</w:t>
      </w:r>
      <w:r w:rsidR="000663C8" w:rsidRPr="00C074AB">
        <w:rPr>
          <w:sz w:val="28"/>
          <w:szCs w:val="28"/>
          <w:lang w:val="es-ES_tradnl"/>
        </w:rPr>
        <w:t xml:space="preserve"> casos</w:t>
      </w:r>
      <w:r w:rsidR="00A12CED" w:rsidRPr="00C074AB">
        <w:rPr>
          <w:sz w:val="28"/>
          <w:szCs w:val="28"/>
          <w:lang w:val="es-ES_tradnl"/>
        </w:rPr>
        <w:t xml:space="preserve"> en los que participó el psicólogo o psicóloga e igual cifra para las valoraciones en que participó la trabajadora o trabajador social.</w:t>
      </w:r>
    </w:p>
    <w:p w:rsidR="00A12CED" w:rsidRPr="00C074AB" w:rsidRDefault="00A12CED" w:rsidP="00197472">
      <w:pPr>
        <w:spacing w:line="480" w:lineRule="auto"/>
        <w:jc w:val="both"/>
        <w:rPr>
          <w:sz w:val="28"/>
          <w:szCs w:val="28"/>
          <w:lang w:val="es-ES_tradnl"/>
        </w:rPr>
      </w:pPr>
    </w:p>
    <w:p w:rsidR="00A12CED" w:rsidRPr="00C074AB" w:rsidRDefault="00A12CED" w:rsidP="00197472">
      <w:pPr>
        <w:spacing w:line="480" w:lineRule="auto"/>
        <w:jc w:val="both"/>
        <w:rPr>
          <w:sz w:val="28"/>
          <w:szCs w:val="28"/>
          <w:lang w:val="es-ES_tradnl"/>
        </w:rPr>
      </w:pPr>
      <w:r w:rsidRPr="00C074AB">
        <w:rPr>
          <w:sz w:val="28"/>
          <w:szCs w:val="28"/>
          <w:lang w:val="es-ES_tradnl"/>
        </w:rPr>
        <w:t>Durante el 2016 esas cifras se comportaron de la siguiente manera:</w:t>
      </w:r>
    </w:p>
    <w:p w:rsidR="00A12CED" w:rsidRPr="00C074AB" w:rsidRDefault="00A12CED" w:rsidP="00A12CED">
      <w:pPr>
        <w:numPr>
          <w:ilvl w:val="0"/>
          <w:numId w:val="15"/>
        </w:numPr>
        <w:spacing w:line="480" w:lineRule="auto"/>
        <w:jc w:val="both"/>
        <w:rPr>
          <w:sz w:val="28"/>
          <w:szCs w:val="28"/>
          <w:lang w:val="es-ES_tradnl"/>
        </w:rPr>
      </w:pPr>
      <w:r w:rsidRPr="00C074AB">
        <w:rPr>
          <w:sz w:val="28"/>
          <w:szCs w:val="28"/>
          <w:lang w:val="es-ES_tradnl"/>
        </w:rPr>
        <w:t xml:space="preserve">el equipo ordinario concluyó en promedio mensual </w:t>
      </w:r>
      <w:r w:rsidR="000663C8">
        <w:rPr>
          <w:sz w:val="28"/>
          <w:szCs w:val="28"/>
          <w:lang w:val="es-ES_tradnl"/>
        </w:rPr>
        <w:t>tres</w:t>
      </w:r>
      <w:r w:rsidR="000663C8" w:rsidRPr="00C074AB">
        <w:rPr>
          <w:sz w:val="28"/>
          <w:szCs w:val="28"/>
          <w:lang w:val="es-ES_tradnl"/>
        </w:rPr>
        <w:t xml:space="preserve"> valoraciones</w:t>
      </w:r>
      <w:r w:rsidRPr="00C074AB">
        <w:rPr>
          <w:sz w:val="28"/>
          <w:szCs w:val="28"/>
          <w:lang w:val="es-ES_tradnl"/>
        </w:rPr>
        <w:t xml:space="preserve"> en las cuales debió participar la psicóloga o psicólogo e igual número en las que participó la trabajadora o trabajador social.</w:t>
      </w:r>
    </w:p>
    <w:p w:rsidR="00A12CED" w:rsidRPr="00C074AB" w:rsidRDefault="00A12CED" w:rsidP="00A12CED">
      <w:pPr>
        <w:numPr>
          <w:ilvl w:val="0"/>
          <w:numId w:val="15"/>
        </w:numPr>
        <w:spacing w:line="480" w:lineRule="auto"/>
        <w:jc w:val="both"/>
        <w:rPr>
          <w:sz w:val="28"/>
          <w:szCs w:val="28"/>
          <w:lang w:val="es-ES_tradnl"/>
        </w:rPr>
      </w:pPr>
      <w:r w:rsidRPr="00C074AB">
        <w:rPr>
          <w:sz w:val="28"/>
          <w:szCs w:val="28"/>
          <w:lang w:val="es-ES_tradnl"/>
        </w:rPr>
        <w:t xml:space="preserve">Por su parte el equipo extraordinario logró concluir en promedio mensual </w:t>
      </w:r>
      <w:r w:rsidR="000663C8">
        <w:rPr>
          <w:sz w:val="28"/>
          <w:szCs w:val="28"/>
          <w:lang w:val="es-ES_tradnl"/>
        </w:rPr>
        <w:t>tres</w:t>
      </w:r>
      <w:r w:rsidR="000663C8" w:rsidRPr="00C074AB">
        <w:rPr>
          <w:sz w:val="28"/>
          <w:szCs w:val="28"/>
          <w:lang w:val="es-ES_tradnl"/>
        </w:rPr>
        <w:t xml:space="preserve"> casos</w:t>
      </w:r>
      <w:r w:rsidRPr="00C074AB">
        <w:rPr>
          <w:sz w:val="28"/>
          <w:szCs w:val="28"/>
          <w:lang w:val="es-ES_tradnl"/>
        </w:rPr>
        <w:t xml:space="preserve"> en los que participó el psicólogo o psicóloga e igual cifra para las valoraciones en que participó la trabajadora o trabajador social.  Por lo tanto ambos equipos muestran la misma efectividad respecto de la cantidad de asuntos concluidos.</w:t>
      </w:r>
    </w:p>
    <w:p w:rsidR="00A12CED" w:rsidRPr="00C074AB" w:rsidRDefault="00A12CED" w:rsidP="00197472">
      <w:pPr>
        <w:spacing w:line="480" w:lineRule="auto"/>
        <w:jc w:val="both"/>
        <w:rPr>
          <w:sz w:val="28"/>
          <w:szCs w:val="28"/>
          <w:lang w:val="es-ES_tradnl"/>
        </w:rPr>
      </w:pPr>
    </w:p>
    <w:p w:rsidR="00DB6F69" w:rsidRPr="00C074AB" w:rsidRDefault="00D565A5" w:rsidP="00197472">
      <w:pPr>
        <w:spacing w:line="480" w:lineRule="auto"/>
        <w:jc w:val="both"/>
        <w:rPr>
          <w:sz w:val="28"/>
          <w:szCs w:val="28"/>
          <w:lang w:val="es-ES_tradnl"/>
        </w:rPr>
      </w:pPr>
      <w:r w:rsidRPr="00C074AB">
        <w:rPr>
          <w:sz w:val="28"/>
          <w:szCs w:val="28"/>
          <w:lang w:val="es-ES_tradnl"/>
        </w:rPr>
        <w:t xml:space="preserve">Por otra parte, </w:t>
      </w:r>
      <w:r w:rsidR="00BE389B" w:rsidRPr="00C074AB">
        <w:rPr>
          <w:sz w:val="28"/>
          <w:szCs w:val="28"/>
          <w:lang w:val="es-ES_tradnl"/>
        </w:rPr>
        <w:t xml:space="preserve">debe indicarse que </w:t>
      </w:r>
      <w:r w:rsidRPr="00C074AB">
        <w:rPr>
          <w:sz w:val="28"/>
          <w:szCs w:val="28"/>
          <w:lang w:val="es-ES_tradnl"/>
        </w:rPr>
        <w:t>el tiempo</w:t>
      </w:r>
      <w:r w:rsidR="00BE389B" w:rsidRPr="00C074AB">
        <w:rPr>
          <w:sz w:val="28"/>
          <w:szCs w:val="28"/>
          <w:lang w:val="es-ES_tradnl"/>
        </w:rPr>
        <w:t xml:space="preserve"> de respuesta</w:t>
      </w:r>
      <w:r w:rsidR="00AC08F4" w:rsidRPr="00C074AB">
        <w:rPr>
          <w:sz w:val="28"/>
          <w:szCs w:val="28"/>
          <w:lang w:val="es-ES_tradnl"/>
        </w:rPr>
        <w:t xml:space="preserve"> para la elabo</w:t>
      </w:r>
      <w:r w:rsidR="00BE389B" w:rsidRPr="00C074AB">
        <w:rPr>
          <w:sz w:val="28"/>
          <w:szCs w:val="28"/>
          <w:lang w:val="es-ES_tradnl"/>
        </w:rPr>
        <w:t>ración de un informe en el 2015</w:t>
      </w:r>
      <w:r w:rsidR="00AC08F4" w:rsidRPr="00C074AB">
        <w:rPr>
          <w:sz w:val="28"/>
          <w:szCs w:val="28"/>
          <w:lang w:val="es-ES_tradnl"/>
        </w:rPr>
        <w:t xml:space="preserve"> ascendía a </w:t>
      </w:r>
      <w:r w:rsidR="000663C8">
        <w:rPr>
          <w:sz w:val="28"/>
          <w:szCs w:val="28"/>
          <w:lang w:val="es-ES_tradnl"/>
        </w:rPr>
        <w:t>cinco</w:t>
      </w:r>
      <w:r w:rsidR="000663C8" w:rsidRPr="00C074AB">
        <w:rPr>
          <w:sz w:val="28"/>
          <w:szCs w:val="28"/>
          <w:lang w:val="es-ES_tradnl"/>
        </w:rPr>
        <w:t xml:space="preserve"> meses</w:t>
      </w:r>
      <w:r w:rsidR="00AC08F4" w:rsidRPr="00C074AB">
        <w:rPr>
          <w:sz w:val="28"/>
          <w:szCs w:val="28"/>
          <w:lang w:val="es-ES_tradnl"/>
        </w:rPr>
        <w:t xml:space="preserve">, mientras que en el 2016 la mayor cantidad de </w:t>
      </w:r>
      <w:r w:rsidR="00AC08F4" w:rsidRPr="00C074AB">
        <w:rPr>
          <w:sz w:val="28"/>
          <w:szCs w:val="28"/>
          <w:lang w:val="es-ES_tradnl"/>
        </w:rPr>
        <w:lastRenderedPageBreak/>
        <w:t>solicitudes fueron atendidas en un plazo</w:t>
      </w:r>
      <w:r w:rsidR="00BE389B" w:rsidRPr="00C074AB">
        <w:rPr>
          <w:sz w:val="28"/>
          <w:szCs w:val="28"/>
          <w:lang w:val="es-ES_tradnl"/>
        </w:rPr>
        <w:t xml:space="preserve"> similar</w:t>
      </w:r>
      <w:r w:rsidR="000663C8">
        <w:rPr>
          <w:sz w:val="28"/>
          <w:szCs w:val="28"/>
          <w:lang w:val="es-ES_tradnl"/>
        </w:rPr>
        <w:t xml:space="preserve"> </w:t>
      </w:r>
      <w:r w:rsidR="00BE389B" w:rsidRPr="00C074AB">
        <w:rPr>
          <w:sz w:val="28"/>
          <w:szCs w:val="28"/>
          <w:lang w:val="es-ES_tradnl"/>
        </w:rPr>
        <w:t>(</w:t>
      </w:r>
      <w:r w:rsidR="00AC08F4" w:rsidRPr="00C074AB">
        <w:rPr>
          <w:sz w:val="28"/>
          <w:szCs w:val="28"/>
          <w:lang w:val="es-ES_tradnl"/>
        </w:rPr>
        <w:t xml:space="preserve">de </w:t>
      </w:r>
      <w:r w:rsidR="00224722">
        <w:rPr>
          <w:sz w:val="28"/>
          <w:szCs w:val="28"/>
          <w:lang w:val="es-ES_tradnl"/>
        </w:rPr>
        <w:t>cuatro</w:t>
      </w:r>
      <w:r w:rsidR="000663C8">
        <w:rPr>
          <w:sz w:val="28"/>
          <w:szCs w:val="28"/>
          <w:lang w:val="es-ES_tradnl"/>
        </w:rPr>
        <w:t xml:space="preserve"> </w:t>
      </w:r>
      <w:r w:rsidR="00AC08F4" w:rsidRPr="00C074AB">
        <w:rPr>
          <w:sz w:val="28"/>
          <w:szCs w:val="28"/>
          <w:lang w:val="es-ES_tradnl"/>
        </w:rPr>
        <w:t xml:space="preserve">a </w:t>
      </w:r>
      <w:r w:rsidR="00224722">
        <w:rPr>
          <w:sz w:val="28"/>
          <w:szCs w:val="28"/>
          <w:lang w:val="es-ES_tradnl"/>
        </w:rPr>
        <w:t>cinco</w:t>
      </w:r>
      <w:r w:rsidR="000663C8">
        <w:rPr>
          <w:sz w:val="28"/>
          <w:szCs w:val="28"/>
          <w:lang w:val="es-ES_tradnl"/>
        </w:rPr>
        <w:t xml:space="preserve"> </w:t>
      </w:r>
      <w:r w:rsidR="00AC08F4" w:rsidRPr="00C074AB">
        <w:rPr>
          <w:sz w:val="28"/>
          <w:szCs w:val="28"/>
          <w:lang w:val="es-ES_tradnl"/>
        </w:rPr>
        <w:t>meses</w:t>
      </w:r>
      <w:r w:rsidR="00BE389B" w:rsidRPr="00C074AB">
        <w:rPr>
          <w:sz w:val="28"/>
          <w:szCs w:val="28"/>
          <w:lang w:val="es-ES_tradnl"/>
        </w:rPr>
        <w:t>)</w:t>
      </w:r>
      <w:r w:rsidR="00AC08F4" w:rsidRPr="00C074AB">
        <w:rPr>
          <w:sz w:val="28"/>
          <w:szCs w:val="28"/>
          <w:lang w:val="es-ES_tradnl"/>
        </w:rPr>
        <w:t>, manteniéndose así el plazo</w:t>
      </w:r>
      <w:r w:rsidRPr="00C074AB">
        <w:rPr>
          <w:sz w:val="28"/>
          <w:szCs w:val="28"/>
          <w:lang w:val="es-ES_tradnl"/>
        </w:rPr>
        <w:t xml:space="preserve"> promedio</w:t>
      </w:r>
      <w:r w:rsidR="00AC08F4" w:rsidRPr="00C074AB">
        <w:rPr>
          <w:sz w:val="28"/>
          <w:szCs w:val="28"/>
          <w:lang w:val="es-ES_tradnl"/>
        </w:rPr>
        <w:t xml:space="preserve"> invariable.  No obstante, es importante mencionar, que existen solicitudes complejas que exceden ese plazo, no siendo un número significativo los que presentan esta condición.</w:t>
      </w:r>
    </w:p>
    <w:p w:rsidR="003265A9" w:rsidRPr="00C074AB" w:rsidRDefault="00F259D1" w:rsidP="00197472">
      <w:pPr>
        <w:pStyle w:val="NormalWeb"/>
        <w:spacing w:after="0" w:line="480" w:lineRule="auto"/>
        <w:jc w:val="both"/>
        <w:rPr>
          <w:sz w:val="28"/>
          <w:szCs w:val="28"/>
          <w:lang w:val="es-ES_tradnl"/>
        </w:rPr>
      </w:pPr>
      <w:r w:rsidRPr="00C074AB">
        <w:rPr>
          <w:sz w:val="28"/>
          <w:szCs w:val="28"/>
          <w:lang w:val="es-ES_tradnl"/>
        </w:rPr>
        <w:t>E</w:t>
      </w:r>
      <w:r w:rsidR="00BE389B" w:rsidRPr="00C074AB">
        <w:rPr>
          <w:sz w:val="28"/>
          <w:szCs w:val="28"/>
          <w:lang w:val="es-ES_tradnl"/>
        </w:rPr>
        <w:t>s importante mencionar que de l</w:t>
      </w:r>
      <w:r w:rsidRPr="00C074AB">
        <w:rPr>
          <w:sz w:val="28"/>
          <w:szCs w:val="28"/>
          <w:lang w:val="es-ES_tradnl"/>
        </w:rPr>
        <w:t>as solicitudes pendientes</w:t>
      </w:r>
      <w:r w:rsidR="00BE389B" w:rsidRPr="00C074AB">
        <w:rPr>
          <w:sz w:val="28"/>
          <w:szCs w:val="28"/>
          <w:lang w:val="es-ES_tradnl"/>
        </w:rPr>
        <w:t xml:space="preserve"> que se reportan</w:t>
      </w:r>
      <w:r w:rsidRPr="00C074AB">
        <w:rPr>
          <w:sz w:val="28"/>
          <w:szCs w:val="28"/>
          <w:lang w:val="es-ES_tradnl"/>
        </w:rPr>
        <w:t>, varias de ellas ya se encuentran en etapa de investigación</w:t>
      </w:r>
      <w:r w:rsidR="00BE389B" w:rsidRPr="00C074AB">
        <w:rPr>
          <w:sz w:val="28"/>
          <w:szCs w:val="28"/>
          <w:lang w:val="es-ES_tradnl"/>
        </w:rPr>
        <w:t xml:space="preserve"> tal y como se detalla en las notas del cuadro N°2</w:t>
      </w:r>
      <w:r w:rsidRPr="00C074AB">
        <w:rPr>
          <w:sz w:val="28"/>
          <w:szCs w:val="28"/>
          <w:lang w:val="es-ES_tradnl"/>
        </w:rPr>
        <w:t>, lo que significa que  ya se inició la valoración de la persona usuaria</w:t>
      </w:r>
      <w:r w:rsidR="003265A9" w:rsidRPr="00C074AB">
        <w:rPr>
          <w:sz w:val="28"/>
          <w:szCs w:val="28"/>
          <w:lang w:val="es-ES_tradnl"/>
        </w:rPr>
        <w:t xml:space="preserve"> y se inició todo el proceso de</w:t>
      </w:r>
      <w:r w:rsidRPr="00C074AB">
        <w:rPr>
          <w:sz w:val="28"/>
          <w:szCs w:val="28"/>
          <w:lang w:val="es-ES_tradnl"/>
        </w:rPr>
        <w:t xml:space="preserve"> </w:t>
      </w:r>
      <w:r w:rsidR="0038344F" w:rsidRPr="00C074AB">
        <w:rPr>
          <w:sz w:val="28"/>
          <w:szCs w:val="28"/>
          <w:lang w:val="es-ES_tradnl"/>
        </w:rPr>
        <w:t>investigación, el</w:t>
      </w:r>
      <w:r w:rsidR="00BE389B" w:rsidRPr="00C074AB">
        <w:rPr>
          <w:sz w:val="28"/>
          <w:szCs w:val="28"/>
          <w:lang w:val="es-ES_tradnl"/>
        </w:rPr>
        <w:t xml:space="preserve"> cual una vez finalizado,</w:t>
      </w:r>
      <w:r w:rsidR="00266442" w:rsidRPr="00C074AB">
        <w:rPr>
          <w:sz w:val="28"/>
          <w:szCs w:val="28"/>
          <w:lang w:val="es-ES_tradnl"/>
        </w:rPr>
        <w:t xml:space="preserve"> p</w:t>
      </w:r>
      <w:r w:rsidR="003265A9" w:rsidRPr="00C074AB">
        <w:rPr>
          <w:sz w:val="28"/>
          <w:szCs w:val="28"/>
          <w:lang w:val="es-ES_tradnl"/>
        </w:rPr>
        <w:t>as</w:t>
      </w:r>
      <w:r w:rsidR="00266442" w:rsidRPr="00C074AB">
        <w:rPr>
          <w:sz w:val="28"/>
          <w:szCs w:val="28"/>
          <w:lang w:val="es-ES_tradnl"/>
        </w:rPr>
        <w:t>a</w:t>
      </w:r>
      <w:r w:rsidR="003265A9" w:rsidRPr="00C074AB">
        <w:rPr>
          <w:sz w:val="28"/>
          <w:szCs w:val="28"/>
          <w:lang w:val="es-ES_tradnl"/>
        </w:rPr>
        <w:t xml:space="preserve"> a la etapa de conclusión, que es cuando se inicia con el análisis de la información recopilada y la redacción del informe o dictamen hasta el cierre estadístico del expediente.</w:t>
      </w:r>
    </w:p>
    <w:p w:rsidR="00BE12C4" w:rsidRDefault="00BE12C4" w:rsidP="00BE389B">
      <w:pPr>
        <w:autoSpaceDE w:val="0"/>
        <w:autoSpaceDN w:val="0"/>
        <w:adjustRightInd w:val="0"/>
        <w:spacing w:line="480" w:lineRule="auto"/>
        <w:jc w:val="both"/>
        <w:rPr>
          <w:sz w:val="28"/>
          <w:szCs w:val="28"/>
          <w:lang w:val="es-ES_tradnl"/>
        </w:rPr>
      </w:pPr>
      <w:r w:rsidRPr="00C074AB">
        <w:rPr>
          <w:sz w:val="28"/>
          <w:szCs w:val="28"/>
          <w:lang w:val="es-ES_tradnl"/>
        </w:rPr>
        <w:t xml:space="preserve">Para mayor comprensión, entiéndase como fase </w:t>
      </w:r>
      <w:r w:rsidR="00E02BF8" w:rsidRPr="00C074AB">
        <w:rPr>
          <w:sz w:val="28"/>
          <w:szCs w:val="28"/>
          <w:lang w:val="es-ES_tradnl"/>
        </w:rPr>
        <w:t>i</w:t>
      </w:r>
      <w:r w:rsidRPr="00C074AB">
        <w:rPr>
          <w:sz w:val="28"/>
          <w:szCs w:val="28"/>
          <w:lang w:val="es-ES_tradnl"/>
        </w:rPr>
        <w:t xml:space="preserve">nicial </w:t>
      </w:r>
      <w:r w:rsidR="00E02BF8" w:rsidRPr="00C074AB">
        <w:rPr>
          <w:sz w:val="28"/>
          <w:szCs w:val="28"/>
          <w:lang w:val="es-ES_tradnl"/>
        </w:rPr>
        <w:t>transcurre desde el momento en que</w:t>
      </w:r>
      <w:r w:rsidRPr="00C074AB">
        <w:rPr>
          <w:sz w:val="28"/>
          <w:szCs w:val="28"/>
          <w:lang w:val="es-ES_tradnl"/>
        </w:rPr>
        <w:t xml:space="preserve"> se recibe la boleta de referencia</w:t>
      </w:r>
      <w:r w:rsidR="00E02BF8" w:rsidRPr="00C074AB">
        <w:rPr>
          <w:sz w:val="28"/>
          <w:szCs w:val="28"/>
          <w:lang w:val="es-ES_tradnl"/>
        </w:rPr>
        <w:t>,</w:t>
      </w:r>
      <w:r w:rsidRPr="00C074AB">
        <w:rPr>
          <w:sz w:val="28"/>
          <w:szCs w:val="28"/>
          <w:lang w:val="es-ES_tradnl"/>
        </w:rPr>
        <w:t xml:space="preserve"> hasta que se está a la espera de la valoración de la persona usuaria</w:t>
      </w:r>
      <w:r w:rsidR="00E02BF8" w:rsidRPr="00C074AB">
        <w:rPr>
          <w:sz w:val="28"/>
          <w:szCs w:val="28"/>
          <w:lang w:val="es-ES_tradnl"/>
        </w:rPr>
        <w:t>. La</w:t>
      </w:r>
      <w:r w:rsidRPr="00C074AB">
        <w:rPr>
          <w:sz w:val="28"/>
          <w:szCs w:val="28"/>
          <w:lang w:val="es-ES_tradnl"/>
        </w:rPr>
        <w:t xml:space="preserve"> fase de Investigación </w:t>
      </w:r>
      <w:r w:rsidR="00E02BF8" w:rsidRPr="00C074AB">
        <w:rPr>
          <w:sz w:val="28"/>
          <w:szCs w:val="28"/>
          <w:lang w:val="es-ES_tradnl"/>
        </w:rPr>
        <w:t>inicia con</w:t>
      </w:r>
      <w:r w:rsidRPr="00C074AB">
        <w:rPr>
          <w:sz w:val="28"/>
          <w:szCs w:val="28"/>
          <w:lang w:val="es-ES_tradnl"/>
        </w:rPr>
        <w:t xml:space="preserve"> la valoración de la persona usuaria hasta que se concluye la investigación</w:t>
      </w:r>
      <w:r w:rsidR="00E02BF8" w:rsidRPr="00C074AB">
        <w:rPr>
          <w:sz w:val="28"/>
          <w:szCs w:val="28"/>
          <w:lang w:val="es-ES_tradnl"/>
        </w:rPr>
        <w:t>. La</w:t>
      </w:r>
      <w:r w:rsidRPr="00C074AB">
        <w:rPr>
          <w:sz w:val="28"/>
          <w:szCs w:val="28"/>
          <w:lang w:val="es-ES_tradnl"/>
        </w:rPr>
        <w:t xml:space="preserve"> fase de </w:t>
      </w:r>
      <w:r w:rsidR="0038344F" w:rsidRPr="00C074AB">
        <w:rPr>
          <w:sz w:val="28"/>
          <w:szCs w:val="28"/>
          <w:lang w:val="es-ES_tradnl"/>
        </w:rPr>
        <w:t>conclusión inicia</w:t>
      </w:r>
      <w:r w:rsidRPr="00C074AB">
        <w:rPr>
          <w:sz w:val="28"/>
          <w:szCs w:val="28"/>
          <w:lang w:val="es-ES_tradnl"/>
        </w:rPr>
        <w:t xml:space="preserve"> con el análisis de la información recopilada y la redacción del informe o dictamen hasta el cierre estadístico del expediente</w:t>
      </w:r>
      <w:r w:rsidR="00E02BF8" w:rsidRPr="00C074AB">
        <w:rPr>
          <w:sz w:val="28"/>
          <w:szCs w:val="28"/>
          <w:lang w:val="es-ES_tradnl"/>
        </w:rPr>
        <w:t>. Por último la fase de cierre se da</w:t>
      </w:r>
      <w:r w:rsidRPr="00C074AB">
        <w:rPr>
          <w:sz w:val="28"/>
          <w:szCs w:val="28"/>
          <w:lang w:val="es-ES_tradnl"/>
        </w:rPr>
        <w:t xml:space="preserve"> cuando </w:t>
      </w:r>
      <w:r w:rsidR="00E02BF8" w:rsidRPr="00C074AB">
        <w:rPr>
          <w:sz w:val="28"/>
          <w:szCs w:val="28"/>
          <w:lang w:val="es-ES_tradnl"/>
        </w:rPr>
        <w:t xml:space="preserve">se entrega </w:t>
      </w:r>
      <w:r w:rsidRPr="00C074AB">
        <w:rPr>
          <w:sz w:val="28"/>
          <w:szCs w:val="28"/>
          <w:lang w:val="es-ES_tradnl"/>
        </w:rPr>
        <w:t>el informe y el caso se encuentra concluido.</w:t>
      </w:r>
    </w:p>
    <w:p w:rsidR="00725547" w:rsidRDefault="00725547" w:rsidP="00BE389B">
      <w:pPr>
        <w:autoSpaceDE w:val="0"/>
        <w:autoSpaceDN w:val="0"/>
        <w:adjustRightInd w:val="0"/>
        <w:spacing w:line="480" w:lineRule="auto"/>
        <w:jc w:val="both"/>
        <w:rPr>
          <w:sz w:val="28"/>
          <w:szCs w:val="28"/>
          <w:lang w:val="es-ES_tradnl"/>
        </w:rPr>
      </w:pPr>
    </w:p>
    <w:p w:rsidR="00F06824" w:rsidRDefault="00725547" w:rsidP="00BE389B">
      <w:pPr>
        <w:autoSpaceDE w:val="0"/>
        <w:autoSpaceDN w:val="0"/>
        <w:adjustRightInd w:val="0"/>
        <w:spacing w:line="480" w:lineRule="auto"/>
        <w:jc w:val="both"/>
        <w:rPr>
          <w:sz w:val="28"/>
          <w:szCs w:val="28"/>
          <w:lang w:val="es-ES_tradnl"/>
        </w:rPr>
      </w:pPr>
      <w:r>
        <w:rPr>
          <w:sz w:val="28"/>
          <w:szCs w:val="28"/>
          <w:lang w:val="es-ES_tradnl"/>
        </w:rPr>
        <w:lastRenderedPageBreak/>
        <w:t xml:space="preserve">Es importante indicar que de conformidad con el estudio integral del Departamento de Trabajo Social y Psicología que se lleva a cabo en esta Dirección, </w:t>
      </w:r>
      <w:r w:rsidR="00F06824">
        <w:rPr>
          <w:sz w:val="28"/>
          <w:szCs w:val="28"/>
          <w:lang w:val="es-ES_tradnl"/>
        </w:rPr>
        <w:t>en materia de niñez y adolescencia</w:t>
      </w:r>
      <w:r>
        <w:rPr>
          <w:sz w:val="28"/>
          <w:szCs w:val="28"/>
          <w:lang w:val="es-ES_tradnl"/>
        </w:rPr>
        <w:t xml:space="preserve"> tanto para la trabajadora o trabajador  social como  la psicóloga o psicólogo</w:t>
      </w:r>
      <w:r w:rsidR="00F06824">
        <w:rPr>
          <w:sz w:val="28"/>
          <w:szCs w:val="28"/>
          <w:lang w:val="es-ES_tradnl"/>
        </w:rPr>
        <w:t xml:space="preserve">, </w:t>
      </w:r>
      <w:r w:rsidR="00C24E96">
        <w:rPr>
          <w:sz w:val="28"/>
          <w:szCs w:val="28"/>
          <w:lang w:val="es-ES_tradnl"/>
        </w:rPr>
        <w:t>el parámetro de casos terminados mensualmente asciende a un mínimos de cuatro casos mensuales para el caso de las psicólogas o psicólogos y de cinco para la trabajadora o trabajador social.</w:t>
      </w:r>
    </w:p>
    <w:p w:rsidR="00F06824" w:rsidRDefault="00F06824" w:rsidP="00BE389B">
      <w:pPr>
        <w:autoSpaceDE w:val="0"/>
        <w:autoSpaceDN w:val="0"/>
        <w:adjustRightInd w:val="0"/>
        <w:spacing w:line="480" w:lineRule="auto"/>
        <w:jc w:val="both"/>
        <w:rPr>
          <w:sz w:val="28"/>
          <w:szCs w:val="28"/>
          <w:lang w:val="es-ES_tradnl"/>
        </w:rPr>
      </w:pPr>
    </w:p>
    <w:p w:rsidR="00B729FB" w:rsidRPr="00C074AB" w:rsidRDefault="00B729FB" w:rsidP="00BE389B">
      <w:pPr>
        <w:autoSpaceDE w:val="0"/>
        <w:autoSpaceDN w:val="0"/>
        <w:adjustRightInd w:val="0"/>
        <w:spacing w:line="480" w:lineRule="auto"/>
        <w:jc w:val="both"/>
        <w:rPr>
          <w:sz w:val="28"/>
          <w:szCs w:val="28"/>
          <w:lang w:val="es-ES_tradnl"/>
        </w:rPr>
      </w:pPr>
      <w:r>
        <w:rPr>
          <w:sz w:val="28"/>
          <w:szCs w:val="28"/>
          <w:lang w:val="es-ES_tradnl"/>
        </w:rPr>
        <w:t>Por lo tanto, es necesario que tanto en el caso de las psic</w:t>
      </w:r>
      <w:r w:rsidR="00EC5A0B">
        <w:rPr>
          <w:sz w:val="28"/>
          <w:szCs w:val="28"/>
          <w:lang w:val="es-ES_tradnl"/>
        </w:rPr>
        <w:t>ólogas o psicólogos y de la trabajadora o trabajador social, se aumente la cantidad de casos terminados mensualmente cumpliéndose como mínimo, con el parámetro indicado de cuatro asuntos terminados por mes para el caso de psicología y de cinco para el caso de trabajo social.</w:t>
      </w:r>
    </w:p>
    <w:p w:rsidR="00BE12C4" w:rsidRPr="00C074AB" w:rsidRDefault="00BE12C4" w:rsidP="00485040">
      <w:pPr>
        <w:jc w:val="center"/>
        <w:rPr>
          <w:b/>
          <w:sz w:val="28"/>
          <w:szCs w:val="28"/>
          <w:lang w:val="es-ES_tradnl"/>
        </w:rPr>
      </w:pPr>
    </w:p>
    <w:p w:rsidR="00DF1B43" w:rsidRPr="00C074AB" w:rsidRDefault="00DF1B43" w:rsidP="00485040">
      <w:pPr>
        <w:jc w:val="center"/>
        <w:rPr>
          <w:b/>
          <w:sz w:val="28"/>
          <w:szCs w:val="28"/>
          <w:lang w:val="es-ES_tradnl"/>
        </w:rPr>
      </w:pPr>
    </w:p>
    <w:p w:rsidR="001661A0" w:rsidRPr="00C074AB" w:rsidRDefault="001661A0" w:rsidP="00197472">
      <w:pPr>
        <w:spacing w:line="480" w:lineRule="auto"/>
        <w:jc w:val="both"/>
        <w:rPr>
          <w:sz w:val="28"/>
          <w:szCs w:val="28"/>
          <w:lang w:val="es-ES_tradnl"/>
        </w:rPr>
      </w:pPr>
    </w:p>
    <w:p w:rsidR="002857FE" w:rsidRPr="00C074AB" w:rsidRDefault="008830A0" w:rsidP="001661A0">
      <w:pPr>
        <w:pStyle w:val="Ttulo2"/>
      </w:pPr>
      <w:r w:rsidRPr="00C074AB">
        <w:t>IV</w:t>
      </w:r>
      <w:r w:rsidR="002857FE" w:rsidRPr="00C074AB">
        <w:t xml:space="preserve"> Elementos </w:t>
      </w:r>
      <w:r w:rsidR="00CE1F57" w:rsidRPr="00C074AB">
        <w:t>Resolutivos</w:t>
      </w:r>
    </w:p>
    <w:p w:rsidR="002857FE" w:rsidRPr="00C074AB" w:rsidRDefault="002857FE" w:rsidP="00197472">
      <w:pPr>
        <w:spacing w:line="480" w:lineRule="auto"/>
        <w:jc w:val="both"/>
        <w:rPr>
          <w:sz w:val="28"/>
          <w:szCs w:val="28"/>
        </w:rPr>
      </w:pPr>
    </w:p>
    <w:p w:rsidR="002857FE" w:rsidRPr="00C074AB" w:rsidRDefault="001516C3" w:rsidP="00197472">
      <w:pPr>
        <w:spacing w:line="480" w:lineRule="auto"/>
        <w:jc w:val="both"/>
        <w:rPr>
          <w:sz w:val="28"/>
          <w:szCs w:val="28"/>
          <w:lang w:val="es-ES_tradnl"/>
        </w:rPr>
      </w:pPr>
      <w:r w:rsidRPr="00C074AB">
        <w:rPr>
          <w:sz w:val="28"/>
          <w:szCs w:val="28"/>
          <w:lang w:val="es-ES_tradnl"/>
        </w:rPr>
        <w:t>De</w:t>
      </w:r>
      <w:r w:rsidR="00880119" w:rsidRPr="00C074AB">
        <w:rPr>
          <w:sz w:val="28"/>
          <w:szCs w:val="28"/>
          <w:lang w:val="es-ES_tradnl"/>
        </w:rPr>
        <w:t xml:space="preserve">l análisis </w:t>
      </w:r>
      <w:r w:rsidR="0038344F" w:rsidRPr="00C074AB">
        <w:rPr>
          <w:sz w:val="28"/>
          <w:szCs w:val="28"/>
          <w:lang w:val="es-ES_tradnl"/>
        </w:rPr>
        <w:t>realizado, se</w:t>
      </w:r>
      <w:r w:rsidRPr="00C074AB">
        <w:rPr>
          <w:sz w:val="28"/>
          <w:szCs w:val="28"/>
          <w:lang w:val="es-ES_tradnl"/>
        </w:rPr>
        <w:t xml:space="preserve"> logran extraer los siguientes elementos resolutivos referentes al impacto generado por el equipo interdisciplinario extraordinario otorgado al Departamento de Trabajo Social y Psicología, para la atención prioritaria de los peritajes de Niñez y Adolescencia.</w:t>
      </w:r>
    </w:p>
    <w:p w:rsidR="001516C3" w:rsidRPr="00C074AB" w:rsidRDefault="001516C3" w:rsidP="00197472">
      <w:pPr>
        <w:spacing w:line="480" w:lineRule="auto"/>
        <w:jc w:val="both"/>
        <w:rPr>
          <w:sz w:val="28"/>
          <w:szCs w:val="28"/>
          <w:lang w:val="es-ES_tradnl"/>
        </w:rPr>
      </w:pPr>
    </w:p>
    <w:p w:rsidR="001E54B1" w:rsidRPr="00C074AB" w:rsidRDefault="003C14D4" w:rsidP="00C074AB">
      <w:pPr>
        <w:spacing w:line="480" w:lineRule="auto"/>
        <w:jc w:val="both"/>
        <w:rPr>
          <w:sz w:val="28"/>
          <w:szCs w:val="28"/>
          <w:lang w:val="es-ES_tradnl"/>
        </w:rPr>
      </w:pPr>
      <w:r w:rsidRPr="00C074AB">
        <w:rPr>
          <w:sz w:val="28"/>
          <w:szCs w:val="28"/>
          <w:lang w:val="es-ES_tradnl"/>
        </w:rPr>
        <w:lastRenderedPageBreak/>
        <w:t xml:space="preserve">1. </w:t>
      </w:r>
      <w:r w:rsidR="007D361A" w:rsidRPr="00C074AB">
        <w:rPr>
          <w:sz w:val="28"/>
          <w:szCs w:val="28"/>
          <w:lang w:val="es-ES_tradnl"/>
        </w:rPr>
        <w:t xml:space="preserve">A diferencia del año 2015 en que la </w:t>
      </w:r>
      <w:r w:rsidR="001E54B1" w:rsidRPr="00C074AB">
        <w:rPr>
          <w:sz w:val="28"/>
          <w:szCs w:val="28"/>
          <w:lang w:val="es-ES_tradnl"/>
        </w:rPr>
        <w:t xml:space="preserve">mayor carga de trabajo respecto de los peritajes solicitados por el Juzgado de Niñez y Adolescencia, </w:t>
      </w:r>
      <w:r w:rsidR="007D361A" w:rsidRPr="00C074AB">
        <w:rPr>
          <w:sz w:val="28"/>
          <w:szCs w:val="28"/>
          <w:lang w:val="es-ES_tradnl"/>
        </w:rPr>
        <w:t>había</w:t>
      </w:r>
      <w:r w:rsidR="001E54B1" w:rsidRPr="00C074AB">
        <w:rPr>
          <w:sz w:val="28"/>
          <w:szCs w:val="28"/>
          <w:lang w:val="es-ES_tradnl"/>
        </w:rPr>
        <w:t xml:space="preserve"> sido asumi</w:t>
      </w:r>
      <w:r w:rsidR="007F0642" w:rsidRPr="00C074AB">
        <w:rPr>
          <w:sz w:val="28"/>
          <w:szCs w:val="28"/>
          <w:lang w:val="es-ES_tradnl"/>
        </w:rPr>
        <w:t>da por el equipo extraordinario</w:t>
      </w:r>
      <w:r w:rsidR="001E54B1" w:rsidRPr="00C074AB">
        <w:rPr>
          <w:sz w:val="28"/>
          <w:szCs w:val="28"/>
          <w:lang w:val="es-ES_tradnl"/>
        </w:rPr>
        <w:t xml:space="preserve"> como se visualiza en el cuadro N°</w:t>
      </w:r>
      <w:r w:rsidR="00224722">
        <w:rPr>
          <w:sz w:val="28"/>
          <w:szCs w:val="28"/>
          <w:lang w:val="es-ES_tradnl"/>
        </w:rPr>
        <w:t>2</w:t>
      </w:r>
      <w:r w:rsidR="00B11165" w:rsidRPr="00C074AB">
        <w:rPr>
          <w:sz w:val="28"/>
          <w:szCs w:val="28"/>
          <w:lang w:val="es-ES_tradnl"/>
        </w:rPr>
        <w:t>del presente informe</w:t>
      </w:r>
      <w:r w:rsidR="007D361A" w:rsidRPr="00C074AB">
        <w:rPr>
          <w:sz w:val="28"/>
          <w:szCs w:val="28"/>
          <w:lang w:val="es-ES_tradnl"/>
        </w:rPr>
        <w:t>, en el cuadro N°</w:t>
      </w:r>
      <w:r w:rsidR="00224722">
        <w:rPr>
          <w:sz w:val="28"/>
          <w:szCs w:val="28"/>
          <w:lang w:val="es-ES_tradnl"/>
        </w:rPr>
        <w:t>3</w:t>
      </w:r>
      <w:r w:rsidR="00975948" w:rsidRPr="00C074AB">
        <w:rPr>
          <w:sz w:val="28"/>
          <w:szCs w:val="28"/>
          <w:lang w:val="es-ES_tradnl"/>
        </w:rPr>
        <w:t>se observa una distribución equitativa en la carga de trabajo de ambos equipos</w:t>
      </w:r>
      <w:r w:rsidR="007F0642" w:rsidRPr="00C074AB">
        <w:rPr>
          <w:sz w:val="28"/>
          <w:szCs w:val="28"/>
          <w:lang w:val="es-ES_tradnl"/>
        </w:rPr>
        <w:t xml:space="preserve">, por lo que se puede deducir que se acató la recomendación realizada en su momento de  equiparar las cargas de trabajo, así como el rendimiento de este equipo con </w:t>
      </w:r>
      <w:r w:rsidR="007F0642" w:rsidRPr="00C074AB">
        <w:rPr>
          <w:sz w:val="28"/>
          <w:szCs w:val="28"/>
        </w:rPr>
        <w:t>el del equipo ordinario, con el fin de lograr respuestas más oportunas a las solicitudes de los estudios periciales.</w:t>
      </w:r>
    </w:p>
    <w:p w:rsidR="00224722" w:rsidRDefault="00224722" w:rsidP="00C074AB">
      <w:pPr>
        <w:spacing w:line="480" w:lineRule="auto"/>
        <w:jc w:val="both"/>
        <w:rPr>
          <w:sz w:val="28"/>
          <w:szCs w:val="28"/>
          <w:lang w:val="es-ES_tradnl"/>
        </w:rPr>
      </w:pPr>
    </w:p>
    <w:p w:rsidR="00462283" w:rsidRPr="00C074AB" w:rsidRDefault="003C14D4" w:rsidP="00C074AB">
      <w:pPr>
        <w:spacing w:line="480" w:lineRule="auto"/>
        <w:jc w:val="both"/>
        <w:rPr>
          <w:sz w:val="28"/>
          <w:szCs w:val="28"/>
          <w:lang w:val="es-ES_tradnl"/>
        </w:rPr>
      </w:pPr>
      <w:r w:rsidRPr="00C074AB">
        <w:rPr>
          <w:sz w:val="28"/>
          <w:szCs w:val="28"/>
          <w:lang w:val="es-ES_tradnl"/>
        </w:rPr>
        <w:t xml:space="preserve">2. </w:t>
      </w:r>
      <w:r w:rsidR="00462283" w:rsidRPr="00C074AB">
        <w:rPr>
          <w:sz w:val="28"/>
          <w:szCs w:val="28"/>
          <w:lang w:val="es-ES_tradnl"/>
        </w:rPr>
        <w:t xml:space="preserve">Los peritajes psicosociales constituyen la mayor cantidad de solicitudes realizadas por el Juzgado de Niñez y Adolescencia notándose que </w:t>
      </w:r>
      <w:r w:rsidR="008B329C" w:rsidRPr="00C074AB">
        <w:rPr>
          <w:sz w:val="28"/>
          <w:szCs w:val="28"/>
          <w:lang w:val="es-ES_tradnl"/>
        </w:rPr>
        <w:t xml:space="preserve">cada uno de los dos </w:t>
      </w:r>
      <w:r w:rsidR="00224722" w:rsidRPr="00C074AB">
        <w:rPr>
          <w:sz w:val="28"/>
          <w:szCs w:val="28"/>
          <w:lang w:val="es-ES_tradnl"/>
        </w:rPr>
        <w:t xml:space="preserve">equipos </w:t>
      </w:r>
      <w:r w:rsidR="0038344F" w:rsidRPr="00C074AB">
        <w:rPr>
          <w:sz w:val="28"/>
          <w:szCs w:val="28"/>
          <w:lang w:val="es-ES_tradnl"/>
        </w:rPr>
        <w:t>cierran en</w:t>
      </w:r>
      <w:r w:rsidR="008B329C" w:rsidRPr="00C074AB">
        <w:rPr>
          <w:sz w:val="28"/>
          <w:szCs w:val="28"/>
          <w:lang w:val="es-ES_tradnl"/>
        </w:rPr>
        <w:t xml:space="preserve"> promedio </w:t>
      </w:r>
      <w:r w:rsidR="0038344F">
        <w:rPr>
          <w:sz w:val="28"/>
          <w:szCs w:val="28"/>
          <w:lang w:val="es-ES_tradnl"/>
        </w:rPr>
        <w:t>tres</w:t>
      </w:r>
      <w:r w:rsidR="0038344F" w:rsidRPr="00C074AB">
        <w:rPr>
          <w:sz w:val="28"/>
          <w:szCs w:val="28"/>
          <w:lang w:val="es-ES_tradnl"/>
        </w:rPr>
        <w:t xml:space="preserve"> casos</w:t>
      </w:r>
      <w:r w:rsidR="00462283" w:rsidRPr="00C074AB">
        <w:rPr>
          <w:sz w:val="28"/>
          <w:szCs w:val="28"/>
          <w:lang w:val="es-ES_tradnl"/>
        </w:rPr>
        <w:t xml:space="preserve"> mensuales</w:t>
      </w:r>
      <w:r w:rsidR="00DE2B04" w:rsidRPr="00C074AB">
        <w:rPr>
          <w:sz w:val="28"/>
          <w:szCs w:val="28"/>
          <w:lang w:val="es-ES_tradnl"/>
        </w:rPr>
        <w:t xml:space="preserve"> que cuentan con la participación del psicólogo o psicóloga y </w:t>
      </w:r>
      <w:r w:rsidR="0038344F">
        <w:rPr>
          <w:sz w:val="28"/>
          <w:szCs w:val="28"/>
          <w:lang w:val="es-ES_tradnl"/>
        </w:rPr>
        <w:t>tres</w:t>
      </w:r>
      <w:r w:rsidR="0038344F" w:rsidRPr="00C074AB">
        <w:rPr>
          <w:sz w:val="28"/>
          <w:szCs w:val="28"/>
          <w:lang w:val="es-ES_tradnl"/>
        </w:rPr>
        <w:t xml:space="preserve"> casos</w:t>
      </w:r>
      <w:r w:rsidR="008B329C" w:rsidRPr="00C074AB">
        <w:rPr>
          <w:sz w:val="28"/>
          <w:szCs w:val="28"/>
          <w:lang w:val="es-ES_tradnl"/>
        </w:rPr>
        <w:t xml:space="preserve"> </w:t>
      </w:r>
      <w:r w:rsidR="00DE2B04" w:rsidRPr="00C074AB">
        <w:rPr>
          <w:sz w:val="28"/>
          <w:szCs w:val="28"/>
          <w:lang w:val="es-ES_tradnl"/>
        </w:rPr>
        <w:t>con la participación del trabajador o trabajadora social</w:t>
      </w:r>
      <w:r w:rsidR="00462283" w:rsidRPr="00C074AB">
        <w:rPr>
          <w:sz w:val="28"/>
          <w:szCs w:val="28"/>
          <w:lang w:val="es-ES_tradnl"/>
        </w:rPr>
        <w:t xml:space="preserve">. </w:t>
      </w:r>
    </w:p>
    <w:p w:rsidR="00C04FD7" w:rsidRDefault="003C14D4" w:rsidP="00C074AB">
      <w:pPr>
        <w:spacing w:line="480" w:lineRule="auto"/>
        <w:jc w:val="both"/>
        <w:rPr>
          <w:bCs/>
          <w:i/>
          <w:sz w:val="28"/>
          <w:szCs w:val="28"/>
        </w:rPr>
      </w:pPr>
      <w:r w:rsidRPr="00C074AB">
        <w:rPr>
          <w:sz w:val="28"/>
          <w:szCs w:val="28"/>
          <w:lang w:val="es-ES_tradnl"/>
        </w:rPr>
        <w:t xml:space="preserve">3.  </w:t>
      </w:r>
      <w:r w:rsidR="006319CE" w:rsidRPr="00C074AB">
        <w:rPr>
          <w:sz w:val="28"/>
          <w:szCs w:val="28"/>
          <w:lang w:val="es-ES_tradnl"/>
        </w:rPr>
        <w:t>La dotación de estos</w:t>
      </w:r>
      <w:r w:rsidR="004D5550" w:rsidRPr="00C074AB">
        <w:rPr>
          <w:sz w:val="28"/>
          <w:szCs w:val="28"/>
          <w:lang w:val="es-ES_tradnl"/>
        </w:rPr>
        <w:t xml:space="preserve"> recursos ha </w:t>
      </w:r>
      <w:r w:rsidR="00C04FD7" w:rsidRPr="00C074AB">
        <w:rPr>
          <w:sz w:val="28"/>
          <w:szCs w:val="28"/>
          <w:lang w:val="es-ES_tradnl"/>
        </w:rPr>
        <w:t xml:space="preserve">permitido </w:t>
      </w:r>
      <w:r w:rsidR="0038344F" w:rsidRPr="00C074AB">
        <w:rPr>
          <w:sz w:val="28"/>
          <w:szCs w:val="28"/>
          <w:lang w:val="es-ES_tradnl"/>
        </w:rPr>
        <w:t>inicialmente reducir</w:t>
      </w:r>
      <w:r w:rsidR="004D5550" w:rsidRPr="00C074AB">
        <w:rPr>
          <w:sz w:val="28"/>
          <w:szCs w:val="28"/>
          <w:lang w:val="es-ES_tradnl"/>
        </w:rPr>
        <w:t xml:space="preserve"> los atrasos presentados por el Departamento de Trabajo Social y Psicología </w:t>
      </w:r>
      <w:r w:rsidR="00CF335F" w:rsidRPr="00C074AB">
        <w:rPr>
          <w:sz w:val="28"/>
          <w:szCs w:val="28"/>
          <w:lang w:val="es-ES_tradnl"/>
        </w:rPr>
        <w:t xml:space="preserve">para  la atención de los peritajes solicitados por el Juzgado de Niñez y Adolescencia </w:t>
      </w:r>
      <w:r w:rsidR="004D5550" w:rsidRPr="00C074AB">
        <w:rPr>
          <w:sz w:val="28"/>
          <w:szCs w:val="28"/>
          <w:lang w:val="es-ES_tradnl"/>
        </w:rPr>
        <w:t>reportados para el 2014</w:t>
      </w:r>
      <w:r w:rsidR="00262D08" w:rsidRPr="00C074AB">
        <w:rPr>
          <w:bCs/>
          <w:i/>
          <w:sz w:val="28"/>
          <w:szCs w:val="28"/>
        </w:rPr>
        <w:t xml:space="preserve">, pues anteriormente el tiempo promedio de espera oscilaba en un rango de </w:t>
      </w:r>
      <w:r w:rsidR="00C04FD7">
        <w:rPr>
          <w:bCs/>
          <w:i/>
          <w:sz w:val="28"/>
          <w:szCs w:val="28"/>
        </w:rPr>
        <w:t xml:space="preserve">siete </w:t>
      </w:r>
      <w:r w:rsidR="00262D08" w:rsidRPr="00C074AB">
        <w:rPr>
          <w:bCs/>
          <w:i/>
          <w:sz w:val="28"/>
          <w:szCs w:val="28"/>
        </w:rPr>
        <w:t xml:space="preserve">a 11 meses, siendo </w:t>
      </w:r>
      <w:r w:rsidR="00A5073D">
        <w:rPr>
          <w:bCs/>
          <w:i/>
          <w:sz w:val="28"/>
          <w:szCs w:val="28"/>
        </w:rPr>
        <w:t>siete</w:t>
      </w:r>
      <w:r w:rsidR="00A5073D" w:rsidRPr="00C074AB">
        <w:rPr>
          <w:bCs/>
          <w:i/>
          <w:sz w:val="28"/>
          <w:szCs w:val="28"/>
        </w:rPr>
        <w:t xml:space="preserve"> meses</w:t>
      </w:r>
      <w:r w:rsidR="00262D08" w:rsidRPr="00C074AB">
        <w:rPr>
          <w:bCs/>
          <w:i/>
          <w:sz w:val="28"/>
          <w:szCs w:val="28"/>
        </w:rPr>
        <w:t xml:space="preserve"> el tiempo más corto de espera para que la solicitud de peritaje fuese atendida y 11 meses el plazo más largo de espera para el mismo fin.  Este rango se redujo en el 2015 a </w:t>
      </w:r>
      <w:r w:rsidR="00A5073D">
        <w:rPr>
          <w:bCs/>
          <w:i/>
          <w:sz w:val="28"/>
          <w:szCs w:val="28"/>
        </w:rPr>
        <w:t>cinco</w:t>
      </w:r>
      <w:r w:rsidR="00A5073D" w:rsidRPr="00C074AB">
        <w:rPr>
          <w:bCs/>
          <w:i/>
          <w:sz w:val="28"/>
          <w:szCs w:val="28"/>
        </w:rPr>
        <w:t xml:space="preserve"> meses</w:t>
      </w:r>
      <w:r w:rsidR="00262D08" w:rsidRPr="00C074AB">
        <w:rPr>
          <w:bCs/>
          <w:i/>
          <w:sz w:val="28"/>
          <w:szCs w:val="28"/>
        </w:rPr>
        <w:t xml:space="preserve">, lo que muestra una reducción significativa del tiempo </w:t>
      </w:r>
      <w:r w:rsidR="00262D08" w:rsidRPr="00C074AB">
        <w:rPr>
          <w:bCs/>
          <w:i/>
          <w:sz w:val="28"/>
          <w:szCs w:val="28"/>
        </w:rPr>
        <w:lastRenderedPageBreak/>
        <w:t xml:space="preserve">en que la solicitud se mantenía en espera de ser atendida; tiempo que permanece constante al  reportarse en el 2016 un promedio que oscila entre </w:t>
      </w:r>
      <w:r w:rsidR="00A5073D">
        <w:rPr>
          <w:bCs/>
          <w:i/>
          <w:sz w:val="28"/>
          <w:szCs w:val="28"/>
        </w:rPr>
        <w:t>cuatro</w:t>
      </w:r>
      <w:r w:rsidR="00262D08" w:rsidRPr="00C074AB">
        <w:rPr>
          <w:bCs/>
          <w:i/>
          <w:sz w:val="28"/>
          <w:szCs w:val="28"/>
        </w:rPr>
        <w:t xml:space="preserve">  </w:t>
      </w:r>
      <w:r w:rsidR="00A5073D">
        <w:rPr>
          <w:bCs/>
          <w:i/>
          <w:sz w:val="28"/>
          <w:szCs w:val="28"/>
        </w:rPr>
        <w:t>cinco</w:t>
      </w:r>
      <w:r w:rsidR="00A5073D" w:rsidRPr="00C074AB">
        <w:rPr>
          <w:bCs/>
          <w:i/>
          <w:sz w:val="28"/>
          <w:szCs w:val="28"/>
        </w:rPr>
        <w:t xml:space="preserve"> meses</w:t>
      </w:r>
      <w:r w:rsidR="00262D08" w:rsidRPr="00C074AB">
        <w:rPr>
          <w:bCs/>
          <w:i/>
          <w:sz w:val="28"/>
          <w:szCs w:val="28"/>
        </w:rPr>
        <w:t xml:space="preserve"> para la atención de la mayoría de las solicitudes de peritaje.</w:t>
      </w:r>
    </w:p>
    <w:p w:rsidR="00C04FD7" w:rsidRDefault="00C04FD7" w:rsidP="00C074AB">
      <w:pPr>
        <w:spacing w:line="480" w:lineRule="auto"/>
        <w:jc w:val="both"/>
        <w:rPr>
          <w:bCs/>
          <w:i/>
          <w:sz w:val="28"/>
          <w:szCs w:val="28"/>
        </w:rPr>
      </w:pPr>
    </w:p>
    <w:p w:rsidR="006A667D" w:rsidRDefault="003C14D4" w:rsidP="00C074AB">
      <w:pPr>
        <w:spacing w:line="480" w:lineRule="auto"/>
        <w:jc w:val="both"/>
        <w:rPr>
          <w:sz w:val="28"/>
          <w:szCs w:val="28"/>
          <w:lang w:val="es-ES_tradnl"/>
        </w:rPr>
      </w:pPr>
      <w:r w:rsidRPr="00C074AB">
        <w:rPr>
          <w:sz w:val="28"/>
          <w:szCs w:val="28"/>
          <w:lang w:val="es-ES_tradnl"/>
        </w:rPr>
        <w:t xml:space="preserve">4. </w:t>
      </w:r>
      <w:r w:rsidR="00152E42" w:rsidRPr="00C074AB">
        <w:rPr>
          <w:sz w:val="28"/>
          <w:szCs w:val="28"/>
          <w:lang w:val="es-ES_tradnl"/>
        </w:rPr>
        <w:t>E</w:t>
      </w:r>
      <w:r w:rsidR="00252D5C" w:rsidRPr="00C074AB">
        <w:rPr>
          <w:sz w:val="28"/>
          <w:szCs w:val="28"/>
          <w:lang w:val="es-ES_tradnl"/>
        </w:rPr>
        <w:t xml:space="preserve">s </w:t>
      </w:r>
      <w:r w:rsidR="00C04FD7" w:rsidRPr="00C074AB">
        <w:rPr>
          <w:sz w:val="28"/>
          <w:szCs w:val="28"/>
          <w:lang w:val="es-ES_tradnl"/>
        </w:rPr>
        <w:t>importante</w:t>
      </w:r>
      <w:r w:rsidR="00252D5C" w:rsidRPr="00C074AB">
        <w:rPr>
          <w:sz w:val="28"/>
          <w:szCs w:val="28"/>
          <w:lang w:val="es-ES_tradnl"/>
        </w:rPr>
        <w:t xml:space="preserve"> mencionar, que</w:t>
      </w:r>
      <w:r w:rsidR="007C5A62" w:rsidRPr="00C074AB">
        <w:rPr>
          <w:sz w:val="28"/>
          <w:szCs w:val="28"/>
          <w:lang w:val="es-ES_tradnl"/>
        </w:rPr>
        <w:t xml:space="preserve"> se recomienda mantener  las plazas </w:t>
      </w:r>
      <w:r w:rsidR="00262D08" w:rsidRPr="00C074AB">
        <w:rPr>
          <w:sz w:val="28"/>
          <w:szCs w:val="28"/>
          <w:lang w:val="es-ES_tradnl"/>
        </w:rPr>
        <w:t xml:space="preserve">en su condición de extraordinarias a la espera de lo que ocurra con el </w:t>
      </w:r>
      <w:r w:rsidR="00152E42" w:rsidRPr="00C074AB">
        <w:rPr>
          <w:sz w:val="28"/>
          <w:szCs w:val="28"/>
          <w:lang w:val="es-ES_tradnl"/>
        </w:rPr>
        <w:t xml:space="preserve">proyecto de Ley </w:t>
      </w:r>
      <w:r w:rsidR="00504A9B" w:rsidRPr="00C074AB">
        <w:rPr>
          <w:sz w:val="28"/>
          <w:szCs w:val="28"/>
          <w:lang w:val="es-ES_tradnl"/>
        </w:rPr>
        <w:t xml:space="preserve">expediente N°19455 </w:t>
      </w:r>
      <w:r w:rsidR="00152E42" w:rsidRPr="00C074AB">
        <w:rPr>
          <w:sz w:val="28"/>
          <w:szCs w:val="28"/>
          <w:lang w:val="es-ES_tradnl"/>
        </w:rPr>
        <w:t>Código Procesal de Familia,</w:t>
      </w:r>
      <w:r w:rsidR="00262D08" w:rsidRPr="00C074AB">
        <w:rPr>
          <w:sz w:val="28"/>
          <w:szCs w:val="28"/>
          <w:lang w:val="es-ES_tradnl"/>
        </w:rPr>
        <w:t xml:space="preserve"> en el cual</w:t>
      </w:r>
      <w:r w:rsidR="00152E42" w:rsidRPr="00C074AB">
        <w:rPr>
          <w:sz w:val="28"/>
          <w:szCs w:val="28"/>
          <w:lang w:val="es-ES_tradnl"/>
        </w:rPr>
        <w:t xml:space="preserve"> se contempla una adición </w:t>
      </w:r>
      <w:r w:rsidR="004E1C3F" w:rsidRPr="00C074AB">
        <w:rPr>
          <w:sz w:val="28"/>
          <w:szCs w:val="28"/>
          <w:lang w:val="es-ES_tradnl"/>
        </w:rPr>
        <w:t>del artículo 85 bis</w:t>
      </w:r>
      <w:r w:rsidR="00504A9B" w:rsidRPr="00C074AB">
        <w:rPr>
          <w:sz w:val="28"/>
          <w:szCs w:val="28"/>
          <w:lang w:val="es-ES_tradnl"/>
        </w:rPr>
        <w:t xml:space="preserve"> (personal interdisciplinario auxiliar de justicia)</w:t>
      </w:r>
      <w:r w:rsidR="004E1C3F" w:rsidRPr="00C074AB">
        <w:rPr>
          <w:sz w:val="28"/>
          <w:szCs w:val="28"/>
          <w:lang w:val="es-ES_tradnl"/>
        </w:rPr>
        <w:t xml:space="preserve"> a la Ley Orgánica del Poder Judicial, el cual contempla que a cada uno de los Juzgados de Familia, Niñez y Adolescencia y Violencia Doméstica y Protección Cautelar</w:t>
      </w:r>
      <w:r w:rsidR="006A667D" w:rsidRPr="00C074AB">
        <w:rPr>
          <w:sz w:val="28"/>
          <w:szCs w:val="28"/>
          <w:lang w:val="es-ES_tradnl"/>
        </w:rPr>
        <w:t>,</w:t>
      </w:r>
      <w:r w:rsidR="004E1C3F" w:rsidRPr="00C074AB">
        <w:rPr>
          <w:sz w:val="28"/>
          <w:szCs w:val="28"/>
          <w:lang w:val="es-ES_tradnl"/>
        </w:rPr>
        <w:t xml:space="preserve"> se les adscribirá un profesional en trabajo social y un profesional en psicología</w:t>
      </w:r>
      <w:r w:rsidR="00430F98" w:rsidRPr="00C074AB">
        <w:rPr>
          <w:sz w:val="28"/>
          <w:szCs w:val="28"/>
          <w:lang w:val="es-ES_tradnl"/>
        </w:rPr>
        <w:t xml:space="preserve">.  Ante tal situación, y siendo que el proyecto de Ley establece que estos recursos estarán adscritos administrativa y funcionalmente a cada juzgado y que el Departamento de Trabajo Social y Psicología  tendrá únicamente, una supervisión técnica sobre ellos </w:t>
      </w:r>
      <w:r w:rsidR="004E1C3F" w:rsidRPr="00C074AB">
        <w:rPr>
          <w:sz w:val="28"/>
          <w:szCs w:val="28"/>
          <w:lang w:val="es-ES_tradnl"/>
        </w:rPr>
        <w:t>es importante mantener est</w:t>
      </w:r>
      <w:r w:rsidR="00430F98" w:rsidRPr="00C074AB">
        <w:rPr>
          <w:sz w:val="28"/>
          <w:szCs w:val="28"/>
          <w:lang w:val="es-ES_tradnl"/>
        </w:rPr>
        <w:t xml:space="preserve">e equipo laborando en forma extraordinaria a </w:t>
      </w:r>
      <w:r w:rsidR="006A667D" w:rsidRPr="00C074AB">
        <w:rPr>
          <w:sz w:val="28"/>
          <w:szCs w:val="28"/>
          <w:lang w:val="es-ES_tradnl"/>
        </w:rPr>
        <w:t>espera de las reformas que eventualmente podrían presentarse</w:t>
      </w:r>
      <w:r w:rsidR="001A6907" w:rsidRPr="00C074AB">
        <w:rPr>
          <w:sz w:val="28"/>
          <w:szCs w:val="28"/>
          <w:lang w:val="es-ES_tradnl"/>
        </w:rPr>
        <w:t xml:space="preserve"> o de las necesidades reales de estos profesionales que se logren determinar en </w:t>
      </w:r>
      <w:r w:rsidR="00430F98" w:rsidRPr="00C074AB">
        <w:rPr>
          <w:sz w:val="28"/>
          <w:szCs w:val="28"/>
          <w:lang w:val="es-ES_tradnl"/>
        </w:rPr>
        <w:t>el</w:t>
      </w:r>
      <w:r w:rsidR="001A6907" w:rsidRPr="00C074AB">
        <w:rPr>
          <w:sz w:val="28"/>
          <w:szCs w:val="28"/>
          <w:lang w:val="es-ES_tradnl"/>
        </w:rPr>
        <w:t xml:space="preserve"> estudio de impacto de dicha reforma, que actualmente se realiza</w:t>
      </w:r>
      <w:r w:rsidR="006A667D" w:rsidRPr="00C074AB">
        <w:rPr>
          <w:sz w:val="28"/>
          <w:szCs w:val="28"/>
          <w:lang w:val="es-ES_tradnl"/>
        </w:rPr>
        <w:t>.</w:t>
      </w:r>
    </w:p>
    <w:p w:rsidR="00734461" w:rsidRDefault="00734461" w:rsidP="00C074AB">
      <w:pPr>
        <w:spacing w:line="480" w:lineRule="auto"/>
        <w:jc w:val="both"/>
        <w:rPr>
          <w:sz w:val="28"/>
          <w:szCs w:val="28"/>
          <w:lang w:val="es-ES_tradnl"/>
        </w:rPr>
      </w:pPr>
    </w:p>
    <w:p w:rsidR="00734461" w:rsidRDefault="00734461" w:rsidP="00734461">
      <w:pPr>
        <w:autoSpaceDE w:val="0"/>
        <w:autoSpaceDN w:val="0"/>
        <w:adjustRightInd w:val="0"/>
        <w:spacing w:line="480" w:lineRule="auto"/>
        <w:jc w:val="both"/>
        <w:rPr>
          <w:sz w:val="28"/>
          <w:szCs w:val="28"/>
          <w:lang w:val="es-ES_tradnl"/>
        </w:rPr>
      </w:pPr>
      <w:r>
        <w:rPr>
          <w:sz w:val="28"/>
          <w:szCs w:val="28"/>
          <w:lang w:val="es-ES_tradnl"/>
        </w:rPr>
        <w:t>5.</w:t>
      </w:r>
      <w:r>
        <w:rPr>
          <w:sz w:val="28"/>
          <w:szCs w:val="28"/>
          <w:lang w:val="es-ES_tradnl"/>
        </w:rPr>
        <w:tab/>
        <w:t xml:space="preserve">En virtud de que en promedio en el 2016 se concluyó tanto por parte de las trabajadoras o trabajadores sociales y las psicólogas o psicólogos un promedio de tres </w:t>
      </w:r>
      <w:r>
        <w:rPr>
          <w:sz w:val="28"/>
          <w:szCs w:val="28"/>
          <w:lang w:val="es-ES_tradnl"/>
        </w:rPr>
        <w:lastRenderedPageBreak/>
        <w:t>casos mensuales, deberá de conformidad con el estudio integral del Departamento de Trabajo Social y Psicología que se lleva a cabo en esta Dirección, cumplir con el parámetro establecido en materia de niñez y adolescencia, el cual asciende a un mínimo de cuatro casos mensuales terminados para el caso de las psicólogas o psicólogos y de cinco para la trabajadora o trabajador social</w:t>
      </w:r>
      <w:r w:rsidR="000554D2">
        <w:rPr>
          <w:sz w:val="28"/>
          <w:szCs w:val="28"/>
          <w:lang w:val="es-ES_tradnl"/>
        </w:rPr>
        <w:t>, por lo que deberá incrementarse el rendimiento de esos recursos</w:t>
      </w:r>
      <w:r>
        <w:rPr>
          <w:sz w:val="28"/>
          <w:szCs w:val="28"/>
          <w:lang w:val="es-ES_tradnl"/>
        </w:rPr>
        <w:t>.</w:t>
      </w:r>
    </w:p>
    <w:p w:rsidR="00734461" w:rsidRDefault="00734461" w:rsidP="00734461">
      <w:pPr>
        <w:autoSpaceDE w:val="0"/>
        <w:autoSpaceDN w:val="0"/>
        <w:adjustRightInd w:val="0"/>
        <w:spacing w:line="480" w:lineRule="auto"/>
        <w:jc w:val="both"/>
        <w:rPr>
          <w:sz w:val="28"/>
          <w:szCs w:val="28"/>
          <w:lang w:val="es-ES_tradnl"/>
        </w:rPr>
      </w:pPr>
    </w:p>
    <w:p w:rsidR="00734461" w:rsidRPr="00604651" w:rsidRDefault="00734461" w:rsidP="00C074AB">
      <w:pPr>
        <w:spacing w:line="480" w:lineRule="auto"/>
        <w:jc w:val="both"/>
        <w:rPr>
          <w:rFonts w:ascii="Calibri" w:hAnsi="Calibri"/>
          <w:lang w:val="es-ES_tradnl"/>
        </w:rPr>
      </w:pPr>
    </w:p>
    <w:p w:rsidR="002857FE" w:rsidRPr="00C074AB" w:rsidRDefault="002857FE" w:rsidP="001661A0">
      <w:pPr>
        <w:pStyle w:val="Ttulo2"/>
      </w:pPr>
      <w:r w:rsidRPr="00C074AB">
        <w:t>V</w:t>
      </w:r>
      <w:r w:rsidR="00E502A4" w:rsidRPr="00C074AB">
        <w:t>.</w:t>
      </w:r>
      <w:r w:rsidRPr="00C074AB">
        <w:t xml:space="preserve"> Recomendaciones</w:t>
      </w:r>
    </w:p>
    <w:p w:rsidR="00792006" w:rsidRPr="00C074AB" w:rsidRDefault="00792006" w:rsidP="00B614A6">
      <w:pPr>
        <w:jc w:val="both"/>
        <w:rPr>
          <w:sz w:val="28"/>
          <w:szCs w:val="28"/>
        </w:rPr>
      </w:pPr>
    </w:p>
    <w:p w:rsidR="00792006" w:rsidRPr="00C074AB" w:rsidRDefault="00792006" w:rsidP="00792006">
      <w:pPr>
        <w:keepLines/>
        <w:tabs>
          <w:tab w:val="left" w:pos="1080"/>
        </w:tabs>
        <w:jc w:val="both"/>
        <w:rPr>
          <w:b/>
          <w:bCs/>
          <w:sz w:val="28"/>
          <w:szCs w:val="28"/>
        </w:rPr>
      </w:pPr>
      <w:r w:rsidRPr="00C074AB">
        <w:rPr>
          <w:b/>
          <w:bCs/>
          <w:sz w:val="28"/>
          <w:szCs w:val="28"/>
        </w:rPr>
        <w:t>En cuanto a recursos se recomienda lo siguiente:</w:t>
      </w:r>
    </w:p>
    <w:p w:rsidR="00792006" w:rsidRPr="00C074AB" w:rsidRDefault="00792006" w:rsidP="00792006">
      <w:pPr>
        <w:keepLines/>
        <w:tabs>
          <w:tab w:val="left" w:pos="1080"/>
        </w:tabs>
        <w:jc w:val="both"/>
        <w:rPr>
          <w:b/>
          <w:bCs/>
          <w:sz w:val="28"/>
          <w:szCs w:val="28"/>
        </w:rPr>
      </w:pPr>
    </w:p>
    <w:tbl>
      <w:tblPr>
        <w:tblW w:w="10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9"/>
        <w:gridCol w:w="750"/>
        <w:gridCol w:w="1499"/>
        <w:gridCol w:w="1499"/>
        <w:gridCol w:w="1312"/>
        <w:gridCol w:w="1312"/>
        <w:gridCol w:w="1737"/>
        <w:gridCol w:w="1263"/>
      </w:tblGrid>
      <w:tr w:rsidR="00792006" w:rsidRPr="00C074AB">
        <w:trPr>
          <w:trHeight w:val="410"/>
          <w:jc w:val="center"/>
        </w:trPr>
        <w:tc>
          <w:tcPr>
            <w:tcW w:w="1499" w:type="dxa"/>
            <w:shd w:val="clear" w:color="auto" w:fill="auto"/>
            <w:vAlign w:val="center"/>
          </w:tcPr>
          <w:p w:rsidR="00792006" w:rsidRPr="00C074AB" w:rsidRDefault="00792006" w:rsidP="00712625">
            <w:pPr>
              <w:snapToGrid w:val="0"/>
              <w:jc w:val="center"/>
              <w:rPr>
                <w:sz w:val="22"/>
                <w:szCs w:val="22"/>
              </w:rPr>
            </w:pPr>
            <w:r w:rsidRPr="00C074AB">
              <w:rPr>
                <w:b/>
                <w:bCs/>
                <w:sz w:val="22"/>
                <w:szCs w:val="22"/>
              </w:rPr>
              <w:t>Despacho</w:t>
            </w:r>
          </w:p>
        </w:tc>
        <w:tc>
          <w:tcPr>
            <w:tcW w:w="750" w:type="dxa"/>
            <w:shd w:val="clear" w:color="auto" w:fill="auto"/>
            <w:vAlign w:val="center"/>
          </w:tcPr>
          <w:p w:rsidR="00792006" w:rsidRPr="00C074AB" w:rsidRDefault="00792006" w:rsidP="00712625">
            <w:pPr>
              <w:snapToGrid w:val="0"/>
              <w:jc w:val="center"/>
              <w:rPr>
                <w:sz w:val="22"/>
                <w:szCs w:val="22"/>
              </w:rPr>
            </w:pPr>
            <w:r w:rsidRPr="00C074AB">
              <w:rPr>
                <w:b/>
                <w:bCs/>
                <w:sz w:val="22"/>
                <w:szCs w:val="22"/>
              </w:rPr>
              <w:t>Cant.</w:t>
            </w:r>
          </w:p>
        </w:tc>
        <w:tc>
          <w:tcPr>
            <w:tcW w:w="1499" w:type="dxa"/>
            <w:shd w:val="clear" w:color="auto" w:fill="auto"/>
            <w:vAlign w:val="center"/>
          </w:tcPr>
          <w:p w:rsidR="00792006" w:rsidRPr="00C074AB" w:rsidRDefault="00792006" w:rsidP="00712625">
            <w:pPr>
              <w:autoSpaceDE w:val="0"/>
              <w:autoSpaceDN w:val="0"/>
              <w:adjustRightInd w:val="0"/>
              <w:jc w:val="center"/>
              <w:rPr>
                <w:sz w:val="22"/>
                <w:szCs w:val="22"/>
                <w:lang w:val="es-CR"/>
              </w:rPr>
            </w:pPr>
            <w:r w:rsidRPr="00C074AB">
              <w:rPr>
                <w:b/>
                <w:bCs/>
                <w:sz w:val="22"/>
                <w:szCs w:val="22"/>
              </w:rPr>
              <w:t>Tipo de plaza</w:t>
            </w:r>
          </w:p>
        </w:tc>
        <w:tc>
          <w:tcPr>
            <w:tcW w:w="1499" w:type="dxa"/>
            <w:shd w:val="clear" w:color="auto" w:fill="auto"/>
            <w:vAlign w:val="center"/>
          </w:tcPr>
          <w:p w:rsidR="00792006" w:rsidRPr="00C074AB" w:rsidRDefault="00792006" w:rsidP="00712625">
            <w:pPr>
              <w:jc w:val="center"/>
              <w:rPr>
                <w:sz w:val="22"/>
                <w:szCs w:val="22"/>
              </w:rPr>
            </w:pPr>
            <w:r w:rsidRPr="00C074AB">
              <w:rPr>
                <w:b/>
                <w:bCs/>
                <w:sz w:val="22"/>
                <w:szCs w:val="22"/>
              </w:rPr>
              <w:t>Condición actual</w:t>
            </w:r>
          </w:p>
        </w:tc>
        <w:tc>
          <w:tcPr>
            <w:tcW w:w="1312" w:type="dxa"/>
            <w:shd w:val="clear" w:color="auto" w:fill="auto"/>
            <w:vAlign w:val="center"/>
          </w:tcPr>
          <w:p w:rsidR="00792006" w:rsidRPr="00C074AB" w:rsidRDefault="00792006" w:rsidP="00712625">
            <w:pPr>
              <w:snapToGrid w:val="0"/>
              <w:jc w:val="center"/>
              <w:rPr>
                <w:sz w:val="22"/>
                <w:szCs w:val="22"/>
              </w:rPr>
            </w:pPr>
            <w:r w:rsidRPr="00C074AB">
              <w:rPr>
                <w:b/>
                <w:bCs/>
                <w:sz w:val="22"/>
                <w:szCs w:val="22"/>
              </w:rPr>
              <w:t>Recomen-dación</w:t>
            </w:r>
          </w:p>
        </w:tc>
        <w:tc>
          <w:tcPr>
            <w:tcW w:w="1312" w:type="dxa"/>
            <w:shd w:val="clear" w:color="auto" w:fill="auto"/>
            <w:vAlign w:val="center"/>
          </w:tcPr>
          <w:p w:rsidR="00792006" w:rsidRPr="00C074AB" w:rsidRDefault="00792006" w:rsidP="00712625">
            <w:pPr>
              <w:snapToGrid w:val="0"/>
              <w:jc w:val="center"/>
              <w:rPr>
                <w:sz w:val="22"/>
                <w:szCs w:val="22"/>
              </w:rPr>
            </w:pPr>
            <w:r w:rsidRPr="00C074AB">
              <w:rPr>
                <w:b/>
                <w:bCs/>
                <w:sz w:val="22"/>
                <w:szCs w:val="22"/>
              </w:rPr>
              <w:t>Período</w:t>
            </w:r>
          </w:p>
        </w:tc>
        <w:tc>
          <w:tcPr>
            <w:tcW w:w="1737" w:type="dxa"/>
            <w:shd w:val="clear" w:color="auto" w:fill="auto"/>
            <w:vAlign w:val="center"/>
          </w:tcPr>
          <w:p w:rsidR="00792006" w:rsidRPr="00C074AB" w:rsidRDefault="00792006" w:rsidP="00712625">
            <w:pPr>
              <w:jc w:val="center"/>
              <w:rPr>
                <w:sz w:val="22"/>
                <w:szCs w:val="22"/>
              </w:rPr>
            </w:pPr>
            <w:r w:rsidRPr="00C074AB">
              <w:rPr>
                <w:b/>
                <w:bCs/>
                <w:sz w:val="22"/>
                <w:szCs w:val="22"/>
              </w:rPr>
              <w:t>Costo Estimado</w:t>
            </w:r>
          </w:p>
        </w:tc>
        <w:tc>
          <w:tcPr>
            <w:tcW w:w="1263" w:type="dxa"/>
            <w:shd w:val="clear" w:color="auto" w:fill="auto"/>
          </w:tcPr>
          <w:p w:rsidR="00792006" w:rsidRPr="00C074AB" w:rsidRDefault="00792006" w:rsidP="00712625">
            <w:pPr>
              <w:snapToGrid w:val="0"/>
              <w:jc w:val="center"/>
              <w:rPr>
                <w:sz w:val="22"/>
                <w:szCs w:val="22"/>
              </w:rPr>
            </w:pPr>
            <w:r w:rsidRPr="00C074AB">
              <w:rPr>
                <w:b/>
                <w:bCs/>
                <w:sz w:val="22"/>
                <w:szCs w:val="22"/>
              </w:rPr>
              <w:t>Prioridad</w:t>
            </w:r>
          </w:p>
        </w:tc>
      </w:tr>
      <w:tr w:rsidR="002D35E4" w:rsidRPr="00C074AB">
        <w:trPr>
          <w:trHeight w:val="602"/>
          <w:jc w:val="center"/>
        </w:trPr>
        <w:tc>
          <w:tcPr>
            <w:tcW w:w="1499" w:type="dxa"/>
            <w:vMerge w:val="restart"/>
            <w:shd w:val="clear" w:color="auto" w:fill="auto"/>
            <w:vAlign w:val="center"/>
          </w:tcPr>
          <w:p w:rsidR="002D35E4" w:rsidRPr="00C074AB" w:rsidRDefault="002D35E4" w:rsidP="002D35E4">
            <w:pPr>
              <w:snapToGrid w:val="0"/>
              <w:jc w:val="center"/>
              <w:rPr>
                <w:sz w:val="22"/>
                <w:szCs w:val="22"/>
              </w:rPr>
            </w:pPr>
            <w:r w:rsidRPr="00C074AB">
              <w:rPr>
                <w:sz w:val="22"/>
                <w:szCs w:val="22"/>
              </w:rPr>
              <w:t xml:space="preserve">Departamento de Trabajo Social y </w:t>
            </w:r>
          </w:p>
        </w:tc>
        <w:tc>
          <w:tcPr>
            <w:tcW w:w="750" w:type="dxa"/>
            <w:shd w:val="clear" w:color="auto" w:fill="auto"/>
            <w:vAlign w:val="center"/>
          </w:tcPr>
          <w:p w:rsidR="002D35E4" w:rsidRPr="00C074AB" w:rsidRDefault="002D35E4" w:rsidP="002D35E4">
            <w:pPr>
              <w:snapToGrid w:val="0"/>
              <w:jc w:val="center"/>
              <w:rPr>
                <w:sz w:val="22"/>
                <w:szCs w:val="22"/>
              </w:rPr>
            </w:pPr>
            <w:r w:rsidRPr="00C074AB">
              <w:rPr>
                <w:sz w:val="22"/>
                <w:szCs w:val="22"/>
              </w:rPr>
              <w:t>1</w:t>
            </w:r>
          </w:p>
        </w:tc>
        <w:tc>
          <w:tcPr>
            <w:tcW w:w="1499" w:type="dxa"/>
            <w:shd w:val="clear" w:color="auto" w:fill="auto"/>
            <w:vAlign w:val="center"/>
          </w:tcPr>
          <w:p w:rsidR="002D35E4" w:rsidRPr="00C074AB" w:rsidRDefault="002D35E4" w:rsidP="002D35E4">
            <w:pPr>
              <w:autoSpaceDE w:val="0"/>
              <w:autoSpaceDN w:val="0"/>
              <w:adjustRightInd w:val="0"/>
              <w:jc w:val="center"/>
              <w:rPr>
                <w:sz w:val="22"/>
                <w:szCs w:val="22"/>
                <w:lang w:val="es-CR"/>
              </w:rPr>
            </w:pPr>
            <w:r w:rsidRPr="00C074AB">
              <w:rPr>
                <w:sz w:val="22"/>
                <w:szCs w:val="22"/>
                <w:lang w:val="es-CR"/>
              </w:rPr>
              <w:t>Perito Judicial 2 (Psicólogo)</w:t>
            </w:r>
          </w:p>
        </w:tc>
        <w:tc>
          <w:tcPr>
            <w:tcW w:w="1499" w:type="dxa"/>
            <w:shd w:val="clear" w:color="auto" w:fill="auto"/>
            <w:vAlign w:val="center"/>
          </w:tcPr>
          <w:p w:rsidR="002D35E4" w:rsidRPr="00C074AB" w:rsidRDefault="002D35E4" w:rsidP="002D35E4">
            <w:pPr>
              <w:jc w:val="center"/>
              <w:rPr>
                <w:sz w:val="22"/>
                <w:szCs w:val="22"/>
              </w:rPr>
            </w:pPr>
            <w:r w:rsidRPr="00C074AB">
              <w:rPr>
                <w:sz w:val="22"/>
                <w:szCs w:val="22"/>
              </w:rPr>
              <w:t>Extraordinaria</w:t>
            </w:r>
          </w:p>
        </w:tc>
        <w:tc>
          <w:tcPr>
            <w:tcW w:w="1312" w:type="dxa"/>
            <w:vMerge w:val="restart"/>
            <w:shd w:val="clear" w:color="auto" w:fill="auto"/>
            <w:vAlign w:val="center"/>
          </w:tcPr>
          <w:p w:rsidR="002D35E4" w:rsidRPr="00C074AB" w:rsidRDefault="002D35E4" w:rsidP="002D35E4">
            <w:pPr>
              <w:snapToGrid w:val="0"/>
              <w:jc w:val="center"/>
              <w:rPr>
                <w:sz w:val="22"/>
                <w:szCs w:val="22"/>
              </w:rPr>
            </w:pPr>
            <w:r w:rsidRPr="00C074AB">
              <w:rPr>
                <w:sz w:val="22"/>
                <w:szCs w:val="22"/>
              </w:rPr>
              <w:t>Extraordinaria</w:t>
            </w:r>
          </w:p>
        </w:tc>
        <w:tc>
          <w:tcPr>
            <w:tcW w:w="1312" w:type="dxa"/>
            <w:shd w:val="clear" w:color="auto" w:fill="auto"/>
            <w:vAlign w:val="center"/>
          </w:tcPr>
          <w:p w:rsidR="002D35E4" w:rsidRPr="00C074AB" w:rsidRDefault="002D35E4" w:rsidP="002D35E4">
            <w:pPr>
              <w:snapToGrid w:val="0"/>
              <w:jc w:val="center"/>
              <w:rPr>
                <w:sz w:val="22"/>
                <w:szCs w:val="22"/>
              </w:rPr>
            </w:pPr>
            <w:r w:rsidRPr="00C074AB">
              <w:rPr>
                <w:sz w:val="22"/>
                <w:szCs w:val="22"/>
              </w:rPr>
              <w:t>1 año</w:t>
            </w:r>
          </w:p>
        </w:tc>
        <w:tc>
          <w:tcPr>
            <w:tcW w:w="1737" w:type="dxa"/>
            <w:shd w:val="clear" w:color="auto" w:fill="auto"/>
            <w:vAlign w:val="center"/>
          </w:tcPr>
          <w:p w:rsidR="002D35E4" w:rsidRPr="00604651" w:rsidRDefault="002D35E4" w:rsidP="002D35E4">
            <w:pPr>
              <w:jc w:val="center"/>
              <w:rPr>
                <w:sz w:val="22"/>
                <w:szCs w:val="22"/>
              </w:rPr>
            </w:pPr>
            <w:r w:rsidRPr="00604651">
              <w:rPr>
                <w:sz w:val="22"/>
                <w:szCs w:val="22"/>
              </w:rPr>
              <w:t>¢ 38.639.000</w:t>
            </w:r>
          </w:p>
          <w:p w:rsidR="002D35E4" w:rsidRPr="00C074AB" w:rsidRDefault="002D35E4" w:rsidP="002D35E4">
            <w:pPr>
              <w:jc w:val="center"/>
              <w:rPr>
                <w:sz w:val="22"/>
                <w:szCs w:val="22"/>
              </w:rPr>
            </w:pPr>
          </w:p>
        </w:tc>
        <w:tc>
          <w:tcPr>
            <w:tcW w:w="1263" w:type="dxa"/>
            <w:shd w:val="clear" w:color="auto" w:fill="auto"/>
          </w:tcPr>
          <w:p w:rsidR="002D35E4" w:rsidRPr="00C074AB" w:rsidRDefault="002D35E4" w:rsidP="002D35E4">
            <w:pPr>
              <w:snapToGrid w:val="0"/>
              <w:jc w:val="center"/>
              <w:rPr>
                <w:sz w:val="22"/>
                <w:szCs w:val="22"/>
              </w:rPr>
            </w:pPr>
          </w:p>
          <w:p w:rsidR="002D35E4" w:rsidRPr="00C074AB" w:rsidRDefault="002D35E4" w:rsidP="002D35E4">
            <w:pPr>
              <w:snapToGrid w:val="0"/>
              <w:jc w:val="center"/>
              <w:rPr>
                <w:sz w:val="22"/>
                <w:szCs w:val="22"/>
              </w:rPr>
            </w:pPr>
            <w:r w:rsidRPr="00C074AB">
              <w:rPr>
                <w:sz w:val="22"/>
                <w:szCs w:val="22"/>
              </w:rPr>
              <w:t>1</w:t>
            </w:r>
          </w:p>
        </w:tc>
      </w:tr>
      <w:tr w:rsidR="002D35E4" w:rsidRPr="00C074AB">
        <w:trPr>
          <w:trHeight w:val="116"/>
          <w:jc w:val="center"/>
        </w:trPr>
        <w:tc>
          <w:tcPr>
            <w:tcW w:w="1499" w:type="dxa"/>
            <w:vMerge/>
            <w:shd w:val="clear" w:color="auto" w:fill="auto"/>
            <w:vAlign w:val="center"/>
          </w:tcPr>
          <w:p w:rsidR="002D35E4" w:rsidRPr="00C074AB" w:rsidRDefault="002D35E4" w:rsidP="002D35E4">
            <w:pPr>
              <w:snapToGrid w:val="0"/>
              <w:jc w:val="center"/>
              <w:rPr>
                <w:sz w:val="22"/>
                <w:szCs w:val="22"/>
              </w:rPr>
            </w:pPr>
          </w:p>
        </w:tc>
        <w:tc>
          <w:tcPr>
            <w:tcW w:w="750" w:type="dxa"/>
            <w:shd w:val="clear" w:color="auto" w:fill="auto"/>
            <w:vAlign w:val="center"/>
          </w:tcPr>
          <w:p w:rsidR="002D35E4" w:rsidRPr="00C074AB" w:rsidRDefault="002D35E4" w:rsidP="002D35E4">
            <w:pPr>
              <w:snapToGrid w:val="0"/>
              <w:jc w:val="center"/>
              <w:rPr>
                <w:sz w:val="22"/>
                <w:szCs w:val="22"/>
              </w:rPr>
            </w:pPr>
            <w:r w:rsidRPr="00C074AB">
              <w:rPr>
                <w:sz w:val="22"/>
                <w:szCs w:val="22"/>
              </w:rPr>
              <w:t>1</w:t>
            </w:r>
          </w:p>
        </w:tc>
        <w:tc>
          <w:tcPr>
            <w:tcW w:w="1499" w:type="dxa"/>
            <w:shd w:val="clear" w:color="auto" w:fill="auto"/>
            <w:vAlign w:val="center"/>
          </w:tcPr>
          <w:p w:rsidR="002D35E4" w:rsidRPr="00C074AB" w:rsidRDefault="002D35E4" w:rsidP="002D35E4">
            <w:pPr>
              <w:autoSpaceDE w:val="0"/>
              <w:autoSpaceDN w:val="0"/>
              <w:adjustRightInd w:val="0"/>
              <w:jc w:val="center"/>
              <w:rPr>
                <w:sz w:val="22"/>
                <w:szCs w:val="22"/>
                <w:lang w:val="es-CR"/>
              </w:rPr>
            </w:pPr>
            <w:r w:rsidRPr="00C074AB">
              <w:rPr>
                <w:sz w:val="22"/>
                <w:szCs w:val="22"/>
                <w:lang w:val="es-CR"/>
              </w:rPr>
              <w:t>Perito Judicial 2</w:t>
            </w:r>
          </w:p>
          <w:p w:rsidR="002D35E4" w:rsidRPr="00C074AB" w:rsidRDefault="002D35E4" w:rsidP="002D35E4">
            <w:pPr>
              <w:autoSpaceDE w:val="0"/>
              <w:autoSpaceDN w:val="0"/>
              <w:adjustRightInd w:val="0"/>
              <w:jc w:val="center"/>
              <w:rPr>
                <w:sz w:val="22"/>
                <w:szCs w:val="22"/>
                <w:lang w:val="es-CR"/>
              </w:rPr>
            </w:pPr>
            <w:r w:rsidRPr="00C074AB">
              <w:rPr>
                <w:sz w:val="22"/>
                <w:szCs w:val="22"/>
                <w:lang w:val="es-CR"/>
              </w:rPr>
              <w:t>(Trabajador Social)</w:t>
            </w:r>
          </w:p>
        </w:tc>
        <w:tc>
          <w:tcPr>
            <w:tcW w:w="1499" w:type="dxa"/>
            <w:shd w:val="clear" w:color="auto" w:fill="auto"/>
            <w:vAlign w:val="center"/>
          </w:tcPr>
          <w:p w:rsidR="002D35E4" w:rsidRPr="00C074AB" w:rsidRDefault="002D35E4" w:rsidP="002D35E4">
            <w:pPr>
              <w:jc w:val="center"/>
              <w:rPr>
                <w:sz w:val="22"/>
                <w:szCs w:val="22"/>
              </w:rPr>
            </w:pPr>
            <w:r w:rsidRPr="00C074AB">
              <w:rPr>
                <w:sz w:val="22"/>
                <w:szCs w:val="22"/>
              </w:rPr>
              <w:t>Extraordinaria</w:t>
            </w:r>
          </w:p>
        </w:tc>
        <w:tc>
          <w:tcPr>
            <w:tcW w:w="1312" w:type="dxa"/>
            <w:vMerge/>
            <w:shd w:val="clear" w:color="auto" w:fill="auto"/>
            <w:vAlign w:val="center"/>
          </w:tcPr>
          <w:p w:rsidR="002D35E4" w:rsidRPr="00C074AB" w:rsidRDefault="002D35E4" w:rsidP="002D35E4">
            <w:pPr>
              <w:snapToGrid w:val="0"/>
              <w:jc w:val="center"/>
              <w:rPr>
                <w:sz w:val="22"/>
                <w:szCs w:val="22"/>
              </w:rPr>
            </w:pPr>
          </w:p>
        </w:tc>
        <w:tc>
          <w:tcPr>
            <w:tcW w:w="1312" w:type="dxa"/>
            <w:shd w:val="clear" w:color="auto" w:fill="auto"/>
            <w:vAlign w:val="center"/>
          </w:tcPr>
          <w:p w:rsidR="002D35E4" w:rsidRPr="00C074AB" w:rsidRDefault="002D35E4" w:rsidP="002D35E4">
            <w:pPr>
              <w:snapToGrid w:val="0"/>
              <w:jc w:val="center"/>
              <w:rPr>
                <w:sz w:val="22"/>
                <w:szCs w:val="22"/>
              </w:rPr>
            </w:pPr>
            <w:r w:rsidRPr="00C074AB">
              <w:rPr>
                <w:sz w:val="22"/>
                <w:szCs w:val="22"/>
              </w:rPr>
              <w:t>1 año</w:t>
            </w:r>
          </w:p>
        </w:tc>
        <w:tc>
          <w:tcPr>
            <w:tcW w:w="1737" w:type="dxa"/>
            <w:shd w:val="clear" w:color="auto" w:fill="auto"/>
            <w:vAlign w:val="center"/>
          </w:tcPr>
          <w:p w:rsidR="002D35E4" w:rsidRPr="00604651" w:rsidRDefault="002D35E4" w:rsidP="002D35E4">
            <w:pPr>
              <w:jc w:val="center"/>
              <w:rPr>
                <w:sz w:val="22"/>
                <w:szCs w:val="22"/>
              </w:rPr>
            </w:pPr>
            <w:r w:rsidRPr="00604651">
              <w:rPr>
                <w:sz w:val="22"/>
                <w:szCs w:val="22"/>
              </w:rPr>
              <w:t>¢ 38.639.000</w:t>
            </w:r>
          </w:p>
          <w:p w:rsidR="002D35E4" w:rsidRPr="00C074AB" w:rsidRDefault="002D35E4" w:rsidP="002D35E4">
            <w:pPr>
              <w:jc w:val="center"/>
              <w:rPr>
                <w:sz w:val="22"/>
                <w:szCs w:val="22"/>
              </w:rPr>
            </w:pPr>
          </w:p>
        </w:tc>
        <w:tc>
          <w:tcPr>
            <w:tcW w:w="1263" w:type="dxa"/>
            <w:shd w:val="clear" w:color="auto" w:fill="auto"/>
          </w:tcPr>
          <w:p w:rsidR="002D35E4" w:rsidRPr="00C074AB" w:rsidRDefault="002D35E4" w:rsidP="002D35E4">
            <w:pPr>
              <w:snapToGrid w:val="0"/>
              <w:jc w:val="center"/>
              <w:rPr>
                <w:sz w:val="22"/>
                <w:szCs w:val="22"/>
              </w:rPr>
            </w:pPr>
          </w:p>
          <w:p w:rsidR="002D35E4" w:rsidRPr="00C074AB" w:rsidRDefault="002D35E4" w:rsidP="002D35E4">
            <w:pPr>
              <w:snapToGrid w:val="0"/>
              <w:jc w:val="center"/>
              <w:rPr>
                <w:sz w:val="22"/>
                <w:szCs w:val="22"/>
              </w:rPr>
            </w:pPr>
            <w:r w:rsidRPr="00C074AB">
              <w:rPr>
                <w:sz w:val="22"/>
                <w:szCs w:val="22"/>
              </w:rPr>
              <w:t>1</w:t>
            </w:r>
          </w:p>
        </w:tc>
      </w:tr>
    </w:tbl>
    <w:p w:rsidR="00BE73C4" w:rsidRPr="00C074AB" w:rsidRDefault="00BE73C4" w:rsidP="00792006">
      <w:pPr>
        <w:jc w:val="both"/>
        <w:rPr>
          <w:rFonts w:ascii="Calibri" w:hAnsi="Calibri"/>
          <w:sz w:val="18"/>
          <w:szCs w:val="18"/>
        </w:rPr>
      </w:pPr>
    </w:p>
    <w:p w:rsidR="00BE73C4" w:rsidRPr="00C074AB" w:rsidRDefault="00BE73C4" w:rsidP="00792006">
      <w:pPr>
        <w:jc w:val="both"/>
        <w:rPr>
          <w:rFonts w:ascii="Calibri" w:hAnsi="Calibri"/>
          <w:sz w:val="18"/>
          <w:szCs w:val="18"/>
        </w:rPr>
      </w:pPr>
    </w:p>
    <w:p w:rsidR="00BE73C4" w:rsidRPr="00C074AB" w:rsidRDefault="00BE73C4" w:rsidP="00792006">
      <w:pPr>
        <w:jc w:val="both"/>
        <w:rPr>
          <w:rFonts w:ascii="Calibri" w:hAnsi="Calibri"/>
          <w:sz w:val="18"/>
          <w:szCs w:val="18"/>
        </w:rPr>
      </w:pPr>
    </w:p>
    <w:p w:rsidR="00792006" w:rsidRPr="00C074AB" w:rsidRDefault="00792006" w:rsidP="00792006">
      <w:pPr>
        <w:jc w:val="both"/>
        <w:rPr>
          <w:rFonts w:ascii="Calibri" w:hAnsi="Calibri"/>
          <w:sz w:val="18"/>
          <w:szCs w:val="18"/>
        </w:rPr>
      </w:pPr>
    </w:p>
    <w:p w:rsidR="00792006" w:rsidRPr="00C074AB" w:rsidRDefault="00C239E7" w:rsidP="001661A0">
      <w:pPr>
        <w:pStyle w:val="Ttulo2"/>
      </w:pPr>
      <w:r w:rsidRPr="00C074AB">
        <w:t>V</w:t>
      </w:r>
      <w:r w:rsidR="008830A0" w:rsidRPr="00C074AB">
        <w:t>I</w:t>
      </w:r>
      <w:r w:rsidR="00792006" w:rsidRPr="00C074AB">
        <w:t>. Condicionamiento por el cual se otorga el recurso (Impacto esperado)</w:t>
      </w:r>
    </w:p>
    <w:p w:rsidR="00792006" w:rsidRPr="00C074AB" w:rsidRDefault="00792006" w:rsidP="00197472">
      <w:pPr>
        <w:spacing w:line="480" w:lineRule="auto"/>
        <w:jc w:val="both"/>
        <w:rPr>
          <w:sz w:val="28"/>
          <w:szCs w:val="28"/>
        </w:rPr>
      </w:pPr>
    </w:p>
    <w:p w:rsidR="00ED3C5F" w:rsidRPr="00C074AB" w:rsidRDefault="00B614A6" w:rsidP="00197472">
      <w:pPr>
        <w:spacing w:line="480" w:lineRule="auto"/>
        <w:jc w:val="both"/>
        <w:rPr>
          <w:sz w:val="28"/>
          <w:szCs w:val="28"/>
        </w:rPr>
      </w:pPr>
      <w:r w:rsidRPr="00C074AB">
        <w:rPr>
          <w:sz w:val="28"/>
          <w:szCs w:val="28"/>
        </w:rPr>
        <w:t xml:space="preserve">El recurso se </w:t>
      </w:r>
      <w:r w:rsidR="00ED3C5F" w:rsidRPr="00C074AB">
        <w:rPr>
          <w:sz w:val="28"/>
          <w:szCs w:val="28"/>
        </w:rPr>
        <w:t xml:space="preserve">otorga con la finalidad de </w:t>
      </w:r>
      <w:r w:rsidR="00C04FD7" w:rsidRPr="00C074AB">
        <w:rPr>
          <w:sz w:val="28"/>
          <w:szCs w:val="28"/>
        </w:rPr>
        <w:t>que continúen</w:t>
      </w:r>
      <w:r w:rsidR="00ED3C5F" w:rsidRPr="00C074AB">
        <w:rPr>
          <w:sz w:val="28"/>
          <w:szCs w:val="28"/>
        </w:rPr>
        <w:t xml:space="preserve"> atendiendo </w:t>
      </w:r>
      <w:r w:rsidR="00C04FD7" w:rsidRPr="00C074AB">
        <w:rPr>
          <w:sz w:val="28"/>
          <w:szCs w:val="28"/>
        </w:rPr>
        <w:t>de manera</w:t>
      </w:r>
      <w:r w:rsidRPr="00C074AB">
        <w:rPr>
          <w:sz w:val="28"/>
          <w:szCs w:val="28"/>
        </w:rPr>
        <w:t xml:space="preserve"> prioritaria los peritajes que solicita el Juzgado de Niñez y Adolescencia</w:t>
      </w:r>
      <w:r w:rsidR="00ED3C5F" w:rsidRPr="00C074AB">
        <w:rPr>
          <w:sz w:val="28"/>
          <w:szCs w:val="28"/>
        </w:rPr>
        <w:t>, junto con el equipo ordinario que ya existe para ese fin</w:t>
      </w:r>
      <w:r w:rsidRPr="00C074AB">
        <w:rPr>
          <w:sz w:val="28"/>
          <w:szCs w:val="28"/>
        </w:rPr>
        <w:t xml:space="preserve">.  Deberán </w:t>
      </w:r>
      <w:r w:rsidR="00ED3C5F" w:rsidRPr="00C074AB">
        <w:rPr>
          <w:sz w:val="28"/>
          <w:szCs w:val="28"/>
        </w:rPr>
        <w:t>continuar abordando</w:t>
      </w:r>
      <w:r w:rsidRPr="00C074AB">
        <w:rPr>
          <w:sz w:val="28"/>
          <w:szCs w:val="28"/>
        </w:rPr>
        <w:t xml:space="preserve"> de manera primaria</w:t>
      </w:r>
      <w:r w:rsidR="00C04FD7" w:rsidRPr="00C074AB">
        <w:rPr>
          <w:sz w:val="28"/>
          <w:szCs w:val="28"/>
        </w:rPr>
        <w:t xml:space="preserve">, </w:t>
      </w:r>
      <w:r w:rsidR="00C04FD7" w:rsidRPr="00C074AB">
        <w:rPr>
          <w:sz w:val="28"/>
          <w:szCs w:val="28"/>
        </w:rPr>
        <w:lastRenderedPageBreak/>
        <w:t>aquellos</w:t>
      </w:r>
      <w:r w:rsidRPr="00C074AB">
        <w:rPr>
          <w:sz w:val="28"/>
          <w:szCs w:val="28"/>
        </w:rPr>
        <w:t xml:space="preserve"> asuntos con mayor antigüedad,</w:t>
      </w:r>
      <w:r w:rsidR="00ED3C5F" w:rsidRPr="00C074AB">
        <w:rPr>
          <w:sz w:val="28"/>
          <w:szCs w:val="28"/>
        </w:rPr>
        <w:t xml:space="preserve"> con la finalidad de que se acorten los plazos de espera para la conclusión de los peritajes y se de una respuesta oportuna a los requerimientos del Juzgado de Niñez y Adolescencia</w:t>
      </w:r>
      <w:r w:rsidR="00601EA0" w:rsidRPr="00C074AB">
        <w:rPr>
          <w:sz w:val="28"/>
          <w:szCs w:val="28"/>
        </w:rPr>
        <w:t>,</w:t>
      </w:r>
      <w:r w:rsidR="00ED3C5F" w:rsidRPr="00C074AB">
        <w:rPr>
          <w:sz w:val="28"/>
          <w:szCs w:val="28"/>
        </w:rPr>
        <w:t xml:space="preserve"> en los distintos procesos en los cuales se solicita ese criterio experto para dictar una resolución judicial.</w:t>
      </w:r>
    </w:p>
    <w:p w:rsidR="00ED3C5F" w:rsidRPr="00C074AB" w:rsidRDefault="00ED3C5F" w:rsidP="00197472">
      <w:pPr>
        <w:spacing w:line="480" w:lineRule="auto"/>
        <w:jc w:val="both"/>
        <w:rPr>
          <w:sz w:val="28"/>
          <w:szCs w:val="28"/>
        </w:rPr>
      </w:pPr>
    </w:p>
    <w:p w:rsidR="00B614A6" w:rsidRPr="00C074AB" w:rsidRDefault="00ED3C5F" w:rsidP="00197472">
      <w:pPr>
        <w:spacing w:line="480" w:lineRule="auto"/>
        <w:jc w:val="both"/>
        <w:rPr>
          <w:sz w:val="28"/>
          <w:szCs w:val="28"/>
        </w:rPr>
      </w:pPr>
      <w:r w:rsidRPr="00C074AB">
        <w:rPr>
          <w:sz w:val="28"/>
          <w:szCs w:val="28"/>
        </w:rPr>
        <w:t>D</w:t>
      </w:r>
      <w:r w:rsidR="00B614A6" w:rsidRPr="00C074AB">
        <w:rPr>
          <w:sz w:val="28"/>
          <w:szCs w:val="28"/>
        </w:rPr>
        <w:t xml:space="preserve">eberán todos los profesionales responsables de atender asuntos de Niñez y </w:t>
      </w:r>
      <w:r w:rsidR="00673969" w:rsidRPr="00C074AB">
        <w:rPr>
          <w:sz w:val="28"/>
          <w:szCs w:val="28"/>
        </w:rPr>
        <w:t xml:space="preserve">Adolescencia, </w:t>
      </w:r>
      <w:r w:rsidR="000674A2">
        <w:rPr>
          <w:sz w:val="28"/>
          <w:szCs w:val="28"/>
        </w:rPr>
        <w:t xml:space="preserve">cumplir con los parámetros establecidos en el informe integral que se realiza en esta Dirección </w:t>
      </w:r>
      <w:r w:rsidR="00472EAD">
        <w:rPr>
          <w:sz w:val="28"/>
          <w:szCs w:val="28"/>
        </w:rPr>
        <w:t xml:space="preserve">sobre ese Departamento, los cuales si bien no están avalados aún por el Consejo Superior, ya se han venido implementando en la práctica; además, deberán </w:t>
      </w:r>
      <w:r w:rsidR="00673969" w:rsidRPr="00C074AB">
        <w:rPr>
          <w:sz w:val="28"/>
          <w:szCs w:val="28"/>
        </w:rPr>
        <w:t>presentar</w:t>
      </w:r>
      <w:r w:rsidR="00B614A6" w:rsidRPr="00C074AB">
        <w:rPr>
          <w:sz w:val="28"/>
          <w:szCs w:val="28"/>
        </w:rPr>
        <w:t xml:space="preserve"> a </w:t>
      </w:r>
      <w:smartTag w:uri="urn:schemas-microsoft-com:office:smarttags" w:element="PersonName">
        <w:smartTagPr>
          <w:attr w:name="ProductID" w:val="la Jefatura"/>
        </w:smartTagPr>
        <w:r w:rsidR="00B614A6" w:rsidRPr="00C074AB">
          <w:rPr>
            <w:sz w:val="28"/>
            <w:szCs w:val="28"/>
          </w:rPr>
          <w:t>la Jefatura</w:t>
        </w:r>
      </w:smartTag>
      <w:r w:rsidR="00B614A6" w:rsidRPr="00C074AB">
        <w:rPr>
          <w:sz w:val="28"/>
          <w:szCs w:val="28"/>
        </w:rPr>
        <w:t xml:space="preserve"> del Departamento, informes mensuales con el fin de establecer </w:t>
      </w:r>
      <w:r w:rsidR="00834D5A" w:rsidRPr="00C074AB">
        <w:rPr>
          <w:sz w:val="28"/>
          <w:szCs w:val="28"/>
        </w:rPr>
        <w:t>control sobre la antigüedad de los asuntos pendientes de atender y monitorear y realizar los ajustes correspondientes  en el  rendimiento de estos recursos</w:t>
      </w:r>
      <w:r w:rsidR="00601EA0" w:rsidRPr="00C074AB">
        <w:rPr>
          <w:sz w:val="28"/>
          <w:szCs w:val="28"/>
        </w:rPr>
        <w:t>,</w:t>
      </w:r>
      <w:r w:rsidR="00834D5A" w:rsidRPr="00C074AB">
        <w:rPr>
          <w:sz w:val="28"/>
          <w:szCs w:val="28"/>
        </w:rPr>
        <w:t xml:space="preserve"> para el cumplimiento de los objetivos para los cuales se otorgan.</w:t>
      </w:r>
      <w:r w:rsidR="00B614A6" w:rsidRPr="00C074AB">
        <w:rPr>
          <w:sz w:val="28"/>
          <w:szCs w:val="28"/>
        </w:rPr>
        <w:t xml:space="preserve">  Es responsabilidad de </w:t>
      </w:r>
      <w:smartTag w:uri="urn:schemas-microsoft-com:office:smarttags" w:element="PersonName">
        <w:smartTagPr>
          <w:attr w:name="ProductID" w:val="la Jefatura"/>
        </w:smartTagPr>
        <w:r w:rsidR="00B614A6" w:rsidRPr="00C074AB">
          <w:rPr>
            <w:sz w:val="28"/>
            <w:szCs w:val="28"/>
          </w:rPr>
          <w:t>la Jefatura</w:t>
        </w:r>
      </w:smartTag>
      <w:r w:rsidR="00B614A6" w:rsidRPr="00C074AB">
        <w:rPr>
          <w:sz w:val="28"/>
          <w:szCs w:val="28"/>
        </w:rPr>
        <w:t xml:space="preserve"> del Departamento, establecer </w:t>
      </w:r>
      <w:r w:rsidR="00834D5A" w:rsidRPr="00C074AB">
        <w:rPr>
          <w:sz w:val="28"/>
          <w:szCs w:val="28"/>
        </w:rPr>
        <w:t xml:space="preserve">dichos </w:t>
      </w:r>
      <w:r w:rsidR="00601EA0" w:rsidRPr="00C074AB">
        <w:rPr>
          <w:sz w:val="28"/>
          <w:szCs w:val="28"/>
        </w:rPr>
        <w:t>controles</w:t>
      </w:r>
      <w:r w:rsidR="00B614A6" w:rsidRPr="00C074AB">
        <w:rPr>
          <w:sz w:val="28"/>
          <w:szCs w:val="28"/>
        </w:rPr>
        <w:t xml:space="preserve"> y </w:t>
      </w:r>
      <w:r w:rsidR="00834D5A" w:rsidRPr="00C074AB">
        <w:rPr>
          <w:sz w:val="28"/>
          <w:szCs w:val="28"/>
        </w:rPr>
        <w:t xml:space="preserve">las </w:t>
      </w:r>
      <w:r w:rsidR="00B614A6" w:rsidRPr="00C074AB">
        <w:rPr>
          <w:sz w:val="28"/>
          <w:szCs w:val="28"/>
        </w:rPr>
        <w:t xml:space="preserve">metas </w:t>
      </w:r>
      <w:r w:rsidR="00834D5A" w:rsidRPr="00C074AB">
        <w:rPr>
          <w:sz w:val="28"/>
          <w:szCs w:val="28"/>
        </w:rPr>
        <w:t xml:space="preserve">que se establezcan para el desempeño de ese equipo de trabajo, </w:t>
      </w:r>
      <w:r w:rsidR="00B614A6" w:rsidRPr="00C074AB">
        <w:rPr>
          <w:sz w:val="28"/>
          <w:szCs w:val="28"/>
        </w:rPr>
        <w:t>así como los ajustes correspondientes</w:t>
      </w:r>
      <w:r w:rsidR="0025742A" w:rsidRPr="00C074AB">
        <w:rPr>
          <w:sz w:val="28"/>
          <w:szCs w:val="28"/>
        </w:rPr>
        <w:t>.</w:t>
      </w:r>
    </w:p>
    <w:p w:rsidR="00673969" w:rsidRPr="00C074AB" w:rsidRDefault="00673969" w:rsidP="00197472">
      <w:pPr>
        <w:spacing w:line="480" w:lineRule="auto"/>
        <w:jc w:val="both"/>
        <w:rPr>
          <w:sz w:val="28"/>
          <w:szCs w:val="28"/>
        </w:rPr>
      </w:pPr>
    </w:p>
    <w:p w:rsidR="00673969" w:rsidRPr="00C074AB" w:rsidRDefault="00673969" w:rsidP="00197472">
      <w:pPr>
        <w:spacing w:line="480" w:lineRule="auto"/>
        <w:jc w:val="both"/>
        <w:rPr>
          <w:sz w:val="28"/>
          <w:szCs w:val="28"/>
        </w:rPr>
      </w:pPr>
      <w:r w:rsidRPr="00C074AB">
        <w:rPr>
          <w:sz w:val="28"/>
          <w:szCs w:val="28"/>
        </w:rPr>
        <w:t xml:space="preserve">El destino de estas plazas también estará supeditado a las recomendaciones que se deriven del análisis del impacto que se presente en caso de que se apruebe </w:t>
      </w:r>
      <w:r w:rsidR="00C04FD7" w:rsidRPr="00C074AB">
        <w:rPr>
          <w:sz w:val="28"/>
          <w:szCs w:val="28"/>
          <w:lang w:val="es-ES_tradnl"/>
        </w:rPr>
        <w:t>el proyecto</w:t>
      </w:r>
      <w:r w:rsidRPr="00C074AB">
        <w:rPr>
          <w:sz w:val="28"/>
          <w:szCs w:val="28"/>
          <w:lang w:val="es-ES_tradnl"/>
        </w:rPr>
        <w:t xml:space="preserve"> de Ley expediente N°19455 Código Procesal de Familia.</w:t>
      </w:r>
    </w:p>
    <w:p w:rsidR="00AB7F02" w:rsidRDefault="00AB7F02" w:rsidP="00197472">
      <w:pPr>
        <w:spacing w:line="480" w:lineRule="auto"/>
        <w:jc w:val="both"/>
        <w:rPr>
          <w:sz w:val="28"/>
          <w:szCs w:val="28"/>
        </w:rPr>
      </w:pPr>
    </w:p>
    <w:p w:rsidR="00472EAD" w:rsidRPr="00C074AB" w:rsidRDefault="00472EAD" w:rsidP="00197472">
      <w:pPr>
        <w:spacing w:line="480" w:lineRule="auto"/>
        <w:jc w:val="both"/>
        <w:rPr>
          <w:sz w:val="28"/>
          <w:szCs w:val="28"/>
        </w:rPr>
      </w:pPr>
      <w:r>
        <w:rPr>
          <w:sz w:val="28"/>
          <w:szCs w:val="28"/>
        </w:rPr>
        <w:lastRenderedPageBreak/>
        <w:t>Estas plazas quedan sujetas a evaluación de la Sección de Control y Evaluación de esta Dirección durante el segundo semestre del 2017 con la finalidad de conocer el cumplimiento de los parámetros correspondientes.</w:t>
      </w:r>
    </w:p>
    <w:p w:rsidR="00B614A6" w:rsidRPr="00C074AB" w:rsidRDefault="00B614A6" w:rsidP="00197472">
      <w:pPr>
        <w:spacing w:line="480" w:lineRule="auto"/>
        <w:jc w:val="both"/>
        <w:rPr>
          <w:b/>
          <w:sz w:val="28"/>
          <w:szCs w:val="28"/>
        </w:rPr>
      </w:pPr>
    </w:p>
    <w:p w:rsidR="00B614A6" w:rsidRPr="00C074AB" w:rsidRDefault="008830A0" w:rsidP="001661A0">
      <w:pPr>
        <w:spacing w:line="480" w:lineRule="auto"/>
        <w:jc w:val="both"/>
        <w:rPr>
          <w:b/>
          <w:sz w:val="28"/>
          <w:szCs w:val="28"/>
        </w:rPr>
      </w:pPr>
      <w:r w:rsidRPr="00C074AB">
        <w:rPr>
          <w:b/>
          <w:sz w:val="28"/>
          <w:szCs w:val="28"/>
        </w:rPr>
        <w:t>6</w:t>
      </w:r>
      <w:r w:rsidR="001661A0" w:rsidRPr="00C074AB">
        <w:rPr>
          <w:b/>
          <w:sz w:val="28"/>
          <w:szCs w:val="28"/>
        </w:rPr>
        <w:t>.1</w:t>
      </w:r>
      <w:r w:rsidR="00B614A6" w:rsidRPr="00C074AB">
        <w:rPr>
          <w:b/>
          <w:sz w:val="28"/>
          <w:szCs w:val="28"/>
        </w:rPr>
        <w:t xml:space="preserve"> Otros requerimientos (equipo, alquiler, espacio, vehículos, etc.)</w:t>
      </w:r>
    </w:p>
    <w:p w:rsidR="00B614A6" w:rsidRPr="00C074AB" w:rsidRDefault="00B614A6" w:rsidP="00197472">
      <w:pPr>
        <w:spacing w:line="480" w:lineRule="auto"/>
        <w:jc w:val="both"/>
        <w:rPr>
          <w:b/>
          <w:sz w:val="28"/>
          <w:szCs w:val="28"/>
        </w:rPr>
      </w:pPr>
    </w:p>
    <w:p w:rsidR="00B614A6" w:rsidRPr="00C074AB" w:rsidRDefault="00B614A6" w:rsidP="00197472">
      <w:pPr>
        <w:spacing w:line="480" w:lineRule="auto"/>
        <w:jc w:val="both"/>
        <w:rPr>
          <w:sz w:val="28"/>
          <w:szCs w:val="28"/>
        </w:rPr>
      </w:pPr>
      <w:r w:rsidRPr="00C074AB">
        <w:rPr>
          <w:sz w:val="28"/>
          <w:szCs w:val="28"/>
        </w:rPr>
        <w:t xml:space="preserve">No se requiere mobiliario ni equipo, ya que las plazas </w:t>
      </w:r>
      <w:r w:rsidR="000F58A9" w:rsidRPr="00C074AB">
        <w:rPr>
          <w:sz w:val="28"/>
          <w:szCs w:val="28"/>
        </w:rPr>
        <w:t xml:space="preserve">se encuentran </w:t>
      </w:r>
      <w:r w:rsidRPr="00C074AB">
        <w:rPr>
          <w:sz w:val="28"/>
          <w:szCs w:val="28"/>
        </w:rPr>
        <w:t xml:space="preserve">en funcionamiento </w:t>
      </w:r>
      <w:r w:rsidR="000F58A9" w:rsidRPr="00C074AB">
        <w:rPr>
          <w:sz w:val="28"/>
          <w:szCs w:val="28"/>
        </w:rPr>
        <w:t>desde el año anterior.</w:t>
      </w:r>
    </w:p>
    <w:p w:rsidR="00B614A6" w:rsidRPr="00C074AB" w:rsidRDefault="00B614A6" w:rsidP="00197472">
      <w:pPr>
        <w:spacing w:line="480" w:lineRule="auto"/>
        <w:jc w:val="both"/>
        <w:rPr>
          <w:b/>
          <w:sz w:val="28"/>
          <w:szCs w:val="28"/>
        </w:rPr>
      </w:pPr>
    </w:p>
    <w:p w:rsidR="00B614A6" w:rsidRPr="00C074AB" w:rsidRDefault="008830A0" w:rsidP="00C239E7">
      <w:pPr>
        <w:spacing w:line="480" w:lineRule="auto"/>
        <w:jc w:val="both"/>
        <w:rPr>
          <w:b/>
          <w:sz w:val="28"/>
          <w:szCs w:val="28"/>
        </w:rPr>
      </w:pPr>
      <w:r w:rsidRPr="00C074AB">
        <w:rPr>
          <w:b/>
          <w:sz w:val="28"/>
          <w:szCs w:val="28"/>
        </w:rPr>
        <w:t>6</w:t>
      </w:r>
      <w:r w:rsidR="00C239E7" w:rsidRPr="00C074AB">
        <w:rPr>
          <w:b/>
          <w:sz w:val="28"/>
          <w:szCs w:val="28"/>
        </w:rPr>
        <w:t>.2</w:t>
      </w:r>
      <w:r w:rsidR="00B614A6" w:rsidRPr="00C074AB">
        <w:rPr>
          <w:b/>
          <w:sz w:val="28"/>
          <w:szCs w:val="28"/>
        </w:rPr>
        <w:t>Vinculación con el Plan Estratégico del Poder Judicial</w:t>
      </w:r>
    </w:p>
    <w:p w:rsidR="00B614A6" w:rsidRDefault="00C074AB" w:rsidP="00197472">
      <w:pPr>
        <w:widowControl w:val="0"/>
        <w:spacing w:line="480" w:lineRule="auto"/>
        <w:jc w:val="both"/>
        <w:rPr>
          <w:sz w:val="28"/>
          <w:szCs w:val="28"/>
        </w:rPr>
      </w:pPr>
      <w:r>
        <w:rPr>
          <w:sz w:val="28"/>
          <w:szCs w:val="28"/>
        </w:rPr>
        <w:t>La</w:t>
      </w:r>
      <w:r w:rsidR="00B614A6" w:rsidRPr="00C074AB">
        <w:rPr>
          <w:sz w:val="28"/>
          <w:szCs w:val="28"/>
        </w:rPr>
        <w:t xml:space="preserve"> asignación de las plazas es parte de las acciones a tomar para la mejora en el tema estratégico de </w:t>
      </w:r>
      <w:r w:rsidR="00B614A6" w:rsidRPr="00C074AB">
        <w:rPr>
          <w:b/>
          <w:i/>
          <w:sz w:val="28"/>
          <w:szCs w:val="28"/>
        </w:rPr>
        <w:t>Retraso Judicial</w:t>
      </w:r>
      <w:r w:rsidR="00B614A6" w:rsidRPr="00C074AB">
        <w:rPr>
          <w:sz w:val="28"/>
          <w:szCs w:val="28"/>
        </w:rPr>
        <w:t>, logrando cumplir con el objetivo de brindar una respuesta jurisdiccional oportuna a las gestiones presentadas por las personas usuarias.</w:t>
      </w:r>
    </w:p>
    <w:sectPr w:rsidR="00B614A6" w:rsidSect="00777C9D">
      <w:headerReference w:type="default" r:id="rId12"/>
      <w:footerReference w:type="even" r:id="rId13"/>
      <w:footerReference w:type="default" r:id="rId14"/>
      <w:pgSz w:w="12242" w:h="15842" w:code="1"/>
      <w:pgMar w:top="1134" w:right="1043"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B5D" w:rsidRDefault="00C93B5D" w:rsidP="00067C87">
      <w:r>
        <w:separator/>
      </w:r>
    </w:p>
  </w:endnote>
  <w:endnote w:type="continuationSeparator" w:id="0">
    <w:p w:rsidR="00C93B5D" w:rsidRDefault="00C93B5D" w:rsidP="00067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5D" w:rsidRDefault="00137B2A" w:rsidP="00556F11">
    <w:pPr>
      <w:pStyle w:val="Piedepgina"/>
      <w:framePr w:wrap="around" w:vAnchor="text" w:hAnchor="margin" w:xAlign="right" w:y="1"/>
      <w:rPr>
        <w:rStyle w:val="Nmerodepgina"/>
      </w:rPr>
    </w:pPr>
    <w:r>
      <w:rPr>
        <w:rStyle w:val="Nmerodepgina"/>
      </w:rPr>
      <w:fldChar w:fldCharType="begin"/>
    </w:r>
    <w:r w:rsidR="00C46C5D">
      <w:rPr>
        <w:rStyle w:val="Nmerodepgina"/>
      </w:rPr>
      <w:instrText xml:space="preserve">PAGE  </w:instrText>
    </w:r>
    <w:r>
      <w:rPr>
        <w:rStyle w:val="Nmerodepgina"/>
      </w:rPr>
      <w:fldChar w:fldCharType="end"/>
    </w:r>
  </w:p>
  <w:p w:rsidR="00C46C5D" w:rsidRDefault="00C46C5D" w:rsidP="00C46C5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5D" w:rsidRDefault="00137B2A" w:rsidP="00556F11">
    <w:pPr>
      <w:pStyle w:val="Piedepgina"/>
      <w:framePr w:wrap="around" w:vAnchor="text" w:hAnchor="margin" w:xAlign="right" w:y="1"/>
      <w:rPr>
        <w:rStyle w:val="Nmerodepgina"/>
      </w:rPr>
    </w:pPr>
    <w:r>
      <w:rPr>
        <w:rStyle w:val="Nmerodepgina"/>
      </w:rPr>
      <w:fldChar w:fldCharType="begin"/>
    </w:r>
    <w:r w:rsidR="00C46C5D">
      <w:rPr>
        <w:rStyle w:val="Nmerodepgina"/>
      </w:rPr>
      <w:instrText xml:space="preserve">PAGE  </w:instrText>
    </w:r>
    <w:r>
      <w:rPr>
        <w:rStyle w:val="Nmerodepgina"/>
      </w:rPr>
      <w:fldChar w:fldCharType="separate"/>
    </w:r>
    <w:r w:rsidR="00C368B9">
      <w:rPr>
        <w:rStyle w:val="Nmerodepgina"/>
        <w:noProof/>
      </w:rPr>
      <w:t>27</w:t>
    </w:r>
    <w:r>
      <w:rPr>
        <w:rStyle w:val="Nmerodepgina"/>
      </w:rPr>
      <w:fldChar w:fldCharType="end"/>
    </w:r>
  </w:p>
  <w:p w:rsidR="00C46C5D" w:rsidRDefault="00C46C5D" w:rsidP="00C46C5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B5D" w:rsidRDefault="00C93B5D" w:rsidP="00067C87">
      <w:r>
        <w:separator/>
      </w:r>
    </w:p>
  </w:footnote>
  <w:footnote w:type="continuationSeparator" w:id="0">
    <w:p w:rsidR="00C93B5D" w:rsidRDefault="00C93B5D" w:rsidP="00067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7A" w:rsidRDefault="00482B17">
    <w:pPr>
      <w:pStyle w:val="Encabezado"/>
    </w:pPr>
    <w:r>
      <w:rPr>
        <w:noProof/>
        <w:lang w:val="es-CR" w:eastAsia="es-CR"/>
      </w:rPr>
      <w:drawing>
        <wp:anchor distT="0" distB="0" distL="114300" distR="114300" simplePos="0" relativeHeight="251658752" behindDoc="0" locked="0" layoutInCell="1" allowOverlap="1">
          <wp:simplePos x="0" y="0"/>
          <wp:positionH relativeFrom="column">
            <wp:posOffset>51435</wp:posOffset>
          </wp:positionH>
          <wp:positionV relativeFrom="paragraph">
            <wp:posOffset>-19050</wp:posOffset>
          </wp:positionV>
          <wp:extent cx="1524000" cy="668655"/>
          <wp:effectExtent l="19050" t="0" r="0" b="0"/>
          <wp:wrapNone/>
          <wp:docPr id="6" name="Imagen 6"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er-judicial-logo"/>
                  <pic:cNvPicPr>
                    <a:picLocks noChangeAspect="1" noChangeArrowheads="1"/>
                  </pic:cNvPicPr>
                </pic:nvPicPr>
                <pic:blipFill>
                  <a:blip r:embed="rId1"/>
                  <a:srcRect/>
                  <a:stretch>
                    <a:fillRect/>
                  </a:stretch>
                </pic:blipFill>
                <pic:spPr bwMode="auto">
                  <a:xfrm>
                    <a:off x="0" y="0"/>
                    <a:ext cx="1524000" cy="668655"/>
                  </a:xfrm>
                  <a:prstGeom prst="rect">
                    <a:avLst/>
                  </a:prstGeom>
                  <a:noFill/>
                  <a:ln w="9525">
                    <a:noFill/>
                    <a:miter lim="800000"/>
                    <a:headEnd/>
                    <a:tailEnd/>
                  </a:ln>
                </pic:spPr>
              </pic:pic>
            </a:graphicData>
          </a:graphic>
        </wp:anchor>
      </w:drawing>
    </w:r>
    <w:r>
      <w:rPr>
        <w:noProof/>
        <w:lang w:val="es-CR" w:eastAsia="es-CR"/>
      </w:rPr>
      <w:drawing>
        <wp:anchor distT="0" distB="0" distL="114300" distR="114300" simplePos="0" relativeHeight="251657728" behindDoc="0" locked="0" layoutInCell="1" allowOverlap="1">
          <wp:simplePos x="0" y="0"/>
          <wp:positionH relativeFrom="column">
            <wp:posOffset>1647825</wp:posOffset>
          </wp:positionH>
          <wp:positionV relativeFrom="paragraph">
            <wp:posOffset>-38735</wp:posOffset>
          </wp:positionV>
          <wp:extent cx="1552575" cy="707390"/>
          <wp:effectExtent l="1905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552575" cy="707390"/>
                  </a:xfrm>
                  <a:prstGeom prst="rect">
                    <a:avLst/>
                  </a:prstGeom>
                  <a:noFill/>
                  <a:ln w="9525">
                    <a:noFill/>
                    <a:miter lim="800000"/>
                    <a:headEnd/>
                    <a:tailEnd/>
                  </a:ln>
                  <a:effectLst/>
                </pic:spPr>
              </pic:pic>
            </a:graphicData>
          </a:graphic>
        </wp:anchor>
      </w:drawing>
    </w:r>
    <w:r w:rsidR="00137B2A" w:rsidRPr="00137B2A">
      <w:rPr>
        <w:noProof/>
      </w:rPr>
      <w:pict>
        <v:shapetype id="_x0000_t202" coordsize="21600,21600" o:spt="202" path="m,l,21600r21600,l21600,xe">
          <v:stroke joinstyle="miter"/>
          <v:path gradientshapeok="t" o:connecttype="rect"/>
        </v:shapetype>
        <v:shape id="_x0000_s2052" type="#_x0000_t202" style="position:absolute;margin-left:261pt;margin-top:5.95pt;width:238.95pt;height:45pt;z-index:251656704;mso-position-horizontal-relative:text;mso-position-vertical-relative:text" stroked="f">
          <v:textbox style="mso-next-textbox:#_x0000_s2052" inset="6.75pt,3.75pt,6.75pt,3.75pt">
            <w:txbxContent>
              <w:p w:rsidR="003C0C7A" w:rsidRPr="00BC690B" w:rsidRDefault="003C0C7A" w:rsidP="006713A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3C0C7A" w:rsidRPr="00BC690B" w:rsidRDefault="003C0C7A" w:rsidP="006713A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3C0C7A" w:rsidRPr="00BC690B" w:rsidRDefault="003C0C7A" w:rsidP="006713A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3C0C7A" w:rsidRPr="00BC690B" w:rsidRDefault="003C0C7A" w:rsidP="006713AB"/>
            </w:txbxContent>
          </v:textbox>
        </v:shape>
      </w:pict>
    </w:r>
  </w:p>
  <w:p w:rsidR="003C0C7A" w:rsidRDefault="003C0C7A">
    <w:pPr>
      <w:pStyle w:val="Encabezado"/>
    </w:pPr>
  </w:p>
  <w:p w:rsidR="003C0C7A" w:rsidRDefault="003C0C7A">
    <w:pPr>
      <w:pStyle w:val="Encabezado"/>
    </w:pPr>
  </w:p>
  <w:p w:rsidR="003C0C7A" w:rsidRDefault="003C0C7A">
    <w:pPr>
      <w:pStyle w:val="Encabezado"/>
      <w:pBdr>
        <w:bottom w:val="single" w:sz="12" w:space="1" w:color="auto"/>
      </w:pBdr>
    </w:pPr>
  </w:p>
  <w:p w:rsidR="003C0C7A" w:rsidRDefault="003C0C7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D193B82"/>
    <w:multiLevelType w:val="multilevel"/>
    <w:tmpl w:val="5D62D4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D143463"/>
    <w:multiLevelType w:val="hybridMultilevel"/>
    <w:tmpl w:val="FA16C9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13E1226"/>
    <w:multiLevelType w:val="hybridMultilevel"/>
    <w:tmpl w:val="8FC27A4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249749B"/>
    <w:multiLevelType w:val="hybridMultilevel"/>
    <w:tmpl w:val="7A92D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73B38F7"/>
    <w:multiLevelType w:val="hybridMultilevel"/>
    <w:tmpl w:val="39A61A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11E7E6E"/>
    <w:multiLevelType w:val="hybridMultilevel"/>
    <w:tmpl w:val="70909F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3623159A"/>
    <w:multiLevelType w:val="multilevel"/>
    <w:tmpl w:val="BEB6C6D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95138F2"/>
    <w:multiLevelType w:val="multilevel"/>
    <w:tmpl w:val="C234E22A"/>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130310C"/>
    <w:multiLevelType w:val="hybridMultilevel"/>
    <w:tmpl w:val="40D832D4"/>
    <w:lvl w:ilvl="0" w:tplc="755A8A6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nsid w:val="6B0B56AE"/>
    <w:multiLevelType w:val="multilevel"/>
    <w:tmpl w:val="BEB6C6D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6CF95B70"/>
    <w:multiLevelType w:val="hybridMultilevel"/>
    <w:tmpl w:val="BEF0B4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78B6372C"/>
    <w:multiLevelType w:val="hybridMultilevel"/>
    <w:tmpl w:val="AFD04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E6C538A"/>
    <w:multiLevelType w:val="multilevel"/>
    <w:tmpl w:val="22B02C4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3"/>
  </w:num>
  <w:num w:numId="3">
    <w:abstractNumId w:val="4"/>
  </w:num>
  <w:num w:numId="4">
    <w:abstractNumId w:val="8"/>
  </w:num>
  <w:num w:numId="5">
    <w:abstractNumId w:val="9"/>
  </w:num>
  <w:num w:numId="6">
    <w:abstractNumId w:val="11"/>
  </w:num>
  <w:num w:numId="7">
    <w:abstractNumId w:val="1"/>
  </w:num>
  <w:num w:numId="8">
    <w:abstractNumId w:val="12"/>
  </w:num>
  <w:num w:numId="9">
    <w:abstractNumId w:val="7"/>
  </w:num>
  <w:num w:numId="10">
    <w:abstractNumId w:val="5"/>
  </w:num>
  <w:num w:numId="11">
    <w:abstractNumId w:val="6"/>
  </w:num>
  <w:num w:numId="12">
    <w:abstractNumId w:val="2"/>
  </w:num>
  <w:num w:numId="13">
    <w:abstractNumId w:val="14"/>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stylePaneFormatFilter w:val="3F01"/>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0D56AF"/>
    <w:rsid w:val="00000B36"/>
    <w:rsid w:val="00023C81"/>
    <w:rsid w:val="000315D3"/>
    <w:rsid w:val="00040CBB"/>
    <w:rsid w:val="00043531"/>
    <w:rsid w:val="00044F75"/>
    <w:rsid w:val="00050337"/>
    <w:rsid w:val="000554D2"/>
    <w:rsid w:val="000663C8"/>
    <w:rsid w:val="000668E5"/>
    <w:rsid w:val="00066A2A"/>
    <w:rsid w:val="000674A2"/>
    <w:rsid w:val="00067C87"/>
    <w:rsid w:val="00076465"/>
    <w:rsid w:val="000809E5"/>
    <w:rsid w:val="00084D39"/>
    <w:rsid w:val="000908C5"/>
    <w:rsid w:val="000A444D"/>
    <w:rsid w:val="000B099A"/>
    <w:rsid w:val="000B2310"/>
    <w:rsid w:val="000C47C9"/>
    <w:rsid w:val="000D2618"/>
    <w:rsid w:val="000D2778"/>
    <w:rsid w:val="000D308C"/>
    <w:rsid w:val="000D56AF"/>
    <w:rsid w:val="000D5E65"/>
    <w:rsid w:val="000D6586"/>
    <w:rsid w:val="000E5A4A"/>
    <w:rsid w:val="000F58A9"/>
    <w:rsid w:val="001010CF"/>
    <w:rsid w:val="001012FA"/>
    <w:rsid w:val="00110347"/>
    <w:rsid w:val="00116CDF"/>
    <w:rsid w:val="00120FBF"/>
    <w:rsid w:val="001301CB"/>
    <w:rsid w:val="00132B91"/>
    <w:rsid w:val="00136377"/>
    <w:rsid w:val="00137138"/>
    <w:rsid w:val="00137B2A"/>
    <w:rsid w:val="001400AE"/>
    <w:rsid w:val="00143952"/>
    <w:rsid w:val="001516C3"/>
    <w:rsid w:val="00152E42"/>
    <w:rsid w:val="0015445F"/>
    <w:rsid w:val="00163451"/>
    <w:rsid w:val="001661A0"/>
    <w:rsid w:val="0017130E"/>
    <w:rsid w:val="00176E08"/>
    <w:rsid w:val="00191ABD"/>
    <w:rsid w:val="00192110"/>
    <w:rsid w:val="00194442"/>
    <w:rsid w:val="00197472"/>
    <w:rsid w:val="001A6907"/>
    <w:rsid w:val="001B5294"/>
    <w:rsid w:val="001B7054"/>
    <w:rsid w:val="001C2443"/>
    <w:rsid w:val="001C43B1"/>
    <w:rsid w:val="001D0D8B"/>
    <w:rsid w:val="001D4AD8"/>
    <w:rsid w:val="001D6C32"/>
    <w:rsid w:val="001E54B1"/>
    <w:rsid w:val="001F3654"/>
    <w:rsid w:val="002000D7"/>
    <w:rsid w:val="00202E48"/>
    <w:rsid w:val="00203424"/>
    <w:rsid w:val="00206B52"/>
    <w:rsid w:val="00212800"/>
    <w:rsid w:val="00214492"/>
    <w:rsid w:val="00215358"/>
    <w:rsid w:val="002239AC"/>
    <w:rsid w:val="00224722"/>
    <w:rsid w:val="002247CD"/>
    <w:rsid w:val="00226FEF"/>
    <w:rsid w:val="00232327"/>
    <w:rsid w:val="0024078E"/>
    <w:rsid w:val="00245072"/>
    <w:rsid w:val="00247615"/>
    <w:rsid w:val="00252833"/>
    <w:rsid w:val="00252D5C"/>
    <w:rsid w:val="0025742A"/>
    <w:rsid w:val="00260967"/>
    <w:rsid w:val="00262D08"/>
    <w:rsid w:val="00266442"/>
    <w:rsid w:val="002675E3"/>
    <w:rsid w:val="00267E70"/>
    <w:rsid w:val="002811F1"/>
    <w:rsid w:val="00281E6B"/>
    <w:rsid w:val="002857FE"/>
    <w:rsid w:val="00286C4E"/>
    <w:rsid w:val="00296350"/>
    <w:rsid w:val="002C1DE0"/>
    <w:rsid w:val="002C386E"/>
    <w:rsid w:val="002C6956"/>
    <w:rsid w:val="002D35E4"/>
    <w:rsid w:val="002E1E8F"/>
    <w:rsid w:val="0030605D"/>
    <w:rsid w:val="00306634"/>
    <w:rsid w:val="003242D1"/>
    <w:rsid w:val="003265A9"/>
    <w:rsid w:val="00326FA5"/>
    <w:rsid w:val="00336829"/>
    <w:rsid w:val="00343502"/>
    <w:rsid w:val="00344AC5"/>
    <w:rsid w:val="0035506C"/>
    <w:rsid w:val="00360CB2"/>
    <w:rsid w:val="00370707"/>
    <w:rsid w:val="00377589"/>
    <w:rsid w:val="0038344F"/>
    <w:rsid w:val="003854C2"/>
    <w:rsid w:val="003901C3"/>
    <w:rsid w:val="00392DB9"/>
    <w:rsid w:val="00393D09"/>
    <w:rsid w:val="003A6385"/>
    <w:rsid w:val="003B24F5"/>
    <w:rsid w:val="003B3826"/>
    <w:rsid w:val="003B4790"/>
    <w:rsid w:val="003B50F1"/>
    <w:rsid w:val="003B5380"/>
    <w:rsid w:val="003B6200"/>
    <w:rsid w:val="003C0C7A"/>
    <w:rsid w:val="003C14D4"/>
    <w:rsid w:val="003D1C5C"/>
    <w:rsid w:val="003D4C71"/>
    <w:rsid w:val="003D5828"/>
    <w:rsid w:val="003E06C4"/>
    <w:rsid w:val="003E5F87"/>
    <w:rsid w:val="003F41F1"/>
    <w:rsid w:val="00414732"/>
    <w:rsid w:val="00417A26"/>
    <w:rsid w:val="00423708"/>
    <w:rsid w:val="00424A44"/>
    <w:rsid w:val="00425BF3"/>
    <w:rsid w:val="00430F98"/>
    <w:rsid w:val="00434087"/>
    <w:rsid w:val="0045492D"/>
    <w:rsid w:val="004610D2"/>
    <w:rsid w:val="00462283"/>
    <w:rsid w:val="004674EF"/>
    <w:rsid w:val="00471522"/>
    <w:rsid w:val="00472EAD"/>
    <w:rsid w:val="0047459D"/>
    <w:rsid w:val="0048033D"/>
    <w:rsid w:val="00481DB2"/>
    <w:rsid w:val="00481FFF"/>
    <w:rsid w:val="00482B17"/>
    <w:rsid w:val="00482CCA"/>
    <w:rsid w:val="00485040"/>
    <w:rsid w:val="0049647F"/>
    <w:rsid w:val="004977C6"/>
    <w:rsid w:val="004A79C9"/>
    <w:rsid w:val="004B49B8"/>
    <w:rsid w:val="004C2625"/>
    <w:rsid w:val="004D2920"/>
    <w:rsid w:val="004D4EAE"/>
    <w:rsid w:val="004D5550"/>
    <w:rsid w:val="004D6EAE"/>
    <w:rsid w:val="004E1C3F"/>
    <w:rsid w:val="004E47EC"/>
    <w:rsid w:val="004F2C7C"/>
    <w:rsid w:val="004F4BD4"/>
    <w:rsid w:val="004F5C8A"/>
    <w:rsid w:val="004F6AEF"/>
    <w:rsid w:val="005033B5"/>
    <w:rsid w:val="00504A9B"/>
    <w:rsid w:val="005121F9"/>
    <w:rsid w:val="0052353B"/>
    <w:rsid w:val="0052443F"/>
    <w:rsid w:val="0052648D"/>
    <w:rsid w:val="00526834"/>
    <w:rsid w:val="00534CFB"/>
    <w:rsid w:val="00537215"/>
    <w:rsid w:val="00547DBB"/>
    <w:rsid w:val="005555E2"/>
    <w:rsid w:val="00556F11"/>
    <w:rsid w:val="00574046"/>
    <w:rsid w:val="00574483"/>
    <w:rsid w:val="00576F55"/>
    <w:rsid w:val="005841B1"/>
    <w:rsid w:val="005877C0"/>
    <w:rsid w:val="005960B5"/>
    <w:rsid w:val="005A1EE9"/>
    <w:rsid w:val="005A5706"/>
    <w:rsid w:val="005A6E66"/>
    <w:rsid w:val="005B2971"/>
    <w:rsid w:val="005D0CB8"/>
    <w:rsid w:val="005D19C6"/>
    <w:rsid w:val="005D5002"/>
    <w:rsid w:val="005D7D42"/>
    <w:rsid w:val="005E14ED"/>
    <w:rsid w:val="005E51A8"/>
    <w:rsid w:val="005E5974"/>
    <w:rsid w:val="005E6A78"/>
    <w:rsid w:val="005F0250"/>
    <w:rsid w:val="005F1796"/>
    <w:rsid w:val="005F737F"/>
    <w:rsid w:val="00601EA0"/>
    <w:rsid w:val="00604651"/>
    <w:rsid w:val="00625EB1"/>
    <w:rsid w:val="006319CE"/>
    <w:rsid w:val="0063752D"/>
    <w:rsid w:val="00642A8F"/>
    <w:rsid w:val="00662D7E"/>
    <w:rsid w:val="006707D0"/>
    <w:rsid w:val="006713AB"/>
    <w:rsid w:val="00672D5B"/>
    <w:rsid w:val="00673969"/>
    <w:rsid w:val="0068125C"/>
    <w:rsid w:val="00696517"/>
    <w:rsid w:val="006A667D"/>
    <w:rsid w:val="006A7DC6"/>
    <w:rsid w:val="006D0E52"/>
    <w:rsid w:val="006E266B"/>
    <w:rsid w:val="006E5876"/>
    <w:rsid w:val="006F6567"/>
    <w:rsid w:val="0070086E"/>
    <w:rsid w:val="00703291"/>
    <w:rsid w:val="007036D3"/>
    <w:rsid w:val="00705DFE"/>
    <w:rsid w:val="007108D6"/>
    <w:rsid w:val="00712625"/>
    <w:rsid w:val="007127FF"/>
    <w:rsid w:val="00723F4E"/>
    <w:rsid w:val="00725547"/>
    <w:rsid w:val="00731DD3"/>
    <w:rsid w:val="00734461"/>
    <w:rsid w:val="007401E8"/>
    <w:rsid w:val="00740A87"/>
    <w:rsid w:val="00743E81"/>
    <w:rsid w:val="00750F0D"/>
    <w:rsid w:val="00751515"/>
    <w:rsid w:val="00752FBA"/>
    <w:rsid w:val="00760470"/>
    <w:rsid w:val="007659E2"/>
    <w:rsid w:val="007669A2"/>
    <w:rsid w:val="00766D3C"/>
    <w:rsid w:val="007707D2"/>
    <w:rsid w:val="0077636C"/>
    <w:rsid w:val="007774CC"/>
    <w:rsid w:val="00777C9D"/>
    <w:rsid w:val="00783B96"/>
    <w:rsid w:val="0078617D"/>
    <w:rsid w:val="00792006"/>
    <w:rsid w:val="00793655"/>
    <w:rsid w:val="0079407F"/>
    <w:rsid w:val="007946CE"/>
    <w:rsid w:val="007A06AF"/>
    <w:rsid w:val="007A0C3A"/>
    <w:rsid w:val="007B08C5"/>
    <w:rsid w:val="007C12D6"/>
    <w:rsid w:val="007C26C3"/>
    <w:rsid w:val="007C5A62"/>
    <w:rsid w:val="007D361A"/>
    <w:rsid w:val="007D699B"/>
    <w:rsid w:val="007E5485"/>
    <w:rsid w:val="007F01A0"/>
    <w:rsid w:val="007F0642"/>
    <w:rsid w:val="007F4949"/>
    <w:rsid w:val="008162CD"/>
    <w:rsid w:val="00820C28"/>
    <w:rsid w:val="00826C28"/>
    <w:rsid w:val="00833C0A"/>
    <w:rsid w:val="00834D5A"/>
    <w:rsid w:val="00841D44"/>
    <w:rsid w:val="0084333A"/>
    <w:rsid w:val="00844E08"/>
    <w:rsid w:val="008673C3"/>
    <w:rsid w:val="008750F1"/>
    <w:rsid w:val="008755BB"/>
    <w:rsid w:val="00880119"/>
    <w:rsid w:val="0088224D"/>
    <w:rsid w:val="00882DED"/>
    <w:rsid w:val="008830A0"/>
    <w:rsid w:val="008865B7"/>
    <w:rsid w:val="00891AA0"/>
    <w:rsid w:val="008928F8"/>
    <w:rsid w:val="0089460C"/>
    <w:rsid w:val="00896A85"/>
    <w:rsid w:val="008A2E3C"/>
    <w:rsid w:val="008A3CCD"/>
    <w:rsid w:val="008A4D3C"/>
    <w:rsid w:val="008A6CFE"/>
    <w:rsid w:val="008B0D47"/>
    <w:rsid w:val="008B329C"/>
    <w:rsid w:val="008B54A6"/>
    <w:rsid w:val="008C1374"/>
    <w:rsid w:val="008E311C"/>
    <w:rsid w:val="008E738E"/>
    <w:rsid w:val="008F0E5F"/>
    <w:rsid w:val="00903860"/>
    <w:rsid w:val="009111A1"/>
    <w:rsid w:val="009200E3"/>
    <w:rsid w:val="00930B33"/>
    <w:rsid w:val="0094223D"/>
    <w:rsid w:val="00943FB2"/>
    <w:rsid w:val="00952FE6"/>
    <w:rsid w:val="009563C1"/>
    <w:rsid w:val="0095773F"/>
    <w:rsid w:val="009607A9"/>
    <w:rsid w:val="009628DA"/>
    <w:rsid w:val="00966DF9"/>
    <w:rsid w:val="00967CC1"/>
    <w:rsid w:val="0097072C"/>
    <w:rsid w:val="00975948"/>
    <w:rsid w:val="0098389D"/>
    <w:rsid w:val="00985248"/>
    <w:rsid w:val="00995B37"/>
    <w:rsid w:val="00996707"/>
    <w:rsid w:val="009A03C0"/>
    <w:rsid w:val="009A38AF"/>
    <w:rsid w:val="009B2098"/>
    <w:rsid w:val="009B4FA3"/>
    <w:rsid w:val="009C00D6"/>
    <w:rsid w:val="009C08B7"/>
    <w:rsid w:val="009D3ECE"/>
    <w:rsid w:val="009E353E"/>
    <w:rsid w:val="009F50D3"/>
    <w:rsid w:val="00A01945"/>
    <w:rsid w:val="00A04589"/>
    <w:rsid w:val="00A12CED"/>
    <w:rsid w:val="00A12F8B"/>
    <w:rsid w:val="00A14CBD"/>
    <w:rsid w:val="00A21546"/>
    <w:rsid w:val="00A22250"/>
    <w:rsid w:val="00A31C6F"/>
    <w:rsid w:val="00A5073D"/>
    <w:rsid w:val="00A52E6E"/>
    <w:rsid w:val="00A61CB1"/>
    <w:rsid w:val="00A67246"/>
    <w:rsid w:val="00A67728"/>
    <w:rsid w:val="00A7152A"/>
    <w:rsid w:val="00A75F26"/>
    <w:rsid w:val="00A77210"/>
    <w:rsid w:val="00A832C2"/>
    <w:rsid w:val="00A86295"/>
    <w:rsid w:val="00A91A5C"/>
    <w:rsid w:val="00AA44C4"/>
    <w:rsid w:val="00AA5EA0"/>
    <w:rsid w:val="00AB7F02"/>
    <w:rsid w:val="00AC08F4"/>
    <w:rsid w:val="00AD00C4"/>
    <w:rsid w:val="00AD3D23"/>
    <w:rsid w:val="00AD4113"/>
    <w:rsid w:val="00AD7443"/>
    <w:rsid w:val="00AE0D78"/>
    <w:rsid w:val="00AE45B7"/>
    <w:rsid w:val="00AE613B"/>
    <w:rsid w:val="00AF17CD"/>
    <w:rsid w:val="00AF3E65"/>
    <w:rsid w:val="00AF7A6E"/>
    <w:rsid w:val="00B00782"/>
    <w:rsid w:val="00B01FAF"/>
    <w:rsid w:val="00B10A66"/>
    <w:rsid w:val="00B10C00"/>
    <w:rsid w:val="00B11165"/>
    <w:rsid w:val="00B11867"/>
    <w:rsid w:val="00B17697"/>
    <w:rsid w:val="00B2259E"/>
    <w:rsid w:val="00B24BC8"/>
    <w:rsid w:val="00B25FC8"/>
    <w:rsid w:val="00B32AE7"/>
    <w:rsid w:val="00B44F75"/>
    <w:rsid w:val="00B4532A"/>
    <w:rsid w:val="00B531D9"/>
    <w:rsid w:val="00B614A6"/>
    <w:rsid w:val="00B67032"/>
    <w:rsid w:val="00B67457"/>
    <w:rsid w:val="00B67EE4"/>
    <w:rsid w:val="00B729FB"/>
    <w:rsid w:val="00B94BDB"/>
    <w:rsid w:val="00BA039A"/>
    <w:rsid w:val="00BA2D86"/>
    <w:rsid w:val="00BA7CDA"/>
    <w:rsid w:val="00BC1D3B"/>
    <w:rsid w:val="00BD4134"/>
    <w:rsid w:val="00BD7834"/>
    <w:rsid w:val="00BE12C4"/>
    <w:rsid w:val="00BE1538"/>
    <w:rsid w:val="00BE3328"/>
    <w:rsid w:val="00BE3439"/>
    <w:rsid w:val="00BE389B"/>
    <w:rsid w:val="00BE73C4"/>
    <w:rsid w:val="00BE76AF"/>
    <w:rsid w:val="00BF25B4"/>
    <w:rsid w:val="00C04FD7"/>
    <w:rsid w:val="00C074AB"/>
    <w:rsid w:val="00C10800"/>
    <w:rsid w:val="00C11094"/>
    <w:rsid w:val="00C126B6"/>
    <w:rsid w:val="00C17A29"/>
    <w:rsid w:val="00C221A2"/>
    <w:rsid w:val="00C239E7"/>
    <w:rsid w:val="00C24E96"/>
    <w:rsid w:val="00C318A5"/>
    <w:rsid w:val="00C362DD"/>
    <w:rsid w:val="00C368B9"/>
    <w:rsid w:val="00C468AB"/>
    <w:rsid w:val="00C46C5D"/>
    <w:rsid w:val="00C54745"/>
    <w:rsid w:val="00C60084"/>
    <w:rsid w:val="00C672B5"/>
    <w:rsid w:val="00C730AA"/>
    <w:rsid w:val="00C73188"/>
    <w:rsid w:val="00C7568A"/>
    <w:rsid w:val="00C76885"/>
    <w:rsid w:val="00C80CCE"/>
    <w:rsid w:val="00C848B3"/>
    <w:rsid w:val="00C93B5D"/>
    <w:rsid w:val="00C95E6B"/>
    <w:rsid w:val="00CA0082"/>
    <w:rsid w:val="00CA4AD0"/>
    <w:rsid w:val="00CA4FAA"/>
    <w:rsid w:val="00CB1DF7"/>
    <w:rsid w:val="00CB5A34"/>
    <w:rsid w:val="00CC01BF"/>
    <w:rsid w:val="00CC042E"/>
    <w:rsid w:val="00CC3B16"/>
    <w:rsid w:val="00CC6206"/>
    <w:rsid w:val="00CC6D68"/>
    <w:rsid w:val="00CD73EC"/>
    <w:rsid w:val="00CE0636"/>
    <w:rsid w:val="00CE152E"/>
    <w:rsid w:val="00CE1F57"/>
    <w:rsid w:val="00CF09C3"/>
    <w:rsid w:val="00CF3223"/>
    <w:rsid w:val="00CF335F"/>
    <w:rsid w:val="00CF6990"/>
    <w:rsid w:val="00D01E5F"/>
    <w:rsid w:val="00D04FB4"/>
    <w:rsid w:val="00D10751"/>
    <w:rsid w:val="00D12639"/>
    <w:rsid w:val="00D1286E"/>
    <w:rsid w:val="00D13078"/>
    <w:rsid w:val="00D179AC"/>
    <w:rsid w:val="00D22E62"/>
    <w:rsid w:val="00D25F60"/>
    <w:rsid w:val="00D343A4"/>
    <w:rsid w:val="00D375BB"/>
    <w:rsid w:val="00D43635"/>
    <w:rsid w:val="00D471F9"/>
    <w:rsid w:val="00D50054"/>
    <w:rsid w:val="00D505AB"/>
    <w:rsid w:val="00D50BA2"/>
    <w:rsid w:val="00D565A5"/>
    <w:rsid w:val="00D61189"/>
    <w:rsid w:val="00D62FB3"/>
    <w:rsid w:val="00D6323B"/>
    <w:rsid w:val="00D63662"/>
    <w:rsid w:val="00D65FA4"/>
    <w:rsid w:val="00D67DA5"/>
    <w:rsid w:val="00D7048B"/>
    <w:rsid w:val="00D80093"/>
    <w:rsid w:val="00D80591"/>
    <w:rsid w:val="00D80691"/>
    <w:rsid w:val="00D81D22"/>
    <w:rsid w:val="00D87B95"/>
    <w:rsid w:val="00D90CA4"/>
    <w:rsid w:val="00D90DF3"/>
    <w:rsid w:val="00D97923"/>
    <w:rsid w:val="00DA5322"/>
    <w:rsid w:val="00DA765A"/>
    <w:rsid w:val="00DB5ECB"/>
    <w:rsid w:val="00DB6F69"/>
    <w:rsid w:val="00DC44EB"/>
    <w:rsid w:val="00DC7EA7"/>
    <w:rsid w:val="00DD2A43"/>
    <w:rsid w:val="00DD342B"/>
    <w:rsid w:val="00DD43C3"/>
    <w:rsid w:val="00DD618E"/>
    <w:rsid w:val="00DE2B04"/>
    <w:rsid w:val="00DE3973"/>
    <w:rsid w:val="00DE4D91"/>
    <w:rsid w:val="00DE6B2F"/>
    <w:rsid w:val="00DE764C"/>
    <w:rsid w:val="00DE7C1C"/>
    <w:rsid w:val="00DF1B43"/>
    <w:rsid w:val="00DF5817"/>
    <w:rsid w:val="00E02653"/>
    <w:rsid w:val="00E02BF8"/>
    <w:rsid w:val="00E07C6B"/>
    <w:rsid w:val="00E21540"/>
    <w:rsid w:val="00E21C61"/>
    <w:rsid w:val="00E2606A"/>
    <w:rsid w:val="00E33DE7"/>
    <w:rsid w:val="00E43409"/>
    <w:rsid w:val="00E44805"/>
    <w:rsid w:val="00E456A8"/>
    <w:rsid w:val="00E502A4"/>
    <w:rsid w:val="00E519CD"/>
    <w:rsid w:val="00E61ED0"/>
    <w:rsid w:val="00E63673"/>
    <w:rsid w:val="00E673B9"/>
    <w:rsid w:val="00E75C59"/>
    <w:rsid w:val="00E84009"/>
    <w:rsid w:val="00E86FAC"/>
    <w:rsid w:val="00EC5A0B"/>
    <w:rsid w:val="00ED190B"/>
    <w:rsid w:val="00ED3C5F"/>
    <w:rsid w:val="00ED6822"/>
    <w:rsid w:val="00EE6138"/>
    <w:rsid w:val="00EE66CA"/>
    <w:rsid w:val="00EF198C"/>
    <w:rsid w:val="00EF28F8"/>
    <w:rsid w:val="00F00561"/>
    <w:rsid w:val="00F02247"/>
    <w:rsid w:val="00F0363B"/>
    <w:rsid w:val="00F041CA"/>
    <w:rsid w:val="00F06824"/>
    <w:rsid w:val="00F11043"/>
    <w:rsid w:val="00F17CA6"/>
    <w:rsid w:val="00F2011D"/>
    <w:rsid w:val="00F259D1"/>
    <w:rsid w:val="00F302C5"/>
    <w:rsid w:val="00F336D4"/>
    <w:rsid w:val="00F43117"/>
    <w:rsid w:val="00F439BB"/>
    <w:rsid w:val="00F5393E"/>
    <w:rsid w:val="00F61F12"/>
    <w:rsid w:val="00F67AE0"/>
    <w:rsid w:val="00F7093E"/>
    <w:rsid w:val="00F77086"/>
    <w:rsid w:val="00F825B6"/>
    <w:rsid w:val="00F83FE9"/>
    <w:rsid w:val="00F847D5"/>
    <w:rsid w:val="00F87704"/>
    <w:rsid w:val="00F91ED1"/>
    <w:rsid w:val="00F92651"/>
    <w:rsid w:val="00F944F7"/>
    <w:rsid w:val="00F94886"/>
    <w:rsid w:val="00F969F9"/>
    <w:rsid w:val="00FA12BA"/>
    <w:rsid w:val="00FA41B7"/>
    <w:rsid w:val="00FA7C9A"/>
    <w:rsid w:val="00FB0118"/>
    <w:rsid w:val="00FC39E2"/>
    <w:rsid w:val="00FC6CBA"/>
    <w:rsid w:val="00FD0E4C"/>
    <w:rsid w:val="00FD36CA"/>
    <w:rsid w:val="00FD5851"/>
    <w:rsid w:val="00FF2552"/>
    <w:rsid w:val="00FF3BFA"/>
    <w:rsid w:val="00FF44F6"/>
    <w:rsid w:val="00FF57EB"/>
    <w:rsid w:val="00FF727F"/>
    <w:rsid w:val="00FF784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6C"/>
    <w:rPr>
      <w:sz w:val="24"/>
      <w:szCs w:val="24"/>
      <w:lang w:val="es-ES" w:eastAsia="es-ES"/>
    </w:rPr>
  </w:style>
  <w:style w:type="paragraph" w:styleId="Ttulo1">
    <w:name w:val="heading 1"/>
    <w:basedOn w:val="Normal"/>
    <w:next w:val="Normal"/>
    <w:autoRedefine/>
    <w:qFormat/>
    <w:rsid w:val="002857F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1661A0"/>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qFormat/>
    <w:rsid w:val="002857F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qFormat/>
    <w:rsid w:val="002857F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qFormat/>
    <w:rsid w:val="002857F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qFormat/>
    <w:rsid w:val="002857F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qFormat/>
    <w:rsid w:val="002857F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qFormat/>
    <w:rsid w:val="002857F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qFormat/>
    <w:rsid w:val="002857F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6713AB"/>
    <w:pPr>
      <w:tabs>
        <w:tab w:val="center" w:pos="4252"/>
        <w:tab w:val="right" w:pos="8504"/>
      </w:tabs>
    </w:pPr>
  </w:style>
  <w:style w:type="paragraph" w:styleId="Piedepgina">
    <w:name w:val="footer"/>
    <w:basedOn w:val="Normal"/>
    <w:rsid w:val="006713AB"/>
    <w:pPr>
      <w:tabs>
        <w:tab w:val="center" w:pos="4252"/>
        <w:tab w:val="right" w:pos="8504"/>
      </w:tabs>
    </w:pPr>
  </w:style>
  <w:style w:type="paragraph" w:customStyle="1" w:styleId="Car">
    <w:name w:val="Car"/>
    <w:basedOn w:val="Normal"/>
    <w:semiHidden/>
    <w:rsid w:val="006713AB"/>
    <w:pPr>
      <w:spacing w:after="160" w:line="240" w:lineRule="exact"/>
    </w:pPr>
    <w:rPr>
      <w:rFonts w:ascii="Verdana" w:hAnsi="Verdana" w:cs="Verdana"/>
      <w:sz w:val="20"/>
      <w:szCs w:val="20"/>
      <w:lang w:val="en-AU" w:eastAsia="en-US"/>
    </w:rPr>
  </w:style>
  <w:style w:type="character" w:customStyle="1" w:styleId="EncabezadoCar">
    <w:name w:val="Encabezado Car"/>
    <w:aliases w:val="encabezado Car"/>
    <w:link w:val="Encabezado"/>
    <w:rsid w:val="006713AB"/>
    <w:rPr>
      <w:sz w:val="24"/>
      <w:szCs w:val="24"/>
      <w:lang w:val="es-ES" w:eastAsia="es-ES" w:bidi="ar-SA"/>
    </w:rPr>
  </w:style>
  <w:style w:type="table" w:styleId="Tablaconcuadrcula">
    <w:name w:val="Table Grid"/>
    <w:basedOn w:val="Tablanormal"/>
    <w:rsid w:val="00671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1661A0"/>
    <w:rPr>
      <w:b/>
      <w:bCs/>
      <w:iCs/>
      <w:sz w:val="28"/>
      <w:szCs w:val="28"/>
      <w:lang w:val="es-ES_tradnl" w:eastAsia="en-US" w:bidi="ar-SA"/>
    </w:rPr>
  </w:style>
  <w:style w:type="paragraph" w:styleId="NormalWeb">
    <w:name w:val="Normal (Web)"/>
    <w:basedOn w:val="Normal"/>
    <w:rsid w:val="00CE1F57"/>
    <w:pPr>
      <w:spacing w:before="100" w:beforeAutospacing="1" w:after="100" w:afterAutospacing="1"/>
    </w:pPr>
  </w:style>
  <w:style w:type="character" w:customStyle="1" w:styleId="apple-converted-space">
    <w:name w:val="apple-converted-space"/>
    <w:basedOn w:val="Fuentedeprrafopredeter"/>
    <w:rsid w:val="009607A9"/>
  </w:style>
  <w:style w:type="paragraph" w:customStyle="1" w:styleId="WW-Predeterminado123">
    <w:name w:val="WW-Predeterminado123"/>
    <w:next w:val="Normal"/>
    <w:rsid w:val="00A91A5C"/>
    <w:pPr>
      <w:widowControl w:val="0"/>
      <w:suppressAutoHyphens/>
      <w:autoSpaceDE w:val="0"/>
    </w:pPr>
    <w:rPr>
      <w:color w:val="000000"/>
      <w:kern w:val="1"/>
      <w:lang w:val="es-ES" w:eastAsia="hi-IN" w:bidi="hi-IN"/>
    </w:rPr>
  </w:style>
  <w:style w:type="paragraph" w:styleId="Textodeglobo">
    <w:name w:val="Balloon Text"/>
    <w:basedOn w:val="Normal"/>
    <w:semiHidden/>
    <w:rsid w:val="00D343A4"/>
    <w:rPr>
      <w:rFonts w:ascii="Tahoma" w:hAnsi="Tahoma" w:cs="Tahoma"/>
      <w:sz w:val="16"/>
      <w:szCs w:val="16"/>
    </w:rPr>
  </w:style>
  <w:style w:type="character" w:styleId="Refdecomentario">
    <w:name w:val="annotation reference"/>
    <w:semiHidden/>
    <w:rsid w:val="00743E81"/>
    <w:rPr>
      <w:sz w:val="16"/>
      <w:szCs w:val="16"/>
    </w:rPr>
  </w:style>
  <w:style w:type="paragraph" w:styleId="Textocomentario">
    <w:name w:val="annotation text"/>
    <w:basedOn w:val="Normal"/>
    <w:semiHidden/>
    <w:rsid w:val="00743E81"/>
    <w:rPr>
      <w:sz w:val="20"/>
      <w:szCs w:val="20"/>
    </w:rPr>
  </w:style>
  <w:style w:type="paragraph" w:styleId="Asuntodelcomentario">
    <w:name w:val="annotation subject"/>
    <w:basedOn w:val="Textocomentario"/>
    <w:next w:val="Textocomentario"/>
    <w:semiHidden/>
    <w:rsid w:val="00743E81"/>
    <w:rPr>
      <w:b/>
      <w:bCs/>
    </w:rPr>
  </w:style>
  <w:style w:type="character" w:styleId="Nmerodepgina">
    <w:name w:val="page number"/>
    <w:basedOn w:val="Fuentedeprrafopredeter"/>
    <w:rsid w:val="00C46C5D"/>
  </w:style>
</w:styles>
</file>

<file path=word/webSettings.xml><?xml version="1.0" encoding="utf-8"?>
<w:webSettings xmlns:r="http://schemas.openxmlformats.org/officeDocument/2006/relationships" xmlns:w="http://schemas.openxmlformats.org/wordprocessingml/2006/main">
  <w:divs>
    <w:div w:id="238516000">
      <w:bodyDiv w:val="1"/>
      <w:marLeft w:val="0"/>
      <w:marRight w:val="0"/>
      <w:marTop w:val="0"/>
      <w:marBottom w:val="0"/>
      <w:divBdr>
        <w:top w:val="none" w:sz="0" w:space="0" w:color="auto"/>
        <w:left w:val="none" w:sz="0" w:space="0" w:color="auto"/>
        <w:bottom w:val="none" w:sz="0" w:space="0" w:color="auto"/>
        <w:right w:val="none" w:sz="0" w:space="0" w:color="auto"/>
      </w:divBdr>
    </w:div>
    <w:div w:id="387190492">
      <w:bodyDiv w:val="1"/>
      <w:marLeft w:val="0"/>
      <w:marRight w:val="0"/>
      <w:marTop w:val="0"/>
      <w:marBottom w:val="0"/>
      <w:divBdr>
        <w:top w:val="none" w:sz="0" w:space="0" w:color="auto"/>
        <w:left w:val="none" w:sz="0" w:space="0" w:color="auto"/>
        <w:bottom w:val="none" w:sz="0" w:space="0" w:color="auto"/>
        <w:right w:val="none" w:sz="0" w:space="0" w:color="auto"/>
      </w:divBdr>
    </w:div>
    <w:div w:id="474100845">
      <w:bodyDiv w:val="1"/>
      <w:marLeft w:val="0"/>
      <w:marRight w:val="0"/>
      <w:marTop w:val="0"/>
      <w:marBottom w:val="0"/>
      <w:divBdr>
        <w:top w:val="none" w:sz="0" w:space="0" w:color="auto"/>
        <w:left w:val="none" w:sz="0" w:space="0" w:color="auto"/>
        <w:bottom w:val="none" w:sz="0" w:space="0" w:color="auto"/>
        <w:right w:val="none" w:sz="0" w:space="0" w:color="auto"/>
      </w:divBdr>
    </w:div>
    <w:div w:id="930968799">
      <w:bodyDiv w:val="1"/>
      <w:marLeft w:val="0"/>
      <w:marRight w:val="0"/>
      <w:marTop w:val="0"/>
      <w:marBottom w:val="0"/>
      <w:divBdr>
        <w:top w:val="none" w:sz="0" w:space="0" w:color="auto"/>
        <w:left w:val="none" w:sz="0" w:space="0" w:color="auto"/>
        <w:bottom w:val="none" w:sz="0" w:space="0" w:color="auto"/>
        <w:right w:val="none" w:sz="0" w:space="0" w:color="auto"/>
      </w:divBdr>
    </w:div>
    <w:div w:id="1031498610">
      <w:bodyDiv w:val="1"/>
      <w:marLeft w:val="0"/>
      <w:marRight w:val="0"/>
      <w:marTop w:val="0"/>
      <w:marBottom w:val="0"/>
      <w:divBdr>
        <w:top w:val="none" w:sz="0" w:space="0" w:color="auto"/>
        <w:left w:val="none" w:sz="0" w:space="0" w:color="auto"/>
        <w:bottom w:val="none" w:sz="0" w:space="0" w:color="auto"/>
        <w:right w:val="none" w:sz="0" w:space="0" w:color="auto"/>
      </w:divBdr>
    </w:div>
    <w:div w:id="10557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939-0E8C-4C16-9F1C-E2B69F48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4701</Words>
  <Characters>25856</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Poder Judicial</Company>
  <LinksUpToDate>false</LinksUpToDate>
  <CharactersWithSpaces>30497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cchinchillac</dc:creator>
  <cp:lastModifiedBy>kdelgados</cp:lastModifiedBy>
  <cp:revision>9</cp:revision>
  <dcterms:created xsi:type="dcterms:W3CDTF">2017-02-17T20:09:00Z</dcterms:created>
  <dcterms:modified xsi:type="dcterms:W3CDTF">2017-02-17T20:16:00Z</dcterms:modified>
</cp:coreProperties>
</file>